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مشارق الاحکام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1757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61759_380464308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61761_3804643083">
            <w:r>
              <w:rPr>
                <w:webHidden/>
                <w:rStyle w:val="IndexLink"/>
                <w:rtl w:val="true"/>
              </w:rPr>
              <w:t>[</w:t>
            </w:r>
            <w:r>
              <w:rPr>
                <w:rStyle w:val="IndexLink"/>
                <w:rtl w:val="true"/>
              </w:rPr>
              <w:t>المدخل</w:t>
            </w:r>
            <w:r>
              <w:rPr>
                <w:rStyle w:val="IndexLink"/>
                <w:rtl w:val="true"/>
              </w:rPr>
              <w:t>]</w:t>
              <w:tab/>
            </w:r>
            <w:r>
              <w:rPr>
                <w:rStyle w:val="IndexLink"/>
              </w:rPr>
              <w:t>10</w:t>
            </w:r>
          </w:hyperlink>
        </w:p>
        <w:p>
          <w:pPr>
            <w:pStyle w:val="Contents2"/>
            <w:tabs>
              <w:tab w:val="clear" w:pos="8743"/>
              <w:tab w:val="right" w:pos="9026" w:leader="dot"/>
            </w:tabs>
            <w:rPr/>
          </w:pPr>
          <w:hyperlink w:anchor="__RefHeading___Toc3861763_3804643083">
            <w:r>
              <w:rPr>
                <w:webHidden/>
                <w:rStyle w:val="IndexLink"/>
                <w:rtl w:val="true"/>
              </w:rPr>
              <w:t>[</w:t>
            </w:r>
            <w:r>
              <w:rPr>
                <w:rStyle w:val="IndexLink"/>
                <w:rtl w:val="true"/>
              </w:rPr>
              <w:t>المشرق الأوّل</w:t>
            </w:r>
            <w:r>
              <w:rPr>
                <w:rStyle w:val="IndexLink"/>
                <w:rtl w:val="true"/>
              </w:rPr>
              <w:t>] [</w:t>
            </w:r>
            <w:r>
              <w:rPr>
                <w:rStyle w:val="IndexLink"/>
                <w:rtl w:val="true"/>
              </w:rPr>
              <w:t>في بيان ما يقتضيه الأصل في المعاملات من الصحّة أو الفساد</w:t>
            </w:r>
            <w:r>
              <w:rPr>
                <w:rStyle w:val="IndexLink"/>
                <w:rtl w:val="true"/>
              </w:rPr>
              <w:t>]</w:t>
              <w:tab/>
            </w:r>
            <w:r>
              <w:rPr>
                <w:rStyle w:val="IndexLink"/>
              </w:rPr>
              <w:t>12</w:t>
            </w:r>
          </w:hyperlink>
        </w:p>
        <w:p>
          <w:pPr>
            <w:pStyle w:val="Contents3"/>
            <w:tabs>
              <w:tab w:val="clear" w:pos="8459"/>
              <w:tab w:val="right" w:pos="9026" w:leader="dot"/>
            </w:tabs>
            <w:rPr/>
          </w:pPr>
          <w:hyperlink w:anchor="__RefHeading___Toc3861765_380464308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861767_3804643083">
            <w:r>
              <w:rPr>
                <w:webHidden/>
                <w:rStyle w:val="IndexLink"/>
                <w:rtl w:val="true"/>
              </w:rPr>
              <w:t>المطلب الأوّل</w:t>
            </w:r>
            <w:r>
              <w:rPr>
                <w:rStyle w:val="IndexLink"/>
                <w:rtl w:val="true"/>
              </w:rPr>
              <w:t xml:space="preserve">: </w:t>
            </w:r>
            <w:r>
              <w:rPr>
                <w:rStyle w:val="IndexLink"/>
                <w:rtl w:val="true"/>
              </w:rPr>
              <w:t>فيما يقتضيه الأصل الأوّلي الحكمي من الصحّة و الفساد في المعاملات</w:t>
            </w:r>
            <w:r>
              <w:rPr>
                <w:rStyle w:val="IndexLink"/>
                <w:rtl w:val="true"/>
              </w:rPr>
              <w:t>.</w:t>
              <w:tab/>
            </w:r>
            <w:r>
              <w:rPr>
                <w:rStyle w:val="IndexLink"/>
              </w:rPr>
              <w:t>12</w:t>
            </w:r>
          </w:hyperlink>
        </w:p>
        <w:p>
          <w:pPr>
            <w:pStyle w:val="Contents3"/>
            <w:tabs>
              <w:tab w:val="clear" w:pos="8459"/>
              <w:tab w:val="right" w:pos="9026" w:leader="dot"/>
            </w:tabs>
            <w:rPr/>
          </w:pPr>
          <w:hyperlink w:anchor="__RefHeading___Toc3861769_3804643083">
            <w:r>
              <w:rPr>
                <w:webHidden/>
                <w:rStyle w:val="IndexLink"/>
                <w:rtl w:val="true"/>
              </w:rPr>
              <w:t>المطلب الثاني</w:t>
            </w:r>
            <w:r>
              <w:rPr>
                <w:rStyle w:val="IndexLink"/>
                <w:rtl w:val="true"/>
              </w:rPr>
              <w:t xml:space="preserve">: </w:t>
            </w:r>
            <w:r>
              <w:rPr>
                <w:rStyle w:val="IndexLink"/>
                <w:rtl w:val="true"/>
              </w:rPr>
              <w:t>في بيان ما ثبت خروجه من الأصل الأوّلي و انقلب فيه بالأصل الثانوي المقتضى للصحّة</w:t>
            </w:r>
            <w:r>
              <w:rPr>
                <w:rStyle w:val="IndexLink"/>
                <w:rtl w:val="true"/>
              </w:rPr>
              <w:t>.</w:t>
              <w:tab/>
            </w:r>
            <w:r>
              <w:rPr>
                <w:rStyle w:val="IndexLink"/>
              </w:rPr>
              <w:t>15</w:t>
            </w:r>
          </w:hyperlink>
        </w:p>
        <w:p>
          <w:pPr>
            <w:pStyle w:val="Contents3"/>
            <w:tabs>
              <w:tab w:val="clear" w:pos="8459"/>
              <w:tab w:val="right" w:pos="9026" w:leader="dot"/>
            </w:tabs>
            <w:rPr/>
          </w:pPr>
          <w:hyperlink w:anchor="__RefHeading___Toc3861771_3804643083">
            <w:r>
              <w:rPr>
                <w:webHidden/>
                <w:rStyle w:val="IndexLink"/>
                <w:rtl w:val="true"/>
              </w:rPr>
              <w:t>المطلب الثالث</w:t>
            </w:r>
            <w:r>
              <w:rPr>
                <w:rStyle w:val="IndexLink"/>
                <w:rtl w:val="true"/>
              </w:rPr>
              <w:t xml:space="preserve">: </w:t>
            </w:r>
            <w:r>
              <w:rPr>
                <w:rStyle w:val="IndexLink"/>
                <w:rtl w:val="true"/>
              </w:rPr>
              <w:t>في بيان ما يقتضيه الأصل من لزوم الصيغة أو عدمه في المعاملات،</w:t>
            </w:r>
            <w:r>
              <w:rPr>
                <w:rStyle w:val="IndexLink"/>
                <w:rtl w:val="true"/>
              </w:rPr>
              <w:tab/>
            </w:r>
            <w:r>
              <w:rPr>
                <w:rStyle w:val="IndexLink"/>
              </w:rPr>
              <w:t>29</w:t>
            </w:r>
          </w:hyperlink>
        </w:p>
        <w:p>
          <w:pPr>
            <w:pStyle w:val="Contents4"/>
            <w:tabs>
              <w:tab w:val="clear" w:pos="8176"/>
              <w:tab w:val="right" w:pos="9026" w:leader="dot"/>
            </w:tabs>
            <w:rPr/>
          </w:pPr>
          <w:hyperlink w:anchor="__RefHeading___Toc3861773_380464308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3861775_3804643083">
            <w:r>
              <w:rPr>
                <w:webHidden/>
                <w:rStyle w:val="IndexLink"/>
                <w:rtl w:val="true"/>
              </w:rPr>
              <w:t>البحث الأوّل</w:t>
            </w:r>
            <w:r>
              <w:rPr>
                <w:rStyle w:val="IndexLink"/>
                <w:rtl w:val="true"/>
              </w:rPr>
              <w:t xml:space="preserve">: </w:t>
            </w:r>
            <w:r>
              <w:rPr>
                <w:rStyle w:val="IndexLink"/>
                <w:rtl w:val="true"/>
              </w:rPr>
              <w:t>في أنّه هل يلزم الصيغة أو يكفي المعاطاة</w:t>
            </w:r>
            <w:r>
              <w:rPr>
                <w:rStyle w:val="IndexLink"/>
                <w:rtl w:val="true"/>
              </w:rPr>
              <w:t>.</w:t>
              <w:tab/>
            </w:r>
            <w:r>
              <w:rPr>
                <w:rStyle w:val="IndexLink"/>
              </w:rPr>
              <w:t>29</w:t>
            </w:r>
          </w:hyperlink>
        </w:p>
        <w:p>
          <w:pPr>
            <w:pStyle w:val="Contents5"/>
            <w:tabs>
              <w:tab w:val="clear" w:pos="7892"/>
              <w:tab w:val="right" w:pos="9026" w:leader="dot"/>
            </w:tabs>
            <w:rPr/>
          </w:pPr>
          <w:hyperlink w:anchor="__RefHeading___Toc3861777_3804643083">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3861779_3804643083">
            <w:r>
              <w:rPr>
                <w:webHidden/>
                <w:rStyle w:val="IndexLink"/>
                <w:rtl w:val="true"/>
              </w:rPr>
              <w:t>تتميمات</w:t>
            </w:r>
            <w:r>
              <w:rPr>
                <w:rStyle w:val="IndexLink"/>
                <w:rtl w:val="true"/>
              </w:rPr>
              <w:t>:</w:t>
              <w:tab/>
            </w:r>
            <w:r>
              <w:rPr>
                <w:rStyle w:val="IndexLink"/>
              </w:rPr>
              <w:t>41</w:t>
            </w:r>
          </w:hyperlink>
        </w:p>
        <w:p>
          <w:pPr>
            <w:pStyle w:val="Contents4"/>
            <w:tabs>
              <w:tab w:val="clear" w:pos="8176"/>
              <w:tab w:val="right" w:pos="9026" w:leader="dot"/>
            </w:tabs>
            <w:rPr/>
          </w:pPr>
          <w:hyperlink w:anchor="__RefHeading___Toc3861781_3804643083">
            <w:r>
              <w:rPr>
                <w:webHidden/>
                <w:rStyle w:val="IndexLink"/>
                <w:rtl w:val="true"/>
              </w:rPr>
              <w:t>البحث الثاني</w:t>
            </w:r>
            <w:r>
              <w:rPr>
                <w:rStyle w:val="IndexLink"/>
                <w:rtl w:val="true"/>
              </w:rPr>
              <w:t xml:space="preserve">: </w:t>
            </w:r>
            <w:r>
              <w:rPr>
                <w:rStyle w:val="IndexLink"/>
                <w:rtl w:val="true"/>
              </w:rPr>
              <w:t>في بيان ضابطة صيغ العقود اللازمة على ما يقتضيه الأصول و عموم الأدلّة</w:t>
            </w:r>
            <w:r>
              <w:rPr>
                <w:rStyle w:val="IndexLink"/>
                <w:rtl w:val="true"/>
              </w:rPr>
              <w:t>.</w:t>
              <w:tab/>
            </w:r>
            <w:r>
              <w:rPr>
                <w:rStyle w:val="IndexLink"/>
              </w:rPr>
              <w:t>51</w:t>
            </w:r>
          </w:hyperlink>
        </w:p>
        <w:p>
          <w:pPr>
            <w:pStyle w:val="Contents2"/>
            <w:tabs>
              <w:tab w:val="clear" w:pos="8743"/>
              <w:tab w:val="right" w:pos="9026" w:leader="dot"/>
            </w:tabs>
            <w:rPr/>
          </w:pPr>
          <w:hyperlink w:anchor="__RefHeading___Toc3861783_3804643083">
            <w:r>
              <w:rPr>
                <w:webHidden/>
                <w:rStyle w:val="IndexLink"/>
                <w:rtl w:val="true"/>
              </w:rPr>
              <w:t>[</w:t>
            </w:r>
            <w:r>
              <w:rPr>
                <w:rStyle w:val="IndexLink"/>
                <w:rtl w:val="true"/>
              </w:rPr>
              <w:t>المشرق الثاني</w:t>
            </w:r>
            <w:r>
              <w:rPr>
                <w:rStyle w:val="IndexLink"/>
                <w:rtl w:val="true"/>
              </w:rPr>
              <w:t>] [</w:t>
            </w:r>
            <w:r>
              <w:rPr>
                <w:rStyle w:val="IndexLink"/>
                <w:rtl w:val="true"/>
              </w:rPr>
              <w:t>في بيان حكم العقد الفضولي</w:t>
            </w:r>
            <w:r>
              <w:rPr>
                <w:rStyle w:val="IndexLink"/>
                <w:rtl w:val="true"/>
              </w:rPr>
              <w:t>]</w:t>
              <w:tab/>
            </w:r>
            <w:r>
              <w:rPr>
                <w:rStyle w:val="IndexLink"/>
              </w:rPr>
              <w:t>60</w:t>
            </w:r>
          </w:hyperlink>
        </w:p>
        <w:p>
          <w:pPr>
            <w:pStyle w:val="Contents3"/>
            <w:tabs>
              <w:tab w:val="clear" w:pos="8459"/>
              <w:tab w:val="right" w:pos="9026" w:leader="dot"/>
            </w:tabs>
            <w:rPr/>
          </w:pPr>
          <w:hyperlink w:anchor="__RefHeading___Toc3861785_3804643083">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861787_3804643083">
            <w:r>
              <w:rPr>
                <w:webHidden/>
                <w:rStyle w:val="IndexLink"/>
                <w:rtl w:val="true"/>
              </w:rPr>
              <w:t>تتميمات</w:t>
            </w:r>
            <w:r>
              <w:rPr>
                <w:rStyle w:val="IndexLink"/>
                <w:rtl w:val="true"/>
              </w:rPr>
              <w:t>:</w:t>
              <w:tab/>
            </w:r>
            <w:r>
              <w:rPr>
                <w:rStyle w:val="IndexLink"/>
              </w:rPr>
              <w:t>65</w:t>
            </w:r>
          </w:hyperlink>
        </w:p>
        <w:p>
          <w:pPr>
            <w:pStyle w:val="Contents4"/>
            <w:tabs>
              <w:tab w:val="clear" w:pos="8176"/>
              <w:tab w:val="right" w:pos="9026" w:leader="dot"/>
            </w:tabs>
            <w:rPr/>
          </w:pPr>
          <w:hyperlink w:anchor="__RefHeading___Toc3861789_3804643083">
            <w:r>
              <w:rPr>
                <w:webHidden/>
                <w:rStyle w:val="IndexLink"/>
                <w:rtl w:val="true"/>
              </w:rPr>
              <w:t>الأوّل</w:t>
            </w:r>
            <w:r>
              <w:rPr>
                <w:rStyle w:val="IndexLink"/>
                <w:rtl w:val="true"/>
              </w:rPr>
              <w:t xml:space="preserve">: </w:t>
            </w:r>
            <w:r>
              <w:rPr>
                <w:rStyle w:val="IndexLink"/>
                <w:rtl w:val="true"/>
              </w:rPr>
              <w:t>قد اختلفوا في أنّ الإجازة على صحتها، هل هي كاشفة عن الانتقال من حين العقد، أو ناقلة من حينها</w:t>
            </w:r>
            <w:r>
              <w:rPr>
                <w:rStyle w:val="IndexLink"/>
                <w:rtl w:val="true"/>
              </w:rPr>
              <w:t>.</w:t>
              <w:tab/>
            </w:r>
            <w:r>
              <w:rPr>
                <w:rStyle w:val="IndexLink"/>
              </w:rPr>
              <w:t>65</w:t>
            </w:r>
          </w:hyperlink>
        </w:p>
        <w:p>
          <w:pPr>
            <w:pStyle w:val="Contents4"/>
            <w:tabs>
              <w:tab w:val="clear" w:pos="8176"/>
              <w:tab w:val="right" w:pos="9026" w:leader="dot"/>
            </w:tabs>
            <w:rPr/>
          </w:pPr>
          <w:hyperlink w:anchor="__RefHeading___Toc3861791_3804643083">
            <w:r>
              <w:rPr>
                <w:webHidden/>
                <w:rStyle w:val="IndexLink"/>
                <w:rtl w:val="true"/>
              </w:rPr>
              <w:t>الثاني</w:t>
            </w:r>
            <w:r>
              <w:rPr>
                <w:rStyle w:val="IndexLink"/>
                <w:rtl w:val="true"/>
              </w:rPr>
              <w:t xml:space="preserve">: </w:t>
            </w:r>
            <w:r>
              <w:rPr>
                <w:rStyle w:val="IndexLink"/>
                <w:rtl w:val="true"/>
              </w:rPr>
              <w:t>لا يكفي في الإجازة السكوت مع الحضور،</w:t>
            </w:r>
            <w:r>
              <w:rPr>
                <w:rStyle w:val="IndexLink"/>
                <w:rtl w:val="true"/>
              </w:rPr>
              <w:tab/>
            </w:r>
            <w:r>
              <w:rPr>
                <w:rStyle w:val="IndexLink"/>
              </w:rPr>
              <w:t>68</w:t>
            </w:r>
          </w:hyperlink>
        </w:p>
        <w:p>
          <w:pPr>
            <w:pStyle w:val="Contents4"/>
            <w:tabs>
              <w:tab w:val="clear" w:pos="8176"/>
              <w:tab w:val="right" w:pos="9026" w:leader="dot"/>
            </w:tabs>
            <w:rPr/>
          </w:pPr>
          <w:hyperlink w:anchor="__RefHeading___Toc3861793_3804643083">
            <w:r>
              <w:rPr>
                <w:webHidden/>
                <w:rStyle w:val="IndexLink"/>
                <w:rtl w:val="true"/>
              </w:rPr>
              <w:t>الثالث</w:t>
            </w:r>
            <w:r>
              <w:rPr>
                <w:rStyle w:val="IndexLink"/>
                <w:rtl w:val="true"/>
              </w:rPr>
              <w:t xml:space="preserve">: </w:t>
            </w:r>
            <w:r>
              <w:rPr>
                <w:rStyle w:val="IndexLink"/>
                <w:rtl w:val="true"/>
              </w:rPr>
              <w:t>إذا باع الغاصب لنفسه فأجاز المالك لنفسه</w:t>
            </w:r>
            <w:r>
              <w:rPr>
                <w:rStyle w:val="IndexLink"/>
                <w:rtl w:val="true"/>
              </w:rPr>
              <w:t>.</w:t>
              <w:tab/>
            </w:r>
            <w:r>
              <w:rPr>
                <w:rStyle w:val="IndexLink"/>
              </w:rPr>
              <w:t>69</w:t>
            </w:r>
          </w:hyperlink>
        </w:p>
        <w:p>
          <w:pPr>
            <w:pStyle w:val="Contents4"/>
            <w:tabs>
              <w:tab w:val="clear" w:pos="8176"/>
              <w:tab w:val="right" w:pos="9026" w:leader="dot"/>
            </w:tabs>
            <w:rPr/>
          </w:pPr>
          <w:hyperlink w:anchor="__RefHeading___Toc3861795_3804643083">
            <w:r>
              <w:rPr>
                <w:webHidden/>
                <w:rStyle w:val="IndexLink"/>
                <w:rtl w:val="true"/>
              </w:rPr>
              <w:t>الرابع</w:t>
            </w:r>
            <w:r>
              <w:rPr>
                <w:rStyle w:val="IndexLink"/>
                <w:rtl w:val="true"/>
              </w:rPr>
              <w:t xml:space="preserve">: </w:t>
            </w:r>
            <w:r>
              <w:rPr>
                <w:rStyle w:val="IndexLink"/>
                <w:rtl w:val="true"/>
              </w:rPr>
              <w:t>إذا لم يجز المالك فله أن يرجع إلى المشتري بعين ماله و نمائه،</w:t>
            </w:r>
            <w:r>
              <w:rPr>
                <w:rStyle w:val="IndexLink"/>
                <w:rtl w:val="true"/>
              </w:rPr>
              <w:tab/>
            </w:r>
            <w:r>
              <w:rPr>
                <w:rStyle w:val="IndexLink"/>
              </w:rPr>
              <w:t>71</w:t>
            </w:r>
          </w:hyperlink>
        </w:p>
        <w:p>
          <w:pPr>
            <w:pStyle w:val="Contents2"/>
            <w:tabs>
              <w:tab w:val="clear" w:pos="8743"/>
              <w:tab w:val="right" w:pos="9026" w:leader="dot"/>
            </w:tabs>
            <w:rPr/>
          </w:pPr>
          <w:hyperlink w:anchor="__RefHeading___Toc3861797_3804643083">
            <w:r>
              <w:rPr>
                <w:webHidden/>
                <w:rStyle w:val="IndexLink"/>
                <w:rtl w:val="true"/>
              </w:rPr>
              <w:t>[</w:t>
            </w:r>
            <w:r>
              <w:rPr>
                <w:rStyle w:val="IndexLink"/>
                <w:rtl w:val="true"/>
              </w:rPr>
              <w:t>المشرق الثالث</w:t>
            </w:r>
            <w:r>
              <w:rPr>
                <w:rStyle w:val="IndexLink"/>
                <w:rtl w:val="true"/>
              </w:rPr>
              <w:t>] [</w:t>
            </w:r>
            <w:r>
              <w:rPr>
                <w:rStyle w:val="IndexLink"/>
                <w:rtl w:val="true"/>
              </w:rPr>
              <w:t>في حكم العقود المتبعّضة الصادرة بصيغة واحدة</w:t>
            </w:r>
            <w:r>
              <w:rPr>
                <w:rStyle w:val="IndexLink"/>
                <w:rtl w:val="true"/>
              </w:rPr>
              <w:t>]</w:t>
              <w:tab/>
            </w:r>
            <w:r>
              <w:rPr>
                <w:rStyle w:val="IndexLink"/>
              </w:rPr>
              <w:t>80</w:t>
            </w:r>
          </w:hyperlink>
        </w:p>
        <w:p>
          <w:pPr>
            <w:pStyle w:val="Contents2"/>
            <w:tabs>
              <w:tab w:val="clear" w:pos="8743"/>
              <w:tab w:val="right" w:pos="9026" w:leader="dot"/>
            </w:tabs>
            <w:rPr/>
          </w:pPr>
          <w:hyperlink w:anchor="__RefHeading___Toc3861799_3804643083">
            <w:r>
              <w:rPr>
                <w:webHidden/>
                <w:rStyle w:val="IndexLink"/>
                <w:rtl w:val="true"/>
              </w:rPr>
              <w:t>[</w:t>
            </w:r>
            <w:r>
              <w:rPr>
                <w:rStyle w:val="IndexLink"/>
                <w:rtl w:val="true"/>
              </w:rPr>
              <w:t>المشرق الرابع</w:t>
            </w:r>
            <w:r>
              <w:rPr>
                <w:rStyle w:val="IndexLink"/>
                <w:rtl w:val="true"/>
              </w:rPr>
              <w:t>] [</w:t>
            </w:r>
            <w:r>
              <w:rPr>
                <w:rStyle w:val="IndexLink"/>
                <w:rtl w:val="true"/>
              </w:rPr>
              <w:t>في شروط ضمن العقد</w:t>
            </w:r>
            <w:r>
              <w:rPr>
                <w:rStyle w:val="IndexLink"/>
                <w:rtl w:val="true"/>
              </w:rPr>
              <w:t>]</w:t>
              <w:tab/>
            </w:r>
            <w:r>
              <w:rPr>
                <w:rStyle w:val="IndexLink"/>
              </w:rPr>
              <w:t>86</w:t>
            </w:r>
          </w:hyperlink>
        </w:p>
        <w:p>
          <w:pPr>
            <w:pStyle w:val="Contents3"/>
            <w:tabs>
              <w:tab w:val="clear" w:pos="8459"/>
              <w:tab w:val="right" w:pos="9026" w:leader="dot"/>
            </w:tabs>
            <w:rPr/>
          </w:pPr>
          <w:hyperlink w:anchor="__RefHeading___Toc3861801_3804643083">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3861803_3804643083">
            <w:r>
              <w:rPr>
                <w:webHidden/>
                <w:rStyle w:val="IndexLink"/>
                <w:rtl w:val="true"/>
              </w:rPr>
              <w:t>المطلب الأوّل</w:t>
            </w:r>
            <w:r>
              <w:rPr>
                <w:rStyle w:val="IndexLink"/>
                <w:rtl w:val="true"/>
              </w:rPr>
              <w:t xml:space="preserve">: </w:t>
            </w:r>
            <w:r>
              <w:rPr>
                <w:rStyle w:val="IndexLink"/>
                <w:rtl w:val="true"/>
              </w:rPr>
              <w:t>في بيان معنى الشرط</w:t>
            </w:r>
            <w:r>
              <w:rPr>
                <w:rStyle w:val="IndexLink"/>
                <w:rtl w:val="true"/>
              </w:rPr>
              <w:t>.</w:t>
              <w:tab/>
            </w:r>
            <w:r>
              <w:rPr>
                <w:rStyle w:val="IndexLink"/>
              </w:rPr>
              <w:t>86</w:t>
            </w:r>
          </w:hyperlink>
        </w:p>
        <w:p>
          <w:pPr>
            <w:pStyle w:val="Contents3"/>
            <w:tabs>
              <w:tab w:val="clear" w:pos="8459"/>
              <w:tab w:val="right" w:pos="9026" w:leader="dot"/>
            </w:tabs>
            <w:rPr/>
          </w:pPr>
          <w:hyperlink w:anchor="__RefHeading___Toc3861805_3804643083">
            <w:r>
              <w:rPr>
                <w:webHidden/>
                <w:rStyle w:val="IndexLink"/>
                <w:rtl w:val="true"/>
              </w:rPr>
              <w:t>المطلب الثاني</w:t>
            </w:r>
            <w:r>
              <w:rPr>
                <w:rStyle w:val="IndexLink"/>
                <w:rtl w:val="true"/>
              </w:rPr>
              <w:t xml:space="preserve">: </w:t>
            </w:r>
            <w:r>
              <w:rPr>
                <w:rStyle w:val="IndexLink"/>
                <w:rtl w:val="true"/>
              </w:rPr>
              <w:t>في بيان مشروعية الشرط الواقع في ضمن العقد و صحته،</w:t>
            </w:r>
            <w:r>
              <w:rPr>
                <w:rStyle w:val="IndexLink"/>
                <w:rtl w:val="true"/>
              </w:rPr>
              <w:tab/>
            </w:r>
            <w:r>
              <w:rPr>
                <w:rStyle w:val="IndexLink"/>
              </w:rPr>
              <w:t>88</w:t>
            </w:r>
          </w:hyperlink>
        </w:p>
        <w:p>
          <w:pPr>
            <w:pStyle w:val="Contents3"/>
            <w:tabs>
              <w:tab w:val="clear" w:pos="8459"/>
              <w:tab w:val="right" w:pos="9026" w:leader="dot"/>
            </w:tabs>
            <w:rPr/>
          </w:pPr>
          <w:hyperlink w:anchor="__RefHeading___Toc3861807_3804643083">
            <w:r>
              <w:rPr>
                <w:webHidden/>
                <w:rStyle w:val="IndexLink"/>
                <w:rtl w:val="true"/>
              </w:rPr>
              <w:t>المطلب الثالث</w:t>
            </w:r>
            <w:r>
              <w:rPr>
                <w:rStyle w:val="IndexLink"/>
                <w:rtl w:val="true"/>
              </w:rPr>
              <w:t xml:space="preserve">: </w:t>
            </w:r>
            <w:r>
              <w:rPr>
                <w:rStyle w:val="IndexLink"/>
                <w:rtl w:val="true"/>
              </w:rPr>
              <w:t>في أنّ انعقاد الشرط يختصّ بالمذكور في متن العقد،</w:t>
            </w:r>
            <w:r>
              <w:rPr>
                <w:rStyle w:val="IndexLink"/>
                <w:rtl w:val="true"/>
              </w:rPr>
              <w:tab/>
            </w:r>
            <w:r>
              <w:rPr>
                <w:rStyle w:val="IndexLink"/>
              </w:rPr>
              <w:t>91</w:t>
            </w:r>
          </w:hyperlink>
        </w:p>
        <w:p>
          <w:pPr>
            <w:pStyle w:val="Contents3"/>
            <w:tabs>
              <w:tab w:val="clear" w:pos="8459"/>
              <w:tab w:val="right" w:pos="9026" w:leader="dot"/>
            </w:tabs>
            <w:rPr/>
          </w:pPr>
          <w:hyperlink w:anchor="__RefHeading___Toc3861809_3804643083">
            <w:r>
              <w:rPr>
                <w:webHidden/>
                <w:rStyle w:val="IndexLink"/>
                <w:rtl w:val="true"/>
              </w:rPr>
              <w:t>المطلب الرابع</w:t>
            </w:r>
            <w:r>
              <w:rPr>
                <w:rStyle w:val="IndexLink"/>
                <w:rtl w:val="true"/>
              </w:rPr>
              <w:t xml:space="preserve">: </w:t>
            </w:r>
            <w:r>
              <w:rPr>
                <w:rStyle w:val="IndexLink"/>
                <w:rtl w:val="true"/>
              </w:rPr>
              <w:t>في حكم الشرط إذا امتنع عنه المشروط عليه،</w:t>
            </w:r>
            <w:r>
              <w:rPr>
                <w:rStyle w:val="IndexLink"/>
                <w:rtl w:val="true"/>
              </w:rPr>
              <w:tab/>
            </w:r>
            <w:r>
              <w:rPr>
                <w:rStyle w:val="IndexLink"/>
              </w:rPr>
              <w:t>93</w:t>
            </w:r>
          </w:hyperlink>
        </w:p>
        <w:p>
          <w:pPr>
            <w:pStyle w:val="Contents3"/>
            <w:tabs>
              <w:tab w:val="clear" w:pos="8459"/>
              <w:tab w:val="right" w:pos="9026" w:leader="dot"/>
            </w:tabs>
            <w:rPr/>
          </w:pPr>
          <w:hyperlink w:anchor="__RefHeading___Toc3861811_3804643083">
            <w:r>
              <w:rPr>
                <w:webHidden/>
                <w:rStyle w:val="IndexLink"/>
                <w:rtl w:val="true"/>
              </w:rPr>
              <w:t>المطلب الخامس</w:t>
            </w:r>
            <w:r>
              <w:rPr>
                <w:rStyle w:val="IndexLink"/>
                <w:rtl w:val="true"/>
              </w:rPr>
              <w:t xml:space="preserve">: </w:t>
            </w:r>
            <w:r>
              <w:rPr>
                <w:rStyle w:val="IndexLink"/>
                <w:rtl w:val="true"/>
              </w:rPr>
              <w:t>في حكم ما إذا تعذر الشرط لفوات وقته و نحوه،</w:t>
            </w:r>
            <w:r>
              <w:rPr>
                <w:rStyle w:val="IndexLink"/>
                <w:rtl w:val="true"/>
              </w:rPr>
              <w:tab/>
            </w:r>
            <w:r>
              <w:rPr>
                <w:rStyle w:val="IndexLink"/>
              </w:rPr>
              <w:t>94</w:t>
            </w:r>
          </w:hyperlink>
        </w:p>
        <w:p>
          <w:pPr>
            <w:pStyle w:val="Contents3"/>
            <w:tabs>
              <w:tab w:val="clear" w:pos="8459"/>
              <w:tab w:val="right" w:pos="9026" w:leader="dot"/>
            </w:tabs>
            <w:rPr/>
          </w:pPr>
          <w:hyperlink w:anchor="__RefHeading___Toc3861813_3804643083">
            <w:r>
              <w:rPr>
                <w:webHidden/>
                <w:rStyle w:val="IndexLink"/>
                <w:rtl w:val="true"/>
              </w:rPr>
              <w:t>المطلب السادس</w:t>
            </w:r>
            <w:r>
              <w:rPr>
                <w:rStyle w:val="IndexLink"/>
                <w:rtl w:val="true"/>
              </w:rPr>
              <w:t xml:space="preserve">: </w:t>
            </w:r>
            <w:r>
              <w:rPr>
                <w:rStyle w:val="IndexLink"/>
                <w:rtl w:val="true"/>
              </w:rPr>
              <w:t>في بيان الشروط الفاسدة</w:t>
            </w:r>
            <w:r>
              <w:rPr>
                <w:rStyle w:val="IndexLink"/>
                <w:rtl w:val="true"/>
              </w:rPr>
              <w:t>.</w:t>
              <w:tab/>
            </w:r>
            <w:r>
              <w:rPr>
                <w:rStyle w:val="IndexLink"/>
              </w:rPr>
              <w:t>96</w:t>
            </w:r>
          </w:hyperlink>
        </w:p>
        <w:p>
          <w:pPr>
            <w:pStyle w:val="Contents3"/>
            <w:tabs>
              <w:tab w:val="clear" w:pos="8459"/>
              <w:tab w:val="right" w:pos="9026" w:leader="dot"/>
            </w:tabs>
            <w:rPr/>
          </w:pPr>
          <w:hyperlink w:anchor="__RefHeading___Toc3861815_3804643083">
            <w:r>
              <w:rPr>
                <w:webHidden/>
                <w:rStyle w:val="IndexLink"/>
                <w:rtl w:val="true"/>
              </w:rPr>
              <w:t>المطلب السابع في حكم العقد إذا فسد الشرط</w:t>
            </w:r>
            <w:r>
              <w:rPr>
                <w:rStyle w:val="IndexLink"/>
                <w:rtl w:val="true"/>
              </w:rPr>
              <w:tab/>
            </w:r>
            <w:r>
              <w:rPr>
                <w:rStyle w:val="IndexLink"/>
              </w:rPr>
              <w:t>113</w:t>
            </w:r>
          </w:hyperlink>
        </w:p>
        <w:p>
          <w:pPr>
            <w:pStyle w:val="Contents2"/>
            <w:tabs>
              <w:tab w:val="clear" w:pos="8743"/>
              <w:tab w:val="right" w:pos="9026" w:leader="dot"/>
            </w:tabs>
            <w:rPr/>
          </w:pPr>
          <w:hyperlink w:anchor="__RefHeading___Toc3861817_3804643083">
            <w:r>
              <w:rPr>
                <w:webHidden/>
                <w:rStyle w:val="IndexLink"/>
                <w:rtl w:val="true"/>
              </w:rPr>
              <w:t>[</w:t>
            </w:r>
            <w:r>
              <w:rPr>
                <w:rStyle w:val="IndexLink"/>
                <w:rtl w:val="true"/>
              </w:rPr>
              <w:t>المشرق الخامس</w:t>
            </w:r>
            <w:r>
              <w:rPr>
                <w:rStyle w:val="IndexLink"/>
                <w:rtl w:val="true"/>
              </w:rPr>
              <w:t>] [</w:t>
            </w:r>
            <w:r>
              <w:rPr>
                <w:rStyle w:val="IndexLink"/>
                <w:rtl w:val="true"/>
              </w:rPr>
              <w:t>في بيان حكم المعاملات الإضرارية</w:t>
            </w:r>
            <w:r>
              <w:rPr>
                <w:rStyle w:val="IndexLink"/>
                <w:rtl w:val="true"/>
              </w:rPr>
              <w:t>]</w:t>
              <w:tab/>
            </w:r>
            <w:r>
              <w:rPr>
                <w:rStyle w:val="IndexLink"/>
              </w:rPr>
              <w:t>120</w:t>
            </w:r>
          </w:hyperlink>
        </w:p>
        <w:p>
          <w:pPr>
            <w:pStyle w:val="Contents3"/>
            <w:tabs>
              <w:tab w:val="clear" w:pos="8459"/>
              <w:tab w:val="right" w:pos="9026" w:leader="dot"/>
            </w:tabs>
            <w:rPr/>
          </w:pPr>
          <w:hyperlink w:anchor="__RefHeading___Toc3861819_3804643083">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861821_3804643083">
            <w:r>
              <w:rPr>
                <w:webHidden/>
                <w:rStyle w:val="IndexLink"/>
                <w:rtl w:val="true"/>
              </w:rPr>
              <w:t>تتميمات</w:t>
            </w:r>
            <w:r>
              <w:rPr>
                <w:rStyle w:val="IndexLink"/>
                <w:rtl w:val="true"/>
              </w:rPr>
              <w:t>:</w:t>
              <w:tab/>
            </w:r>
            <w:r>
              <w:rPr>
                <w:rStyle w:val="IndexLink"/>
              </w:rPr>
              <w:t>125</w:t>
            </w:r>
          </w:hyperlink>
        </w:p>
        <w:p>
          <w:pPr>
            <w:pStyle w:val="Contents4"/>
            <w:tabs>
              <w:tab w:val="clear" w:pos="8176"/>
              <w:tab w:val="right" w:pos="9026" w:leader="dot"/>
            </w:tabs>
            <w:rPr/>
          </w:pPr>
          <w:hyperlink w:anchor="__RefHeading___Toc3861823_3804643083">
            <w:r>
              <w:rPr>
                <w:webHidden/>
                <w:rStyle w:val="IndexLink"/>
                <w:rtl w:val="true"/>
              </w:rPr>
              <w:t>الأوّل</w:t>
            </w:r>
            <w:r>
              <w:rPr>
                <w:rStyle w:val="IndexLink"/>
                <w:rtl w:val="true"/>
              </w:rPr>
              <w:t xml:space="preserve">: </w:t>
            </w:r>
            <w:r>
              <w:rPr>
                <w:rStyle w:val="IndexLink"/>
                <w:rtl w:val="true"/>
              </w:rPr>
              <w:t>هل له صرف جميع ماله في بعض الديون أو في الكلّ من غير رعاية النسبة؟</w:t>
            </w:r>
            <w:r>
              <w:rPr>
                <w:rStyle w:val="IndexLink"/>
                <w:rtl w:val="true"/>
              </w:rPr>
              <w:tab/>
            </w:r>
            <w:r>
              <w:rPr>
                <w:rStyle w:val="IndexLink"/>
              </w:rPr>
              <w:t>125</w:t>
            </w:r>
          </w:hyperlink>
        </w:p>
        <w:p>
          <w:pPr>
            <w:pStyle w:val="Contents4"/>
            <w:tabs>
              <w:tab w:val="clear" w:pos="8176"/>
              <w:tab w:val="right" w:pos="9026" w:leader="dot"/>
            </w:tabs>
            <w:rPr/>
          </w:pPr>
          <w:hyperlink w:anchor="__RefHeading___Toc3861825_3804643083">
            <w:r>
              <w:rPr>
                <w:webHidden/>
                <w:rStyle w:val="IndexLink"/>
                <w:rtl w:val="true"/>
              </w:rPr>
              <w:t>الثاني</w:t>
            </w:r>
            <w:r>
              <w:rPr>
                <w:rStyle w:val="IndexLink"/>
                <w:rtl w:val="true"/>
              </w:rPr>
              <w:t xml:space="preserve">: </w:t>
            </w:r>
            <w:r>
              <w:rPr>
                <w:rStyle w:val="IndexLink"/>
                <w:rtl w:val="true"/>
              </w:rPr>
              <w:t>هل يلحق بالعقود الناقلة الإبراء،</w:t>
            </w:r>
            <w:r>
              <w:rPr>
                <w:rStyle w:val="IndexLink"/>
                <w:rtl w:val="true"/>
              </w:rPr>
              <w:tab/>
            </w:r>
            <w:r>
              <w:rPr>
                <w:rStyle w:val="IndexLink"/>
              </w:rPr>
              <w:t>125</w:t>
            </w:r>
          </w:hyperlink>
        </w:p>
        <w:p>
          <w:pPr>
            <w:pStyle w:val="Contents4"/>
            <w:tabs>
              <w:tab w:val="clear" w:pos="8176"/>
              <w:tab w:val="right" w:pos="9026" w:leader="dot"/>
            </w:tabs>
            <w:rPr/>
          </w:pPr>
          <w:hyperlink w:anchor="__RefHeading___Toc3861827_3804643083">
            <w:r>
              <w:rPr>
                <w:webHidden/>
                <w:rStyle w:val="IndexLink"/>
                <w:rtl w:val="true"/>
              </w:rPr>
              <w:t>الثالث</w:t>
            </w:r>
            <w:r>
              <w:rPr>
                <w:rStyle w:val="IndexLink"/>
                <w:rtl w:val="true"/>
              </w:rPr>
              <w:t xml:space="preserve">: </w:t>
            </w:r>
            <w:r>
              <w:rPr>
                <w:rStyle w:val="IndexLink"/>
                <w:rtl w:val="true"/>
              </w:rPr>
              <w:t>إذا أقرّ المديون المذكور بدين آخر أو بما في يده للغير فالظاهر قبوله</w:t>
            </w:r>
            <w:r>
              <w:rPr>
                <w:rStyle w:val="IndexLink"/>
                <w:rtl w:val="true"/>
              </w:rPr>
              <w:tab/>
            </w:r>
            <w:r>
              <w:rPr>
                <w:rStyle w:val="IndexLink"/>
              </w:rPr>
              <w:t>125</w:t>
            </w:r>
          </w:hyperlink>
        </w:p>
        <w:p>
          <w:pPr>
            <w:pStyle w:val="Contents4"/>
            <w:tabs>
              <w:tab w:val="clear" w:pos="8176"/>
              <w:tab w:val="right" w:pos="9026" w:leader="dot"/>
            </w:tabs>
            <w:rPr/>
          </w:pPr>
          <w:hyperlink w:anchor="__RefHeading___Toc3861829_3804643083">
            <w:r>
              <w:rPr>
                <w:webHidden/>
                <w:rStyle w:val="IndexLink"/>
                <w:rtl w:val="true"/>
              </w:rPr>
              <w:t>الرابع</w:t>
            </w:r>
            <w:r>
              <w:rPr>
                <w:rStyle w:val="IndexLink"/>
                <w:rtl w:val="true"/>
              </w:rPr>
              <w:t xml:space="preserve">: </w:t>
            </w:r>
            <w:r>
              <w:rPr>
                <w:rStyle w:val="IndexLink"/>
                <w:rtl w:val="true"/>
              </w:rPr>
              <w:t>هل يختصّ ما ذكرناه بالديون العاجلة، أو يعمّ الآجلة؟</w:t>
            </w:r>
            <w:r>
              <w:rPr>
                <w:rStyle w:val="IndexLink"/>
                <w:rtl w:val="true"/>
              </w:rPr>
              <w:tab/>
            </w:r>
            <w:r>
              <w:rPr>
                <w:rStyle w:val="IndexLink"/>
              </w:rPr>
              <w:t>125</w:t>
            </w:r>
          </w:hyperlink>
        </w:p>
        <w:p>
          <w:pPr>
            <w:pStyle w:val="Contents2"/>
            <w:tabs>
              <w:tab w:val="clear" w:pos="8743"/>
              <w:tab w:val="right" w:pos="9026" w:leader="dot"/>
            </w:tabs>
            <w:rPr/>
          </w:pPr>
          <w:hyperlink w:anchor="__RefHeading___Toc3861831_3804643083">
            <w:r>
              <w:rPr>
                <w:webHidden/>
                <w:rStyle w:val="IndexLink"/>
                <w:rtl w:val="true"/>
              </w:rPr>
              <w:t>[</w:t>
            </w:r>
            <w:r>
              <w:rPr>
                <w:rStyle w:val="IndexLink"/>
                <w:rtl w:val="true"/>
              </w:rPr>
              <w:t>المشرق السادس</w:t>
            </w:r>
            <w:r>
              <w:rPr>
                <w:rStyle w:val="IndexLink"/>
                <w:rtl w:val="true"/>
              </w:rPr>
              <w:t>] [</w:t>
            </w:r>
            <w:r>
              <w:rPr>
                <w:rStyle w:val="IndexLink"/>
                <w:rtl w:val="true"/>
              </w:rPr>
              <w:t>في بيان حكم المال المجهول مالكه</w:t>
            </w:r>
            <w:r>
              <w:rPr>
                <w:rStyle w:val="IndexLink"/>
                <w:rtl w:val="true"/>
              </w:rPr>
              <w:t>]</w:t>
              <w:tab/>
            </w:r>
            <w:r>
              <w:rPr>
                <w:rStyle w:val="IndexLink"/>
              </w:rPr>
              <w:t>127</w:t>
            </w:r>
          </w:hyperlink>
        </w:p>
        <w:p>
          <w:pPr>
            <w:pStyle w:val="Contents2"/>
            <w:tabs>
              <w:tab w:val="clear" w:pos="8743"/>
              <w:tab w:val="right" w:pos="9026" w:leader="dot"/>
            </w:tabs>
            <w:rPr/>
          </w:pPr>
          <w:hyperlink w:anchor="__RefHeading___Toc3861833_3804643083">
            <w:r>
              <w:rPr>
                <w:webHidden/>
                <w:rStyle w:val="IndexLink"/>
                <w:rtl w:val="true"/>
              </w:rPr>
              <w:t>[</w:t>
            </w:r>
            <w:r>
              <w:rPr>
                <w:rStyle w:val="IndexLink"/>
                <w:rtl w:val="true"/>
              </w:rPr>
              <w:t>المشرق السابع</w:t>
            </w:r>
            <w:r>
              <w:rPr>
                <w:rStyle w:val="IndexLink"/>
                <w:rtl w:val="true"/>
              </w:rPr>
              <w:t>] [</w:t>
            </w:r>
            <w:r>
              <w:rPr>
                <w:rStyle w:val="IndexLink"/>
                <w:rtl w:val="true"/>
              </w:rPr>
              <w:t>في أحكام الأراضي الخراجية</w:t>
            </w:r>
            <w:r>
              <w:rPr>
                <w:rStyle w:val="IndexLink"/>
                <w:rtl w:val="true"/>
              </w:rPr>
              <w:t>]</w:t>
              <w:tab/>
            </w:r>
            <w:r>
              <w:rPr>
                <w:rStyle w:val="IndexLink"/>
              </w:rPr>
              <w:t>133</w:t>
            </w:r>
          </w:hyperlink>
        </w:p>
        <w:p>
          <w:pPr>
            <w:pStyle w:val="Contents3"/>
            <w:tabs>
              <w:tab w:val="clear" w:pos="8459"/>
              <w:tab w:val="right" w:pos="9026" w:leader="dot"/>
            </w:tabs>
            <w:rPr/>
          </w:pPr>
          <w:hyperlink w:anchor="__RefHeading___Toc3861835_380464308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861837_3804643083">
            <w:r>
              <w:rPr>
                <w:webHidden/>
                <w:rStyle w:val="IndexLink"/>
                <w:rtl w:val="true"/>
              </w:rPr>
              <w:t>البحث الأوّل</w:t>
            </w:r>
            <w:r>
              <w:rPr>
                <w:rStyle w:val="IndexLink"/>
                <w:rtl w:val="true"/>
              </w:rPr>
              <w:t xml:space="preserve">: </w:t>
            </w:r>
            <w:r>
              <w:rPr>
                <w:rStyle w:val="IndexLink"/>
                <w:rtl w:val="true"/>
              </w:rPr>
              <w:t>في بيان المعنى المقصود من الأرض الخراجية و شرائطها،</w:t>
            </w:r>
            <w:r>
              <w:rPr>
                <w:rStyle w:val="IndexLink"/>
                <w:rtl w:val="true"/>
              </w:rPr>
              <w:tab/>
            </w:r>
            <w:r>
              <w:rPr>
                <w:rStyle w:val="IndexLink"/>
              </w:rPr>
              <w:t>133</w:t>
            </w:r>
          </w:hyperlink>
        </w:p>
        <w:p>
          <w:pPr>
            <w:pStyle w:val="Contents3"/>
            <w:tabs>
              <w:tab w:val="clear" w:pos="8459"/>
              <w:tab w:val="right" w:pos="9026" w:leader="dot"/>
            </w:tabs>
            <w:rPr/>
          </w:pPr>
          <w:hyperlink w:anchor="__RefHeading___Toc3861839_3804643083">
            <w:r>
              <w:rPr>
                <w:webHidden/>
                <w:rStyle w:val="IndexLink"/>
                <w:rtl w:val="true"/>
              </w:rPr>
              <w:t>البحث الثاني</w:t>
            </w:r>
            <w:r>
              <w:rPr>
                <w:rStyle w:val="IndexLink"/>
                <w:rtl w:val="true"/>
              </w:rPr>
              <w:t xml:space="preserve">: </w:t>
            </w:r>
            <w:r>
              <w:rPr>
                <w:rStyle w:val="IndexLink"/>
                <w:rtl w:val="true"/>
              </w:rPr>
              <w:t>لا خلاف في أنّ قبالة الأراضي الخراجية لعموم المسلمين، و لا يختصّ بها المقاتلين،</w:t>
            </w:r>
            <w:r>
              <w:rPr>
                <w:rStyle w:val="IndexLink"/>
                <w:rtl w:val="true"/>
              </w:rPr>
              <w:tab/>
            </w:r>
            <w:r>
              <w:rPr>
                <w:rStyle w:val="IndexLink"/>
              </w:rPr>
              <w:t>135</w:t>
            </w:r>
          </w:hyperlink>
        </w:p>
        <w:p>
          <w:pPr>
            <w:pStyle w:val="Contents3"/>
            <w:tabs>
              <w:tab w:val="clear" w:pos="8459"/>
              <w:tab w:val="right" w:pos="9026" w:leader="dot"/>
            </w:tabs>
            <w:rPr/>
          </w:pPr>
          <w:hyperlink w:anchor="__RefHeading___Toc3861841_3804643083">
            <w:r>
              <w:rPr>
                <w:webHidden/>
                <w:rStyle w:val="IndexLink"/>
                <w:rtl w:val="true"/>
              </w:rPr>
              <w:t>البحث الثالث</w:t>
            </w:r>
            <w:r>
              <w:rPr>
                <w:rStyle w:val="IndexLink"/>
                <w:rtl w:val="true"/>
              </w:rPr>
              <w:t xml:space="preserve">: </w:t>
            </w:r>
            <w:r>
              <w:rPr>
                <w:rStyle w:val="IndexLink"/>
                <w:rtl w:val="true"/>
              </w:rPr>
              <w:t>تولية أرض الخراج و النظر فيها مع ظهور الإمام عليه السّلام و استقلاله،</w:t>
            </w:r>
            <w:r>
              <w:rPr>
                <w:rStyle w:val="IndexLink"/>
                <w:rtl w:val="true"/>
              </w:rPr>
              <w:tab/>
            </w:r>
            <w:r>
              <w:rPr>
                <w:rStyle w:val="IndexLink"/>
              </w:rPr>
              <w:t>136</w:t>
            </w:r>
          </w:hyperlink>
        </w:p>
        <w:p>
          <w:pPr>
            <w:pStyle w:val="Contents3"/>
            <w:tabs>
              <w:tab w:val="clear" w:pos="8459"/>
              <w:tab w:val="right" w:pos="9026" w:leader="dot"/>
            </w:tabs>
            <w:rPr/>
          </w:pPr>
          <w:hyperlink w:anchor="__RefHeading___Toc3861843_3804643083">
            <w:r>
              <w:rPr>
                <w:webHidden/>
                <w:rStyle w:val="IndexLink"/>
                <w:rtl w:val="true"/>
              </w:rPr>
              <w:t>البحث الرابع</w:t>
            </w:r>
            <w:r>
              <w:rPr>
                <w:rStyle w:val="IndexLink"/>
                <w:rtl w:val="true"/>
              </w:rPr>
              <w:t xml:space="preserve">: </w:t>
            </w:r>
            <w:r>
              <w:rPr>
                <w:rStyle w:val="IndexLink"/>
                <w:rtl w:val="true"/>
              </w:rPr>
              <w:t>المعروف بين الأصحاب أنّ ما يأخذه السلطان الجائر باسم الخراج و المقاسمة و الزكاة يحلّ أخذه</w:t>
            </w:r>
            <w:r>
              <w:rPr>
                <w:rStyle w:val="IndexLink"/>
                <w:rtl w:val="true"/>
              </w:rPr>
              <w:tab/>
            </w:r>
            <w:r>
              <w:rPr>
                <w:rStyle w:val="IndexLink"/>
              </w:rPr>
              <w:t>141</w:t>
            </w:r>
          </w:hyperlink>
        </w:p>
        <w:p>
          <w:pPr>
            <w:pStyle w:val="Contents3"/>
            <w:tabs>
              <w:tab w:val="clear" w:pos="8459"/>
              <w:tab w:val="right" w:pos="9026" w:leader="dot"/>
            </w:tabs>
            <w:rPr/>
          </w:pPr>
          <w:hyperlink w:anchor="__RefHeading___Toc3861845_3804643083">
            <w:r>
              <w:rPr>
                <w:webHidden/>
                <w:rStyle w:val="IndexLink"/>
                <w:rtl w:val="true"/>
              </w:rPr>
              <w:t>البحث الخامس</w:t>
            </w:r>
            <w:r>
              <w:rPr>
                <w:rStyle w:val="IndexLink"/>
                <w:rtl w:val="true"/>
              </w:rPr>
              <w:t xml:space="preserve">: </w:t>
            </w:r>
            <w:r>
              <w:rPr>
                <w:rStyle w:val="IndexLink"/>
                <w:rtl w:val="true"/>
              </w:rPr>
              <w:t>اختلفوا في جواز بيع الأراضي الخراجية على أقوال</w:t>
            </w:r>
            <w:r>
              <w:rPr>
                <w:rStyle w:val="IndexLink"/>
                <w:rtl w:val="true"/>
              </w:rPr>
              <w:t>:</w:t>
              <w:tab/>
            </w:r>
            <w:r>
              <w:rPr>
                <w:rStyle w:val="IndexLink"/>
              </w:rPr>
              <w:t>148</w:t>
            </w:r>
          </w:hyperlink>
        </w:p>
        <w:p>
          <w:pPr>
            <w:pStyle w:val="Contents3"/>
            <w:tabs>
              <w:tab w:val="clear" w:pos="8459"/>
              <w:tab w:val="right" w:pos="9026" w:leader="dot"/>
            </w:tabs>
            <w:rPr/>
          </w:pPr>
          <w:hyperlink w:anchor="__RefHeading___Toc3861847_3804643083">
            <w:r>
              <w:rPr>
                <w:webHidden/>
                <w:rStyle w:val="IndexLink"/>
                <w:rtl w:val="true"/>
              </w:rPr>
              <w:t>البحث السادس</w:t>
            </w:r>
            <w:r>
              <w:rPr>
                <w:rStyle w:val="IndexLink"/>
                <w:rtl w:val="true"/>
              </w:rPr>
              <w:t xml:space="preserve">: </w:t>
            </w:r>
            <w:r>
              <w:rPr>
                <w:rStyle w:val="IndexLink"/>
                <w:rtl w:val="true"/>
              </w:rPr>
              <w:t>إذا علم أنّ الأرض مفتوحة عنوة حال عمارتها بخبر متواتر أو مقترن بقرينة علمية فهو،</w:t>
            </w:r>
            <w:r>
              <w:rPr>
                <w:rStyle w:val="IndexLink"/>
                <w:rtl w:val="true"/>
              </w:rPr>
              <w:tab/>
            </w:r>
            <w:r>
              <w:rPr>
                <w:rStyle w:val="IndexLink"/>
              </w:rPr>
              <w:t>152</w:t>
            </w:r>
          </w:hyperlink>
        </w:p>
        <w:p>
          <w:pPr>
            <w:pStyle w:val="Contents2"/>
            <w:tabs>
              <w:tab w:val="clear" w:pos="8743"/>
              <w:tab w:val="right" w:pos="9026" w:leader="dot"/>
            </w:tabs>
            <w:rPr/>
          </w:pPr>
          <w:hyperlink w:anchor="__RefHeading___Toc3861849_3804643083">
            <w:r>
              <w:rPr>
                <w:webHidden/>
                <w:rStyle w:val="IndexLink"/>
                <w:rtl w:val="true"/>
              </w:rPr>
              <w:t>[</w:t>
            </w:r>
            <w:r>
              <w:rPr>
                <w:rStyle w:val="IndexLink"/>
                <w:rtl w:val="true"/>
              </w:rPr>
              <w:t>المشرق الثامن</w:t>
            </w:r>
            <w:r>
              <w:rPr>
                <w:rStyle w:val="IndexLink"/>
                <w:rtl w:val="true"/>
              </w:rPr>
              <w:t>] [</w:t>
            </w:r>
            <w:r>
              <w:rPr>
                <w:rStyle w:val="IndexLink"/>
                <w:rtl w:val="true"/>
              </w:rPr>
              <w:t>فيما يتعلّق بالعدالة الشرعية</w:t>
            </w:r>
            <w:r>
              <w:rPr>
                <w:rStyle w:val="IndexLink"/>
                <w:rtl w:val="true"/>
              </w:rPr>
              <w:t>]</w:t>
              <w:tab/>
            </w:r>
            <w:r>
              <w:rPr>
                <w:rStyle w:val="IndexLink"/>
              </w:rPr>
              <w:t>157</w:t>
            </w:r>
          </w:hyperlink>
        </w:p>
        <w:p>
          <w:pPr>
            <w:pStyle w:val="Contents3"/>
            <w:tabs>
              <w:tab w:val="clear" w:pos="8459"/>
              <w:tab w:val="right" w:pos="9026" w:leader="dot"/>
            </w:tabs>
            <w:rPr/>
          </w:pPr>
          <w:hyperlink w:anchor="__RefHeading___Toc3861851_380464308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3861853_3804643083">
            <w:r>
              <w:rPr>
                <w:webHidden/>
                <w:rStyle w:val="IndexLink"/>
                <w:rtl w:val="true"/>
              </w:rPr>
              <w:t>المطلب الأوّل</w:t>
            </w:r>
            <w:r>
              <w:rPr>
                <w:rStyle w:val="IndexLink"/>
                <w:rtl w:val="true"/>
              </w:rPr>
              <w:t xml:space="preserve">: </w:t>
            </w:r>
            <w:r>
              <w:rPr>
                <w:rStyle w:val="IndexLink"/>
                <w:rtl w:val="true"/>
              </w:rPr>
              <w:t>في بيان حقيقتها و ما يعتبر فيها،</w:t>
            </w:r>
            <w:r>
              <w:rPr>
                <w:rStyle w:val="IndexLink"/>
                <w:rtl w:val="true"/>
              </w:rPr>
              <w:tab/>
            </w:r>
            <w:r>
              <w:rPr>
                <w:rStyle w:val="IndexLink"/>
              </w:rPr>
              <w:t>157</w:t>
            </w:r>
          </w:hyperlink>
        </w:p>
        <w:p>
          <w:pPr>
            <w:pStyle w:val="Contents4"/>
            <w:tabs>
              <w:tab w:val="clear" w:pos="8176"/>
              <w:tab w:val="right" w:pos="9026" w:leader="dot"/>
            </w:tabs>
            <w:rPr/>
          </w:pPr>
          <w:hyperlink w:anchor="__RefHeading___Toc3861855_3804643083">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3861857_3804643083">
            <w:r>
              <w:rPr>
                <w:webHidden/>
                <w:rStyle w:val="IndexLink"/>
                <w:rtl w:val="true"/>
              </w:rPr>
              <w:t>البحث الأوّل</w:t>
            </w:r>
            <w:r>
              <w:rPr>
                <w:rStyle w:val="IndexLink"/>
                <w:rtl w:val="true"/>
              </w:rPr>
              <w:t xml:space="preserve">: </w:t>
            </w:r>
            <w:r>
              <w:rPr>
                <w:rStyle w:val="IndexLink"/>
                <w:rtl w:val="true"/>
              </w:rPr>
              <w:t>اختلفت كلمات العلماء في بيان حقيقة العدالة،</w:t>
            </w:r>
            <w:r>
              <w:rPr>
                <w:rStyle w:val="IndexLink"/>
                <w:rtl w:val="true"/>
              </w:rPr>
              <w:tab/>
            </w:r>
            <w:r>
              <w:rPr>
                <w:rStyle w:val="IndexLink"/>
              </w:rPr>
              <w:t>157</w:t>
            </w:r>
          </w:hyperlink>
        </w:p>
        <w:p>
          <w:pPr>
            <w:pStyle w:val="Contents5"/>
            <w:tabs>
              <w:tab w:val="clear" w:pos="7892"/>
              <w:tab w:val="right" w:pos="9026" w:leader="dot"/>
            </w:tabs>
            <w:rPr/>
          </w:pPr>
          <w:hyperlink w:anchor="__RefHeading___Toc3861859_3804643083">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861861_3804643083">
            <w:r>
              <w:rPr>
                <w:webHidden/>
                <w:rStyle w:val="IndexLink"/>
                <w:rtl w:val="true"/>
              </w:rPr>
              <w:t>تتميم</w:t>
            </w:r>
            <w:r>
              <w:rPr>
                <w:rStyle w:val="IndexLink"/>
                <w:rtl w:val="true"/>
              </w:rPr>
              <w:t xml:space="preserve">: </w:t>
            </w:r>
            <w:r>
              <w:rPr>
                <w:rStyle w:val="IndexLink"/>
                <w:rtl w:val="true"/>
              </w:rPr>
              <w:t>لا خلاف في أنّ الفسق ضدّ العدالة الشرعية،</w:t>
            </w:r>
            <w:r>
              <w:rPr>
                <w:rStyle w:val="IndexLink"/>
                <w:rtl w:val="true"/>
              </w:rPr>
              <w:tab/>
            </w:r>
            <w:r>
              <w:rPr>
                <w:rStyle w:val="IndexLink"/>
              </w:rPr>
              <w:t>164</w:t>
            </w:r>
          </w:hyperlink>
        </w:p>
        <w:p>
          <w:pPr>
            <w:pStyle w:val="Contents4"/>
            <w:tabs>
              <w:tab w:val="clear" w:pos="8176"/>
              <w:tab w:val="right" w:pos="9026" w:leader="dot"/>
            </w:tabs>
            <w:rPr/>
          </w:pPr>
          <w:hyperlink w:anchor="__RefHeading___Toc3861863_3804643083">
            <w:r>
              <w:rPr>
                <w:webHidden/>
                <w:rStyle w:val="IndexLink"/>
                <w:rtl w:val="true"/>
              </w:rPr>
              <w:t>البحث الثاني</w:t>
            </w:r>
            <w:r>
              <w:rPr>
                <w:rStyle w:val="IndexLink"/>
                <w:rtl w:val="true"/>
              </w:rPr>
              <w:t xml:space="preserve">: </w:t>
            </w:r>
            <w:r>
              <w:rPr>
                <w:rStyle w:val="IndexLink"/>
                <w:rtl w:val="true"/>
              </w:rPr>
              <w:t>قد علمت أنّ اجتناب المعصية جزء العدالة أو لازمها</w:t>
            </w:r>
            <w:r>
              <w:rPr>
                <w:rStyle w:val="IndexLink"/>
                <w:rtl w:val="true"/>
              </w:rPr>
              <w:t>.</w:t>
              <w:tab/>
            </w:r>
            <w:r>
              <w:rPr>
                <w:rStyle w:val="IndexLink"/>
              </w:rPr>
              <w:t>165</w:t>
            </w:r>
          </w:hyperlink>
        </w:p>
        <w:p>
          <w:pPr>
            <w:pStyle w:val="Contents5"/>
            <w:tabs>
              <w:tab w:val="clear" w:pos="7892"/>
              <w:tab w:val="right" w:pos="9026" w:leader="dot"/>
            </w:tabs>
            <w:rPr/>
          </w:pPr>
          <w:hyperlink w:anchor="__RefHeading___Toc3861865_3804643083">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861867_3804643083">
            <w:r>
              <w:rPr>
                <w:webHidden/>
                <w:rStyle w:val="IndexLink"/>
                <w:rtl w:val="true"/>
              </w:rPr>
              <w:t>تتميمات</w:t>
            </w:r>
            <w:r>
              <w:rPr>
                <w:rStyle w:val="IndexLink"/>
                <w:rtl w:val="true"/>
              </w:rPr>
              <w:t>:</w:t>
              <w:tab/>
            </w:r>
            <w:r>
              <w:rPr>
                <w:rStyle w:val="IndexLink"/>
              </w:rPr>
              <w:t>172</w:t>
            </w:r>
          </w:hyperlink>
        </w:p>
        <w:p>
          <w:pPr>
            <w:pStyle w:val="Contents6"/>
            <w:tabs>
              <w:tab w:val="clear" w:pos="7609"/>
              <w:tab w:val="right" w:pos="9026" w:leader="dot"/>
            </w:tabs>
            <w:rPr/>
          </w:pPr>
          <w:hyperlink w:anchor="__RefHeading___Toc3861869_3804643083">
            <w:r>
              <w:rPr>
                <w:webHidden/>
                <w:rStyle w:val="IndexLink"/>
                <w:rtl w:val="true"/>
              </w:rPr>
              <w:t>الأوّل</w:t>
            </w:r>
            <w:r>
              <w:rPr>
                <w:rStyle w:val="IndexLink"/>
                <w:rtl w:val="true"/>
              </w:rPr>
              <w:t xml:space="preserve">: </w:t>
            </w:r>
            <w:r>
              <w:rPr>
                <w:rStyle w:val="IndexLink"/>
                <w:rtl w:val="true"/>
              </w:rPr>
              <w:t>اختلفوا في تفسير الكبائر تحديدا و تعديدا على مذاهب شتّى،</w:t>
            </w:r>
            <w:r>
              <w:rPr>
                <w:rStyle w:val="IndexLink"/>
                <w:rtl w:val="true"/>
              </w:rPr>
              <w:tab/>
            </w:r>
            <w:r>
              <w:rPr>
                <w:rStyle w:val="IndexLink"/>
              </w:rPr>
              <w:t>172</w:t>
            </w:r>
          </w:hyperlink>
        </w:p>
        <w:p>
          <w:pPr>
            <w:pStyle w:val="Contents6"/>
            <w:tabs>
              <w:tab w:val="clear" w:pos="7609"/>
              <w:tab w:val="right" w:pos="9026" w:leader="dot"/>
            </w:tabs>
            <w:rPr/>
          </w:pPr>
          <w:hyperlink w:anchor="__RefHeading___Toc3861871_3804643083">
            <w:r>
              <w:rPr>
                <w:webHidden/>
                <w:rStyle w:val="IndexLink"/>
                <w:rtl w:val="true"/>
              </w:rPr>
              <w:t>الثاني</w:t>
            </w:r>
            <w:r>
              <w:rPr>
                <w:rStyle w:val="IndexLink"/>
                <w:rtl w:val="true"/>
              </w:rPr>
              <w:t xml:space="preserve">: </w:t>
            </w:r>
            <w:r>
              <w:rPr>
                <w:rStyle w:val="IndexLink"/>
                <w:rtl w:val="true"/>
              </w:rPr>
              <w:t>قد علمت من خبر الفضل أنّ من الكبائر الإصرار على الصغائر</w:t>
            </w:r>
            <w:r>
              <w:rPr>
                <w:rStyle w:val="IndexLink"/>
                <w:rtl w:val="true"/>
              </w:rPr>
              <w:t>.</w:t>
              <w:tab/>
            </w:r>
            <w:r>
              <w:rPr>
                <w:rStyle w:val="IndexLink"/>
              </w:rPr>
              <w:t>178</w:t>
            </w:r>
          </w:hyperlink>
        </w:p>
        <w:p>
          <w:pPr>
            <w:pStyle w:val="Contents4"/>
            <w:tabs>
              <w:tab w:val="clear" w:pos="8176"/>
              <w:tab w:val="right" w:pos="9026" w:leader="dot"/>
            </w:tabs>
            <w:rPr/>
          </w:pPr>
          <w:hyperlink w:anchor="__RefHeading___Toc3861873_3804643083">
            <w:r>
              <w:rPr>
                <w:webHidden/>
                <w:rStyle w:val="IndexLink"/>
                <w:rtl w:val="true"/>
              </w:rPr>
              <w:t>البحث الثالث</w:t>
            </w:r>
            <w:r>
              <w:rPr>
                <w:rStyle w:val="IndexLink"/>
                <w:rtl w:val="true"/>
              </w:rPr>
              <w:t xml:space="preserve">: </w:t>
            </w:r>
            <w:r>
              <w:rPr>
                <w:rStyle w:val="IndexLink"/>
                <w:rtl w:val="true"/>
              </w:rPr>
              <w:t>اختلفوا في توقّف العدالة الشرعية على المروة على قولين</w:t>
            </w:r>
            <w:r>
              <w:rPr>
                <w:rStyle w:val="IndexLink"/>
                <w:rtl w:val="true"/>
              </w:rPr>
              <w:t>.</w:t>
              <w:tab/>
            </w:r>
            <w:r>
              <w:rPr>
                <w:rStyle w:val="IndexLink"/>
              </w:rPr>
              <w:t>184</w:t>
            </w:r>
          </w:hyperlink>
        </w:p>
        <w:p>
          <w:pPr>
            <w:pStyle w:val="Contents5"/>
            <w:tabs>
              <w:tab w:val="clear" w:pos="7892"/>
              <w:tab w:val="right" w:pos="9026" w:leader="dot"/>
            </w:tabs>
            <w:rPr/>
          </w:pPr>
          <w:hyperlink w:anchor="__RefHeading___Toc3861875_3804643083">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3861877_3804643083">
            <w:r>
              <w:rPr>
                <w:webHidden/>
                <w:rStyle w:val="IndexLink"/>
                <w:rtl w:val="true"/>
              </w:rPr>
              <w:t>تتميمات</w:t>
            </w:r>
            <w:r>
              <w:rPr>
                <w:rStyle w:val="IndexLink"/>
                <w:rtl w:val="true"/>
              </w:rPr>
              <w:t>:</w:t>
              <w:tab/>
            </w:r>
            <w:r>
              <w:rPr>
                <w:rStyle w:val="IndexLink"/>
              </w:rPr>
              <w:t>189</w:t>
            </w:r>
          </w:hyperlink>
        </w:p>
        <w:p>
          <w:pPr>
            <w:pStyle w:val="Contents6"/>
            <w:tabs>
              <w:tab w:val="clear" w:pos="7609"/>
              <w:tab w:val="right" w:pos="9026" w:leader="dot"/>
            </w:tabs>
            <w:rPr/>
          </w:pPr>
          <w:hyperlink w:anchor="__RefHeading___Toc3861879_3804643083">
            <w:r>
              <w:rPr>
                <w:webHidden/>
                <w:rStyle w:val="IndexLink"/>
                <w:rtl w:val="true"/>
              </w:rPr>
              <w:t>الأوّل</w:t>
            </w:r>
            <w:r>
              <w:rPr>
                <w:rStyle w:val="IndexLink"/>
                <w:rtl w:val="true"/>
              </w:rPr>
              <w:t xml:space="preserve">: </w:t>
            </w:r>
            <w:r>
              <w:rPr>
                <w:rStyle w:val="IndexLink"/>
                <w:rtl w:val="true"/>
              </w:rPr>
              <w:t>عدّوا من منافيات المروّة الموجبة لسقوطها أمورا كثيرة،</w:t>
            </w:r>
            <w:r>
              <w:rPr>
                <w:rStyle w:val="IndexLink"/>
                <w:rtl w:val="true"/>
              </w:rPr>
              <w:tab/>
            </w:r>
            <w:r>
              <w:rPr>
                <w:rStyle w:val="IndexLink"/>
              </w:rPr>
              <w:t>189</w:t>
            </w:r>
          </w:hyperlink>
        </w:p>
        <w:p>
          <w:pPr>
            <w:pStyle w:val="Contents6"/>
            <w:tabs>
              <w:tab w:val="clear" w:pos="7609"/>
              <w:tab w:val="right" w:pos="9026" w:leader="dot"/>
            </w:tabs>
            <w:rPr/>
          </w:pPr>
          <w:hyperlink w:anchor="__RefHeading___Toc3861881_3804643083">
            <w:r>
              <w:rPr>
                <w:webHidden/>
                <w:rStyle w:val="IndexLink"/>
                <w:rtl w:val="true"/>
              </w:rPr>
              <w:t>الثاني</w:t>
            </w:r>
            <w:r>
              <w:rPr>
                <w:rStyle w:val="IndexLink"/>
                <w:rtl w:val="true"/>
              </w:rPr>
              <w:t xml:space="preserve">: </w:t>
            </w:r>
            <w:r>
              <w:rPr>
                <w:rStyle w:val="IndexLink"/>
                <w:rtl w:val="true"/>
              </w:rPr>
              <w:t xml:space="preserve">قال في الروضة ، و الروض ، و الذخيرة </w:t>
            </w:r>
            <w:r>
              <w:rPr>
                <w:rStyle w:val="IndexLink"/>
                <w:rtl w:val="true"/>
              </w:rPr>
              <w:t xml:space="preserve">: </w:t>
            </w:r>
            <w:r>
              <w:rPr>
                <w:rStyle w:val="IndexLink"/>
                <w:rtl w:val="true"/>
              </w:rPr>
              <w:t>لا يقدح في المروة فعل السنن و إن استهجنها الناس،</w:t>
            </w:r>
            <w:r>
              <w:rPr>
                <w:rStyle w:val="IndexLink"/>
                <w:rtl w:val="true"/>
              </w:rPr>
              <w:tab/>
            </w:r>
            <w:r>
              <w:rPr>
                <w:rStyle w:val="IndexLink"/>
              </w:rPr>
              <w:t>194</w:t>
            </w:r>
          </w:hyperlink>
        </w:p>
        <w:p>
          <w:pPr>
            <w:pStyle w:val="Contents6"/>
            <w:tabs>
              <w:tab w:val="clear" w:pos="7609"/>
              <w:tab w:val="right" w:pos="9026" w:leader="dot"/>
            </w:tabs>
            <w:rPr/>
          </w:pPr>
          <w:hyperlink w:anchor="__RefHeading___Toc3861883_3804643083">
            <w:r>
              <w:rPr>
                <w:webHidden/>
                <w:rStyle w:val="IndexLink"/>
                <w:rtl w:val="true"/>
              </w:rPr>
              <w:t>الثالث</w:t>
            </w:r>
            <w:r>
              <w:rPr>
                <w:rStyle w:val="IndexLink"/>
                <w:rtl w:val="true"/>
              </w:rPr>
              <w:t xml:space="preserve">: </w:t>
            </w:r>
            <w:r>
              <w:rPr>
                <w:rStyle w:val="IndexLink"/>
                <w:rtl w:val="true"/>
              </w:rPr>
              <w:t>ترك جميع المستحبّات ما لم يبلغ حدّ التهاون ليس منافيا للمروّة من حيث ترك الاستحباب،</w:t>
            </w:r>
            <w:r>
              <w:rPr>
                <w:rStyle w:val="IndexLink"/>
                <w:rtl w:val="true"/>
              </w:rPr>
              <w:tab/>
            </w:r>
            <w:r>
              <w:rPr>
                <w:rStyle w:val="IndexLink"/>
              </w:rPr>
              <w:t>194</w:t>
            </w:r>
          </w:hyperlink>
        </w:p>
        <w:p>
          <w:pPr>
            <w:pStyle w:val="Contents4"/>
            <w:tabs>
              <w:tab w:val="clear" w:pos="8176"/>
              <w:tab w:val="right" w:pos="9026" w:leader="dot"/>
            </w:tabs>
            <w:rPr/>
          </w:pPr>
          <w:hyperlink w:anchor="__RefHeading___Toc3861885_3804643083">
            <w:r>
              <w:rPr>
                <w:webHidden/>
                <w:rStyle w:val="IndexLink"/>
                <w:rtl w:val="true"/>
              </w:rPr>
              <w:t>البحث الرابع</w:t>
            </w:r>
            <w:r>
              <w:rPr>
                <w:rStyle w:val="IndexLink"/>
                <w:rtl w:val="true"/>
              </w:rPr>
              <w:t xml:space="preserve">: </w:t>
            </w:r>
            <w:r>
              <w:rPr>
                <w:rStyle w:val="IndexLink"/>
                <w:rtl w:val="true"/>
              </w:rPr>
              <w:t>يتوقّف العدالة الشرعية على صحّة المذهب، فيشترط فيها الإسلام و الإيمان،</w:t>
            </w:r>
            <w:r>
              <w:rPr>
                <w:rStyle w:val="IndexLink"/>
                <w:rtl w:val="true"/>
              </w:rPr>
              <w:tab/>
            </w:r>
            <w:r>
              <w:rPr>
                <w:rStyle w:val="IndexLink"/>
              </w:rPr>
              <w:t>197</w:t>
            </w:r>
          </w:hyperlink>
        </w:p>
        <w:p>
          <w:pPr>
            <w:pStyle w:val="Contents4"/>
            <w:tabs>
              <w:tab w:val="clear" w:pos="8176"/>
              <w:tab w:val="right" w:pos="9026" w:leader="dot"/>
            </w:tabs>
            <w:rPr/>
          </w:pPr>
          <w:hyperlink w:anchor="__RefHeading___Toc3861887_3804643083">
            <w:r>
              <w:rPr>
                <w:webHidden/>
                <w:rStyle w:val="IndexLink"/>
                <w:rtl w:val="true"/>
              </w:rPr>
              <w:t>البحث الخامس</w:t>
            </w:r>
            <w:r>
              <w:rPr>
                <w:rStyle w:val="IndexLink"/>
                <w:rtl w:val="true"/>
              </w:rPr>
              <w:t xml:space="preserve">: </w:t>
            </w:r>
            <w:r>
              <w:rPr>
                <w:rStyle w:val="IndexLink"/>
                <w:rtl w:val="true"/>
              </w:rPr>
              <w:t>قالوا</w:t>
            </w:r>
            <w:r>
              <w:rPr>
                <w:rStyle w:val="IndexLink"/>
                <w:rtl w:val="true"/>
              </w:rPr>
              <w:t xml:space="preserve">: </w:t>
            </w:r>
            <w:r>
              <w:rPr>
                <w:rStyle w:val="IndexLink"/>
                <w:rtl w:val="true"/>
              </w:rPr>
              <w:t>لا يقدح الذنب إذا تاب عنه، و هذا في قبول الشهادة لعلّه لا خلاف فيه،</w:t>
            </w:r>
            <w:r>
              <w:rPr>
                <w:rStyle w:val="IndexLink"/>
                <w:rtl w:val="true"/>
              </w:rPr>
              <w:tab/>
            </w:r>
            <w:r>
              <w:rPr>
                <w:rStyle w:val="IndexLink"/>
              </w:rPr>
              <w:t>199</w:t>
            </w:r>
          </w:hyperlink>
        </w:p>
        <w:p>
          <w:pPr>
            <w:pStyle w:val="Contents3"/>
            <w:tabs>
              <w:tab w:val="clear" w:pos="8459"/>
              <w:tab w:val="right" w:pos="9026" w:leader="dot"/>
            </w:tabs>
            <w:rPr/>
          </w:pPr>
          <w:hyperlink w:anchor="__RefHeading___Toc3861889_3804643083">
            <w:r>
              <w:rPr>
                <w:webHidden/>
                <w:rStyle w:val="IndexLink"/>
                <w:rtl w:val="true"/>
              </w:rPr>
              <w:t>المطلب الثاني</w:t>
            </w:r>
            <w:r>
              <w:rPr>
                <w:rStyle w:val="IndexLink"/>
                <w:rtl w:val="true"/>
              </w:rPr>
              <w:t xml:space="preserve">: </w:t>
            </w:r>
            <w:r>
              <w:rPr>
                <w:rStyle w:val="IndexLink"/>
                <w:rtl w:val="true"/>
              </w:rPr>
              <w:t>في بيان ما يكشف عن العدالة و كيفية البحث عن ثبوتها</w:t>
            </w:r>
            <w:r>
              <w:rPr>
                <w:rStyle w:val="IndexLink"/>
                <w:rtl w:val="true"/>
              </w:rPr>
              <w:t>.</w:t>
              <w:tab/>
            </w:r>
            <w:r>
              <w:rPr>
                <w:rStyle w:val="IndexLink"/>
              </w:rPr>
              <w:t>200</w:t>
            </w:r>
          </w:hyperlink>
        </w:p>
        <w:p>
          <w:pPr>
            <w:pStyle w:val="Contents3"/>
            <w:tabs>
              <w:tab w:val="clear" w:pos="8459"/>
              <w:tab w:val="right" w:pos="9026" w:leader="dot"/>
            </w:tabs>
            <w:rPr/>
          </w:pPr>
          <w:hyperlink w:anchor="__RefHeading___Toc3861891_3804643083">
            <w:r>
              <w:rPr>
                <w:webHidden/>
                <w:rStyle w:val="IndexLink"/>
                <w:rtl w:val="true"/>
              </w:rPr>
              <w:t>تلخيص و تتميم</w:t>
            </w:r>
            <w:r>
              <w:rPr>
                <w:rStyle w:val="IndexLink"/>
                <w:rtl w:val="true"/>
              </w:rPr>
              <w:t>:</w:t>
              <w:tab/>
            </w:r>
            <w:r>
              <w:rPr>
                <w:rStyle w:val="IndexLink"/>
              </w:rPr>
              <w:t>205</w:t>
            </w:r>
          </w:hyperlink>
        </w:p>
        <w:p>
          <w:pPr>
            <w:pStyle w:val="Contents2"/>
            <w:tabs>
              <w:tab w:val="clear" w:pos="8743"/>
              <w:tab w:val="right" w:pos="9026" w:leader="dot"/>
            </w:tabs>
            <w:rPr/>
          </w:pPr>
          <w:hyperlink w:anchor="__RefHeading___Toc3861893_3804643083">
            <w:r>
              <w:rPr>
                <w:webHidden/>
                <w:rStyle w:val="IndexLink"/>
                <w:rtl w:val="true"/>
              </w:rPr>
              <w:t>[</w:t>
            </w:r>
            <w:r>
              <w:rPr>
                <w:rStyle w:val="IndexLink"/>
                <w:rtl w:val="true"/>
              </w:rPr>
              <w:t>المشرق التاسع</w:t>
            </w:r>
            <w:r>
              <w:rPr>
                <w:rStyle w:val="IndexLink"/>
                <w:rtl w:val="true"/>
              </w:rPr>
              <w:t>] [</w:t>
            </w:r>
            <w:r>
              <w:rPr>
                <w:rStyle w:val="IndexLink"/>
                <w:rtl w:val="true"/>
              </w:rPr>
              <w:t>في أحكام الغناء</w:t>
            </w:r>
            <w:r>
              <w:rPr>
                <w:rStyle w:val="IndexLink"/>
                <w:rtl w:val="true"/>
              </w:rPr>
              <w:t>]</w:t>
              <w:tab/>
            </w:r>
            <w:r>
              <w:rPr>
                <w:rStyle w:val="IndexLink"/>
              </w:rPr>
              <w:t>208</w:t>
            </w:r>
          </w:hyperlink>
        </w:p>
        <w:p>
          <w:pPr>
            <w:pStyle w:val="Contents3"/>
            <w:tabs>
              <w:tab w:val="clear" w:pos="8459"/>
              <w:tab w:val="right" w:pos="9026" w:leader="dot"/>
            </w:tabs>
            <w:rPr/>
          </w:pPr>
          <w:hyperlink w:anchor="__RefHeading___Toc3861895_3804643083">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3861897_3804643083">
            <w:r>
              <w:rPr>
                <w:webHidden/>
                <w:rStyle w:val="IndexLink"/>
                <w:rtl w:val="true"/>
              </w:rPr>
              <w:t>البحث الأوّل</w:t>
            </w:r>
            <w:r>
              <w:rPr>
                <w:rStyle w:val="IndexLink"/>
                <w:rtl w:val="true"/>
              </w:rPr>
              <w:t xml:space="preserve">: </w:t>
            </w:r>
            <w:r>
              <w:rPr>
                <w:rStyle w:val="IndexLink"/>
                <w:rtl w:val="true"/>
              </w:rPr>
              <w:t>في بيان حقيقته و موارده</w:t>
            </w:r>
            <w:r>
              <w:rPr>
                <w:rStyle w:val="IndexLink"/>
                <w:rtl w:val="true"/>
              </w:rPr>
              <w:t>.</w:t>
              <w:tab/>
            </w:r>
            <w:r>
              <w:rPr>
                <w:rStyle w:val="IndexLink"/>
              </w:rPr>
              <w:t>208</w:t>
            </w:r>
          </w:hyperlink>
        </w:p>
        <w:p>
          <w:pPr>
            <w:pStyle w:val="Contents3"/>
            <w:tabs>
              <w:tab w:val="clear" w:pos="8459"/>
              <w:tab w:val="right" w:pos="9026" w:leader="dot"/>
            </w:tabs>
            <w:rPr/>
          </w:pPr>
          <w:hyperlink w:anchor="__RefHeading___Toc3861899_3804643083">
            <w:r>
              <w:rPr>
                <w:webHidden/>
                <w:rStyle w:val="IndexLink"/>
                <w:rtl w:val="true"/>
              </w:rPr>
              <w:t>البحث الثاني</w:t>
            </w:r>
            <w:r>
              <w:rPr>
                <w:rStyle w:val="IndexLink"/>
                <w:rtl w:val="true"/>
              </w:rPr>
              <w:t xml:space="preserve">: </w:t>
            </w:r>
            <w:r>
              <w:rPr>
                <w:rStyle w:val="IndexLink"/>
                <w:rtl w:val="true"/>
              </w:rPr>
              <w:t>في بيان حكمه</w:t>
            </w:r>
            <w:r>
              <w:rPr>
                <w:rStyle w:val="IndexLink"/>
                <w:rtl w:val="true"/>
              </w:rPr>
              <w:t>.</w:t>
              <w:tab/>
            </w:r>
            <w:r>
              <w:rPr>
                <w:rStyle w:val="IndexLink"/>
              </w:rPr>
              <w:t>213</w:t>
            </w:r>
          </w:hyperlink>
        </w:p>
        <w:p>
          <w:pPr>
            <w:pStyle w:val="Contents4"/>
            <w:tabs>
              <w:tab w:val="clear" w:pos="8176"/>
              <w:tab w:val="right" w:pos="9026" w:leader="dot"/>
            </w:tabs>
            <w:rPr/>
          </w:pPr>
          <w:hyperlink w:anchor="__RefHeading___Toc3861901_380464308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3861903_3804643083">
            <w:r>
              <w:rPr>
                <w:webHidden/>
                <w:rStyle w:val="IndexLink"/>
                <w:rtl w:val="true"/>
              </w:rPr>
              <w:t>تتميم</w:t>
            </w:r>
            <w:r>
              <w:rPr>
                <w:rStyle w:val="IndexLink"/>
                <w:rtl w:val="true"/>
              </w:rPr>
              <w:t xml:space="preserve">: </w:t>
            </w:r>
            <w:r>
              <w:rPr>
                <w:rStyle w:val="IndexLink"/>
                <w:rtl w:val="true"/>
              </w:rPr>
              <w:t>كما يحرم التغني، يحرم استماعه اجماعا، له،</w:t>
            </w:r>
            <w:r>
              <w:rPr>
                <w:rStyle w:val="IndexLink"/>
                <w:rtl w:val="true"/>
              </w:rPr>
              <w:tab/>
            </w:r>
            <w:r>
              <w:rPr>
                <w:rStyle w:val="IndexLink"/>
              </w:rPr>
              <w:t>231</w:t>
            </w:r>
          </w:hyperlink>
        </w:p>
        <w:p>
          <w:pPr>
            <w:pStyle w:val="Contents2"/>
            <w:tabs>
              <w:tab w:val="clear" w:pos="8743"/>
              <w:tab w:val="right" w:pos="9026" w:leader="dot"/>
            </w:tabs>
            <w:rPr/>
          </w:pPr>
          <w:hyperlink w:anchor="__RefHeading___Toc3861905_3804643083">
            <w:r>
              <w:rPr>
                <w:webHidden/>
                <w:rStyle w:val="IndexLink"/>
                <w:rtl w:val="true"/>
              </w:rPr>
              <w:t>[</w:t>
            </w:r>
            <w:r>
              <w:rPr>
                <w:rStyle w:val="IndexLink"/>
                <w:rtl w:val="true"/>
              </w:rPr>
              <w:t>المشرق العاشر</w:t>
            </w:r>
            <w:r>
              <w:rPr>
                <w:rStyle w:val="IndexLink"/>
                <w:rtl w:val="true"/>
              </w:rPr>
              <w:t>] [</w:t>
            </w:r>
            <w:r>
              <w:rPr>
                <w:rStyle w:val="IndexLink"/>
                <w:rtl w:val="true"/>
              </w:rPr>
              <w:t>في صحة صلح الزوج عن حق رجوعه في العدّة الرجعية</w:t>
            </w:r>
            <w:r>
              <w:rPr>
                <w:rStyle w:val="IndexLink"/>
                <w:rtl w:val="true"/>
              </w:rPr>
              <w:t>]</w:t>
              <w:tab/>
            </w:r>
            <w:r>
              <w:rPr>
                <w:rStyle w:val="IndexLink"/>
              </w:rPr>
              <w:t>232</w:t>
            </w:r>
          </w:hyperlink>
        </w:p>
        <w:p>
          <w:pPr>
            <w:pStyle w:val="Contents2"/>
            <w:tabs>
              <w:tab w:val="clear" w:pos="8743"/>
              <w:tab w:val="right" w:pos="9026" w:leader="dot"/>
            </w:tabs>
            <w:rPr/>
          </w:pPr>
          <w:hyperlink w:anchor="__RefHeading___Toc3861907_3804643083">
            <w:r>
              <w:rPr>
                <w:webHidden/>
                <w:rStyle w:val="IndexLink"/>
                <w:rtl w:val="true"/>
              </w:rPr>
              <w:t>[</w:t>
            </w:r>
            <w:r>
              <w:rPr>
                <w:rStyle w:val="IndexLink"/>
                <w:rtl w:val="true"/>
              </w:rPr>
              <w:t>المشرق الحادي عشر</w:t>
            </w:r>
            <w:r>
              <w:rPr>
                <w:rStyle w:val="IndexLink"/>
                <w:rtl w:val="true"/>
              </w:rPr>
              <w:t>] [</w:t>
            </w:r>
            <w:r>
              <w:rPr>
                <w:rStyle w:val="IndexLink"/>
                <w:rtl w:val="true"/>
              </w:rPr>
              <w:t>في بيان تعارض الاستصحابين و أقسامه</w:t>
            </w:r>
            <w:r>
              <w:rPr>
                <w:rStyle w:val="IndexLink"/>
                <w:rtl w:val="true"/>
              </w:rPr>
              <w:t>]</w:t>
              <w:tab/>
            </w:r>
            <w:r>
              <w:rPr>
                <w:rStyle w:val="IndexLink"/>
              </w:rPr>
              <w:t>241</w:t>
            </w:r>
          </w:hyperlink>
        </w:p>
        <w:p>
          <w:pPr>
            <w:pStyle w:val="Contents3"/>
            <w:tabs>
              <w:tab w:val="clear" w:pos="8459"/>
              <w:tab w:val="right" w:pos="9026" w:leader="dot"/>
            </w:tabs>
            <w:rPr/>
          </w:pPr>
          <w:hyperlink w:anchor="__RefHeading___Toc3861909_380464308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3861911_3804643083">
            <w:r>
              <w:rPr>
                <w:webHidden/>
                <w:rStyle w:val="IndexLink"/>
                <w:rtl w:val="true"/>
              </w:rPr>
              <w:t>تتميمات</w:t>
            </w:r>
            <w:r>
              <w:rPr>
                <w:rStyle w:val="IndexLink"/>
                <w:rtl w:val="true"/>
              </w:rPr>
              <w:t>:</w:t>
              <w:tab/>
            </w:r>
            <w:r>
              <w:rPr>
                <w:rStyle w:val="IndexLink"/>
              </w:rPr>
              <w:t>250</w:t>
            </w:r>
          </w:hyperlink>
        </w:p>
        <w:p>
          <w:pPr>
            <w:pStyle w:val="Contents4"/>
            <w:tabs>
              <w:tab w:val="clear" w:pos="8176"/>
              <w:tab w:val="right" w:pos="9026" w:leader="dot"/>
            </w:tabs>
            <w:rPr/>
          </w:pPr>
          <w:hyperlink w:anchor="__RefHeading___Toc3861913_3804643083">
            <w:r>
              <w:rPr>
                <w:webHidden/>
                <w:rStyle w:val="IndexLink"/>
                <w:rtl w:val="true"/>
              </w:rPr>
              <w:t>الأوّل</w:t>
            </w:r>
            <w:r>
              <w:rPr>
                <w:rStyle w:val="IndexLink"/>
                <w:rtl w:val="true"/>
              </w:rPr>
              <w:t xml:space="preserve">: </w:t>
            </w:r>
            <w:r>
              <w:rPr>
                <w:rStyle w:val="IndexLink"/>
                <w:rtl w:val="true"/>
              </w:rPr>
              <w:t>إذا تعارض استصحاب مع استصحابين أو أكثر،</w:t>
            </w:r>
            <w:r>
              <w:rPr>
                <w:rStyle w:val="IndexLink"/>
                <w:rtl w:val="true"/>
              </w:rPr>
              <w:tab/>
            </w:r>
            <w:r>
              <w:rPr>
                <w:rStyle w:val="IndexLink"/>
              </w:rPr>
              <w:t>250</w:t>
            </w:r>
          </w:hyperlink>
        </w:p>
        <w:p>
          <w:pPr>
            <w:pStyle w:val="Contents4"/>
            <w:tabs>
              <w:tab w:val="clear" w:pos="8176"/>
              <w:tab w:val="right" w:pos="9026" w:leader="dot"/>
            </w:tabs>
            <w:rPr/>
          </w:pPr>
          <w:hyperlink w:anchor="__RefHeading___Toc3861915_3804643083">
            <w:r>
              <w:rPr>
                <w:webHidden/>
                <w:rStyle w:val="IndexLink"/>
                <w:rtl w:val="true"/>
              </w:rPr>
              <w:t>الثاني</w:t>
            </w:r>
            <w:r>
              <w:rPr>
                <w:rStyle w:val="IndexLink"/>
                <w:rtl w:val="true"/>
              </w:rPr>
              <w:t xml:space="preserve">: </w:t>
            </w:r>
            <w:r>
              <w:rPr>
                <w:rStyle w:val="IndexLink"/>
                <w:rtl w:val="true"/>
              </w:rPr>
              <w:t>إذا كان حكم مسبوقا بوجوده و وجوده بعدمه،</w:t>
            </w:r>
            <w:r>
              <w:rPr>
                <w:rStyle w:val="IndexLink"/>
                <w:rtl w:val="true"/>
              </w:rPr>
              <w:tab/>
            </w:r>
            <w:r>
              <w:rPr>
                <w:rStyle w:val="IndexLink"/>
              </w:rPr>
              <w:t>251</w:t>
            </w:r>
          </w:hyperlink>
        </w:p>
        <w:p>
          <w:pPr>
            <w:pStyle w:val="Contents4"/>
            <w:tabs>
              <w:tab w:val="clear" w:pos="8176"/>
              <w:tab w:val="right" w:pos="9026" w:leader="dot"/>
            </w:tabs>
            <w:rPr/>
          </w:pPr>
          <w:hyperlink w:anchor="__RefHeading___Toc3861917_3804643083">
            <w:r>
              <w:rPr>
                <w:webHidden/>
                <w:rStyle w:val="IndexLink"/>
                <w:rtl w:val="true"/>
              </w:rPr>
              <w:t>الثالث</w:t>
            </w:r>
            <w:r>
              <w:rPr>
                <w:rStyle w:val="IndexLink"/>
                <w:rtl w:val="true"/>
              </w:rPr>
              <w:t xml:space="preserve">: </w:t>
            </w:r>
            <w:r>
              <w:rPr>
                <w:rStyle w:val="IndexLink"/>
                <w:rtl w:val="true"/>
              </w:rPr>
              <w:t>قالوا</w:t>
            </w:r>
            <w:r>
              <w:rPr>
                <w:rStyle w:val="IndexLink"/>
                <w:rtl w:val="true"/>
              </w:rPr>
              <w:t xml:space="preserve">: </w:t>
            </w:r>
            <w:r>
              <w:rPr>
                <w:rStyle w:val="IndexLink"/>
                <w:rtl w:val="true"/>
              </w:rPr>
              <w:t>أصل البراءة لا يعارض الاستصحاب</w:t>
            </w:r>
            <w:r>
              <w:rPr>
                <w:rStyle w:val="IndexLink"/>
                <w:rtl w:val="true"/>
              </w:rPr>
              <w:t>.</w:t>
              <w:tab/>
            </w:r>
            <w:r>
              <w:rPr>
                <w:rStyle w:val="IndexLink"/>
              </w:rPr>
              <w:t>252</w:t>
            </w:r>
          </w:hyperlink>
        </w:p>
        <w:p>
          <w:pPr>
            <w:pStyle w:val="Contents2"/>
            <w:tabs>
              <w:tab w:val="clear" w:pos="8743"/>
              <w:tab w:val="right" w:pos="9026" w:leader="dot"/>
            </w:tabs>
            <w:rPr/>
          </w:pPr>
          <w:hyperlink w:anchor="__RefHeading___Toc3861919_3804643083">
            <w:r>
              <w:rPr>
                <w:webHidden/>
                <w:rStyle w:val="IndexLink"/>
                <w:rtl w:val="true"/>
              </w:rPr>
              <w:t>[</w:t>
            </w:r>
            <w:r>
              <w:rPr>
                <w:rStyle w:val="IndexLink"/>
                <w:rtl w:val="true"/>
              </w:rPr>
              <w:t>المشرق الثاني عشر</w:t>
            </w:r>
            <w:r>
              <w:rPr>
                <w:rStyle w:val="IndexLink"/>
                <w:rtl w:val="true"/>
              </w:rPr>
              <w:t>] [</w:t>
            </w:r>
            <w:r>
              <w:rPr>
                <w:rStyle w:val="IndexLink"/>
                <w:rtl w:val="true"/>
              </w:rPr>
              <w:t>في أنّ الأحكام تابعة للأسماء</w:t>
            </w:r>
            <w:r>
              <w:rPr>
                <w:rStyle w:val="IndexLink"/>
                <w:rtl w:val="true"/>
              </w:rPr>
              <w:t>]</w:t>
              <w:tab/>
            </w:r>
            <w:r>
              <w:rPr>
                <w:rStyle w:val="IndexLink"/>
              </w:rPr>
              <w:t>254</w:t>
            </w:r>
          </w:hyperlink>
        </w:p>
        <w:p>
          <w:pPr>
            <w:pStyle w:val="Contents2"/>
            <w:tabs>
              <w:tab w:val="clear" w:pos="8743"/>
              <w:tab w:val="right" w:pos="9026" w:leader="dot"/>
            </w:tabs>
            <w:rPr/>
          </w:pPr>
          <w:hyperlink w:anchor="__RefHeading___Toc3861921_3804643083">
            <w:r>
              <w:rPr>
                <w:webHidden/>
                <w:rStyle w:val="IndexLink"/>
                <w:rtl w:val="true"/>
              </w:rPr>
              <w:t>[</w:t>
            </w:r>
            <w:r>
              <w:rPr>
                <w:rStyle w:val="IndexLink"/>
                <w:rtl w:val="true"/>
              </w:rPr>
              <w:t>المشرق الثالث عشر</w:t>
            </w:r>
            <w:r>
              <w:rPr>
                <w:rStyle w:val="IndexLink"/>
                <w:rtl w:val="true"/>
              </w:rPr>
              <w:t>] [</w:t>
            </w:r>
            <w:r>
              <w:rPr>
                <w:rStyle w:val="IndexLink"/>
                <w:rtl w:val="true"/>
              </w:rPr>
              <w:t>في تداخل الأسباب الشرعية</w:t>
            </w:r>
            <w:r>
              <w:rPr>
                <w:rStyle w:val="IndexLink"/>
                <w:rtl w:val="true"/>
              </w:rPr>
              <w:t>]</w:t>
              <w:tab/>
            </w:r>
            <w:r>
              <w:rPr>
                <w:rStyle w:val="IndexLink"/>
              </w:rPr>
              <w:t>258</w:t>
            </w:r>
          </w:hyperlink>
        </w:p>
        <w:p>
          <w:pPr>
            <w:pStyle w:val="Contents2"/>
            <w:tabs>
              <w:tab w:val="clear" w:pos="8743"/>
              <w:tab w:val="right" w:pos="9026" w:leader="dot"/>
            </w:tabs>
            <w:rPr/>
          </w:pPr>
          <w:hyperlink w:anchor="__RefHeading___Toc3861923_3804643083">
            <w:r>
              <w:rPr>
                <w:webHidden/>
                <w:rStyle w:val="IndexLink"/>
                <w:rtl w:val="true"/>
              </w:rPr>
              <w:t>[</w:t>
            </w:r>
            <w:r>
              <w:rPr>
                <w:rStyle w:val="IndexLink"/>
                <w:rtl w:val="true"/>
              </w:rPr>
              <w:t>المشرق الرابع عشر</w:t>
            </w:r>
            <w:r>
              <w:rPr>
                <w:rStyle w:val="IndexLink"/>
                <w:rtl w:val="true"/>
              </w:rPr>
              <w:t>] [</w:t>
            </w:r>
            <w:r>
              <w:rPr>
                <w:rStyle w:val="IndexLink"/>
                <w:rtl w:val="true"/>
              </w:rPr>
              <w:t>في بيان قاعدة نفي الضرر</w:t>
            </w:r>
            <w:r>
              <w:rPr>
                <w:rStyle w:val="IndexLink"/>
                <w:rtl w:val="true"/>
              </w:rPr>
              <w:t>]</w:t>
              <w:tab/>
            </w:r>
            <w:r>
              <w:rPr>
                <w:rStyle w:val="IndexLink"/>
              </w:rPr>
              <w:t>262</w:t>
            </w:r>
          </w:hyperlink>
        </w:p>
        <w:p>
          <w:pPr>
            <w:pStyle w:val="Contents3"/>
            <w:tabs>
              <w:tab w:val="clear" w:pos="8459"/>
              <w:tab w:val="right" w:pos="9026" w:leader="dot"/>
            </w:tabs>
            <w:rPr/>
          </w:pPr>
          <w:hyperlink w:anchor="__RefHeading___Toc3861925_380464308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3861927_3804643083">
            <w:r>
              <w:rPr>
                <w:webHidden/>
                <w:rStyle w:val="IndexLink"/>
                <w:rtl w:val="true"/>
              </w:rPr>
              <w:t>البحث الأوّل</w:t>
            </w:r>
            <w:r>
              <w:rPr>
                <w:rStyle w:val="IndexLink"/>
                <w:rtl w:val="true"/>
              </w:rPr>
              <w:t xml:space="preserve">: </w:t>
            </w:r>
            <w:r>
              <w:rPr>
                <w:rStyle w:val="IndexLink"/>
                <w:rtl w:val="true"/>
              </w:rPr>
              <w:t>في مدرك القاعدة،</w:t>
            </w:r>
            <w:r>
              <w:rPr>
                <w:rStyle w:val="IndexLink"/>
                <w:rtl w:val="true"/>
              </w:rPr>
              <w:tab/>
            </w:r>
            <w:r>
              <w:rPr>
                <w:rStyle w:val="IndexLink"/>
              </w:rPr>
              <w:t>263</w:t>
            </w:r>
          </w:hyperlink>
        </w:p>
        <w:p>
          <w:pPr>
            <w:pStyle w:val="Contents3"/>
            <w:tabs>
              <w:tab w:val="clear" w:pos="8459"/>
              <w:tab w:val="right" w:pos="9026" w:leader="dot"/>
            </w:tabs>
            <w:rPr/>
          </w:pPr>
          <w:hyperlink w:anchor="__RefHeading___Toc3861929_3804643083">
            <w:r>
              <w:rPr>
                <w:webHidden/>
                <w:rStyle w:val="IndexLink"/>
                <w:rtl w:val="true"/>
              </w:rPr>
              <w:t>البحث الثاني</w:t>
            </w:r>
            <w:r>
              <w:rPr>
                <w:rStyle w:val="IndexLink"/>
                <w:rtl w:val="true"/>
              </w:rPr>
              <w:t xml:space="preserve">: </w:t>
            </w:r>
            <w:r>
              <w:rPr>
                <w:rStyle w:val="IndexLink"/>
                <w:rtl w:val="true"/>
              </w:rPr>
              <w:t>في بيان موارد صحّة الاستدلال بقاعدة نفي الضرر،</w:t>
            </w:r>
            <w:r>
              <w:rPr>
                <w:rStyle w:val="IndexLink"/>
                <w:rtl w:val="true"/>
              </w:rPr>
              <w:tab/>
            </w:r>
            <w:r>
              <w:rPr>
                <w:rStyle w:val="IndexLink"/>
              </w:rPr>
              <w:t>270</w:t>
            </w:r>
          </w:hyperlink>
        </w:p>
        <w:p>
          <w:pPr>
            <w:pStyle w:val="Contents3"/>
            <w:tabs>
              <w:tab w:val="clear" w:pos="8459"/>
              <w:tab w:val="right" w:pos="9026" w:leader="dot"/>
            </w:tabs>
            <w:rPr/>
          </w:pPr>
          <w:hyperlink w:anchor="__RefHeading___Toc3861931_3804643083">
            <w:r>
              <w:rPr>
                <w:webHidden/>
                <w:rStyle w:val="IndexLink"/>
                <w:rtl w:val="true"/>
              </w:rPr>
              <w:t>البحث الثالث</w:t>
            </w:r>
            <w:r>
              <w:rPr>
                <w:rStyle w:val="IndexLink"/>
                <w:rtl w:val="true"/>
              </w:rPr>
              <w:t xml:space="preserve">: </w:t>
            </w:r>
            <w:r>
              <w:rPr>
                <w:rStyle w:val="IndexLink"/>
                <w:rtl w:val="true"/>
              </w:rPr>
              <w:t>فيما إذا تعارض قاعدة الضرر مثلها،</w:t>
            </w:r>
            <w:r>
              <w:rPr>
                <w:rStyle w:val="IndexLink"/>
                <w:rtl w:val="true"/>
              </w:rPr>
              <w:tab/>
            </w:r>
            <w:r>
              <w:rPr>
                <w:rStyle w:val="IndexLink"/>
              </w:rPr>
              <w:t>280</w:t>
            </w:r>
          </w:hyperlink>
        </w:p>
        <w:p>
          <w:pPr>
            <w:pStyle w:val="Contents2"/>
            <w:tabs>
              <w:tab w:val="clear" w:pos="8743"/>
              <w:tab w:val="right" w:pos="9026" w:leader="dot"/>
            </w:tabs>
            <w:rPr/>
          </w:pPr>
          <w:hyperlink w:anchor="__RefHeading___Toc3861933_3804643083">
            <w:r>
              <w:rPr>
                <w:webHidden/>
                <w:rStyle w:val="IndexLink"/>
                <w:rtl w:val="true"/>
              </w:rPr>
              <w:t>[</w:t>
            </w:r>
            <w:r>
              <w:rPr>
                <w:rStyle w:val="IndexLink"/>
                <w:rtl w:val="true"/>
              </w:rPr>
              <w:t>المشرق الخامس عشر</w:t>
            </w:r>
            <w:r>
              <w:rPr>
                <w:rStyle w:val="IndexLink"/>
                <w:rtl w:val="true"/>
              </w:rPr>
              <w:t>] [</w:t>
            </w:r>
            <w:r>
              <w:rPr>
                <w:rStyle w:val="IndexLink"/>
                <w:rtl w:val="true"/>
              </w:rPr>
              <w:t>في بيان قاعدة نفي الغرر</w:t>
            </w:r>
            <w:r>
              <w:rPr>
                <w:rStyle w:val="IndexLink"/>
                <w:rtl w:val="true"/>
              </w:rPr>
              <w:t>]</w:t>
              <w:tab/>
            </w:r>
            <w:r>
              <w:rPr>
                <w:rStyle w:val="IndexLink"/>
              </w:rPr>
              <w:t>293</w:t>
            </w:r>
          </w:hyperlink>
        </w:p>
        <w:p>
          <w:pPr>
            <w:pStyle w:val="Contents3"/>
            <w:tabs>
              <w:tab w:val="clear" w:pos="8459"/>
              <w:tab w:val="right" w:pos="9026" w:leader="dot"/>
            </w:tabs>
            <w:rPr/>
          </w:pPr>
          <w:hyperlink w:anchor="__RefHeading___Toc3861935_380464308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3861937_3804643083">
            <w:r>
              <w:rPr>
                <w:webHidden/>
                <w:rStyle w:val="IndexLink"/>
                <w:rtl w:val="true"/>
              </w:rPr>
              <w:t>البحث الأوّل</w:t>
            </w:r>
            <w:r>
              <w:rPr>
                <w:rStyle w:val="IndexLink"/>
                <w:rtl w:val="true"/>
              </w:rPr>
              <w:t xml:space="preserve">: </w:t>
            </w:r>
            <w:r>
              <w:rPr>
                <w:rStyle w:val="IndexLink"/>
                <w:rtl w:val="true"/>
              </w:rPr>
              <w:t>في دليل القاعدة و معنى الغرر المنهي عنه</w:t>
            </w:r>
            <w:r>
              <w:rPr>
                <w:rStyle w:val="IndexLink"/>
                <w:rtl w:val="true"/>
              </w:rPr>
              <w:t>.</w:t>
              <w:tab/>
            </w:r>
            <w:r>
              <w:rPr>
                <w:rStyle w:val="IndexLink"/>
              </w:rPr>
              <w:t>293</w:t>
            </w:r>
          </w:hyperlink>
        </w:p>
        <w:p>
          <w:pPr>
            <w:pStyle w:val="Contents4"/>
            <w:tabs>
              <w:tab w:val="clear" w:pos="8176"/>
              <w:tab w:val="right" w:pos="9026" w:leader="dot"/>
            </w:tabs>
            <w:rPr/>
          </w:pPr>
          <w:hyperlink w:anchor="__RefHeading___Toc3861939_380464308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3861941_3804643083">
            <w:r>
              <w:rPr>
                <w:webHidden/>
                <w:rStyle w:val="IndexLink"/>
                <w:rtl w:val="true"/>
              </w:rPr>
              <w:t>و إنّما يجب التنبيه على تفصيله في أمور</w:t>
            </w:r>
            <w:r>
              <w:rPr>
                <w:rStyle w:val="IndexLink"/>
                <w:rtl w:val="true"/>
              </w:rPr>
              <w:t>:</w:t>
              <w:tab/>
            </w:r>
            <w:r>
              <w:rPr>
                <w:rStyle w:val="IndexLink"/>
              </w:rPr>
              <w:t>298</w:t>
            </w:r>
          </w:hyperlink>
        </w:p>
        <w:p>
          <w:pPr>
            <w:pStyle w:val="Contents5"/>
            <w:tabs>
              <w:tab w:val="clear" w:pos="7892"/>
              <w:tab w:val="right" w:pos="9026" w:leader="dot"/>
            </w:tabs>
            <w:rPr/>
          </w:pPr>
          <w:hyperlink w:anchor="__RefHeading___Toc3861943_3804643083">
            <w:r>
              <w:rPr>
                <w:webHidden/>
                <w:rStyle w:val="IndexLink"/>
                <w:rtl w:val="true"/>
              </w:rPr>
              <w:t>الأوّل</w:t>
            </w:r>
            <w:r>
              <w:rPr>
                <w:rStyle w:val="IndexLink"/>
                <w:rtl w:val="true"/>
              </w:rPr>
              <w:t xml:space="preserve">: </w:t>
            </w:r>
            <w:r>
              <w:rPr>
                <w:rStyle w:val="IndexLink"/>
                <w:rtl w:val="true"/>
              </w:rPr>
              <w:t>في متعلّق الجهل</w:t>
            </w:r>
            <w:r>
              <w:rPr>
                <w:rStyle w:val="IndexLink"/>
                <w:rtl w:val="true"/>
              </w:rPr>
              <w:tab/>
            </w:r>
            <w:r>
              <w:rPr>
                <w:rStyle w:val="IndexLink"/>
              </w:rPr>
              <w:t>298</w:t>
            </w:r>
          </w:hyperlink>
        </w:p>
        <w:p>
          <w:pPr>
            <w:pStyle w:val="Contents5"/>
            <w:tabs>
              <w:tab w:val="clear" w:pos="7892"/>
              <w:tab w:val="right" w:pos="9026" w:leader="dot"/>
            </w:tabs>
            <w:rPr/>
          </w:pPr>
          <w:hyperlink w:anchor="__RefHeading___Toc3861945_3804643083">
            <w:r>
              <w:rPr>
                <w:webHidden/>
                <w:rStyle w:val="IndexLink"/>
                <w:rtl w:val="true"/>
              </w:rPr>
              <w:t>الثاني</w:t>
            </w:r>
            <w:r>
              <w:rPr>
                <w:rStyle w:val="IndexLink"/>
                <w:rtl w:val="true"/>
              </w:rPr>
              <w:t xml:space="preserve">: </w:t>
            </w:r>
            <w:r>
              <w:rPr>
                <w:rStyle w:val="IndexLink"/>
                <w:rtl w:val="true"/>
              </w:rPr>
              <w:t>في كيفية الخطر</w:t>
            </w:r>
            <w:r>
              <w:rPr>
                <w:rStyle w:val="IndexLink"/>
                <w:rtl w:val="true"/>
              </w:rPr>
              <w:tab/>
            </w:r>
            <w:r>
              <w:rPr>
                <w:rStyle w:val="IndexLink"/>
              </w:rPr>
              <w:t>299</w:t>
            </w:r>
          </w:hyperlink>
        </w:p>
        <w:p>
          <w:pPr>
            <w:pStyle w:val="Contents5"/>
            <w:tabs>
              <w:tab w:val="clear" w:pos="7892"/>
              <w:tab w:val="right" w:pos="9026" w:leader="dot"/>
            </w:tabs>
            <w:rPr/>
          </w:pPr>
          <w:hyperlink w:anchor="__RefHeading___Toc3861947_3804643083">
            <w:r>
              <w:rPr>
                <w:webHidden/>
                <w:rStyle w:val="IndexLink"/>
                <w:rtl w:val="true"/>
              </w:rPr>
              <w:t>الثالث</w:t>
            </w:r>
            <w:r>
              <w:rPr>
                <w:rStyle w:val="IndexLink"/>
                <w:rtl w:val="true"/>
              </w:rPr>
              <w:t xml:space="preserve">: </w:t>
            </w:r>
            <w:r>
              <w:rPr>
                <w:rStyle w:val="IndexLink"/>
                <w:rtl w:val="true"/>
              </w:rPr>
              <w:t>في مقدار الخطر من جهة العرف</w:t>
            </w:r>
            <w:r>
              <w:rPr>
                <w:rStyle w:val="IndexLink"/>
                <w:rtl w:val="true"/>
              </w:rPr>
              <w:tab/>
            </w:r>
            <w:r>
              <w:rPr>
                <w:rStyle w:val="IndexLink"/>
              </w:rPr>
              <w:t>300</w:t>
            </w:r>
          </w:hyperlink>
        </w:p>
        <w:p>
          <w:pPr>
            <w:pStyle w:val="Contents3"/>
            <w:tabs>
              <w:tab w:val="clear" w:pos="8459"/>
              <w:tab w:val="right" w:pos="9026" w:leader="dot"/>
            </w:tabs>
            <w:rPr/>
          </w:pPr>
          <w:hyperlink w:anchor="__RefHeading___Toc3861949_3804643083">
            <w:r>
              <w:rPr>
                <w:webHidden/>
                <w:rStyle w:val="IndexLink"/>
                <w:rtl w:val="true"/>
              </w:rPr>
              <w:t>البحث الثاني</w:t>
            </w:r>
            <w:r>
              <w:rPr>
                <w:rStyle w:val="IndexLink"/>
                <w:rtl w:val="true"/>
              </w:rPr>
              <w:t xml:space="preserve">: </w:t>
            </w:r>
            <w:r>
              <w:rPr>
                <w:rStyle w:val="IndexLink"/>
                <w:rtl w:val="true"/>
              </w:rPr>
              <w:t>كما أنّ الغرر يحصل في البيع الجزئيّ الشخصيّ،</w:t>
            </w:r>
            <w:r>
              <w:rPr>
                <w:rStyle w:val="IndexLink"/>
                <w:rtl w:val="true"/>
              </w:rPr>
              <w:tab/>
            </w:r>
            <w:r>
              <w:rPr>
                <w:rStyle w:val="IndexLink"/>
              </w:rPr>
              <w:t>301</w:t>
            </w:r>
          </w:hyperlink>
        </w:p>
        <w:p>
          <w:pPr>
            <w:pStyle w:val="Contents3"/>
            <w:tabs>
              <w:tab w:val="clear" w:pos="8459"/>
              <w:tab w:val="right" w:pos="9026" w:leader="dot"/>
            </w:tabs>
            <w:rPr/>
          </w:pPr>
          <w:hyperlink w:anchor="__RefHeading___Toc3861951_3804643083">
            <w:r>
              <w:rPr>
                <w:webHidden/>
                <w:rStyle w:val="IndexLink"/>
                <w:rtl w:val="true"/>
              </w:rPr>
              <w:t>البحث الثالث</w:t>
            </w:r>
            <w:r>
              <w:rPr>
                <w:rStyle w:val="IndexLink"/>
                <w:rtl w:val="true"/>
              </w:rPr>
              <w:t xml:space="preserve">: </w:t>
            </w:r>
            <w:r>
              <w:rPr>
                <w:rStyle w:val="IndexLink"/>
                <w:rtl w:val="true"/>
              </w:rPr>
              <w:t>قد عرفت أنّ صدق الغرر مشروط بثبوت الخطر و الجهل به،</w:t>
            </w:r>
            <w:r>
              <w:rPr>
                <w:rStyle w:val="IndexLink"/>
                <w:rtl w:val="true"/>
              </w:rPr>
              <w:tab/>
            </w:r>
            <w:r>
              <w:rPr>
                <w:rStyle w:val="IndexLink"/>
              </w:rPr>
              <w:t>302</w:t>
            </w:r>
          </w:hyperlink>
        </w:p>
        <w:p>
          <w:pPr>
            <w:pStyle w:val="Contents3"/>
            <w:tabs>
              <w:tab w:val="clear" w:pos="8459"/>
              <w:tab w:val="right" w:pos="9026" w:leader="dot"/>
            </w:tabs>
            <w:rPr/>
          </w:pPr>
          <w:hyperlink w:anchor="__RefHeading___Toc3861953_3804643083">
            <w:r>
              <w:rPr>
                <w:webHidden/>
                <w:rStyle w:val="IndexLink"/>
                <w:rtl w:val="true"/>
              </w:rPr>
              <w:t>البحث الرابع</w:t>
            </w:r>
            <w:r>
              <w:rPr>
                <w:rStyle w:val="IndexLink"/>
                <w:rtl w:val="true"/>
              </w:rPr>
              <w:t xml:space="preserve">: </w:t>
            </w:r>
            <w:r>
              <w:rPr>
                <w:rStyle w:val="IndexLink"/>
                <w:rtl w:val="true"/>
              </w:rPr>
              <w:t>و حيث علمت أن مناط الخطر و الجهل بالضرر في الغرر إنما هو من حيث المعاملة و المعاوضة</w:t>
            </w:r>
            <w:r>
              <w:rPr>
                <w:rStyle w:val="IndexLink"/>
                <w:rtl w:val="true"/>
              </w:rPr>
              <w:tab/>
            </w:r>
            <w:r>
              <w:rPr>
                <w:rStyle w:val="IndexLink"/>
              </w:rPr>
              <w:t>303</w:t>
            </w:r>
          </w:hyperlink>
        </w:p>
        <w:p>
          <w:pPr>
            <w:pStyle w:val="Contents3"/>
            <w:tabs>
              <w:tab w:val="clear" w:pos="8459"/>
              <w:tab w:val="right" w:pos="9026" w:leader="dot"/>
            </w:tabs>
            <w:rPr/>
          </w:pPr>
          <w:hyperlink w:anchor="__RefHeading___Toc3861955_3804643083">
            <w:r>
              <w:rPr>
                <w:webHidden/>
                <w:rStyle w:val="IndexLink"/>
                <w:rtl w:val="true"/>
              </w:rPr>
              <w:t>البحث الخامس</w:t>
            </w:r>
            <w:r>
              <w:rPr>
                <w:rStyle w:val="IndexLink"/>
                <w:rtl w:val="true"/>
              </w:rPr>
              <w:t xml:space="preserve">: </w:t>
            </w:r>
            <w:r>
              <w:rPr>
                <w:rStyle w:val="IndexLink"/>
                <w:rtl w:val="true"/>
              </w:rPr>
              <w:t>هل يلحق بالبيع في بطلانه بالغرر غيره من عقود المعاوضات؟</w:t>
            </w:r>
            <w:r>
              <w:rPr>
                <w:rStyle w:val="IndexLink"/>
                <w:rtl w:val="true"/>
              </w:rPr>
              <w:tab/>
            </w:r>
            <w:r>
              <w:rPr>
                <w:rStyle w:val="IndexLink"/>
              </w:rPr>
              <w:t>304</w:t>
            </w:r>
          </w:hyperlink>
        </w:p>
        <w:p>
          <w:pPr>
            <w:pStyle w:val="Contents4"/>
            <w:tabs>
              <w:tab w:val="clear" w:pos="8176"/>
              <w:tab w:val="right" w:pos="9026" w:leader="dot"/>
            </w:tabs>
            <w:rPr/>
          </w:pPr>
          <w:hyperlink w:anchor="__RefHeading___Toc3861957_380464308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3861959_3804643083">
            <w:r>
              <w:rPr>
                <w:webHidden/>
                <w:rStyle w:val="IndexLink"/>
                <w:rtl w:val="true"/>
              </w:rPr>
              <w:t>فرعان</w:t>
            </w:r>
            <w:r>
              <w:rPr>
                <w:rStyle w:val="IndexLink"/>
                <w:rtl w:val="true"/>
              </w:rPr>
              <w:t>:</w:t>
              <w:tab/>
            </w:r>
            <w:r>
              <w:rPr>
                <w:rStyle w:val="IndexLink"/>
              </w:rPr>
              <w:t>308</w:t>
            </w:r>
          </w:hyperlink>
        </w:p>
        <w:p>
          <w:pPr>
            <w:pStyle w:val="Contents5"/>
            <w:tabs>
              <w:tab w:val="clear" w:pos="7892"/>
              <w:tab w:val="right" w:pos="9026" w:leader="dot"/>
            </w:tabs>
            <w:rPr/>
          </w:pPr>
          <w:hyperlink w:anchor="__RefHeading___Toc3861961_3804643083">
            <w:r>
              <w:rPr>
                <w:webHidden/>
                <w:rStyle w:val="IndexLink"/>
                <w:rtl w:val="true"/>
              </w:rPr>
              <w:t>الأوّل</w:t>
            </w:r>
            <w:r>
              <w:rPr>
                <w:rStyle w:val="IndexLink"/>
                <w:rtl w:val="true"/>
              </w:rPr>
              <w:t xml:space="preserve">: </w:t>
            </w:r>
            <w:r>
              <w:rPr>
                <w:rStyle w:val="IndexLink"/>
                <w:rtl w:val="true"/>
              </w:rPr>
              <w:t>هل يصحّ الصلح عما يملك مع جهل المصطلحين أو أحدهما بقدره أو جنسه أو صفته كما قد تداول بين الناس أم لا</w:t>
            </w:r>
            <w:r>
              <w:rPr>
                <w:rStyle w:val="IndexLink"/>
                <w:rtl w:val="true"/>
              </w:rPr>
              <w:t>.</w:t>
              <w:tab/>
            </w:r>
            <w:r>
              <w:rPr>
                <w:rStyle w:val="IndexLink"/>
              </w:rPr>
              <w:t>308</w:t>
            </w:r>
          </w:hyperlink>
        </w:p>
        <w:p>
          <w:pPr>
            <w:pStyle w:val="Contents5"/>
            <w:tabs>
              <w:tab w:val="clear" w:pos="7892"/>
              <w:tab w:val="right" w:pos="9026" w:leader="dot"/>
            </w:tabs>
            <w:rPr/>
          </w:pPr>
          <w:hyperlink w:anchor="__RefHeading___Toc3861963_3804643083">
            <w:r>
              <w:rPr>
                <w:webHidden/>
                <w:rStyle w:val="IndexLink"/>
                <w:rtl w:val="true"/>
              </w:rPr>
              <w:t>الثاني</w:t>
            </w:r>
            <w:r>
              <w:rPr>
                <w:rStyle w:val="IndexLink"/>
                <w:rtl w:val="true"/>
              </w:rPr>
              <w:t xml:space="preserve">: </w:t>
            </w:r>
            <w:r>
              <w:rPr>
                <w:rStyle w:val="IndexLink"/>
                <w:rtl w:val="true"/>
              </w:rPr>
              <w:t>هل يلحق بالصلح الشرط الواقع في قيمته، فدار مداره في الصحة كما في فساده أم لا؟</w:t>
            </w:r>
            <w:r>
              <w:rPr>
                <w:rStyle w:val="IndexLink"/>
                <w:rtl w:val="true"/>
              </w:rPr>
              <w:tab/>
            </w:r>
            <w:r>
              <w:rPr>
                <w:rStyle w:val="IndexLink"/>
              </w:rPr>
              <w:t>308</w:t>
            </w:r>
          </w:hyperlink>
        </w:p>
        <w:p>
          <w:pPr>
            <w:pStyle w:val="Contents4"/>
            <w:tabs>
              <w:tab w:val="clear" w:pos="8176"/>
              <w:tab w:val="right" w:pos="9026" w:leader="dot"/>
            </w:tabs>
            <w:rPr/>
          </w:pPr>
          <w:hyperlink w:anchor="__RefHeading___Toc3861965_3804643083">
            <w:r>
              <w:rPr>
                <w:webHidden/>
                <w:rStyle w:val="IndexLink"/>
                <w:rtl w:val="true"/>
              </w:rPr>
              <w:t>تتميم</w:t>
            </w:r>
            <w:r>
              <w:rPr>
                <w:rStyle w:val="IndexLink"/>
                <w:rtl w:val="true"/>
              </w:rPr>
              <w:t xml:space="preserve">: </w:t>
            </w:r>
            <w:r>
              <w:rPr>
                <w:rStyle w:val="IndexLink"/>
                <w:rtl w:val="true"/>
              </w:rPr>
              <w:t>و حيث علمت أنّ دليل عموم المنع عن الغرر فيما يمنع هو الإجماع،</w:t>
            </w:r>
            <w:r>
              <w:rPr>
                <w:rStyle w:val="IndexLink"/>
                <w:rtl w:val="true"/>
              </w:rPr>
              <w:tab/>
            </w:r>
            <w:r>
              <w:rPr>
                <w:rStyle w:val="IndexLink"/>
              </w:rPr>
              <w:t>309</w:t>
            </w:r>
          </w:hyperlink>
        </w:p>
        <w:p>
          <w:pPr>
            <w:pStyle w:val="Contents2"/>
            <w:tabs>
              <w:tab w:val="clear" w:pos="8743"/>
              <w:tab w:val="right" w:pos="9026" w:leader="dot"/>
            </w:tabs>
            <w:rPr/>
          </w:pPr>
          <w:hyperlink w:anchor="__RefHeading___Toc3861967_3804643083">
            <w:r>
              <w:rPr>
                <w:webHidden/>
                <w:rStyle w:val="IndexLink"/>
                <w:rtl w:val="true"/>
              </w:rPr>
              <w:t>[</w:t>
            </w:r>
            <w:r>
              <w:rPr>
                <w:rStyle w:val="IndexLink"/>
                <w:rtl w:val="true"/>
              </w:rPr>
              <w:t>المشرق السادس عشر</w:t>
            </w:r>
            <w:r>
              <w:rPr>
                <w:rStyle w:val="IndexLink"/>
                <w:rtl w:val="true"/>
              </w:rPr>
              <w:t>] [</w:t>
            </w:r>
            <w:r>
              <w:rPr>
                <w:rStyle w:val="IndexLink"/>
                <w:rtl w:val="true"/>
              </w:rPr>
              <w:t>في خيار المجلس</w:t>
            </w:r>
            <w:r>
              <w:rPr>
                <w:rStyle w:val="IndexLink"/>
                <w:rtl w:val="true"/>
              </w:rPr>
              <w:t>]</w:t>
              <w:tab/>
            </w:r>
            <w:r>
              <w:rPr>
                <w:rStyle w:val="IndexLink"/>
              </w:rPr>
              <w:t>310</w:t>
            </w:r>
          </w:hyperlink>
        </w:p>
        <w:p>
          <w:pPr>
            <w:pStyle w:val="Contents3"/>
            <w:tabs>
              <w:tab w:val="clear" w:pos="8459"/>
              <w:tab w:val="right" w:pos="9026" w:leader="dot"/>
            </w:tabs>
            <w:rPr/>
          </w:pPr>
          <w:hyperlink w:anchor="__RefHeading___Toc3861969_3804643083">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3861971_3804643083">
            <w:r>
              <w:rPr>
                <w:webHidden/>
                <w:rStyle w:val="IndexLink"/>
                <w:rtl w:val="true"/>
              </w:rPr>
              <w:t>تتميم</w:t>
            </w:r>
            <w:r>
              <w:rPr>
                <w:rStyle w:val="IndexLink"/>
                <w:rtl w:val="true"/>
              </w:rPr>
              <w:t xml:space="preserve">: </w:t>
            </w:r>
            <w:r>
              <w:rPr>
                <w:rStyle w:val="IndexLink"/>
                <w:rtl w:val="true"/>
              </w:rPr>
              <w:t>يسقط هذا الخيار بأمور</w:t>
            </w:r>
            <w:r>
              <w:rPr>
                <w:rStyle w:val="IndexLink"/>
                <w:rtl w:val="true"/>
              </w:rPr>
              <w:t>:</w:t>
              <w:tab/>
            </w:r>
            <w:r>
              <w:rPr>
                <w:rStyle w:val="IndexLink"/>
              </w:rPr>
              <w:t>313</w:t>
            </w:r>
          </w:hyperlink>
        </w:p>
        <w:p>
          <w:pPr>
            <w:pStyle w:val="Contents4"/>
            <w:tabs>
              <w:tab w:val="clear" w:pos="8176"/>
              <w:tab w:val="right" w:pos="9026" w:leader="dot"/>
            </w:tabs>
            <w:rPr/>
          </w:pPr>
          <w:hyperlink w:anchor="__RefHeading___Toc3861973_3804643083">
            <w:r>
              <w:rPr>
                <w:webHidden/>
                <w:rStyle w:val="IndexLink"/>
                <w:rtl w:val="true"/>
              </w:rPr>
              <w:t>أحدها</w:t>
            </w:r>
            <w:r>
              <w:rPr>
                <w:rStyle w:val="IndexLink"/>
                <w:rtl w:val="true"/>
              </w:rPr>
              <w:t xml:space="preserve">: </w:t>
            </w:r>
            <w:r>
              <w:rPr>
                <w:rStyle w:val="IndexLink"/>
                <w:rtl w:val="true"/>
              </w:rPr>
              <w:t>اشتراط عدمه في ضمن العقد</w:t>
            </w:r>
            <w:r>
              <w:rPr>
                <w:rStyle w:val="IndexLink"/>
                <w:rtl w:val="true"/>
              </w:rPr>
              <w:t>.</w:t>
              <w:tab/>
            </w:r>
            <w:r>
              <w:rPr>
                <w:rStyle w:val="IndexLink"/>
              </w:rPr>
              <w:t>313</w:t>
            </w:r>
          </w:hyperlink>
        </w:p>
        <w:p>
          <w:pPr>
            <w:pStyle w:val="Contents4"/>
            <w:tabs>
              <w:tab w:val="clear" w:pos="8176"/>
              <w:tab w:val="right" w:pos="9026" w:leader="dot"/>
            </w:tabs>
            <w:rPr/>
          </w:pPr>
          <w:hyperlink w:anchor="__RefHeading___Toc3861975_3804643083">
            <w:r>
              <w:rPr>
                <w:webHidden/>
                <w:rStyle w:val="IndexLink"/>
                <w:rtl w:val="true"/>
              </w:rPr>
              <w:t>و ثانيها</w:t>
            </w:r>
            <w:r>
              <w:rPr>
                <w:rStyle w:val="IndexLink"/>
                <w:rtl w:val="true"/>
              </w:rPr>
              <w:t xml:space="preserve">: </w:t>
            </w:r>
            <w:r>
              <w:rPr>
                <w:rStyle w:val="IndexLink"/>
                <w:rtl w:val="true"/>
              </w:rPr>
              <w:t>الإسقاط بعد العقد،</w:t>
            </w:r>
            <w:r>
              <w:rPr>
                <w:rStyle w:val="IndexLink"/>
                <w:rtl w:val="true"/>
              </w:rPr>
              <w:tab/>
            </w:r>
            <w:r>
              <w:rPr>
                <w:rStyle w:val="IndexLink"/>
              </w:rPr>
              <w:t>314</w:t>
            </w:r>
          </w:hyperlink>
        </w:p>
        <w:p>
          <w:pPr>
            <w:pStyle w:val="Contents4"/>
            <w:tabs>
              <w:tab w:val="clear" w:pos="8176"/>
              <w:tab w:val="right" w:pos="9026" w:leader="dot"/>
            </w:tabs>
            <w:rPr/>
          </w:pPr>
          <w:hyperlink w:anchor="__RefHeading___Toc3861977_3804643083">
            <w:r>
              <w:rPr>
                <w:webHidden/>
                <w:rStyle w:val="IndexLink"/>
                <w:rtl w:val="true"/>
              </w:rPr>
              <w:t>و ثالثها</w:t>
            </w:r>
            <w:r>
              <w:rPr>
                <w:rStyle w:val="IndexLink"/>
                <w:rtl w:val="true"/>
              </w:rPr>
              <w:t xml:space="preserve">: </w:t>
            </w:r>
            <w:r>
              <w:rPr>
                <w:rStyle w:val="IndexLink"/>
                <w:rtl w:val="true"/>
              </w:rPr>
              <w:t>التصرّف على النحو الآتي في خيار الحيوان</w:t>
            </w:r>
            <w:r>
              <w:rPr>
                <w:rStyle w:val="IndexLink"/>
                <w:rtl w:val="true"/>
              </w:rPr>
              <w:t>.</w:t>
              <w:tab/>
            </w:r>
            <w:r>
              <w:rPr>
                <w:rStyle w:val="IndexLink"/>
              </w:rPr>
              <w:t>314</w:t>
            </w:r>
          </w:hyperlink>
        </w:p>
        <w:p>
          <w:pPr>
            <w:pStyle w:val="Contents4"/>
            <w:tabs>
              <w:tab w:val="clear" w:pos="8176"/>
              <w:tab w:val="right" w:pos="9026" w:leader="dot"/>
            </w:tabs>
            <w:rPr/>
          </w:pPr>
          <w:hyperlink w:anchor="__RefHeading___Toc3861979_3804643083">
            <w:r>
              <w:rPr>
                <w:webHidden/>
                <w:rStyle w:val="IndexLink"/>
                <w:rtl w:val="true"/>
              </w:rPr>
              <w:t>و رابعها</w:t>
            </w:r>
            <w:r>
              <w:rPr>
                <w:rStyle w:val="IndexLink"/>
                <w:rtl w:val="true"/>
              </w:rPr>
              <w:t xml:space="preserve">: </w:t>
            </w:r>
            <w:r>
              <w:rPr>
                <w:rStyle w:val="IndexLink"/>
                <w:rtl w:val="true"/>
              </w:rPr>
              <w:t>افتراق المتبايعين،</w:t>
            </w:r>
            <w:r>
              <w:rPr>
                <w:rStyle w:val="IndexLink"/>
                <w:rtl w:val="true"/>
              </w:rPr>
              <w:tab/>
            </w:r>
            <w:r>
              <w:rPr>
                <w:rStyle w:val="IndexLink"/>
              </w:rPr>
              <w:t>314</w:t>
            </w:r>
          </w:hyperlink>
        </w:p>
        <w:p>
          <w:pPr>
            <w:pStyle w:val="Contents2"/>
            <w:tabs>
              <w:tab w:val="clear" w:pos="8743"/>
              <w:tab w:val="right" w:pos="9026" w:leader="dot"/>
            </w:tabs>
            <w:rPr/>
          </w:pPr>
          <w:hyperlink w:anchor="__RefHeading___Toc3861981_3804643083">
            <w:r>
              <w:rPr>
                <w:webHidden/>
                <w:rStyle w:val="IndexLink"/>
                <w:rtl w:val="true"/>
              </w:rPr>
              <w:t>[</w:t>
            </w:r>
            <w:r>
              <w:rPr>
                <w:rStyle w:val="IndexLink"/>
                <w:rtl w:val="true"/>
              </w:rPr>
              <w:t>المشرق السابع عشر</w:t>
            </w:r>
            <w:r>
              <w:rPr>
                <w:rStyle w:val="IndexLink"/>
                <w:rtl w:val="true"/>
              </w:rPr>
              <w:t>] [</w:t>
            </w:r>
            <w:r>
              <w:rPr>
                <w:rStyle w:val="IndexLink"/>
                <w:rtl w:val="true"/>
              </w:rPr>
              <w:t>في خيار الحيوان</w:t>
            </w:r>
            <w:r>
              <w:rPr>
                <w:rStyle w:val="IndexLink"/>
                <w:rtl w:val="true"/>
              </w:rPr>
              <w:t>]</w:t>
              <w:tab/>
            </w:r>
            <w:r>
              <w:rPr>
                <w:rStyle w:val="IndexLink"/>
              </w:rPr>
              <w:t>316</w:t>
            </w:r>
          </w:hyperlink>
        </w:p>
        <w:p>
          <w:pPr>
            <w:pStyle w:val="Contents3"/>
            <w:tabs>
              <w:tab w:val="clear" w:pos="8459"/>
              <w:tab w:val="right" w:pos="9026" w:leader="dot"/>
            </w:tabs>
            <w:rPr/>
          </w:pPr>
          <w:hyperlink w:anchor="__RefHeading___Toc3861983_3804643083">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3861985_3804643083">
            <w:r>
              <w:rPr>
                <w:webHidden/>
                <w:rStyle w:val="IndexLink"/>
                <w:rtl w:val="true"/>
              </w:rPr>
              <w:t>تتميمات</w:t>
            </w:r>
            <w:r>
              <w:rPr>
                <w:rStyle w:val="IndexLink"/>
                <w:rtl w:val="true"/>
              </w:rPr>
              <w:t>:</w:t>
              <w:tab/>
            </w:r>
            <w:r>
              <w:rPr>
                <w:rStyle w:val="IndexLink"/>
              </w:rPr>
              <w:t>318</w:t>
            </w:r>
          </w:hyperlink>
        </w:p>
        <w:p>
          <w:pPr>
            <w:pStyle w:val="Contents4"/>
            <w:tabs>
              <w:tab w:val="clear" w:pos="8176"/>
              <w:tab w:val="right" w:pos="9026" w:leader="dot"/>
            </w:tabs>
            <w:rPr/>
          </w:pPr>
          <w:hyperlink w:anchor="__RefHeading___Toc3861987_3804643083">
            <w:r>
              <w:rPr>
                <w:webHidden/>
                <w:rStyle w:val="IndexLink"/>
                <w:rtl w:val="true"/>
              </w:rPr>
              <w:t>الأوّل</w:t>
            </w:r>
            <w:r>
              <w:rPr>
                <w:rStyle w:val="IndexLink"/>
                <w:rtl w:val="true"/>
              </w:rPr>
              <w:t xml:space="preserve">: </w:t>
            </w:r>
            <w:r>
              <w:rPr>
                <w:rStyle w:val="IndexLink"/>
                <w:rtl w:val="true"/>
              </w:rPr>
              <w:t>مدّة هذا الخيار مقدار ساعات ثلاثة أيّام من النهار و لو ملفّقا،</w:t>
            </w:r>
            <w:r>
              <w:rPr>
                <w:rStyle w:val="IndexLink"/>
                <w:rtl w:val="true"/>
              </w:rPr>
              <w:tab/>
            </w:r>
            <w:r>
              <w:rPr>
                <w:rStyle w:val="IndexLink"/>
              </w:rPr>
              <w:t>318</w:t>
            </w:r>
          </w:hyperlink>
        </w:p>
        <w:p>
          <w:pPr>
            <w:pStyle w:val="Contents4"/>
            <w:tabs>
              <w:tab w:val="clear" w:pos="8176"/>
              <w:tab w:val="right" w:pos="9026" w:leader="dot"/>
            </w:tabs>
            <w:rPr/>
          </w:pPr>
          <w:hyperlink w:anchor="__RefHeading___Toc3861989_3804643083">
            <w:r>
              <w:rPr>
                <w:webHidden/>
                <w:rStyle w:val="IndexLink"/>
                <w:rtl w:val="true"/>
              </w:rPr>
              <w:t>الثاني</w:t>
            </w:r>
            <w:r>
              <w:rPr>
                <w:rStyle w:val="IndexLink"/>
                <w:rtl w:val="true"/>
              </w:rPr>
              <w:t xml:space="preserve">: </w:t>
            </w:r>
            <w:r>
              <w:rPr>
                <w:rStyle w:val="IndexLink"/>
                <w:rtl w:val="true"/>
              </w:rPr>
              <w:t>يسقط هذا الخيار</w:t>
            </w:r>
            <w:r>
              <w:rPr>
                <w:rStyle w:val="IndexLink"/>
                <w:rtl w:val="true"/>
              </w:rPr>
              <w:t xml:space="preserve">- </w:t>
            </w:r>
            <w:r>
              <w:rPr>
                <w:rStyle w:val="IndexLink"/>
                <w:rtl w:val="true"/>
              </w:rPr>
              <w:t>أيضا</w:t>
            </w:r>
            <w:r>
              <w:rPr>
                <w:rStyle w:val="IndexLink"/>
                <w:rtl w:val="true"/>
              </w:rPr>
              <w:t xml:space="preserve">- </w:t>
            </w:r>
            <w:r>
              <w:rPr>
                <w:rStyle w:val="IndexLink"/>
                <w:rtl w:val="true"/>
              </w:rPr>
              <w:t>بالشرط، و لو بالنسبة إلى بعضه،</w:t>
            </w:r>
            <w:r>
              <w:rPr>
                <w:rStyle w:val="IndexLink"/>
                <w:rtl w:val="true"/>
              </w:rPr>
              <w:tab/>
            </w:r>
            <w:r>
              <w:rPr>
                <w:rStyle w:val="IndexLink"/>
              </w:rPr>
              <w:t>319</w:t>
            </w:r>
          </w:hyperlink>
        </w:p>
        <w:p>
          <w:pPr>
            <w:pStyle w:val="Contents2"/>
            <w:tabs>
              <w:tab w:val="clear" w:pos="8743"/>
              <w:tab w:val="right" w:pos="9026" w:leader="dot"/>
            </w:tabs>
            <w:rPr/>
          </w:pPr>
          <w:hyperlink w:anchor="__RefHeading___Toc3861991_3804643083">
            <w:r>
              <w:rPr>
                <w:webHidden/>
                <w:rStyle w:val="IndexLink"/>
                <w:rtl w:val="true"/>
              </w:rPr>
              <w:t>[</w:t>
            </w:r>
            <w:r>
              <w:rPr>
                <w:rStyle w:val="IndexLink"/>
                <w:rtl w:val="true"/>
              </w:rPr>
              <w:t>المشرق الثامن عشر</w:t>
            </w:r>
            <w:r>
              <w:rPr>
                <w:rStyle w:val="IndexLink"/>
                <w:rtl w:val="true"/>
              </w:rPr>
              <w:t>] [</w:t>
            </w:r>
            <w:r>
              <w:rPr>
                <w:rStyle w:val="IndexLink"/>
                <w:rtl w:val="true"/>
              </w:rPr>
              <w:t>في خيار الشرط</w:t>
            </w:r>
            <w:r>
              <w:rPr>
                <w:rStyle w:val="IndexLink"/>
                <w:rtl w:val="true"/>
              </w:rPr>
              <w:t>]</w:t>
              <w:tab/>
            </w:r>
            <w:r>
              <w:rPr>
                <w:rStyle w:val="IndexLink"/>
              </w:rPr>
              <w:t>323</w:t>
            </w:r>
          </w:hyperlink>
        </w:p>
        <w:p>
          <w:pPr>
            <w:pStyle w:val="Contents3"/>
            <w:tabs>
              <w:tab w:val="clear" w:pos="8459"/>
              <w:tab w:val="right" w:pos="9026" w:leader="dot"/>
            </w:tabs>
            <w:rPr/>
          </w:pPr>
          <w:hyperlink w:anchor="__RefHeading___Toc3861993_3804643083">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3861995_3804643083">
            <w:r>
              <w:rPr>
                <w:webHidden/>
                <w:rStyle w:val="IndexLink"/>
                <w:rtl w:val="true"/>
              </w:rPr>
              <w:t>المسألة الأولى</w:t>
            </w:r>
            <w:r>
              <w:rPr>
                <w:rStyle w:val="IndexLink"/>
                <w:rtl w:val="true"/>
              </w:rPr>
              <w:t xml:space="preserve">: </w:t>
            </w:r>
            <w:r>
              <w:rPr>
                <w:rStyle w:val="IndexLink"/>
                <w:rtl w:val="true"/>
              </w:rPr>
              <w:t>لا خلاف في صحّة هذا الشرط في العقود في الجملة،</w:t>
            </w:r>
            <w:r>
              <w:rPr>
                <w:rStyle w:val="IndexLink"/>
                <w:rtl w:val="true"/>
              </w:rPr>
              <w:tab/>
            </w:r>
            <w:r>
              <w:rPr>
                <w:rStyle w:val="IndexLink"/>
              </w:rPr>
              <w:t>323</w:t>
            </w:r>
          </w:hyperlink>
        </w:p>
        <w:p>
          <w:pPr>
            <w:pStyle w:val="Contents3"/>
            <w:tabs>
              <w:tab w:val="clear" w:pos="8459"/>
              <w:tab w:val="right" w:pos="9026" w:leader="dot"/>
            </w:tabs>
            <w:rPr/>
          </w:pPr>
          <w:hyperlink w:anchor="__RefHeading___Toc3861997_3804643083">
            <w:r>
              <w:rPr>
                <w:webHidden/>
                <w:rStyle w:val="IndexLink"/>
                <w:rtl w:val="true"/>
              </w:rPr>
              <w:t>المسألة الثانية</w:t>
            </w:r>
            <w:r>
              <w:rPr>
                <w:rStyle w:val="IndexLink"/>
                <w:rtl w:val="true"/>
              </w:rPr>
              <w:t xml:space="preserve">: </w:t>
            </w:r>
            <w:r>
              <w:rPr>
                <w:rStyle w:val="IndexLink"/>
                <w:rtl w:val="true"/>
              </w:rPr>
              <w:t>يشترط في صحة شرط الخيار ضبط المدّة،</w:t>
            </w:r>
            <w:r>
              <w:rPr>
                <w:rStyle w:val="IndexLink"/>
                <w:rtl w:val="true"/>
              </w:rPr>
              <w:tab/>
            </w:r>
            <w:r>
              <w:rPr>
                <w:rStyle w:val="IndexLink"/>
              </w:rPr>
              <w:t>324</w:t>
            </w:r>
          </w:hyperlink>
        </w:p>
        <w:p>
          <w:pPr>
            <w:pStyle w:val="Contents3"/>
            <w:tabs>
              <w:tab w:val="clear" w:pos="8459"/>
              <w:tab w:val="right" w:pos="9026" w:leader="dot"/>
            </w:tabs>
            <w:rPr/>
          </w:pPr>
          <w:hyperlink w:anchor="__RefHeading___Toc3861999_3804643083">
            <w:r>
              <w:rPr>
                <w:webHidden/>
                <w:rStyle w:val="IndexLink"/>
                <w:rtl w:val="true"/>
              </w:rPr>
              <w:t>المسألة الثالثة</w:t>
            </w:r>
            <w:r>
              <w:rPr>
                <w:rStyle w:val="IndexLink"/>
                <w:rtl w:val="true"/>
              </w:rPr>
              <w:t xml:space="preserve">: </w:t>
            </w:r>
            <w:r>
              <w:rPr>
                <w:rStyle w:val="IndexLink"/>
                <w:rtl w:val="true"/>
              </w:rPr>
              <w:t>يجوز تقييد الفسخ المشروط خياره بالمدّة المعيّنة بشي‌ء يقترن به،</w:t>
            </w:r>
            <w:r>
              <w:rPr>
                <w:rStyle w:val="IndexLink"/>
                <w:rtl w:val="true"/>
              </w:rPr>
              <w:tab/>
            </w:r>
            <w:r>
              <w:rPr>
                <w:rStyle w:val="IndexLink"/>
              </w:rPr>
              <w:t>326</w:t>
            </w:r>
          </w:hyperlink>
        </w:p>
        <w:p>
          <w:pPr>
            <w:pStyle w:val="Contents3"/>
            <w:tabs>
              <w:tab w:val="clear" w:pos="8459"/>
              <w:tab w:val="right" w:pos="9026" w:leader="dot"/>
            </w:tabs>
            <w:rPr/>
          </w:pPr>
          <w:hyperlink w:anchor="__RefHeading___Toc3862001_3804643083">
            <w:r>
              <w:rPr>
                <w:webHidden/>
                <w:rStyle w:val="IndexLink"/>
                <w:rtl w:val="true"/>
              </w:rPr>
              <w:t>المسألة الرابعة</w:t>
            </w:r>
            <w:r>
              <w:rPr>
                <w:rStyle w:val="IndexLink"/>
                <w:rtl w:val="true"/>
              </w:rPr>
              <w:t xml:space="preserve">: </w:t>
            </w:r>
            <w:r>
              <w:rPr>
                <w:rStyle w:val="IndexLink"/>
                <w:rtl w:val="true"/>
              </w:rPr>
              <w:t>يصحّ أن يبيع شيئا و يشترط الخيار لنفسه مدّة معيّنة،</w:t>
            </w:r>
            <w:r>
              <w:rPr>
                <w:rStyle w:val="IndexLink"/>
                <w:rtl w:val="true"/>
              </w:rPr>
              <w:tab/>
            </w:r>
            <w:r>
              <w:rPr>
                <w:rStyle w:val="IndexLink"/>
              </w:rPr>
              <w:t>327</w:t>
            </w:r>
          </w:hyperlink>
        </w:p>
        <w:p>
          <w:pPr>
            <w:pStyle w:val="Contents3"/>
            <w:tabs>
              <w:tab w:val="clear" w:pos="8459"/>
              <w:tab w:val="right" w:pos="9026" w:leader="dot"/>
            </w:tabs>
            <w:rPr/>
          </w:pPr>
          <w:hyperlink w:anchor="__RefHeading___Toc3862003_3804643083">
            <w:r>
              <w:rPr>
                <w:webHidden/>
                <w:rStyle w:val="IndexLink"/>
                <w:rtl w:val="true"/>
              </w:rPr>
              <w:t>المسألة الخامسة</w:t>
            </w:r>
            <w:r>
              <w:rPr>
                <w:rStyle w:val="IndexLink"/>
                <w:rtl w:val="true"/>
              </w:rPr>
              <w:t xml:space="preserve">: </w:t>
            </w:r>
            <w:r>
              <w:rPr>
                <w:rStyle w:val="IndexLink"/>
                <w:rtl w:val="true"/>
              </w:rPr>
              <w:t>إذا لم يقبض البائع الثمن في بيع الخيار حتى انقضت المدة،</w:t>
            </w:r>
            <w:r>
              <w:rPr>
                <w:rStyle w:val="IndexLink"/>
                <w:rtl w:val="true"/>
              </w:rPr>
              <w:tab/>
            </w:r>
            <w:r>
              <w:rPr>
                <w:rStyle w:val="IndexLink"/>
              </w:rPr>
              <w:t>329</w:t>
            </w:r>
          </w:hyperlink>
        </w:p>
        <w:p>
          <w:pPr>
            <w:pStyle w:val="Contents3"/>
            <w:tabs>
              <w:tab w:val="clear" w:pos="8459"/>
              <w:tab w:val="right" w:pos="9026" w:leader="dot"/>
            </w:tabs>
            <w:rPr/>
          </w:pPr>
          <w:hyperlink w:anchor="__RefHeading___Toc3862005_3804643083">
            <w:r>
              <w:rPr>
                <w:webHidden/>
                <w:rStyle w:val="IndexLink"/>
                <w:rtl w:val="true"/>
              </w:rPr>
              <w:t>المسألة السادسة</w:t>
            </w:r>
            <w:r>
              <w:rPr>
                <w:rStyle w:val="IndexLink"/>
                <w:rtl w:val="true"/>
              </w:rPr>
              <w:t xml:space="preserve">: </w:t>
            </w:r>
            <w:r>
              <w:rPr>
                <w:rStyle w:val="IndexLink"/>
                <w:rtl w:val="true"/>
              </w:rPr>
              <w:t>إذا امتنع في بيع الخيار ردّ الثمن في زمانه إلى المشتري بنفسه أو وكيله أو وليّه لغيبته اختيارا أو اضطرارا أو نحوها،</w:t>
            </w:r>
            <w:r>
              <w:rPr>
                <w:rStyle w:val="IndexLink"/>
                <w:rtl w:val="true"/>
              </w:rPr>
              <w:tab/>
            </w:r>
            <w:r>
              <w:rPr>
                <w:rStyle w:val="IndexLink"/>
              </w:rPr>
              <w:t>330</w:t>
            </w:r>
          </w:hyperlink>
        </w:p>
        <w:p>
          <w:pPr>
            <w:pStyle w:val="Contents3"/>
            <w:tabs>
              <w:tab w:val="clear" w:pos="8459"/>
              <w:tab w:val="right" w:pos="9026" w:leader="dot"/>
            </w:tabs>
            <w:rPr/>
          </w:pPr>
          <w:hyperlink w:anchor="__RefHeading___Toc3862007_3804643083">
            <w:r>
              <w:rPr>
                <w:webHidden/>
                <w:rStyle w:val="IndexLink"/>
                <w:rtl w:val="true"/>
              </w:rPr>
              <w:t>المسألة السابعة</w:t>
            </w:r>
            <w:r>
              <w:rPr>
                <w:rStyle w:val="IndexLink"/>
                <w:rtl w:val="true"/>
              </w:rPr>
              <w:t xml:space="preserve">: </w:t>
            </w:r>
            <w:r>
              <w:rPr>
                <w:rStyle w:val="IndexLink"/>
                <w:rtl w:val="true"/>
              </w:rPr>
              <w:t>يجوز شرط البائع في بيع الخيار الفسخ في كل جزء بردّ ما يخصّه من الثمن كما صرّح به بعض الأجلّة،</w:t>
            </w:r>
            <w:r>
              <w:rPr>
                <w:rStyle w:val="IndexLink"/>
                <w:rtl w:val="true"/>
              </w:rPr>
              <w:tab/>
            </w:r>
            <w:r>
              <w:rPr>
                <w:rStyle w:val="IndexLink"/>
              </w:rPr>
              <w:t>332</w:t>
            </w:r>
          </w:hyperlink>
        </w:p>
        <w:p>
          <w:pPr>
            <w:pStyle w:val="Contents2"/>
            <w:tabs>
              <w:tab w:val="clear" w:pos="8743"/>
              <w:tab w:val="right" w:pos="9026" w:leader="dot"/>
            </w:tabs>
            <w:rPr/>
          </w:pPr>
          <w:hyperlink w:anchor="__RefHeading___Toc3862009_3804643083">
            <w:r>
              <w:rPr>
                <w:webHidden/>
                <w:rStyle w:val="IndexLink"/>
                <w:rtl w:val="true"/>
              </w:rPr>
              <w:t>[</w:t>
            </w:r>
            <w:r>
              <w:rPr>
                <w:rStyle w:val="IndexLink"/>
                <w:rtl w:val="true"/>
              </w:rPr>
              <w:t>المشرق التاسع عشر</w:t>
            </w:r>
            <w:r>
              <w:rPr>
                <w:rStyle w:val="IndexLink"/>
                <w:rtl w:val="true"/>
              </w:rPr>
              <w:t>] [</w:t>
            </w:r>
            <w:r>
              <w:rPr>
                <w:rStyle w:val="IndexLink"/>
                <w:rtl w:val="true"/>
              </w:rPr>
              <w:t>في خيار الغبن</w:t>
            </w:r>
            <w:r>
              <w:rPr>
                <w:rStyle w:val="IndexLink"/>
                <w:rtl w:val="true"/>
              </w:rPr>
              <w:t>]</w:t>
              <w:tab/>
            </w:r>
            <w:r>
              <w:rPr>
                <w:rStyle w:val="IndexLink"/>
              </w:rPr>
              <w:t>333</w:t>
            </w:r>
          </w:hyperlink>
        </w:p>
        <w:p>
          <w:pPr>
            <w:pStyle w:val="Contents3"/>
            <w:tabs>
              <w:tab w:val="clear" w:pos="8459"/>
              <w:tab w:val="right" w:pos="9026" w:leader="dot"/>
            </w:tabs>
            <w:rPr/>
          </w:pPr>
          <w:hyperlink w:anchor="__RefHeading___Toc3862011_380464308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3862013_3804643083">
            <w:r>
              <w:rPr>
                <w:webHidden/>
                <w:rStyle w:val="IndexLink"/>
                <w:rtl w:val="true"/>
              </w:rPr>
              <w:t>المسألة الأولى</w:t>
            </w:r>
            <w:r>
              <w:rPr>
                <w:rStyle w:val="IndexLink"/>
                <w:rtl w:val="true"/>
              </w:rPr>
              <w:t xml:space="preserve">: </w:t>
            </w:r>
            <w:r>
              <w:rPr>
                <w:rStyle w:val="IndexLink"/>
                <w:rtl w:val="true"/>
              </w:rPr>
              <w:t>الغبن، تمليك ماله بما يزيد على قيمته عادة مع جهل الآخر</w:t>
            </w:r>
            <w:r>
              <w:rPr>
                <w:rStyle w:val="IndexLink"/>
                <w:rtl w:val="true"/>
              </w:rPr>
              <w:t>.</w:t>
              <w:tab/>
            </w:r>
            <w:r>
              <w:rPr>
                <w:rStyle w:val="IndexLink"/>
              </w:rPr>
              <w:t>333</w:t>
            </w:r>
          </w:hyperlink>
        </w:p>
        <w:p>
          <w:pPr>
            <w:pStyle w:val="Contents3"/>
            <w:tabs>
              <w:tab w:val="clear" w:pos="8459"/>
              <w:tab w:val="right" w:pos="9026" w:leader="dot"/>
            </w:tabs>
            <w:rPr/>
          </w:pPr>
          <w:hyperlink w:anchor="__RefHeading___Toc3862015_3804643083">
            <w:r>
              <w:rPr>
                <w:webHidden/>
                <w:rStyle w:val="IndexLink"/>
                <w:rtl w:val="true"/>
              </w:rPr>
              <w:t>المسألة الثانية</w:t>
            </w:r>
            <w:r>
              <w:rPr>
                <w:rStyle w:val="IndexLink"/>
                <w:rtl w:val="true"/>
              </w:rPr>
              <w:t xml:space="preserve">: </w:t>
            </w:r>
            <w:r>
              <w:rPr>
                <w:rStyle w:val="IndexLink"/>
                <w:rtl w:val="true"/>
              </w:rPr>
              <w:t>يثبت الخيار مع الشرطين على المعروف بين الأصحاب و المحكيّ عليه الإجماع مستفيضا</w:t>
            </w:r>
            <w:r>
              <w:rPr>
                <w:rStyle w:val="IndexLink"/>
                <w:rtl w:val="true"/>
              </w:rPr>
              <w:t>.</w:t>
              <w:tab/>
            </w:r>
            <w:r>
              <w:rPr>
                <w:rStyle w:val="IndexLink"/>
              </w:rPr>
              <w:t>334</w:t>
            </w:r>
          </w:hyperlink>
        </w:p>
        <w:p>
          <w:pPr>
            <w:pStyle w:val="Contents3"/>
            <w:tabs>
              <w:tab w:val="clear" w:pos="8459"/>
              <w:tab w:val="right" w:pos="9026" w:leader="dot"/>
            </w:tabs>
            <w:rPr/>
          </w:pPr>
          <w:hyperlink w:anchor="__RefHeading___Toc3862017_3804643083">
            <w:r>
              <w:rPr>
                <w:webHidden/>
                <w:rStyle w:val="IndexLink"/>
                <w:rtl w:val="true"/>
              </w:rPr>
              <w:t>المسألة الثالثة</w:t>
            </w:r>
            <w:r>
              <w:rPr>
                <w:rStyle w:val="IndexLink"/>
                <w:rtl w:val="true"/>
              </w:rPr>
              <w:t xml:space="preserve">: </w:t>
            </w:r>
            <w:r>
              <w:rPr>
                <w:rStyle w:val="IndexLink"/>
                <w:rtl w:val="true"/>
              </w:rPr>
              <w:t>الظاهر</w:t>
            </w:r>
            <w:r>
              <w:rPr>
                <w:rStyle w:val="IndexLink"/>
                <w:rtl w:val="true"/>
              </w:rPr>
              <w:t xml:space="preserve">: </w:t>
            </w:r>
            <w:r>
              <w:rPr>
                <w:rStyle w:val="IndexLink"/>
                <w:rtl w:val="true"/>
              </w:rPr>
              <w:t>أنّ الخيار منوط بالغبن واقعا</w:t>
            </w:r>
            <w:r>
              <w:rPr>
                <w:rStyle w:val="IndexLink"/>
                <w:rtl w:val="true"/>
              </w:rPr>
              <w:tab/>
            </w:r>
            <w:r>
              <w:rPr>
                <w:rStyle w:val="IndexLink"/>
              </w:rPr>
              <w:t>335</w:t>
            </w:r>
          </w:hyperlink>
        </w:p>
        <w:p>
          <w:pPr>
            <w:pStyle w:val="Contents3"/>
            <w:tabs>
              <w:tab w:val="clear" w:pos="8459"/>
              <w:tab w:val="right" w:pos="9026" w:leader="dot"/>
            </w:tabs>
            <w:rPr/>
          </w:pPr>
          <w:hyperlink w:anchor="__RefHeading___Toc3862019_3804643083">
            <w:r>
              <w:rPr>
                <w:webHidden/>
                <w:rStyle w:val="IndexLink"/>
                <w:rtl w:val="true"/>
              </w:rPr>
              <w:t>المسألة الرابعة</w:t>
            </w:r>
            <w:r>
              <w:rPr>
                <w:rStyle w:val="IndexLink"/>
                <w:rtl w:val="true"/>
              </w:rPr>
              <w:t xml:space="preserve">: </w:t>
            </w:r>
            <w:r>
              <w:rPr>
                <w:rStyle w:val="IndexLink"/>
                <w:rtl w:val="true"/>
              </w:rPr>
              <w:t>يسقط خيار الغبن بأمور</w:t>
            </w:r>
            <w:r>
              <w:rPr>
                <w:rStyle w:val="IndexLink"/>
                <w:rtl w:val="true"/>
              </w:rPr>
              <w:t>:</w:t>
              <w:tab/>
            </w:r>
            <w:r>
              <w:rPr>
                <w:rStyle w:val="IndexLink"/>
              </w:rPr>
              <w:t>336</w:t>
            </w:r>
          </w:hyperlink>
        </w:p>
        <w:p>
          <w:pPr>
            <w:pStyle w:val="Contents4"/>
            <w:tabs>
              <w:tab w:val="clear" w:pos="8176"/>
              <w:tab w:val="right" w:pos="9026" w:leader="dot"/>
            </w:tabs>
            <w:rPr/>
          </w:pPr>
          <w:hyperlink w:anchor="__RefHeading___Toc3862021_3804643083">
            <w:r>
              <w:rPr>
                <w:webHidden/>
                <w:rStyle w:val="IndexLink"/>
                <w:rtl w:val="true"/>
              </w:rPr>
              <w:t>الأوّل</w:t>
            </w:r>
            <w:r>
              <w:rPr>
                <w:rStyle w:val="IndexLink"/>
                <w:rtl w:val="true"/>
              </w:rPr>
              <w:t xml:space="preserve">: </w:t>
            </w:r>
            <w:r>
              <w:rPr>
                <w:rStyle w:val="IndexLink"/>
                <w:rtl w:val="true"/>
              </w:rPr>
              <w:t>التصرف، بلا خلاف فيه في الجملة</w:t>
            </w:r>
            <w:r>
              <w:rPr>
                <w:rStyle w:val="IndexLink"/>
                <w:rtl w:val="true"/>
              </w:rPr>
              <w:t>.</w:t>
              <w:tab/>
            </w:r>
            <w:r>
              <w:rPr>
                <w:rStyle w:val="IndexLink"/>
              </w:rPr>
              <w:t>336</w:t>
            </w:r>
          </w:hyperlink>
        </w:p>
        <w:p>
          <w:pPr>
            <w:pStyle w:val="Contents4"/>
            <w:tabs>
              <w:tab w:val="clear" w:pos="8176"/>
              <w:tab w:val="right" w:pos="9026" w:leader="dot"/>
            </w:tabs>
            <w:rPr/>
          </w:pPr>
          <w:hyperlink w:anchor="__RefHeading___Toc3862023_3804643083">
            <w:r>
              <w:rPr>
                <w:webHidden/>
                <w:rStyle w:val="IndexLink"/>
                <w:rtl w:val="true"/>
              </w:rPr>
              <w:t>الثاني</w:t>
            </w:r>
            <w:r>
              <w:rPr>
                <w:rStyle w:val="IndexLink"/>
                <w:rtl w:val="true"/>
              </w:rPr>
              <w:t xml:space="preserve">: </w:t>
            </w:r>
            <w:r>
              <w:rPr>
                <w:rStyle w:val="IndexLink"/>
                <w:rtl w:val="true"/>
              </w:rPr>
              <w:t>من مسقطات خيار الغبن إسقاطه بعد العقد،</w:t>
            </w:r>
            <w:r>
              <w:rPr>
                <w:rStyle w:val="IndexLink"/>
                <w:rtl w:val="true"/>
              </w:rPr>
              <w:tab/>
            </w:r>
            <w:r>
              <w:rPr>
                <w:rStyle w:val="IndexLink"/>
              </w:rPr>
              <w:t>342</w:t>
            </w:r>
          </w:hyperlink>
        </w:p>
        <w:p>
          <w:pPr>
            <w:pStyle w:val="Contents4"/>
            <w:tabs>
              <w:tab w:val="clear" w:pos="8176"/>
              <w:tab w:val="right" w:pos="9026" w:leader="dot"/>
            </w:tabs>
            <w:rPr/>
          </w:pPr>
          <w:hyperlink w:anchor="__RefHeading___Toc3862025_3804643083">
            <w:r>
              <w:rPr>
                <w:webHidden/>
                <w:rStyle w:val="IndexLink"/>
                <w:rtl w:val="true"/>
              </w:rPr>
              <w:t>الثالث من المسقطات</w:t>
            </w:r>
            <w:r>
              <w:rPr>
                <w:rStyle w:val="IndexLink"/>
                <w:rtl w:val="true"/>
              </w:rPr>
              <w:t xml:space="preserve">: </w:t>
            </w:r>
            <w:r>
              <w:rPr>
                <w:rStyle w:val="IndexLink"/>
                <w:rtl w:val="true"/>
              </w:rPr>
              <w:t>إسقاط حق الخيار بالشرط في ضمن العقد</w:t>
            </w:r>
            <w:r>
              <w:rPr>
                <w:rStyle w:val="IndexLink"/>
                <w:rtl w:val="true"/>
              </w:rPr>
              <w:t>.</w:t>
              <w:tab/>
            </w:r>
            <w:r>
              <w:rPr>
                <w:rStyle w:val="IndexLink"/>
              </w:rPr>
              <w:t>345</w:t>
            </w:r>
          </w:hyperlink>
        </w:p>
        <w:p>
          <w:pPr>
            <w:pStyle w:val="Contents3"/>
            <w:tabs>
              <w:tab w:val="clear" w:pos="8459"/>
              <w:tab w:val="right" w:pos="9026" w:leader="dot"/>
            </w:tabs>
            <w:rPr/>
          </w:pPr>
          <w:hyperlink w:anchor="__RefHeading___Toc3862027_3804643083">
            <w:r>
              <w:rPr>
                <w:webHidden/>
                <w:rStyle w:val="IndexLink"/>
                <w:rtl w:val="true"/>
              </w:rPr>
              <w:t>المسألة الخامسة</w:t>
            </w:r>
            <w:r>
              <w:rPr>
                <w:rStyle w:val="IndexLink"/>
                <w:rtl w:val="true"/>
              </w:rPr>
              <w:t xml:space="preserve">: </w:t>
            </w:r>
            <w:r>
              <w:rPr>
                <w:rStyle w:val="IndexLink"/>
                <w:rtl w:val="true"/>
              </w:rPr>
              <w:t>اختلفوا في كون هذا الخيار فوريا،</w:t>
            </w:r>
            <w:r>
              <w:rPr>
                <w:rStyle w:val="IndexLink"/>
                <w:rtl w:val="true"/>
              </w:rPr>
              <w:tab/>
            </w:r>
            <w:r>
              <w:rPr>
                <w:rStyle w:val="IndexLink"/>
              </w:rPr>
              <w:t>346</w:t>
            </w:r>
          </w:hyperlink>
        </w:p>
        <w:p>
          <w:pPr>
            <w:pStyle w:val="Contents4"/>
            <w:tabs>
              <w:tab w:val="clear" w:pos="8176"/>
              <w:tab w:val="right" w:pos="9026" w:leader="dot"/>
            </w:tabs>
            <w:rPr/>
          </w:pPr>
          <w:hyperlink w:anchor="__RefHeading___Toc3862029_380464308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3862031_3804643083">
            <w:r>
              <w:rPr>
                <w:webHidden/>
                <w:rStyle w:val="IndexLink"/>
                <w:rtl w:val="true"/>
              </w:rPr>
              <w:t>تتميمان</w:t>
            </w:r>
            <w:r>
              <w:rPr>
                <w:rStyle w:val="IndexLink"/>
                <w:rtl w:val="true"/>
              </w:rPr>
              <w:t>:</w:t>
              <w:tab/>
            </w:r>
            <w:r>
              <w:rPr>
                <w:rStyle w:val="IndexLink"/>
              </w:rPr>
              <w:t>349</w:t>
            </w:r>
          </w:hyperlink>
        </w:p>
        <w:p>
          <w:pPr>
            <w:pStyle w:val="Contents5"/>
            <w:tabs>
              <w:tab w:val="clear" w:pos="7892"/>
              <w:tab w:val="right" w:pos="9026" w:leader="dot"/>
            </w:tabs>
            <w:rPr/>
          </w:pPr>
          <w:hyperlink w:anchor="__RefHeading___Toc3862033_3804643083">
            <w:r>
              <w:rPr>
                <w:webHidden/>
                <w:rStyle w:val="IndexLink"/>
                <w:rtl w:val="true"/>
              </w:rPr>
              <w:t>الأوّل</w:t>
            </w:r>
            <w:r>
              <w:rPr>
                <w:rStyle w:val="IndexLink"/>
                <w:rtl w:val="true"/>
              </w:rPr>
              <w:t xml:space="preserve">: </w:t>
            </w:r>
            <w:r>
              <w:rPr>
                <w:rStyle w:val="IndexLink"/>
                <w:rtl w:val="true"/>
              </w:rPr>
              <w:t>هل الفور محمولة على الفورية الحقيقية،</w:t>
            </w:r>
            <w:r>
              <w:rPr>
                <w:rStyle w:val="IndexLink"/>
                <w:rtl w:val="true"/>
              </w:rPr>
              <w:tab/>
            </w:r>
            <w:r>
              <w:rPr>
                <w:rStyle w:val="IndexLink"/>
              </w:rPr>
              <w:t>349</w:t>
            </w:r>
          </w:hyperlink>
        </w:p>
        <w:p>
          <w:pPr>
            <w:pStyle w:val="Contents5"/>
            <w:tabs>
              <w:tab w:val="clear" w:pos="7892"/>
              <w:tab w:val="right" w:pos="9026" w:leader="dot"/>
            </w:tabs>
            <w:rPr/>
          </w:pPr>
          <w:hyperlink w:anchor="__RefHeading___Toc3862035_3804643083">
            <w:r>
              <w:rPr>
                <w:webHidden/>
                <w:rStyle w:val="IndexLink"/>
                <w:rtl w:val="true"/>
              </w:rPr>
              <w:t>الثاني</w:t>
            </w:r>
            <w:r>
              <w:rPr>
                <w:rStyle w:val="IndexLink"/>
                <w:rtl w:val="true"/>
              </w:rPr>
              <w:t xml:space="preserve">: </w:t>
            </w:r>
            <w:r>
              <w:rPr>
                <w:rStyle w:val="IndexLink"/>
                <w:rtl w:val="true"/>
              </w:rPr>
              <w:t>لا شكّ أنّ الجاهل بالخيار معذور في ترك المبادرة،</w:t>
            </w:r>
            <w:r>
              <w:rPr>
                <w:rStyle w:val="IndexLink"/>
                <w:rtl w:val="true"/>
              </w:rPr>
              <w:tab/>
            </w:r>
            <w:r>
              <w:rPr>
                <w:rStyle w:val="IndexLink"/>
              </w:rPr>
              <w:t>349</w:t>
            </w:r>
          </w:hyperlink>
        </w:p>
        <w:p>
          <w:pPr>
            <w:pStyle w:val="Contents3"/>
            <w:tabs>
              <w:tab w:val="clear" w:pos="8459"/>
              <w:tab w:val="right" w:pos="9026" w:leader="dot"/>
            </w:tabs>
            <w:rPr/>
          </w:pPr>
          <w:hyperlink w:anchor="__RefHeading___Toc3862037_3804643083">
            <w:r>
              <w:rPr>
                <w:webHidden/>
                <w:rStyle w:val="IndexLink"/>
                <w:rtl w:val="true"/>
              </w:rPr>
              <w:t>المسألة السادسة</w:t>
            </w:r>
            <w:r>
              <w:rPr>
                <w:rStyle w:val="IndexLink"/>
                <w:rtl w:val="true"/>
              </w:rPr>
              <w:t xml:space="preserve">: </w:t>
            </w:r>
            <w:r>
              <w:rPr>
                <w:rStyle w:val="IndexLink"/>
                <w:rtl w:val="true"/>
              </w:rPr>
              <w:t>يثبت خيار الغبن في غير البيع من المعاوضات أيضا،</w:t>
            </w:r>
            <w:r>
              <w:rPr>
                <w:rStyle w:val="IndexLink"/>
                <w:rtl w:val="true"/>
              </w:rPr>
              <w:tab/>
            </w:r>
            <w:r>
              <w:rPr>
                <w:rStyle w:val="IndexLink"/>
              </w:rPr>
              <w:t>350</w:t>
            </w:r>
          </w:hyperlink>
        </w:p>
        <w:p>
          <w:pPr>
            <w:pStyle w:val="Contents2"/>
            <w:tabs>
              <w:tab w:val="clear" w:pos="8743"/>
              <w:tab w:val="right" w:pos="9026" w:leader="dot"/>
            </w:tabs>
            <w:rPr/>
          </w:pPr>
          <w:hyperlink w:anchor="__RefHeading___Toc3862039_3804643083">
            <w:r>
              <w:rPr>
                <w:webHidden/>
                <w:rStyle w:val="IndexLink"/>
                <w:rtl w:val="true"/>
              </w:rPr>
              <w:t>[</w:t>
            </w:r>
            <w:r>
              <w:rPr>
                <w:rStyle w:val="IndexLink"/>
                <w:rtl w:val="true"/>
              </w:rPr>
              <w:t>المشرق العشرون</w:t>
            </w:r>
            <w:r>
              <w:rPr>
                <w:rStyle w:val="IndexLink"/>
                <w:rtl w:val="true"/>
              </w:rPr>
              <w:t>] [</w:t>
            </w:r>
            <w:r>
              <w:rPr>
                <w:rStyle w:val="IndexLink"/>
                <w:rtl w:val="true"/>
              </w:rPr>
              <w:t>في الأحكام الملحقة بالخيارات</w:t>
            </w:r>
            <w:r>
              <w:rPr>
                <w:rStyle w:val="IndexLink"/>
                <w:rtl w:val="true"/>
              </w:rPr>
              <w:t>]</w:t>
              <w:tab/>
            </w:r>
            <w:r>
              <w:rPr>
                <w:rStyle w:val="IndexLink"/>
              </w:rPr>
              <w:t>352</w:t>
            </w:r>
          </w:hyperlink>
        </w:p>
        <w:p>
          <w:pPr>
            <w:pStyle w:val="Contents3"/>
            <w:tabs>
              <w:tab w:val="clear" w:pos="8459"/>
              <w:tab w:val="right" w:pos="9026" w:leader="dot"/>
            </w:tabs>
            <w:rPr/>
          </w:pPr>
          <w:hyperlink w:anchor="__RefHeading___Toc3862041_380464308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3862043_3804643083">
            <w:r>
              <w:rPr>
                <w:webHidden/>
                <w:rStyle w:val="IndexLink"/>
                <w:rtl w:val="true"/>
              </w:rPr>
              <w:t>المسألة الأولى</w:t>
            </w:r>
            <w:r>
              <w:rPr>
                <w:rStyle w:val="IndexLink"/>
                <w:rtl w:val="true"/>
              </w:rPr>
              <w:t xml:space="preserve">: </w:t>
            </w:r>
            <w:r>
              <w:rPr>
                <w:rStyle w:val="IndexLink"/>
                <w:rtl w:val="true"/>
              </w:rPr>
              <w:t>الفسخ كما يحصل باللفظ يحصل بالفعل أيضا،</w:t>
            </w:r>
            <w:r>
              <w:rPr>
                <w:rStyle w:val="IndexLink"/>
                <w:rtl w:val="true"/>
              </w:rPr>
              <w:tab/>
            </w:r>
            <w:r>
              <w:rPr>
                <w:rStyle w:val="IndexLink"/>
              </w:rPr>
              <w:t>352</w:t>
            </w:r>
          </w:hyperlink>
        </w:p>
        <w:p>
          <w:pPr>
            <w:pStyle w:val="Contents3"/>
            <w:tabs>
              <w:tab w:val="clear" w:pos="8459"/>
              <w:tab w:val="right" w:pos="9026" w:leader="dot"/>
            </w:tabs>
            <w:rPr/>
          </w:pPr>
          <w:hyperlink w:anchor="__RefHeading___Toc3862045_3804643083">
            <w:r>
              <w:rPr>
                <w:webHidden/>
                <w:rStyle w:val="IndexLink"/>
                <w:rtl w:val="true"/>
              </w:rPr>
              <w:t>المسألة الثانية</w:t>
            </w:r>
            <w:r>
              <w:rPr>
                <w:rStyle w:val="IndexLink"/>
                <w:rtl w:val="true"/>
              </w:rPr>
              <w:t xml:space="preserve">: </w:t>
            </w:r>
            <w:r>
              <w:rPr>
                <w:rStyle w:val="IndexLink"/>
                <w:rtl w:val="true"/>
              </w:rPr>
              <w:t>إذا باع ذو الخيار أو أعتق أو أوجد غير ذلك من الأسباب الناقلة</w:t>
            </w:r>
            <w:r>
              <w:rPr>
                <w:rStyle w:val="IndexLink"/>
                <w:rtl w:val="true"/>
              </w:rPr>
              <w:tab/>
            </w:r>
            <w:r>
              <w:rPr>
                <w:rStyle w:val="IndexLink"/>
              </w:rPr>
              <w:t>354</w:t>
            </w:r>
          </w:hyperlink>
        </w:p>
        <w:p>
          <w:pPr>
            <w:pStyle w:val="Contents4"/>
            <w:tabs>
              <w:tab w:val="clear" w:pos="8176"/>
              <w:tab w:val="right" w:pos="9026" w:leader="dot"/>
            </w:tabs>
            <w:rPr/>
          </w:pPr>
          <w:hyperlink w:anchor="__RefHeading___Toc3862047_380464308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3862049_3804643083">
            <w:r>
              <w:rPr>
                <w:webHidden/>
                <w:rStyle w:val="IndexLink"/>
                <w:rtl w:val="true"/>
              </w:rPr>
              <w:t>فرع</w:t>
            </w:r>
            <w:r>
              <w:rPr>
                <w:rStyle w:val="IndexLink"/>
                <w:rtl w:val="true"/>
              </w:rPr>
              <w:t xml:space="preserve">: </w:t>
            </w:r>
            <w:r>
              <w:rPr>
                <w:rStyle w:val="IndexLink"/>
                <w:rtl w:val="true"/>
              </w:rPr>
              <w:t>لو اشترى عبدا بجارية فقال</w:t>
            </w:r>
            <w:r>
              <w:rPr>
                <w:rStyle w:val="IndexLink"/>
                <w:rtl w:val="true"/>
              </w:rPr>
              <w:t xml:space="preserve">: </w:t>
            </w:r>
            <w:r>
              <w:rPr>
                <w:rStyle w:val="IndexLink"/>
                <w:rtl w:val="true"/>
              </w:rPr>
              <w:t xml:space="preserve">أعتقتهما فعن </w:t>
            </w:r>
            <w:r>
              <w:rPr>
                <w:rStyle w:val="IndexLink"/>
                <w:rtl w:val="true"/>
              </w:rPr>
              <w:t>[</w:t>
            </w:r>
            <w:r>
              <w:rPr>
                <w:rStyle w:val="IndexLink"/>
                <w:rtl w:val="true"/>
              </w:rPr>
              <w:t>بعض</w:t>
            </w:r>
            <w:r>
              <w:rPr>
                <w:rStyle w:val="IndexLink"/>
                <w:rtl w:val="true"/>
              </w:rPr>
              <w:t xml:space="preserve">]: </w:t>
            </w:r>
            <w:r>
              <w:rPr>
                <w:rStyle w:val="IndexLink"/>
                <w:rtl w:val="true"/>
              </w:rPr>
              <w:t>انعتاق الجارية دون العبد،</w:t>
            </w:r>
            <w:r>
              <w:rPr>
                <w:rStyle w:val="IndexLink"/>
                <w:rtl w:val="true"/>
              </w:rPr>
              <w:tab/>
            </w:r>
            <w:r>
              <w:rPr>
                <w:rStyle w:val="IndexLink"/>
              </w:rPr>
              <w:t>358</w:t>
            </w:r>
          </w:hyperlink>
        </w:p>
        <w:p>
          <w:pPr>
            <w:pStyle w:val="Contents3"/>
            <w:tabs>
              <w:tab w:val="clear" w:pos="8459"/>
              <w:tab w:val="right" w:pos="9026" w:leader="dot"/>
            </w:tabs>
            <w:rPr/>
          </w:pPr>
          <w:hyperlink w:anchor="__RefHeading___Toc3862051_3804643083">
            <w:r>
              <w:rPr>
                <w:webHidden/>
                <w:rStyle w:val="IndexLink"/>
                <w:rtl w:val="true"/>
              </w:rPr>
              <w:t>المسألة الثالثة</w:t>
            </w:r>
            <w:r>
              <w:rPr>
                <w:rStyle w:val="IndexLink"/>
                <w:rtl w:val="true"/>
              </w:rPr>
              <w:t xml:space="preserve">: </w:t>
            </w:r>
            <w:r>
              <w:rPr>
                <w:rStyle w:val="IndexLink"/>
                <w:rtl w:val="true"/>
              </w:rPr>
              <w:t>لا ينافي تلف العين بقاء الخيار،</w:t>
            </w:r>
            <w:r>
              <w:rPr>
                <w:rStyle w:val="IndexLink"/>
                <w:rtl w:val="true"/>
              </w:rPr>
              <w:tab/>
            </w:r>
            <w:r>
              <w:rPr>
                <w:rStyle w:val="IndexLink"/>
              </w:rPr>
              <w:t>359</w:t>
            </w:r>
          </w:hyperlink>
        </w:p>
        <w:p>
          <w:pPr>
            <w:pStyle w:val="Contents3"/>
            <w:tabs>
              <w:tab w:val="clear" w:pos="8459"/>
              <w:tab w:val="right" w:pos="9026" w:leader="dot"/>
            </w:tabs>
            <w:rPr/>
          </w:pPr>
          <w:hyperlink w:anchor="__RefHeading___Toc3862053_3804643083">
            <w:r>
              <w:rPr>
                <w:webHidden/>
                <w:rStyle w:val="IndexLink"/>
                <w:rtl w:val="true"/>
              </w:rPr>
              <w:t>المسألة الرابعة</w:t>
            </w:r>
            <w:r>
              <w:rPr>
                <w:rStyle w:val="IndexLink"/>
                <w:rtl w:val="true"/>
              </w:rPr>
              <w:t xml:space="preserve">: </w:t>
            </w:r>
            <w:r>
              <w:rPr>
                <w:rStyle w:val="IndexLink"/>
                <w:rtl w:val="true"/>
              </w:rPr>
              <w:t>اختلفوا في جواز التصرف الناقل لغير ذي الخيار،</w:t>
            </w:r>
            <w:r>
              <w:rPr>
                <w:rStyle w:val="IndexLink"/>
                <w:rtl w:val="true"/>
              </w:rPr>
              <w:tab/>
            </w:r>
            <w:r>
              <w:rPr>
                <w:rStyle w:val="IndexLink"/>
              </w:rPr>
              <w:t>360</w:t>
            </w:r>
          </w:hyperlink>
        </w:p>
        <w:p>
          <w:pPr>
            <w:pStyle w:val="Contents3"/>
            <w:tabs>
              <w:tab w:val="clear" w:pos="8459"/>
              <w:tab w:val="right" w:pos="9026" w:leader="dot"/>
            </w:tabs>
            <w:rPr/>
          </w:pPr>
          <w:hyperlink w:anchor="__RefHeading___Toc3862055_3804643083">
            <w:r>
              <w:rPr>
                <w:webHidden/>
                <w:rStyle w:val="IndexLink"/>
                <w:rtl w:val="true"/>
              </w:rPr>
              <w:t>المسألة الخامسة</w:t>
            </w:r>
            <w:r>
              <w:rPr>
                <w:rStyle w:val="IndexLink"/>
                <w:rtl w:val="true"/>
              </w:rPr>
              <w:t xml:space="preserve">: </w:t>
            </w:r>
            <w:r>
              <w:rPr>
                <w:rStyle w:val="IndexLink"/>
                <w:rtl w:val="true"/>
              </w:rPr>
              <w:t>منفعة العين في زمان الخيار قبل الفسخ في بيع الخيار و غيره مال المشتري،</w:t>
            </w:r>
            <w:r>
              <w:rPr>
                <w:rStyle w:val="IndexLink"/>
                <w:rtl w:val="true"/>
              </w:rPr>
              <w:tab/>
            </w:r>
            <w:r>
              <w:rPr>
                <w:rStyle w:val="IndexLink"/>
              </w:rPr>
              <w:t>363</w:t>
            </w:r>
          </w:hyperlink>
        </w:p>
        <w:p>
          <w:pPr>
            <w:pStyle w:val="Contents3"/>
            <w:tabs>
              <w:tab w:val="clear" w:pos="8459"/>
              <w:tab w:val="right" w:pos="9026" w:leader="dot"/>
            </w:tabs>
            <w:rPr/>
          </w:pPr>
          <w:hyperlink w:anchor="__RefHeading___Toc3862057_3804643083">
            <w:r>
              <w:rPr>
                <w:webHidden/>
                <w:rStyle w:val="IndexLink"/>
                <w:rtl w:val="true"/>
              </w:rPr>
              <w:t>المسألة السادسة</w:t>
            </w:r>
            <w:r>
              <w:rPr>
                <w:rStyle w:val="IndexLink"/>
                <w:rtl w:val="true"/>
              </w:rPr>
              <w:t xml:space="preserve">: </w:t>
            </w:r>
            <w:r>
              <w:rPr>
                <w:rStyle w:val="IndexLink"/>
                <w:rtl w:val="true"/>
              </w:rPr>
              <w:t>إذا أذن ذو الخيار في التصرف الناقل،</w:t>
            </w:r>
            <w:r>
              <w:rPr>
                <w:rStyle w:val="IndexLink"/>
                <w:rtl w:val="true"/>
              </w:rPr>
              <w:tab/>
            </w:r>
            <w:r>
              <w:rPr>
                <w:rStyle w:val="IndexLink"/>
              </w:rPr>
              <w:t>364</w:t>
            </w:r>
          </w:hyperlink>
        </w:p>
        <w:p>
          <w:pPr>
            <w:pStyle w:val="Contents3"/>
            <w:tabs>
              <w:tab w:val="clear" w:pos="8459"/>
              <w:tab w:val="right" w:pos="9026" w:leader="dot"/>
            </w:tabs>
            <w:rPr/>
          </w:pPr>
          <w:hyperlink w:anchor="__RefHeading___Toc3862059_3804643083">
            <w:r>
              <w:rPr>
                <w:webHidden/>
                <w:rStyle w:val="IndexLink"/>
                <w:rtl w:val="true"/>
              </w:rPr>
              <w:t>المسألة السابعة</w:t>
            </w:r>
            <w:r>
              <w:rPr>
                <w:rStyle w:val="IndexLink"/>
                <w:rtl w:val="true"/>
              </w:rPr>
              <w:t xml:space="preserve">: </w:t>
            </w:r>
            <w:r>
              <w:rPr>
                <w:rStyle w:val="IndexLink"/>
                <w:rtl w:val="true"/>
              </w:rPr>
              <w:t>الخيار موروث بأنواعه بلا خلاف،</w:t>
            </w:r>
            <w:r>
              <w:rPr>
                <w:rStyle w:val="IndexLink"/>
                <w:rtl w:val="true"/>
              </w:rPr>
              <w:tab/>
            </w:r>
            <w:r>
              <w:rPr>
                <w:rStyle w:val="IndexLink"/>
              </w:rPr>
              <w:t>366</w:t>
            </w:r>
          </w:hyperlink>
        </w:p>
        <w:p>
          <w:pPr>
            <w:pStyle w:val="Contents4"/>
            <w:tabs>
              <w:tab w:val="clear" w:pos="8176"/>
              <w:tab w:val="right" w:pos="9026" w:leader="dot"/>
            </w:tabs>
            <w:rPr/>
          </w:pPr>
          <w:hyperlink w:anchor="__RefHeading___Toc3862061_380464308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3862063_3804643083">
            <w:r>
              <w:rPr>
                <w:webHidden/>
                <w:rStyle w:val="IndexLink"/>
                <w:rtl w:val="true"/>
              </w:rPr>
              <w:t>فرع</w:t>
            </w:r>
            <w:r>
              <w:rPr>
                <w:rStyle w:val="IndexLink"/>
                <w:rtl w:val="true"/>
              </w:rPr>
              <w:t xml:space="preserve">: </w:t>
            </w:r>
            <w:r>
              <w:rPr>
                <w:rStyle w:val="IndexLink"/>
                <w:rtl w:val="true"/>
              </w:rPr>
              <w:t>إذا كان الخيار لأجنبيّ فمات، ففي انتقاله إلى وارثه أو إلى المتعاقدين، أو سقوطه وجوه،</w:t>
            </w:r>
            <w:r>
              <w:rPr>
                <w:rStyle w:val="IndexLink"/>
                <w:rtl w:val="true"/>
              </w:rPr>
              <w:tab/>
            </w:r>
            <w:r>
              <w:rPr>
                <w:rStyle w:val="IndexLink"/>
              </w:rPr>
              <w:t>371</w:t>
            </w:r>
          </w:hyperlink>
        </w:p>
        <w:p>
          <w:pPr>
            <w:pStyle w:val="Contents2"/>
            <w:tabs>
              <w:tab w:val="clear" w:pos="8743"/>
              <w:tab w:val="right" w:pos="9026" w:leader="dot"/>
            </w:tabs>
            <w:rPr/>
          </w:pPr>
          <w:hyperlink w:anchor="__RefHeading___Toc3862065_3804643083">
            <w:r>
              <w:rPr>
                <w:webHidden/>
                <w:rStyle w:val="IndexLink"/>
                <w:rtl w:val="true"/>
              </w:rPr>
              <w:t>[</w:t>
            </w:r>
            <w:r>
              <w:rPr>
                <w:rStyle w:val="IndexLink"/>
                <w:rtl w:val="true"/>
              </w:rPr>
              <w:t>المشرق الحادي و عشرون</w:t>
            </w:r>
            <w:r>
              <w:rPr>
                <w:rStyle w:val="IndexLink"/>
                <w:rtl w:val="true"/>
              </w:rPr>
              <w:t>] [</w:t>
            </w:r>
            <w:r>
              <w:rPr>
                <w:rStyle w:val="IndexLink"/>
                <w:rtl w:val="true"/>
              </w:rPr>
              <w:t>في الشبهة الموضوعية التحريمية</w:t>
            </w:r>
            <w:r>
              <w:rPr>
                <w:rStyle w:val="IndexLink"/>
                <w:rtl w:val="true"/>
              </w:rPr>
              <w:t>]</w:t>
              <w:tab/>
            </w:r>
            <w:r>
              <w:rPr>
                <w:rStyle w:val="IndexLink"/>
              </w:rPr>
              <w:t>372</w:t>
            </w:r>
          </w:hyperlink>
        </w:p>
        <w:p>
          <w:pPr>
            <w:pStyle w:val="Contents3"/>
            <w:tabs>
              <w:tab w:val="clear" w:pos="8459"/>
              <w:tab w:val="right" w:pos="9026" w:leader="dot"/>
            </w:tabs>
            <w:rPr/>
          </w:pPr>
          <w:hyperlink w:anchor="__RefHeading___Toc3862067_380464308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3862069_3804643083">
            <w:r>
              <w:rPr>
                <w:webHidden/>
                <w:rStyle w:val="IndexLink"/>
                <w:rtl w:val="true"/>
              </w:rPr>
              <w:t>المقام الأوّل</w:t>
            </w:r>
            <w:r>
              <w:rPr>
                <w:rStyle w:val="IndexLink"/>
                <w:rtl w:val="true"/>
              </w:rPr>
              <w:t xml:space="preserve">: </w:t>
            </w:r>
            <w:r>
              <w:rPr>
                <w:rStyle w:val="IndexLink"/>
                <w:rtl w:val="true"/>
              </w:rPr>
              <w:t>في الشبهة المحصورة،</w:t>
            </w:r>
            <w:r>
              <w:rPr>
                <w:rStyle w:val="IndexLink"/>
                <w:rtl w:val="true"/>
              </w:rPr>
              <w:tab/>
            </w:r>
            <w:r>
              <w:rPr>
                <w:rStyle w:val="IndexLink"/>
              </w:rPr>
              <w:t>372</w:t>
            </w:r>
          </w:hyperlink>
        </w:p>
        <w:p>
          <w:pPr>
            <w:pStyle w:val="Contents4"/>
            <w:tabs>
              <w:tab w:val="clear" w:pos="8176"/>
              <w:tab w:val="right" w:pos="9026" w:leader="dot"/>
            </w:tabs>
            <w:rPr/>
          </w:pPr>
          <w:hyperlink w:anchor="__RefHeading___Toc3862071_3804643083">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3862073_3804643083">
            <w:r>
              <w:rPr>
                <w:webHidden/>
                <w:rStyle w:val="IndexLink"/>
                <w:rtl w:val="true"/>
              </w:rPr>
              <w:t>تنبيهات</w:t>
            </w:r>
            <w:r>
              <w:rPr>
                <w:rStyle w:val="IndexLink"/>
                <w:rtl w:val="true"/>
              </w:rPr>
              <w:t>:</w:t>
              <w:tab/>
            </w:r>
            <w:r>
              <w:rPr>
                <w:rStyle w:val="IndexLink"/>
              </w:rPr>
              <w:t>384</w:t>
            </w:r>
          </w:hyperlink>
        </w:p>
        <w:p>
          <w:pPr>
            <w:pStyle w:val="Contents5"/>
            <w:tabs>
              <w:tab w:val="clear" w:pos="7892"/>
              <w:tab w:val="right" w:pos="9026" w:leader="dot"/>
            </w:tabs>
            <w:rPr/>
          </w:pPr>
          <w:hyperlink w:anchor="__RefHeading___Toc3862075_3804643083">
            <w:r>
              <w:rPr>
                <w:webHidden/>
                <w:rStyle w:val="IndexLink"/>
                <w:rtl w:val="true"/>
              </w:rPr>
              <w:t>الأوّل</w:t>
            </w:r>
            <w:r>
              <w:rPr>
                <w:rStyle w:val="IndexLink"/>
                <w:rtl w:val="true"/>
              </w:rPr>
              <w:t xml:space="preserve">: </w:t>
            </w:r>
            <w:r>
              <w:rPr>
                <w:rStyle w:val="IndexLink"/>
                <w:rtl w:val="true"/>
              </w:rPr>
              <w:t>ما ذكرنا من حلّيته ما عدا مقدار الحرام تخييرا</w:t>
            </w:r>
            <w:r>
              <w:rPr>
                <w:rStyle w:val="IndexLink"/>
                <w:rtl w:val="true"/>
              </w:rPr>
              <w:tab/>
            </w:r>
            <w:r>
              <w:rPr>
                <w:rStyle w:val="IndexLink"/>
              </w:rPr>
              <w:t>384</w:t>
            </w:r>
          </w:hyperlink>
        </w:p>
        <w:p>
          <w:pPr>
            <w:pStyle w:val="Contents5"/>
            <w:tabs>
              <w:tab w:val="clear" w:pos="7892"/>
              <w:tab w:val="right" w:pos="9026" w:leader="dot"/>
            </w:tabs>
            <w:rPr/>
          </w:pPr>
          <w:hyperlink w:anchor="__RefHeading___Toc3862077_3804643083">
            <w:r>
              <w:rPr>
                <w:webHidden/>
                <w:rStyle w:val="IndexLink"/>
                <w:rtl w:val="true"/>
              </w:rPr>
              <w:t>الثاني</w:t>
            </w:r>
            <w:r>
              <w:rPr>
                <w:rStyle w:val="IndexLink"/>
                <w:rtl w:val="true"/>
              </w:rPr>
              <w:t xml:space="preserve">: </w:t>
            </w:r>
            <w:r>
              <w:rPr>
                <w:rStyle w:val="IndexLink"/>
                <w:rtl w:val="true"/>
              </w:rPr>
              <w:t>قال بعض القائلين باجتناب الجميع</w:t>
            </w:r>
            <w:r>
              <w:rPr>
                <w:rStyle w:val="IndexLink"/>
                <w:rtl w:val="true"/>
              </w:rPr>
              <w:t xml:space="preserve">: </w:t>
            </w:r>
            <w:r>
              <w:rPr>
                <w:rStyle w:val="IndexLink"/>
                <w:rtl w:val="true"/>
              </w:rPr>
              <w:t>لو كان المشتبهان مما يوجد تدريجا،</w:t>
            </w:r>
            <w:r>
              <w:rPr>
                <w:rStyle w:val="IndexLink"/>
                <w:rtl w:val="true"/>
              </w:rPr>
              <w:tab/>
            </w:r>
            <w:r>
              <w:rPr>
                <w:rStyle w:val="IndexLink"/>
              </w:rPr>
              <w:t>385</w:t>
            </w:r>
          </w:hyperlink>
        </w:p>
        <w:p>
          <w:pPr>
            <w:pStyle w:val="Contents5"/>
            <w:tabs>
              <w:tab w:val="clear" w:pos="7892"/>
              <w:tab w:val="right" w:pos="9026" w:leader="dot"/>
            </w:tabs>
            <w:rPr/>
          </w:pPr>
          <w:hyperlink w:anchor="__RefHeading___Toc3862079_3804643083">
            <w:r>
              <w:rPr>
                <w:webHidden/>
                <w:rStyle w:val="IndexLink"/>
                <w:rtl w:val="true"/>
              </w:rPr>
              <w:t>الثالث</w:t>
            </w:r>
            <w:r>
              <w:rPr>
                <w:rStyle w:val="IndexLink"/>
                <w:rtl w:val="true"/>
              </w:rPr>
              <w:t xml:space="preserve">: </w:t>
            </w:r>
            <w:r>
              <w:rPr>
                <w:rStyle w:val="IndexLink"/>
                <w:rtl w:val="true"/>
              </w:rPr>
              <w:t>لا فرق في حكم الشبهة المحصورة في اتحاد حقيقة المشتبهات و اختلافها موضوعا أو فعلا متعلّقا به</w:t>
            </w:r>
            <w:r>
              <w:rPr>
                <w:rStyle w:val="IndexLink"/>
                <w:rtl w:val="true"/>
              </w:rPr>
              <w:t>.</w:t>
              <w:tab/>
            </w:r>
            <w:r>
              <w:rPr>
                <w:rStyle w:val="IndexLink"/>
              </w:rPr>
              <w:t>387</w:t>
            </w:r>
          </w:hyperlink>
        </w:p>
        <w:p>
          <w:pPr>
            <w:pStyle w:val="Contents5"/>
            <w:tabs>
              <w:tab w:val="clear" w:pos="7892"/>
              <w:tab w:val="right" w:pos="9026" w:leader="dot"/>
            </w:tabs>
            <w:rPr/>
          </w:pPr>
          <w:hyperlink w:anchor="__RefHeading___Toc3862081_3804643083">
            <w:r>
              <w:rPr>
                <w:webHidden/>
                <w:rStyle w:val="IndexLink"/>
                <w:rtl w:val="true"/>
              </w:rPr>
              <w:t>الرابع</w:t>
            </w:r>
            <w:r>
              <w:rPr>
                <w:rStyle w:val="IndexLink"/>
                <w:rtl w:val="true"/>
              </w:rPr>
              <w:t xml:space="preserve">: </w:t>
            </w:r>
            <w:r>
              <w:rPr>
                <w:rStyle w:val="IndexLink"/>
                <w:rtl w:val="true"/>
              </w:rPr>
              <w:t>آثار الحرام الواقعي و أحكامه الشرعية لا يترتّب عليه إلّا باستيعاب الجميع دون البعض على ما اخترناه</w:t>
            </w:r>
            <w:r>
              <w:rPr>
                <w:rStyle w:val="IndexLink"/>
                <w:rtl w:val="true"/>
              </w:rPr>
              <w:t>.</w:t>
              <w:tab/>
            </w:r>
            <w:r>
              <w:rPr>
                <w:rStyle w:val="IndexLink"/>
              </w:rPr>
              <w:t>388</w:t>
            </w:r>
          </w:hyperlink>
        </w:p>
        <w:p>
          <w:pPr>
            <w:pStyle w:val="Contents5"/>
            <w:tabs>
              <w:tab w:val="clear" w:pos="7892"/>
              <w:tab w:val="right" w:pos="9026" w:leader="dot"/>
            </w:tabs>
            <w:rPr/>
          </w:pPr>
          <w:hyperlink w:anchor="__RefHeading___Toc3862083_3804643083">
            <w:r>
              <w:rPr>
                <w:webHidden/>
                <w:rStyle w:val="IndexLink"/>
                <w:rtl w:val="true"/>
              </w:rPr>
              <w:t>الخامس</w:t>
            </w:r>
            <w:r>
              <w:rPr>
                <w:rStyle w:val="IndexLink"/>
                <w:rtl w:val="true"/>
              </w:rPr>
              <w:t xml:space="preserve">: </w:t>
            </w:r>
            <w:r>
              <w:rPr>
                <w:rStyle w:val="IndexLink"/>
                <w:rtl w:val="true"/>
              </w:rPr>
              <w:t>إذا لاقى أحد المشتبهين شي‌ء ثالث، لم يحكم بنجاسته على المختار معينا،</w:t>
            </w:r>
            <w:r>
              <w:rPr>
                <w:rStyle w:val="IndexLink"/>
                <w:rtl w:val="true"/>
              </w:rPr>
              <w:tab/>
            </w:r>
            <w:r>
              <w:rPr>
                <w:rStyle w:val="IndexLink"/>
              </w:rPr>
              <w:t>390</w:t>
            </w:r>
          </w:hyperlink>
        </w:p>
        <w:p>
          <w:pPr>
            <w:pStyle w:val="Contents5"/>
            <w:tabs>
              <w:tab w:val="clear" w:pos="7892"/>
              <w:tab w:val="right" w:pos="9026" w:leader="dot"/>
            </w:tabs>
            <w:rPr/>
          </w:pPr>
          <w:hyperlink w:anchor="__RefHeading___Toc3862085_3804643083">
            <w:r>
              <w:rPr>
                <w:webHidden/>
                <w:rStyle w:val="IndexLink"/>
                <w:rtl w:val="true"/>
              </w:rPr>
              <w:t>السادس</w:t>
            </w:r>
            <w:r>
              <w:rPr>
                <w:rStyle w:val="IndexLink"/>
                <w:rtl w:val="true"/>
              </w:rPr>
              <w:t xml:space="preserve">: </w:t>
            </w:r>
            <w:r>
              <w:rPr>
                <w:rStyle w:val="IndexLink"/>
                <w:rtl w:val="true"/>
              </w:rPr>
              <w:t>إذا فقد بعض المحتملات، لم يحرم ارتكاب الباقي على القولين</w:t>
            </w:r>
            <w:r>
              <w:rPr>
                <w:rStyle w:val="IndexLink"/>
                <w:rtl w:val="true"/>
              </w:rPr>
              <w:t>:</w:t>
              <w:tab/>
            </w:r>
            <w:r>
              <w:rPr>
                <w:rStyle w:val="IndexLink"/>
              </w:rPr>
              <w:t>391</w:t>
            </w:r>
          </w:hyperlink>
        </w:p>
        <w:p>
          <w:pPr>
            <w:pStyle w:val="Contents3"/>
            <w:tabs>
              <w:tab w:val="clear" w:pos="8459"/>
              <w:tab w:val="right" w:pos="9026" w:leader="dot"/>
            </w:tabs>
            <w:rPr/>
          </w:pPr>
          <w:hyperlink w:anchor="__RefHeading___Toc3862087_3804643083">
            <w:r>
              <w:rPr>
                <w:webHidden/>
                <w:rStyle w:val="IndexLink"/>
                <w:rtl w:val="true"/>
              </w:rPr>
              <w:t>المقام الثاني</w:t>
            </w:r>
            <w:r>
              <w:rPr>
                <w:rStyle w:val="IndexLink"/>
                <w:rtl w:val="true"/>
              </w:rPr>
              <w:t xml:space="preserve">: </w:t>
            </w:r>
            <w:r>
              <w:rPr>
                <w:rStyle w:val="IndexLink"/>
                <w:rtl w:val="true"/>
              </w:rPr>
              <w:t>في الشبهة الغير المحصورة</w:t>
            </w:r>
            <w:r>
              <w:rPr>
                <w:rStyle w:val="IndexLink"/>
                <w:rtl w:val="true"/>
              </w:rPr>
              <w:t>.</w:t>
              <w:tab/>
            </w:r>
            <w:r>
              <w:rPr>
                <w:rStyle w:val="IndexLink"/>
              </w:rPr>
              <w:t>392</w:t>
            </w:r>
          </w:hyperlink>
        </w:p>
        <w:p>
          <w:pPr>
            <w:pStyle w:val="Contents2"/>
            <w:tabs>
              <w:tab w:val="clear" w:pos="8743"/>
              <w:tab w:val="right" w:pos="9026" w:leader="dot"/>
            </w:tabs>
            <w:rPr/>
          </w:pPr>
          <w:hyperlink w:anchor="__RefHeading___Toc3862089_3804643083">
            <w:r>
              <w:rPr>
                <w:webHidden/>
                <w:rStyle w:val="IndexLink"/>
                <w:rtl w:val="true"/>
              </w:rPr>
              <w:t>[</w:t>
            </w:r>
            <w:r>
              <w:rPr>
                <w:rStyle w:val="IndexLink"/>
                <w:rtl w:val="true"/>
              </w:rPr>
              <w:t>المشرق الثاني و عشرون</w:t>
            </w:r>
            <w:r>
              <w:rPr>
                <w:rStyle w:val="IndexLink"/>
                <w:rtl w:val="true"/>
              </w:rPr>
              <w:t>] [</w:t>
            </w:r>
            <w:r>
              <w:rPr>
                <w:rStyle w:val="IndexLink"/>
                <w:rtl w:val="true"/>
              </w:rPr>
              <w:t>في بيان كيفية الاحتياط</w:t>
            </w:r>
            <w:r>
              <w:rPr>
                <w:rStyle w:val="IndexLink"/>
                <w:rtl w:val="true"/>
              </w:rPr>
              <w:t>]</w:t>
              <w:tab/>
            </w:r>
            <w:r>
              <w:rPr>
                <w:rStyle w:val="IndexLink"/>
              </w:rPr>
              <w:t>395</w:t>
            </w:r>
          </w:hyperlink>
        </w:p>
        <w:p>
          <w:pPr>
            <w:pStyle w:val="Contents3"/>
            <w:tabs>
              <w:tab w:val="clear" w:pos="8459"/>
              <w:tab w:val="right" w:pos="9026" w:leader="dot"/>
            </w:tabs>
            <w:rPr/>
          </w:pPr>
          <w:hyperlink w:anchor="__RefHeading___Toc3862091_3804643083">
            <w:r>
              <w:rPr>
                <w:webHidden/>
                <w:rStyle w:val="IndexLink"/>
                <w:rtl w:val="true"/>
              </w:rPr>
              <w:t>اشارة</w:t>
            </w:r>
            <w:r>
              <w:rPr>
                <w:rStyle w:val="IndexLink"/>
                <w:rtl w:val="true"/>
              </w:rPr>
              <w:tab/>
            </w:r>
            <w:r>
              <w:rPr>
                <w:rStyle w:val="IndexLink"/>
              </w:rPr>
              <w:t>395</w:t>
            </w:r>
          </w:hyperlink>
        </w:p>
        <w:p>
          <w:pPr>
            <w:pStyle w:val="Contents3"/>
            <w:tabs>
              <w:tab w:val="clear" w:pos="8459"/>
              <w:tab w:val="right" w:pos="9026" w:leader="dot"/>
            </w:tabs>
            <w:rPr/>
          </w:pPr>
          <w:hyperlink w:anchor="__RefHeading___Toc3862093_3804643083">
            <w:r>
              <w:rPr>
                <w:webHidden/>
                <w:rStyle w:val="IndexLink"/>
                <w:rtl w:val="true"/>
              </w:rPr>
              <w:t>تنبيهات</w:t>
            </w:r>
            <w:r>
              <w:rPr>
                <w:rStyle w:val="IndexLink"/>
                <w:rtl w:val="true"/>
              </w:rPr>
              <w:t>:</w:t>
              <w:tab/>
            </w:r>
            <w:r>
              <w:rPr>
                <w:rStyle w:val="IndexLink"/>
              </w:rPr>
              <w:t>399</w:t>
            </w:r>
          </w:hyperlink>
        </w:p>
        <w:p>
          <w:pPr>
            <w:pStyle w:val="Contents4"/>
            <w:tabs>
              <w:tab w:val="clear" w:pos="8176"/>
              <w:tab w:val="right" w:pos="9026" w:leader="dot"/>
            </w:tabs>
            <w:rPr/>
          </w:pPr>
          <w:hyperlink w:anchor="__RefHeading___Toc3862095_3804643083">
            <w:r>
              <w:rPr>
                <w:webHidden/>
                <w:rStyle w:val="IndexLink"/>
                <w:rtl w:val="true"/>
              </w:rPr>
              <w:t>الأوّل</w:t>
            </w:r>
            <w:r>
              <w:rPr>
                <w:rStyle w:val="IndexLink"/>
                <w:rtl w:val="true"/>
              </w:rPr>
              <w:t xml:space="preserve">: </w:t>
            </w:r>
            <w:r>
              <w:rPr>
                <w:rStyle w:val="IndexLink"/>
                <w:rtl w:val="true"/>
              </w:rPr>
              <w:t>هل يصحّ الاحتياط قبل الفحص عما يوجب الظنّ المعتبر الاجتهادي مع اليأس عن التمكن من تحصيل العلم بالواقع،</w:t>
            </w:r>
            <w:r>
              <w:rPr>
                <w:rStyle w:val="IndexLink"/>
                <w:rtl w:val="true"/>
              </w:rPr>
              <w:tab/>
            </w:r>
            <w:r>
              <w:rPr>
                <w:rStyle w:val="IndexLink"/>
              </w:rPr>
              <w:t>399</w:t>
            </w:r>
          </w:hyperlink>
        </w:p>
        <w:p>
          <w:pPr>
            <w:pStyle w:val="Contents4"/>
            <w:tabs>
              <w:tab w:val="clear" w:pos="8176"/>
              <w:tab w:val="right" w:pos="9026" w:leader="dot"/>
            </w:tabs>
            <w:rPr/>
          </w:pPr>
          <w:hyperlink w:anchor="__RefHeading___Toc3862097_3804643083">
            <w:r>
              <w:rPr>
                <w:webHidden/>
                <w:rStyle w:val="IndexLink"/>
                <w:rtl w:val="true"/>
              </w:rPr>
              <w:t>الثاني</w:t>
            </w:r>
            <w:r>
              <w:rPr>
                <w:rStyle w:val="IndexLink"/>
                <w:rtl w:val="true"/>
              </w:rPr>
              <w:t xml:space="preserve">: </w:t>
            </w:r>
            <w:r>
              <w:rPr>
                <w:rStyle w:val="IndexLink"/>
                <w:rtl w:val="true"/>
              </w:rPr>
              <w:t>مقتضى ما ذكرنا صحّة الاحتياط فيما إذا دار الأمر بين الوجوب و الاستحباب مطلقا</w:t>
            </w:r>
            <w:r>
              <w:rPr>
                <w:rStyle w:val="IndexLink"/>
                <w:rtl w:val="true"/>
              </w:rPr>
              <w:t>.</w:t>
              <w:tab/>
            </w:r>
            <w:r>
              <w:rPr>
                <w:rStyle w:val="IndexLink"/>
              </w:rPr>
              <w:t>399</w:t>
            </w:r>
          </w:hyperlink>
        </w:p>
        <w:p>
          <w:pPr>
            <w:pStyle w:val="Contents4"/>
            <w:tabs>
              <w:tab w:val="clear" w:pos="8176"/>
              <w:tab w:val="right" w:pos="9026" w:leader="dot"/>
            </w:tabs>
            <w:rPr/>
          </w:pPr>
          <w:hyperlink w:anchor="__RefHeading___Toc3862099_3804643083">
            <w:r>
              <w:rPr>
                <w:webHidden/>
                <w:rStyle w:val="IndexLink"/>
                <w:rtl w:val="true"/>
              </w:rPr>
              <w:t>الثالث</w:t>
            </w:r>
            <w:r>
              <w:rPr>
                <w:rStyle w:val="IndexLink"/>
                <w:rtl w:val="true"/>
              </w:rPr>
              <w:t xml:space="preserve">: </w:t>
            </w:r>
            <w:r>
              <w:rPr>
                <w:rStyle w:val="IndexLink"/>
                <w:rtl w:val="true"/>
              </w:rPr>
              <w:t>هل يصحّ الاحتياط قبل الفحص مع إمكانه في مثل كلمات القرآن و الأدعية</w:t>
            </w:r>
            <w:r>
              <w:rPr>
                <w:rStyle w:val="IndexLink"/>
                <w:rtl w:val="true"/>
              </w:rPr>
              <w:t>-</w:t>
              <w:tab/>
            </w:r>
            <w:r>
              <w:rPr>
                <w:rStyle w:val="IndexLink"/>
              </w:rPr>
              <w:t>399</w:t>
            </w:r>
          </w:hyperlink>
        </w:p>
        <w:p>
          <w:pPr>
            <w:pStyle w:val="Contents4"/>
            <w:tabs>
              <w:tab w:val="clear" w:pos="8176"/>
              <w:tab w:val="right" w:pos="9026" w:leader="dot"/>
            </w:tabs>
            <w:rPr/>
          </w:pPr>
          <w:hyperlink w:anchor="__RefHeading___Toc3862101_3804643083">
            <w:r>
              <w:rPr>
                <w:webHidden/>
                <w:rStyle w:val="IndexLink"/>
                <w:rtl w:val="true"/>
              </w:rPr>
              <w:t>الرابع</w:t>
            </w:r>
            <w:r>
              <w:rPr>
                <w:rStyle w:val="IndexLink"/>
                <w:rtl w:val="true"/>
              </w:rPr>
              <w:t xml:space="preserve">: </w:t>
            </w:r>
            <w:r>
              <w:rPr>
                <w:rStyle w:val="IndexLink"/>
                <w:rtl w:val="true"/>
              </w:rPr>
              <w:t>إذا كان الشك في جزئية شي‌ء للعبادة أو شرطيته مع احتمال مانعيته،</w:t>
            </w:r>
            <w:r>
              <w:rPr>
                <w:rStyle w:val="IndexLink"/>
                <w:rtl w:val="true"/>
              </w:rPr>
              <w:tab/>
            </w:r>
            <w:r>
              <w:rPr>
                <w:rStyle w:val="IndexLink"/>
              </w:rPr>
              <w:t>400</w:t>
            </w:r>
          </w:hyperlink>
        </w:p>
        <w:p>
          <w:pPr>
            <w:pStyle w:val="Contents2"/>
            <w:tabs>
              <w:tab w:val="clear" w:pos="8743"/>
              <w:tab w:val="right" w:pos="9026" w:leader="dot"/>
            </w:tabs>
            <w:rPr/>
          </w:pPr>
          <w:hyperlink w:anchor="__RefHeading___Toc3862103_3804643083">
            <w:r>
              <w:rPr>
                <w:webHidden/>
                <w:rStyle w:val="IndexLink"/>
                <w:rtl w:val="true"/>
              </w:rPr>
              <w:t>[</w:t>
            </w:r>
            <w:r>
              <w:rPr>
                <w:rStyle w:val="IndexLink"/>
                <w:rtl w:val="true"/>
              </w:rPr>
              <w:t>المشرق الثالث و عشرون</w:t>
            </w:r>
            <w:r>
              <w:rPr>
                <w:rStyle w:val="IndexLink"/>
                <w:rtl w:val="true"/>
              </w:rPr>
              <w:t>] [</w:t>
            </w:r>
            <w:r>
              <w:rPr>
                <w:rStyle w:val="IndexLink"/>
                <w:rtl w:val="true"/>
              </w:rPr>
              <w:t>في حكم الإعراض عن الملك</w:t>
            </w:r>
            <w:r>
              <w:rPr>
                <w:rStyle w:val="IndexLink"/>
                <w:rtl w:val="true"/>
              </w:rPr>
              <w:t>]</w:t>
              <w:tab/>
            </w:r>
            <w:r>
              <w:rPr>
                <w:rStyle w:val="IndexLink"/>
              </w:rPr>
              <w:t>401</w:t>
            </w:r>
          </w:hyperlink>
        </w:p>
        <w:p>
          <w:pPr>
            <w:pStyle w:val="Contents3"/>
            <w:tabs>
              <w:tab w:val="clear" w:pos="8459"/>
              <w:tab w:val="right" w:pos="9026" w:leader="dot"/>
            </w:tabs>
            <w:rPr/>
          </w:pPr>
          <w:hyperlink w:anchor="__RefHeading___Toc3862105_380464308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3862107_3804643083">
            <w:r>
              <w:rPr>
                <w:webHidden/>
                <w:rStyle w:val="IndexLink"/>
                <w:rtl w:val="true"/>
              </w:rPr>
              <w:t>فرع</w:t>
            </w:r>
            <w:r>
              <w:rPr>
                <w:rStyle w:val="IndexLink"/>
                <w:rtl w:val="true"/>
              </w:rPr>
              <w:t xml:space="preserve">: </w:t>
            </w:r>
            <w:r>
              <w:rPr>
                <w:rStyle w:val="IndexLink"/>
                <w:rtl w:val="true"/>
              </w:rPr>
              <w:t>إذ انبتت الحبوب المتشتة في شقوق الأرض حتى صارت زرعا،</w:t>
            </w:r>
            <w:r>
              <w:rPr>
                <w:rStyle w:val="IndexLink"/>
                <w:rtl w:val="true"/>
              </w:rPr>
              <w:tab/>
            </w:r>
            <w:r>
              <w:rPr>
                <w:rStyle w:val="IndexLink"/>
              </w:rPr>
              <w:t>408</w:t>
            </w:r>
          </w:hyperlink>
        </w:p>
        <w:p>
          <w:pPr>
            <w:pStyle w:val="Contents2"/>
            <w:tabs>
              <w:tab w:val="clear" w:pos="8743"/>
              <w:tab w:val="right" w:pos="9026" w:leader="dot"/>
            </w:tabs>
            <w:rPr/>
          </w:pPr>
          <w:hyperlink w:anchor="__RefHeading___Toc3862109_3804643083">
            <w:r>
              <w:rPr>
                <w:webHidden/>
                <w:rStyle w:val="IndexLink"/>
                <w:rtl w:val="true"/>
              </w:rPr>
              <w:t>[</w:t>
            </w:r>
            <w:r>
              <w:rPr>
                <w:rStyle w:val="IndexLink"/>
                <w:rtl w:val="true"/>
              </w:rPr>
              <w:t>المشرق الرابع و عشرون</w:t>
            </w:r>
            <w:r>
              <w:rPr>
                <w:rStyle w:val="IndexLink"/>
                <w:rtl w:val="true"/>
              </w:rPr>
              <w:t>] [</w:t>
            </w:r>
            <w:r>
              <w:rPr>
                <w:rStyle w:val="IndexLink"/>
                <w:rtl w:val="true"/>
              </w:rPr>
              <w:t>في بيان قاعدة الضمان</w:t>
            </w:r>
            <w:r>
              <w:rPr>
                <w:rStyle w:val="IndexLink"/>
                <w:rtl w:val="true"/>
              </w:rPr>
              <w:t>]</w:t>
              <w:tab/>
            </w:r>
            <w:r>
              <w:rPr>
                <w:rStyle w:val="IndexLink"/>
              </w:rPr>
              <w:t>410</w:t>
            </w:r>
          </w:hyperlink>
        </w:p>
        <w:p>
          <w:pPr>
            <w:pStyle w:val="Contents3"/>
            <w:tabs>
              <w:tab w:val="clear" w:pos="8459"/>
              <w:tab w:val="right" w:pos="9026" w:leader="dot"/>
            </w:tabs>
            <w:rPr/>
          </w:pPr>
          <w:hyperlink w:anchor="__RefHeading___Toc3862111_380464308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3862113_3804643083">
            <w:r>
              <w:rPr>
                <w:webHidden/>
                <w:rStyle w:val="IndexLink"/>
                <w:rtl w:val="true"/>
              </w:rPr>
              <w:t>البحث الأوّل</w:t>
            </w:r>
            <w:r>
              <w:rPr>
                <w:rStyle w:val="IndexLink"/>
                <w:rtl w:val="true"/>
              </w:rPr>
              <w:t xml:space="preserve">: </w:t>
            </w:r>
            <w:r>
              <w:rPr>
                <w:rStyle w:val="IndexLink"/>
                <w:rtl w:val="true"/>
              </w:rPr>
              <w:t>في إثبات اليد الموجب للضمان،</w:t>
            </w:r>
            <w:r>
              <w:rPr>
                <w:rStyle w:val="IndexLink"/>
                <w:rtl w:val="true"/>
              </w:rPr>
              <w:tab/>
            </w:r>
            <w:r>
              <w:rPr>
                <w:rStyle w:val="IndexLink"/>
              </w:rPr>
              <w:t>410</w:t>
            </w:r>
          </w:hyperlink>
        </w:p>
        <w:p>
          <w:pPr>
            <w:pStyle w:val="Contents4"/>
            <w:tabs>
              <w:tab w:val="clear" w:pos="8176"/>
              <w:tab w:val="right" w:pos="9026" w:leader="dot"/>
            </w:tabs>
            <w:rPr/>
          </w:pPr>
          <w:hyperlink w:anchor="__RefHeading___Toc3862115_3804643083">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3862117_3804643083">
            <w:r>
              <w:rPr>
                <w:webHidden/>
                <w:rStyle w:val="IndexLink"/>
                <w:rtl w:val="true"/>
              </w:rPr>
              <w:t>تكميل و تفريع</w:t>
            </w:r>
            <w:r>
              <w:rPr>
                <w:rStyle w:val="IndexLink"/>
                <w:rtl w:val="true"/>
              </w:rPr>
              <w:t>:</w:t>
              <w:tab/>
            </w:r>
            <w:r>
              <w:rPr>
                <w:rStyle w:val="IndexLink"/>
              </w:rPr>
              <w:t>412</w:t>
            </w:r>
          </w:hyperlink>
        </w:p>
        <w:p>
          <w:pPr>
            <w:pStyle w:val="Contents3"/>
            <w:tabs>
              <w:tab w:val="clear" w:pos="8459"/>
              <w:tab w:val="right" w:pos="9026" w:leader="dot"/>
            </w:tabs>
            <w:rPr/>
          </w:pPr>
          <w:hyperlink w:anchor="__RefHeading___Toc3862119_3804643083">
            <w:r>
              <w:rPr>
                <w:webHidden/>
                <w:rStyle w:val="IndexLink"/>
                <w:rtl w:val="true"/>
              </w:rPr>
              <w:t>البحث الثاني</w:t>
            </w:r>
            <w:r>
              <w:rPr>
                <w:rStyle w:val="IndexLink"/>
                <w:rtl w:val="true"/>
              </w:rPr>
              <w:t xml:space="preserve">: </w:t>
            </w:r>
            <w:r>
              <w:rPr>
                <w:rStyle w:val="IndexLink"/>
                <w:rtl w:val="true"/>
              </w:rPr>
              <w:t>في المباشرة و التسبيب،</w:t>
            </w:r>
            <w:r>
              <w:rPr>
                <w:rStyle w:val="IndexLink"/>
                <w:rtl w:val="true"/>
              </w:rPr>
              <w:tab/>
            </w:r>
            <w:r>
              <w:rPr>
                <w:rStyle w:val="IndexLink"/>
              </w:rPr>
              <w:t>416</w:t>
            </w:r>
          </w:hyperlink>
        </w:p>
        <w:p>
          <w:pPr>
            <w:pStyle w:val="Contents4"/>
            <w:tabs>
              <w:tab w:val="clear" w:pos="8176"/>
              <w:tab w:val="right" w:pos="9026" w:leader="dot"/>
            </w:tabs>
            <w:rPr/>
          </w:pPr>
          <w:hyperlink w:anchor="__RefHeading___Toc3862121_3804643083">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3862123_3804643083">
            <w:r>
              <w:rPr>
                <w:webHidden/>
                <w:rStyle w:val="IndexLink"/>
                <w:rtl w:val="true"/>
              </w:rPr>
              <w:t>تتميم</w:t>
            </w:r>
            <w:r>
              <w:rPr>
                <w:rStyle w:val="IndexLink"/>
                <w:rtl w:val="true"/>
              </w:rPr>
              <w:t xml:space="preserve">: </w:t>
            </w:r>
            <w:r>
              <w:rPr>
                <w:rStyle w:val="IndexLink"/>
                <w:rtl w:val="true"/>
              </w:rPr>
              <w:t>اختلفوا في الضمان في موارد من باب الشروط ذكروا أمثلتها</w:t>
            </w:r>
            <w:r>
              <w:rPr>
                <w:rStyle w:val="IndexLink"/>
                <w:rtl w:val="true"/>
              </w:rPr>
              <w:t>.</w:t>
              <w:tab/>
            </w:r>
            <w:r>
              <w:rPr>
                <w:rStyle w:val="IndexLink"/>
              </w:rPr>
              <w:t>425</w:t>
            </w:r>
          </w:hyperlink>
        </w:p>
        <w:p>
          <w:pPr>
            <w:pStyle w:val="Contents2"/>
            <w:tabs>
              <w:tab w:val="clear" w:pos="8743"/>
              <w:tab w:val="right" w:pos="9026" w:leader="dot"/>
            </w:tabs>
            <w:rPr/>
          </w:pPr>
          <w:hyperlink w:anchor="__RefHeading___Toc3862125_3804643083">
            <w:r>
              <w:rPr>
                <w:webHidden/>
                <w:rStyle w:val="IndexLink"/>
                <w:rtl w:val="true"/>
              </w:rPr>
              <w:t>[</w:t>
            </w:r>
            <w:r>
              <w:rPr>
                <w:rStyle w:val="IndexLink"/>
                <w:rtl w:val="true"/>
              </w:rPr>
              <w:t>المشرق الخامس و عشرون</w:t>
            </w:r>
            <w:r>
              <w:rPr>
                <w:rStyle w:val="IndexLink"/>
                <w:rtl w:val="true"/>
              </w:rPr>
              <w:t>] [</w:t>
            </w:r>
            <w:r>
              <w:rPr>
                <w:rStyle w:val="IndexLink"/>
                <w:rtl w:val="true"/>
              </w:rPr>
              <w:t>في الوكالة</w:t>
            </w:r>
            <w:r>
              <w:rPr>
                <w:rStyle w:val="IndexLink"/>
                <w:rtl w:val="true"/>
              </w:rPr>
              <w:t>]</w:t>
              <w:tab/>
            </w:r>
            <w:r>
              <w:rPr>
                <w:rStyle w:val="IndexLink"/>
              </w:rPr>
              <w:t>429</w:t>
            </w:r>
          </w:hyperlink>
        </w:p>
        <w:p>
          <w:pPr>
            <w:pStyle w:val="Contents3"/>
            <w:tabs>
              <w:tab w:val="clear" w:pos="8459"/>
              <w:tab w:val="right" w:pos="9026" w:leader="dot"/>
            </w:tabs>
            <w:rPr/>
          </w:pPr>
          <w:hyperlink w:anchor="__RefHeading___Toc3862127_3804643083">
            <w:r>
              <w:rPr>
                <w:webHidden/>
                <w:rStyle w:val="IndexLink"/>
                <w:rtl w:val="true"/>
              </w:rPr>
              <w:t>اشارة</w:t>
            </w:r>
            <w:r>
              <w:rPr>
                <w:rStyle w:val="IndexLink"/>
                <w:rtl w:val="true"/>
              </w:rPr>
              <w:tab/>
            </w:r>
            <w:r>
              <w:rPr>
                <w:rStyle w:val="IndexLink"/>
              </w:rPr>
              <w:t>429</w:t>
            </w:r>
          </w:hyperlink>
        </w:p>
        <w:p>
          <w:pPr>
            <w:pStyle w:val="Contents3"/>
            <w:tabs>
              <w:tab w:val="clear" w:pos="8459"/>
              <w:tab w:val="right" w:pos="9026" w:leader="dot"/>
            </w:tabs>
            <w:rPr/>
          </w:pPr>
          <w:hyperlink w:anchor="__RefHeading___Toc3862129_3804643083">
            <w:r>
              <w:rPr>
                <w:webHidden/>
                <w:rStyle w:val="IndexLink"/>
                <w:rtl w:val="true"/>
              </w:rPr>
              <w:t>مسألة</w:t>
            </w:r>
            <w:r>
              <w:rPr>
                <w:rStyle w:val="IndexLink"/>
                <w:rtl w:val="true"/>
              </w:rPr>
              <w:t xml:space="preserve">: </w:t>
            </w:r>
            <w:r>
              <w:rPr>
                <w:rStyle w:val="IndexLink"/>
                <w:rtl w:val="true"/>
              </w:rPr>
              <w:t>ظاهر الأصحاب</w:t>
            </w:r>
            <w:r>
              <w:rPr>
                <w:rStyle w:val="IndexLink"/>
                <w:rtl w:val="true"/>
              </w:rPr>
              <w:t xml:space="preserve">: </w:t>
            </w:r>
            <w:r>
              <w:rPr>
                <w:rStyle w:val="IndexLink"/>
                <w:rtl w:val="true"/>
              </w:rPr>
              <w:t>كون الوكالة من العقود،</w:t>
            </w:r>
            <w:r>
              <w:rPr>
                <w:rStyle w:val="IndexLink"/>
                <w:rtl w:val="true"/>
              </w:rPr>
              <w:tab/>
            </w:r>
            <w:r>
              <w:rPr>
                <w:rStyle w:val="IndexLink"/>
              </w:rPr>
              <w:t>429</w:t>
            </w:r>
          </w:hyperlink>
        </w:p>
        <w:p>
          <w:pPr>
            <w:pStyle w:val="Contents4"/>
            <w:tabs>
              <w:tab w:val="clear" w:pos="8176"/>
              <w:tab w:val="right" w:pos="9026" w:leader="dot"/>
            </w:tabs>
            <w:rPr/>
          </w:pPr>
          <w:hyperlink w:anchor="__RefHeading___Toc3862131_380464308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3862133_3804643083">
            <w:r>
              <w:rPr>
                <w:webHidden/>
                <w:rStyle w:val="IndexLink"/>
                <w:rtl w:val="true"/>
              </w:rPr>
              <w:t>فروع</w:t>
            </w:r>
            <w:r>
              <w:rPr>
                <w:rStyle w:val="IndexLink"/>
                <w:rtl w:val="true"/>
              </w:rPr>
              <w:t>:</w:t>
              <w:tab/>
            </w:r>
            <w:r>
              <w:rPr>
                <w:rStyle w:val="IndexLink"/>
              </w:rPr>
              <w:t>430</w:t>
            </w:r>
          </w:hyperlink>
        </w:p>
        <w:p>
          <w:pPr>
            <w:pStyle w:val="Contents5"/>
            <w:tabs>
              <w:tab w:val="clear" w:pos="7892"/>
              <w:tab w:val="right" w:pos="9026" w:leader="dot"/>
            </w:tabs>
            <w:rPr/>
          </w:pPr>
          <w:hyperlink w:anchor="__RefHeading___Toc3862135_3804643083">
            <w:r>
              <w:rPr>
                <w:webHidden/>
                <w:rStyle w:val="IndexLink"/>
                <w:rtl w:val="true"/>
              </w:rPr>
              <w:t>الأوّل</w:t>
            </w:r>
            <w:r>
              <w:rPr>
                <w:rStyle w:val="IndexLink"/>
                <w:rtl w:val="true"/>
              </w:rPr>
              <w:t xml:space="preserve">: </w:t>
            </w:r>
            <w:r>
              <w:rPr>
                <w:rStyle w:val="IndexLink"/>
                <w:rtl w:val="true"/>
              </w:rPr>
              <w:t>إذا قال</w:t>
            </w:r>
            <w:r>
              <w:rPr>
                <w:rStyle w:val="IndexLink"/>
                <w:rtl w:val="true"/>
              </w:rPr>
              <w:t xml:space="preserve">: </w:t>
            </w:r>
            <w:r>
              <w:rPr>
                <w:rStyle w:val="IndexLink"/>
                <w:rtl w:val="true"/>
              </w:rPr>
              <w:t>بع فرسي، أو طلّق زوجتي، فلا شكّ أنه ليس من المعاطاة</w:t>
            </w:r>
            <w:r>
              <w:rPr>
                <w:rStyle w:val="IndexLink"/>
                <w:rtl w:val="true"/>
              </w:rPr>
              <w:t>:</w:t>
              <w:tab/>
            </w:r>
            <w:r>
              <w:rPr>
                <w:rStyle w:val="IndexLink"/>
              </w:rPr>
              <w:t>430</w:t>
            </w:r>
          </w:hyperlink>
        </w:p>
        <w:p>
          <w:pPr>
            <w:pStyle w:val="Contents5"/>
            <w:tabs>
              <w:tab w:val="clear" w:pos="7892"/>
              <w:tab w:val="right" w:pos="9026" w:leader="dot"/>
            </w:tabs>
            <w:rPr/>
          </w:pPr>
          <w:hyperlink w:anchor="__RefHeading___Toc3862137_3804643083">
            <w:r>
              <w:rPr>
                <w:webHidden/>
                <w:rStyle w:val="IndexLink"/>
                <w:rtl w:val="true"/>
              </w:rPr>
              <w:t>الثاني</w:t>
            </w:r>
            <w:r>
              <w:rPr>
                <w:rStyle w:val="IndexLink"/>
                <w:rtl w:val="true"/>
              </w:rPr>
              <w:t xml:space="preserve">: </w:t>
            </w:r>
            <w:r>
              <w:rPr>
                <w:rStyle w:val="IndexLink"/>
                <w:rtl w:val="true"/>
              </w:rPr>
              <w:t>يتحقّق قبول الوكالة بنفس الفعل الموكّل فيه، و لا يلزم كونه أجنبيا،</w:t>
            </w:r>
            <w:r>
              <w:rPr>
                <w:rStyle w:val="IndexLink"/>
                <w:rtl w:val="true"/>
              </w:rPr>
              <w:tab/>
            </w:r>
            <w:r>
              <w:rPr>
                <w:rStyle w:val="IndexLink"/>
              </w:rPr>
              <w:t>430</w:t>
            </w:r>
          </w:hyperlink>
        </w:p>
        <w:p>
          <w:pPr>
            <w:pStyle w:val="Contents5"/>
            <w:tabs>
              <w:tab w:val="clear" w:pos="7892"/>
              <w:tab w:val="right" w:pos="9026" w:leader="dot"/>
            </w:tabs>
            <w:rPr/>
          </w:pPr>
          <w:hyperlink w:anchor="__RefHeading___Toc3862139_3804643083">
            <w:r>
              <w:rPr>
                <w:webHidden/>
                <w:rStyle w:val="IndexLink"/>
                <w:rtl w:val="true"/>
              </w:rPr>
              <w:t>الثالث</w:t>
            </w:r>
            <w:r>
              <w:rPr>
                <w:rStyle w:val="IndexLink"/>
                <w:rtl w:val="true"/>
              </w:rPr>
              <w:t xml:space="preserve">: </w:t>
            </w:r>
            <w:r>
              <w:rPr>
                <w:rStyle w:val="IndexLink"/>
                <w:rtl w:val="true"/>
              </w:rPr>
              <w:t>يجوز تأخر القبول الفعلي و لو إلى سنة إجماعا،</w:t>
            </w:r>
            <w:r>
              <w:rPr>
                <w:rStyle w:val="IndexLink"/>
                <w:rtl w:val="true"/>
              </w:rPr>
              <w:tab/>
            </w:r>
            <w:r>
              <w:rPr>
                <w:rStyle w:val="IndexLink"/>
              </w:rPr>
              <w:t>431</w:t>
            </w:r>
          </w:hyperlink>
        </w:p>
        <w:p>
          <w:pPr>
            <w:pStyle w:val="Contents5"/>
            <w:tabs>
              <w:tab w:val="clear" w:pos="7892"/>
              <w:tab w:val="right" w:pos="9026" w:leader="dot"/>
            </w:tabs>
            <w:rPr/>
          </w:pPr>
          <w:hyperlink w:anchor="__RefHeading___Toc3862141_3804643083">
            <w:r>
              <w:rPr>
                <w:webHidden/>
                <w:rStyle w:val="IndexLink"/>
                <w:rtl w:val="true"/>
              </w:rPr>
              <w:t>الرابع</w:t>
            </w:r>
            <w:r>
              <w:rPr>
                <w:rStyle w:val="IndexLink"/>
                <w:rtl w:val="true"/>
              </w:rPr>
              <w:t xml:space="preserve">: </w:t>
            </w:r>
            <w:r>
              <w:rPr>
                <w:rStyle w:val="IndexLink"/>
                <w:rtl w:val="true"/>
              </w:rPr>
              <w:t>للموكّل عزل الوكيل، بشرط إعلامه بالعزل،</w:t>
            </w:r>
            <w:r>
              <w:rPr>
                <w:rStyle w:val="IndexLink"/>
                <w:rtl w:val="true"/>
              </w:rPr>
              <w:tab/>
            </w:r>
            <w:r>
              <w:rPr>
                <w:rStyle w:val="IndexLink"/>
              </w:rPr>
              <w:t>431</w:t>
            </w:r>
          </w:hyperlink>
        </w:p>
        <w:p>
          <w:pPr>
            <w:pStyle w:val="Contents3"/>
            <w:tabs>
              <w:tab w:val="clear" w:pos="8459"/>
              <w:tab w:val="right" w:pos="9026" w:leader="dot"/>
            </w:tabs>
            <w:rPr/>
          </w:pPr>
          <w:hyperlink w:anchor="__RefHeading___Toc3862143_3804643083">
            <w:r>
              <w:rPr>
                <w:webHidden/>
                <w:rStyle w:val="IndexLink"/>
                <w:rtl w:val="true"/>
              </w:rPr>
              <w:t>مسألة</w:t>
            </w:r>
            <w:r>
              <w:rPr>
                <w:rStyle w:val="IndexLink"/>
                <w:rtl w:val="true"/>
              </w:rPr>
              <w:t xml:space="preserve">: </w:t>
            </w:r>
            <w:r>
              <w:rPr>
                <w:rStyle w:val="IndexLink"/>
                <w:rtl w:val="true"/>
              </w:rPr>
              <w:t>يشترط في الوكالة وقوعها منجزّة، كسائر العقود،</w:t>
            </w:r>
            <w:r>
              <w:rPr>
                <w:rStyle w:val="IndexLink"/>
                <w:rtl w:val="true"/>
              </w:rPr>
              <w:tab/>
            </w:r>
            <w:r>
              <w:rPr>
                <w:rStyle w:val="IndexLink"/>
              </w:rPr>
              <w:t>431</w:t>
            </w:r>
          </w:hyperlink>
        </w:p>
        <w:p>
          <w:pPr>
            <w:pStyle w:val="Contents4"/>
            <w:tabs>
              <w:tab w:val="clear" w:pos="8176"/>
              <w:tab w:val="right" w:pos="9026" w:leader="dot"/>
            </w:tabs>
            <w:rPr/>
          </w:pPr>
          <w:hyperlink w:anchor="__RefHeading___Toc3862145_380464308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3862147_3804643083">
            <w:r>
              <w:rPr>
                <w:webHidden/>
                <w:rStyle w:val="IndexLink"/>
                <w:rtl w:val="true"/>
              </w:rPr>
              <w:t>فروع</w:t>
            </w:r>
            <w:r>
              <w:rPr>
                <w:rStyle w:val="IndexLink"/>
                <w:rtl w:val="true"/>
              </w:rPr>
              <w:t>:</w:t>
              <w:tab/>
            </w:r>
            <w:r>
              <w:rPr>
                <w:rStyle w:val="IndexLink"/>
              </w:rPr>
              <w:t>432</w:t>
            </w:r>
          </w:hyperlink>
        </w:p>
        <w:p>
          <w:pPr>
            <w:pStyle w:val="Contents5"/>
            <w:tabs>
              <w:tab w:val="clear" w:pos="7892"/>
              <w:tab w:val="right" w:pos="9026" w:leader="dot"/>
            </w:tabs>
            <w:rPr/>
          </w:pPr>
          <w:hyperlink w:anchor="__RefHeading___Toc3862149_3804643083">
            <w:r>
              <w:rPr>
                <w:webHidden/>
                <w:rStyle w:val="IndexLink"/>
                <w:rtl w:val="true"/>
              </w:rPr>
              <w:t>الأوّل</w:t>
            </w:r>
            <w:r>
              <w:rPr>
                <w:rStyle w:val="IndexLink"/>
                <w:rtl w:val="true"/>
              </w:rPr>
              <w:t xml:space="preserve">: </w:t>
            </w:r>
            <w:r>
              <w:rPr>
                <w:rStyle w:val="IndexLink"/>
                <w:rtl w:val="true"/>
              </w:rPr>
              <w:t>لا خلاف ظاهرا في جواز تعليق الموكّل فيه،</w:t>
            </w:r>
            <w:r>
              <w:rPr>
                <w:rStyle w:val="IndexLink"/>
                <w:rtl w:val="true"/>
              </w:rPr>
              <w:tab/>
            </w:r>
            <w:r>
              <w:rPr>
                <w:rStyle w:val="IndexLink"/>
              </w:rPr>
              <w:t>432</w:t>
            </w:r>
          </w:hyperlink>
        </w:p>
        <w:p>
          <w:pPr>
            <w:pStyle w:val="Contents5"/>
            <w:tabs>
              <w:tab w:val="clear" w:pos="7892"/>
              <w:tab w:val="right" w:pos="9026" w:leader="dot"/>
            </w:tabs>
            <w:rPr/>
          </w:pPr>
          <w:hyperlink w:anchor="__RefHeading___Toc3862151_3804643083">
            <w:r>
              <w:rPr>
                <w:webHidden/>
                <w:rStyle w:val="IndexLink"/>
                <w:rtl w:val="true"/>
              </w:rPr>
              <w:t>الثاني</w:t>
            </w:r>
            <w:r>
              <w:rPr>
                <w:rStyle w:val="IndexLink"/>
                <w:rtl w:val="true"/>
              </w:rPr>
              <w:t xml:space="preserve">: </w:t>
            </w:r>
            <w:r>
              <w:rPr>
                <w:rStyle w:val="IndexLink"/>
                <w:rtl w:val="true"/>
              </w:rPr>
              <w:t>اختلفوا في صحّة التصرف في الوكالة المعلّقة عند حصول المعلق عليه</w:t>
            </w:r>
            <w:r>
              <w:rPr>
                <w:rStyle w:val="IndexLink"/>
                <w:rtl w:val="true"/>
              </w:rPr>
              <w:tab/>
            </w:r>
            <w:r>
              <w:rPr>
                <w:rStyle w:val="IndexLink"/>
              </w:rPr>
              <w:t>432</w:t>
            </w:r>
          </w:hyperlink>
        </w:p>
        <w:p>
          <w:pPr>
            <w:pStyle w:val="Contents5"/>
            <w:tabs>
              <w:tab w:val="clear" w:pos="7892"/>
              <w:tab w:val="right" w:pos="9026" w:leader="dot"/>
            </w:tabs>
            <w:rPr/>
          </w:pPr>
          <w:hyperlink w:anchor="__RefHeading___Toc3862153_3804643083">
            <w:r>
              <w:rPr>
                <w:webHidden/>
                <w:rStyle w:val="IndexLink"/>
                <w:rtl w:val="true"/>
              </w:rPr>
              <w:t>الثالث</w:t>
            </w:r>
            <w:r>
              <w:rPr>
                <w:rStyle w:val="IndexLink"/>
                <w:rtl w:val="true"/>
              </w:rPr>
              <w:t xml:space="preserve">: </w:t>
            </w:r>
            <w:r>
              <w:rPr>
                <w:rStyle w:val="IndexLink"/>
                <w:rtl w:val="true"/>
              </w:rPr>
              <w:t>إذا علمت بطلان التوكيل بتعليقه على شرط أو زمان متجدّد،</w:t>
            </w:r>
            <w:r>
              <w:rPr>
                <w:rStyle w:val="IndexLink"/>
                <w:rtl w:val="true"/>
              </w:rPr>
              <w:tab/>
            </w:r>
            <w:r>
              <w:rPr>
                <w:rStyle w:val="IndexLink"/>
              </w:rPr>
              <w:t>434</w:t>
            </w:r>
          </w:hyperlink>
        </w:p>
        <w:p>
          <w:pPr>
            <w:pStyle w:val="Contents5"/>
            <w:tabs>
              <w:tab w:val="clear" w:pos="7892"/>
              <w:tab w:val="right" w:pos="9026" w:leader="dot"/>
            </w:tabs>
            <w:rPr/>
          </w:pPr>
          <w:hyperlink w:anchor="__RefHeading___Toc3862155_3804643083">
            <w:r>
              <w:rPr>
                <w:webHidden/>
                <w:rStyle w:val="IndexLink"/>
                <w:rtl w:val="true"/>
              </w:rPr>
              <w:t>الرابع</w:t>
            </w:r>
            <w:r>
              <w:rPr>
                <w:rStyle w:val="IndexLink"/>
                <w:rtl w:val="true"/>
              </w:rPr>
              <w:t xml:space="preserve">: </w:t>
            </w:r>
            <w:r>
              <w:rPr>
                <w:rStyle w:val="IndexLink"/>
                <w:rtl w:val="true"/>
              </w:rPr>
              <w:t>لو وكّله في بيع شي‌ء معلقا بكونه ملكا له،</w:t>
            </w:r>
            <w:r>
              <w:rPr>
                <w:rStyle w:val="IndexLink"/>
                <w:rtl w:val="true"/>
              </w:rPr>
              <w:tab/>
            </w:r>
            <w:r>
              <w:rPr>
                <w:rStyle w:val="IndexLink"/>
              </w:rPr>
              <w:t>434</w:t>
            </w:r>
          </w:hyperlink>
        </w:p>
        <w:p>
          <w:pPr>
            <w:pStyle w:val="Contents3"/>
            <w:tabs>
              <w:tab w:val="clear" w:pos="8459"/>
              <w:tab w:val="right" w:pos="9026" w:leader="dot"/>
            </w:tabs>
            <w:rPr/>
          </w:pPr>
          <w:hyperlink w:anchor="__RefHeading___Toc3862157_3804643083">
            <w:r>
              <w:rPr>
                <w:webHidden/>
                <w:rStyle w:val="IndexLink"/>
                <w:rtl w:val="true"/>
              </w:rPr>
              <w:t>مسألة</w:t>
            </w:r>
            <w:r>
              <w:rPr>
                <w:rStyle w:val="IndexLink"/>
                <w:rtl w:val="true"/>
              </w:rPr>
              <w:t xml:space="preserve">: </w:t>
            </w:r>
            <w:r>
              <w:rPr>
                <w:rStyle w:val="IndexLink"/>
                <w:rtl w:val="true"/>
              </w:rPr>
              <w:t>تبطل الوكالة بأمور</w:t>
            </w:r>
            <w:r>
              <w:rPr>
                <w:rStyle w:val="IndexLink"/>
                <w:rtl w:val="true"/>
              </w:rPr>
              <w:t>:</w:t>
              <w:tab/>
            </w:r>
            <w:r>
              <w:rPr>
                <w:rStyle w:val="IndexLink"/>
              </w:rPr>
              <w:t>435</w:t>
            </w:r>
          </w:hyperlink>
        </w:p>
        <w:p>
          <w:pPr>
            <w:pStyle w:val="Contents4"/>
            <w:tabs>
              <w:tab w:val="clear" w:pos="8176"/>
              <w:tab w:val="right" w:pos="9026" w:leader="dot"/>
            </w:tabs>
            <w:rPr/>
          </w:pPr>
          <w:hyperlink w:anchor="__RefHeading___Toc3862159_3804643083">
            <w:r>
              <w:rPr>
                <w:webHidden/>
                <w:rStyle w:val="IndexLink"/>
                <w:rtl w:val="true"/>
              </w:rPr>
              <w:t>منها عزل الوكيل نفسه</w:t>
            </w:r>
            <w:r>
              <w:rPr>
                <w:rStyle w:val="IndexLink"/>
                <w:rtl w:val="true"/>
              </w:rPr>
              <w:t>:</w:t>
              <w:tab/>
            </w:r>
            <w:r>
              <w:rPr>
                <w:rStyle w:val="IndexLink"/>
              </w:rPr>
              <w:t>435</w:t>
            </w:r>
          </w:hyperlink>
        </w:p>
        <w:p>
          <w:pPr>
            <w:pStyle w:val="Contents4"/>
            <w:tabs>
              <w:tab w:val="clear" w:pos="8176"/>
              <w:tab w:val="right" w:pos="9026" w:leader="dot"/>
            </w:tabs>
            <w:rPr/>
          </w:pPr>
          <w:hyperlink w:anchor="__RefHeading___Toc3862161_3804643083">
            <w:r>
              <w:rPr>
                <w:webHidden/>
                <w:rStyle w:val="IndexLink"/>
                <w:rtl w:val="true"/>
              </w:rPr>
              <w:t>و منها</w:t>
            </w:r>
            <w:r>
              <w:rPr>
                <w:rStyle w:val="IndexLink"/>
                <w:rtl w:val="true"/>
              </w:rPr>
              <w:t xml:space="preserve">: </w:t>
            </w:r>
            <w:r>
              <w:rPr>
                <w:rStyle w:val="IndexLink"/>
                <w:rtl w:val="true"/>
              </w:rPr>
              <w:t>انقطاع تسلّط الموكل على التصرف حين تصرّف الوكيل،</w:t>
            </w:r>
            <w:r>
              <w:rPr>
                <w:rStyle w:val="IndexLink"/>
                <w:rtl w:val="true"/>
              </w:rPr>
              <w:tab/>
            </w:r>
            <w:r>
              <w:rPr>
                <w:rStyle w:val="IndexLink"/>
              </w:rPr>
              <w:t>436</w:t>
            </w:r>
          </w:hyperlink>
        </w:p>
        <w:p>
          <w:pPr>
            <w:pStyle w:val="Contents4"/>
            <w:tabs>
              <w:tab w:val="clear" w:pos="8176"/>
              <w:tab w:val="right" w:pos="9026" w:leader="dot"/>
            </w:tabs>
            <w:rPr/>
          </w:pPr>
          <w:hyperlink w:anchor="__RefHeading___Toc3862163_3804643083">
            <w:r>
              <w:rPr>
                <w:webHidden/>
                <w:rStyle w:val="IndexLink"/>
                <w:rtl w:val="true"/>
              </w:rPr>
              <w:t>و منها</w:t>
            </w:r>
            <w:r>
              <w:rPr>
                <w:rStyle w:val="IndexLink"/>
                <w:rtl w:val="true"/>
              </w:rPr>
              <w:t xml:space="preserve">: </w:t>
            </w:r>
            <w:r>
              <w:rPr>
                <w:rStyle w:val="IndexLink"/>
                <w:rtl w:val="true"/>
              </w:rPr>
              <w:t>عزل الموكّل الوكيل،</w:t>
            </w:r>
            <w:r>
              <w:rPr>
                <w:rStyle w:val="IndexLink"/>
                <w:rtl w:val="true"/>
              </w:rPr>
              <w:tab/>
            </w:r>
            <w:r>
              <w:rPr>
                <w:rStyle w:val="IndexLink"/>
              </w:rPr>
              <w:t>437</w:t>
            </w:r>
          </w:hyperlink>
        </w:p>
        <w:p>
          <w:pPr>
            <w:pStyle w:val="Contents5"/>
            <w:tabs>
              <w:tab w:val="clear" w:pos="7892"/>
              <w:tab w:val="right" w:pos="9026" w:leader="dot"/>
            </w:tabs>
            <w:rPr/>
          </w:pPr>
          <w:hyperlink w:anchor="__RefHeading___Toc3862165_3804643083">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3862167_3804643083">
            <w:r>
              <w:rPr>
                <w:webHidden/>
                <w:rStyle w:val="IndexLink"/>
                <w:rtl w:val="true"/>
              </w:rPr>
              <w:t>فرع</w:t>
            </w:r>
            <w:r>
              <w:rPr>
                <w:rStyle w:val="IndexLink"/>
                <w:rtl w:val="true"/>
              </w:rPr>
              <w:t xml:space="preserve">: </w:t>
            </w:r>
            <w:r>
              <w:rPr>
                <w:rStyle w:val="IndexLink"/>
                <w:rtl w:val="true"/>
              </w:rPr>
              <w:t>يختص حكم بقاء الوكالة بما قبل العلم بالعزل به دون سائر المبطلات،</w:t>
            </w:r>
            <w:r>
              <w:rPr>
                <w:rStyle w:val="IndexLink"/>
                <w:rtl w:val="true"/>
              </w:rPr>
              <w:tab/>
            </w:r>
            <w:r>
              <w:rPr>
                <w:rStyle w:val="IndexLink"/>
              </w:rPr>
              <w:t>438</w:t>
            </w:r>
          </w:hyperlink>
        </w:p>
        <w:p>
          <w:pPr>
            <w:pStyle w:val="Contents3"/>
            <w:tabs>
              <w:tab w:val="clear" w:pos="8459"/>
              <w:tab w:val="right" w:pos="9026" w:leader="dot"/>
            </w:tabs>
            <w:rPr/>
          </w:pPr>
          <w:hyperlink w:anchor="__RefHeading___Toc3862169_3804643083">
            <w:r>
              <w:rPr>
                <w:webHidden/>
                <w:rStyle w:val="IndexLink"/>
                <w:rtl w:val="true"/>
              </w:rPr>
              <w:t>مسألة</w:t>
            </w:r>
            <w:r>
              <w:rPr>
                <w:rStyle w:val="IndexLink"/>
                <w:rtl w:val="true"/>
              </w:rPr>
              <w:t xml:space="preserve">: </w:t>
            </w:r>
            <w:r>
              <w:rPr>
                <w:rStyle w:val="IndexLink"/>
                <w:rtl w:val="true"/>
              </w:rPr>
              <w:t>يشترط في متعلق الوكالة أمور</w:t>
            </w:r>
            <w:r>
              <w:rPr>
                <w:rStyle w:val="IndexLink"/>
                <w:rtl w:val="true"/>
              </w:rPr>
              <w:t>:</w:t>
              <w:tab/>
            </w:r>
            <w:r>
              <w:rPr>
                <w:rStyle w:val="IndexLink"/>
              </w:rPr>
              <w:t>438</w:t>
            </w:r>
          </w:hyperlink>
        </w:p>
        <w:p>
          <w:pPr>
            <w:pStyle w:val="Contents4"/>
            <w:tabs>
              <w:tab w:val="clear" w:pos="8176"/>
              <w:tab w:val="right" w:pos="9026" w:leader="dot"/>
            </w:tabs>
            <w:rPr/>
          </w:pPr>
          <w:hyperlink w:anchor="__RefHeading___Toc3862171_3804643083">
            <w:r>
              <w:rPr>
                <w:webHidden/>
                <w:rStyle w:val="IndexLink"/>
                <w:rtl w:val="true"/>
              </w:rPr>
              <w:t>منها</w:t>
            </w:r>
            <w:r>
              <w:rPr>
                <w:rStyle w:val="IndexLink"/>
                <w:rtl w:val="true"/>
              </w:rPr>
              <w:t xml:space="preserve">: </w:t>
            </w:r>
            <w:r>
              <w:rPr>
                <w:rStyle w:val="IndexLink"/>
                <w:rtl w:val="true"/>
              </w:rPr>
              <w:t>أن يكون الموكّل فيه مما يقبل النيابة شرعا،</w:t>
            </w:r>
            <w:r>
              <w:rPr>
                <w:rStyle w:val="IndexLink"/>
                <w:rtl w:val="true"/>
              </w:rPr>
              <w:tab/>
            </w:r>
            <w:r>
              <w:rPr>
                <w:rStyle w:val="IndexLink"/>
              </w:rPr>
              <w:t>438</w:t>
            </w:r>
          </w:hyperlink>
        </w:p>
        <w:p>
          <w:pPr>
            <w:pStyle w:val="Contents5"/>
            <w:tabs>
              <w:tab w:val="clear" w:pos="7892"/>
              <w:tab w:val="right" w:pos="9026" w:leader="dot"/>
            </w:tabs>
            <w:rPr/>
          </w:pPr>
          <w:hyperlink w:anchor="__RefHeading___Toc3862173_3804643083">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862175_3804643083">
            <w:r>
              <w:rPr>
                <w:webHidden/>
                <w:rStyle w:val="IndexLink"/>
                <w:rtl w:val="true"/>
              </w:rPr>
              <w:t>فرعان</w:t>
            </w:r>
            <w:r>
              <w:rPr>
                <w:rStyle w:val="IndexLink"/>
                <w:rtl w:val="true"/>
              </w:rPr>
              <w:t>:</w:t>
              <w:tab/>
            </w:r>
            <w:r>
              <w:rPr>
                <w:rStyle w:val="IndexLink"/>
              </w:rPr>
              <w:t>441</w:t>
            </w:r>
          </w:hyperlink>
        </w:p>
        <w:p>
          <w:pPr>
            <w:pStyle w:val="Contents6"/>
            <w:tabs>
              <w:tab w:val="clear" w:pos="7609"/>
              <w:tab w:val="right" w:pos="9026" w:leader="dot"/>
            </w:tabs>
            <w:rPr/>
          </w:pPr>
          <w:hyperlink w:anchor="__RefHeading___Toc3862177_3804643083">
            <w:r>
              <w:rPr>
                <w:webHidden/>
                <w:rStyle w:val="IndexLink"/>
                <w:rtl w:val="true"/>
              </w:rPr>
              <w:t>الأوّل</w:t>
            </w:r>
            <w:r>
              <w:rPr>
                <w:rStyle w:val="IndexLink"/>
                <w:rtl w:val="true"/>
              </w:rPr>
              <w:t xml:space="preserve">: </w:t>
            </w:r>
            <w:r>
              <w:rPr>
                <w:rStyle w:val="IndexLink"/>
                <w:rtl w:val="true"/>
              </w:rPr>
              <w:t>ربما يظهر الخلاف منهم بعد الاتفاق على عدم صحّة توكيل المحرم غيره</w:t>
            </w:r>
            <w:r>
              <w:rPr>
                <w:rStyle w:val="IndexLink"/>
                <w:rtl w:val="true"/>
              </w:rPr>
              <w:tab/>
            </w:r>
            <w:r>
              <w:rPr>
                <w:rStyle w:val="IndexLink"/>
              </w:rPr>
              <w:t>441</w:t>
            </w:r>
          </w:hyperlink>
        </w:p>
        <w:p>
          <w:pPr>
            <w:pStyle w:val="Contents6"/>
            <w:tabs>
              <w:tab w:val="clear" w:pos="7609"/>
              <w:tab w:val="right" w:pos="9026" w:leader="dot"/>
            </w:tabs>
            <w:rPr/>
          </w:pPr>
          <w:hyperlink w:anchor="__RefHeading___Toc3862179_3804643083">
            <w:r>
              <w:rPr>
                <w:webHidden/>
                <w:rStyle w:val="IndexLink"/>
                <w:rtl w:val="true"/>
              </w:rPr>
              <w:t>الثاني</w:t>
            </w:r>
            <w:r>
              <w:rPr>
                <w:rStyle w:val="IndexLink"/>
                <w:rtl w:val="true"/>
              </w:rPr>
              <w:t xml:space="preserve">: </w:t>
            </w:r>
            <w:r>
              <w:rPr>
                <w:rStyle w:val="IndexLink"/>
                <w:rtl w:val="true"/>
              </w:rPr>
              <w:t>لا شكّ</w:t>
            </w:r>
            <w:r>
              <w:rPr>
                <w:rStyle w:val="IndexLink"/>
                <w:rtl w:val="true"/>
              </w:rPr>
              <w:t xml:space="preserve">- </w:t>
            </w:r>
            <w:r>
              <w:rPr>
                <w:rStyle w:val="IndexLink"/>
                <w:rtl w:val="true"/>
              </w:rPr>
              <w:t>كما عليه السيرة المستمرّة</w:t>
            </w:r>
            <w:r>
              <w:rPr>
                <w:rStyle w:val="IndexLink"/>
                <w:rtl w:val="true"/>
              </w:rPr>
              <w:tab/>
            </w:r>
            <w:r>
              <w:rPr>
                <w:rStyle w:val="IndexLink"/>
              </w:rPr>
              <w:t>442</w:t>
            </w:r>
          </w:hyperlink>
        </w:p>
        <w:p>
          <w:pPr>
            <w:pStyle w:val="Contents4"/>
            <w:tabs>
              <w:tab w:val="clear" w:pos="8176"/>
              <w:tab w:val="right" w:pos="9026" w:leader="dot"/>
            </w:tabs>
            <w:rPr/>
          </w:pPr>
          <w:hyperlink w:anchor="__RefHeading___Toc3862181_3804643083">
            <w:r>
              <w:rPr>
                <w:webHidden/>
                <w:rStyle w:val="IndexLink"/>
                <w:rtl w:val="true"/>
              </w:rPr>
              <w:t>و منها</w:t>
            </w:r>
            <w:r>
              <w:rPr>
                <w:rStyle w:val="IndexLink"/>
                <w:rtl w:val="true"/>
              </w:rPr>
              <w:t xml:space="preserve">: </w:t>
            </w:r>
            <w:r>
              <w:rPr>
                <w:rStyle w:val="IndexLink"/>
                <w:rtl w:val="true"/>
              </w:rPr>
              <w:t>كون متعلّق الوكالة مما يملكه الموكل،</w:t>
            </w:r>
            <w:r>
              <w:rPr>
                <w:rStyle w:val="IndexLink"/>
                <w:rtl w:val="true"/>
              </w:rPr>
              <w:tab/>
            </w:r>
            <w:r>
              <w:rPr>
                <w:rStyle w:val="IndexLink"/>
              </w:rPr>
              <w:t>443</w:t>
            </w:r>
          </w:hyperlink>
        </w:p>
        <w:p>
          <w:pPr>
            <w:pStyle w:val="Contents4"/>
            <w:tabs>
              <w:tab w:val="clear" w:pos="8176"/>
              <w:tab w:val="right" w:pos="9026" w:leader="dot"/>
            </w:tabs>
            <w:rPr/>
          </w:pPr>
          <w:hyperlink w:anchor="__RefHeading___Toc3862183_3804643083">
            <w:r>
              <w:rPr>
                <w:webHidden/>
                <w:rStyle w:val="IndexLink"/>
                <w:rtl w:val="true"/>
              </w:rPr>
              <w:t>و منها</w:t>
            </w:r>
            <w:r>
              <w:rPr>
                <w:rStyle w:val="IndexLink"/>
                <w:rtl w:val="true"/>
              </w:rPr>
              <w:t xml:space="preserve">- </w:t>
            </w:r>
            <w:r>
              <w:rPr>
                <w:rStyle w:val="IndexLink"/>
                <w:rtl w:val="true"/>
              </w:rPr>
              <w:t xml:space="preserve">كما في جامع المقاصد </w:t>
            </w:r>
            <w:r>
              <w:rPr>
                <w:rStyle w:val="IndexLink"/>
                <w:rtl w:val="true"/>
              </w:rPr>
              <w:t xml:space="preserve">-: </w:t>
            </w:r>
            <w:r>
              <w:rPr>
                <w:rStyle w:val="IndexLink"/>
                <w:rtl w:val="true"/>
              </w:rPr>
              <w:t>ما لو قال</w:t>
            </w:r>
            <w:r>
              <w:rPr>
                <w:rStyle w:val="IndexLink"/>
                <w:rtl w:val="true"/>
              </w:rPr>
              <w:t xml:space="preserve">: </w:t>
            </w:r>
            <w:r>
              <w:rPr>
                <w:rStyle w:val="IndexLink"/>
                <w:rtl w:val="true"/>
              </w:rPr>
              <w:t>طلّق زوجتي ثلاثا،</w:t>
            </w:r>
            <w:r>
              <w:rPr>
                <w:rStyle w:val="IndexLink"/>
                <w:rtl w:val="true"/>
              </w:rPr>
              <w:tab/>
            </w:r>
            <w:r>
              <w:rPr>
                <w:rStyle w:val="IndexLink"/>
              </w:rPr>
              <w:t>444</w:t>
            </w:r>
          </w:hyperlink>
        </w:p>
        <w:p>
          <w:pPr>
            <w:pStyle w:val="Contents5"/>
            <w:tabs>
              <w:tab w:val="clear" w:pos="7892"/>
              <w:tab w:val="right" w:pos="9026" w:leader="dot"/>
            </w:tabs>
            <w:rPr/>
          </w:pPr>
          <w:hyperlink w:anchor="__RefHeading___Toc3862185_3804643083">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862187_3804643083">
            <w:r>
              <w:rPr>
                <w:webHidden/>
                <w:rStyle w:val="IndexLink"/>
                <w:rtl w:val="true"/>
              </w:rPr>
              <w:t>فرع</w:t>
            </w:r>
            <w:r>
              <w:rPr>
                <w:rStyle w:val="IndexLink"/>
                <w:rtl w:val="true"/>
              </w:rPr>
              <w:t xml:space="preserve">: </w:t>
            </w:r>
            <w:r>
              <w:rPr>
                <w:rStyle w:val="IndexLink"/>
                <w:rtl w:val="true"/>
              </w:rPr>
              <w:t>لو وكّله في جميع أموره المتعلقة به من الموجودة و المتجدّدة،</w:t>
            </w:r>
            <w:r>
              <w:rPr>
                <w:rStyle w:val="IndexLink"/>
                <w:rtl w:val="true"/>
              </w:rPr>
              <w:tab/>
            </w:r>
            <w:r>
              <w:rPr>
                <w:rStyle w:val="IndexLink"/>
              </w:rPr>
              <w:t>447</w:t>
            </w:r>
          </w:hyperlink>
        </w:p>
        <w:p>
          <w:pPr>
            <w:pStyle w:val="Contents2"/>
            <w:tabs>
              <w:tab w:val="clear" w:pos="8743"/>
              <w:tab w:val="right" w:pos="9026" w:leader="dot"/>
            </w:tabs>
            <w:rPr/>
          </w:pPr>
          <w:hyperlink w:anchor="__RefHeading___Toc3862189_3804643083">
            <w:r>
              <w:rPr>
                <w:webHidden/>
                <w:rStyle w:val="IndexLink"/>
                <w:rtl w:val="true"/>
              </w:rPr>
              <w:t>[</w:t>
            </w:r>
            <w:r>
              <w:rPr>
                <w:rStyle w:val="IndexLink"/>
                <w:rtl w:val="true"/>
              </w:rPr>
              <w:t>المشرق السادس و عشرون</w:t>
            </w:r>
            <w:r>
              <w:rPr>
                <w:rStyle w:val="IndexLink"/>
                <w:rtl w:val="true"/>
              </w:rPr>
              <w:t>] [</w:t>
            </w:r>
            <w:r>
              <w:rPr>
                <w:rStyle w:val="IndexLink"/>
                <w:rtl w:val="true"/>
              </w:rPr>
              <w:t>في اقتضاء اليد الملكية</w:t>
            </w:r>
            <w:r>
              <w:rPr>
                <w:rStyle w:val="IndexLink"/>
                <w:rtl w:val="true"/>
              </w:rPr>
              <w:t>]</w:t>
              <w:tab/>
            </w:r>
            <w:r>
              <w:rPr>
                <w:rStyle w:val="IndexLink"/>
              </w:rPr>
              <w:t>448</w:t>
            </w:r>
          </w:hyperlink>
        </w:p>
        <w:p>
          <w:pPr>
            <w:pStyle w:val="Contents3"/>
            <w:tabs>
              <w:tab w:val="clear" w:pos="8459"/>
              <w:tab w:val="right" w:pos="9026" w:leader="dot"/>
            </w:tabs>
            <w:rPr/>
          </w:pPr>
          <w:hyperlink w:anchor="__RefHeading___Toc3862191_3804643083">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3862193_3804643083">
            <w:r>
              <w:rPr>
                <w:webHidden/>
                <w:rStyle w:val="IndexLink"/>
                <w:rtl w:val="true"/>
              </w:rPr>
              <w:t>المقام الأوّل</w:t>
            </w:r>
            <w:r>
              <w:rPr>
                <w:rStyle w:val="IndexLink"/>
                <w:rtl w:val="true"/>
              </w:rPr>
              <w:t xml:space="preserve">: </w:t>
            </w:r>
            <w:r>
              <w:rPr>
                <w:rStyle w:val="IndexLink"/>
                <w:rtl w:val="true"/>
              </w:rPr>
              <w:t>في المراد من اليد</w:t>
            </w:r>
            <w:r>
              <w:rPr>
                <w:rStyle w:val="IndexLink"/>
                <w:rtl w:val="true"/>
              </w:rPr>
              <w:t>.</w:t>
              <w:tab/>
            </w:r>
            <w:r>
              <w:rPr>
                <w:rStyle w:val="IndexLink"/>
              </w:rPr>
              <w:t>449</w:t>
            </w:r>
          </w:hyperlink>
        </w:p>
        <w:p>
          <w:pPr>
            <w:pStyle w:val="Contents3"/>
            <w:tabs>
              <w:tab w:val="clear" w:pos="8459"/>
              <w:tab w:val="right" w:pos="9026" w:leader="dot"/>
            </w:tabs>
            <w:rPr/>
          </w:pPr>
          <w:hyperlink w:anchor="__RefHeading___Toc3862195_3804643083">
            <w:r>
              <w:rPr>
                <w:webHidden/>
                <w:rStyle w:val="IndexLink"/>
                <w:rtl w:val="true"/>
              </w:rPr>
              <w:t>المقام الثاني</w:t>
            </w:r>
            <w:r>
              <w:rPr>
                <w:rStyle w:val="IndexLink"/>
                <w:rtl w:val="true"/>
              </w:rPr>
              <w:t xml:space="preserve">: </w:t>
            </w:r>
            <w:r>
              <w:rPr>
                <w:rStyle w:val="IndexLink"/>
                <w:rtl w:val="true"/>
              </w:rPr>
              <w:t>في بيان الشروط المعتبرة في اقتضاء اليد للاستحقاق</w:t>
            </w:r>
            <w:r>
              <w:rPr>
                <w:rStyle w:val="IndexLink"/>
                <w:rtl w:val="true"/>
              </w:rPr>
              <w:t>.</w:t>
              <w:tab/>
            </w:r>
            <w:r>
              <w:rPr>
                <w:rStyle w:val="IndexLink"/>
              </w:rPr>
              <w:t>451</w:t>
            </w:r>
          </w:hyperlink>
        </w:p>
        <w:p>
          <w:pPr>
            <w:pStyle w:val="Contents4"/>
            <w:tabs>
              <w:tab w:val="clear" w:pos="8176"/>
              <w:tab w:val="right" w:pos="9026" w:leader="dot"/>
            </w:tabs>
            <w:rPr/>
          </w:pPr>
          <w:hyperlink w:anchor="__RefHeading___Toc3862197_380464308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3862199_3804643083">
            <w:r>
              <w:rPr>
                <w:webHidden/>
                <w:rStyle w:val="IndexLink"/>
                <w:rtl w:val="true"/>
              </w:rPr>
              <w:t>الأوّل</w:t>
            </w:r>
            <w:r>
              <w:rPr>
                <w:rStyle w:val="IndexLink"/>
                <w:rtl w:val="true"/>
              </w:rPr>
              <w:t xml:space="preserve">: </w:t>
            </w:r>
            <w:r>
              <w:rPr>
                <w:rStyle w:val="IndexLink"/>
                <w:rtl w:val="true"/>
              </w:rPr>
              <w:t>عدم اعتراف ذي اليد بما ينافي ملكيته</w:t>
            </w:r>
            <w:r>
              <w:rPr>
                <w:rStyle w:val="IndexLink"/>
                <w:rtl w:val="true"/>
              </w:rPr>
              <w:t>.</w:t>
              <w:tab/>
            </w:r>
            <w:r>
              <w:rPr>
                <w:rStyle w:val="IndexLink"/>
              </w:rPr>
              <w:t>451</w:t>
            </w:r>
          </w:hyperlink>
        </w:p>
        <w:p>
          <w:pPr>
            <w:pStyle w:val="Contents5"/>
            <w:tabs>
              <w:tab w:val="clear" w:pos="7892"/>
              <w:tab w:val="right" w:pos="9026" w:leader="dot"/>
            </w:tabs>
            <w:rPr/>
          </w:pPr>
          <w:hyperlink w:anchor="__RefHeading___Toc3862201_3804643083">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3862203_3804643083">
            <w:r>
              <w:rPr>
                <w:webHidden/>
                <w:rStyle w:val="IndexLink"/>
                <w:rtl w:val="true"/>
              </w:rPr>
              <w:t>فرع</w:t>
            </w:r>
            <w:r>
              <w:rPr>
                <w:rStyle w:val="IndexLink"/>
                <w:rtl w:val="true"/>
              </w:rPr>
              <w:t>:</w:t>
              <w:tab/>
            </w:r>
            <w:r>
              <w:rPr>
                <w:rStyle w:val="IndexLink"/>
              </w:rPr>
              <w:t>452</w:t>
            </w:r>
          </w:hyperlink>
        </w:p>
        <w:p>
          <w:pPr>
            <w:pStyle w:val="Contents4"/>
            <w:tabs>
              <w:tab w:val="clear" w:pos="8176"/>
              <w:tab w:val="right" w:pos="9026" w:leader="dot"/>
            </w:tabs>
            <w:rPr/>
          </w:pPr>
          <w:hyperlink w:anchor="__RefHeading___Toc3862205_3804643083">
            <w:r>
              <w:rPr>
                <w:webHidden/>
                <w:rStyle w:val="IndexLink"/>
                <w:rtl w:val="true"/>
              </w:rPr>
              <w:t>الثاني</w:t>
            </w:r>
            <w:r>
              <w:rPr>
                <w:rStyle w:val="IndexLink"/>
                <w:rtl w:val="true"/>
              </w:rPr>
              <w:t xml:space="preserve">: </w:t>
            </w:r>
            <w:r>
              <w:rPr>
                <w:rStyle w:val="IndexLink"/>
                <w:rtl w:val="true"/>
              </w:rPr>
              <w:t>أن لا يعارض اليد دليل كاشف عن الواقع،</w:t>
            </w:r>
            <w:r>
              <w:rPr>
                <w:rStyle w:val="IndexLink"/>
                <w:rtl w:val="true"/>
              </w:rPr>
              <w:tab/>
            </w:r>
            <w:r>
              <w:rPr>
                <w:rStyle w:val="IndexLink"/>
              </w:rPr>
              <w:t>453</w:t>
            </w:r>
          </w:hyperlink>
        </w:p>
        <w:p>
          <w:pPr>
            <w:pStyle w:val="Contents4"/>
            <w:tabs>
              <w:tab w:val="clear" w:pos="8176"/>
              <w:tab w:val="right" w:pos="9026" w:leader="dot"/>
            </w:tabs>
            <w:rPr/>
          </w:pPr>
          <w:hyperlink w:anchor="__RefHeading___Toc3862207_3804643083">
            <w:r>
              <w:rPr>
                <w:webHidden/>
                <w:rStyle w:val="IndexLink"/>
                <w:rtl w:val="true"/>
              </w:rPr>
              <w:t>الثالث</w:t>
            </w:r>
            <w:r>
              <w:rPr>
                <w:rStyle w:val="IndexLink"/>
                <w:rtl w:val="true"/>
              </w:rPr>
              <w:t xml:space="preserve">: </w:t>
            </w:r>
            <w:r>
              <w:rPr>
                <w:rStyle w:val="IndexLink"/>
                <w:rtl w:val="true"/>
              </w:rPr>
              <w:t>أن لا يعارض اليد استصحاب ما يزيل حكم اليد و رافعه</w:t>
            </w:r>
            <w:r>
              <w:rPr>
                <w:rStyle w:val="IndexLink"/>
                <w:rtl w:val="true"/>
              </w:rPr>
              <w:t>.</w:t>
              <w:tab/>
            </w:r>
            <w:r>
              <w:rPr>
                <w:rStyle w:val="IndexLink"/>
              </w:rPr>
              <w:t>453</w:t>
            </w:r>
          </w:hyperlink>
        </w:p>
        <w:p>
          <w:pPr>
            <w:pStyle w:val="Contents4"/>
            <w:tabs>
              <w:tab w:val="clear" w:pos="8176"/>
              <w:tab w:val="right" w:pos="9026" w:leader="dot"/>
            </w:tabs>
            <w:rPr/>
          </w:pPr>
          <w:hyperlink w:anchor="__RefHeading___Toc3862209_3804643083">
            <w:r>
              <w:rPr>
                <w:webHidden/>
                <w:rStyle w:val="IndexLink"/>
                <w:rtl w:val="true"/>
              </w:rPr>
              <w:t>الرابع</w:t>
            </w:r>
            <w:r>
              <w:rPr>
                <w:rStyle w:val="IndexLink"/>
                <w:rtl w:val="true"/>
              </w:rPr>
              <w:t xml:space="preserve">: </w:t>
            </w:r>
            <w:r>
              <w:rPr>
                <w:rStyle w:val="IndexLink"/>
                <w:rtl w:val="true"/>
              </w:rPr>
              <w:t>أن لا يعارض اليد الحالية استصحاب نفس اليد،</w:t>
            </w:r>
            <w:r>
              <w:rPr>
                <w:rStyle w:val="IndexLink"/>
                <w:rtl w:val="true"/>
              </w:rPr>
              <w:tab/>
            </w:r>
            <w:r>
              <w:rPr>
                <w:rStyle w:val="IndexLink"/>
              </w:rPr>
              <w:t>457</w:t>
            </w:r>
          </w:hyperlink>
        </w:p>
        <w:p>
          <w:pPr>
            <w:pStyle w:val="Contents4"/>
            <w:tabs>
              <w:tab w:val="clear" w:pos="8176"/>
              <w:tab w:val="right" w:pos="9026" w:leader="dot"/>
            </w:tabs>
            <w:rPr/>
          </w:pPr>
          <w:hyperlink w:anchor="__RefHeading___Toc3862211_3804643083">
            <w:r>
              <w:rPr>
                <w:webHidden/>
                <w:rStyle w:val="IndexLink"/>
                <w:rtl w:val="true"/>
              </w:rPr>
              <w:t>الخامس</w:t>
            </w:r>
            <w:r>
              <w:rPr>
                <w:rStyle w:val="IndexLink"/>
                <w:rtl w:val="true"/>
              </w:rPr>
              <w:t xml:space="preserve">: </w:t>
            </w:r>
            <w:r>
              <w:rPr>
                <w:rStyle w:val="IndexLink"/>
                <w:rtl w:val="true"/>
              </w:rPr>
              <w:t>احتمال كون اليد ناشئة عن جهة مقبولة في ظاهر الشرع،</w:t>
            </w:r>
            <w:r>
              <w:rPr>
                <w:rStyle w:val="IndexLink"/>
                <w:rtl w:val="true"/>
              </w:rPr>
              <w:tab/>
            </w:r>
            <w:r>
              <w:rPr>
                <w:rStyle w:val="IndexLink"/>
              </w:rPr>
              <w:t>457</w:t>
            </w:r>
          </w:hyperlink>
        </w:p>
        <w:p>
          <w:pPr>
            <w:pStyle w:val="Contents4"/>
            <w:tabs>
              <w:tab w:val="clear" w:pos="8176"/>
              <w:tab w:val="right" w:pos="9026" w:leader="dot"/>
            </w:tabs>
            <w:rPr/>
          </w:pPr>
          <w:hyperlink w:anchor="__RefHeading___Toc3862213_3804643083">
            <w:r>
              <w:rPr>
                <w:webHidden/>
                <w:rStyle w:val="IndexLink"/>
                <w:rtl w:val="true"/>
              </w:rPr>
              <w:t>السادس</w:t>
            </w:r>
            <w:r>
              <w:rPr>
                <w:rStyle w:val="IndexLink"/>
                <w:rtl w:val="true"/>
              </w:rPr>
              <w:t xml:space="preserve">: </w:t>
            </w:r>
            <w:r>
              <w:rPr>
                <w:rStyle w:val="IndexLink"/>
                <w:rtl w:val="true"/>
              </w:rPr>
              <w:t>ما أفاده في المستند، أن لا يزاحم اليد يد أخرى،</w:t>
            </w:r>
            <w:r>
              <w:rPr>
                <w:rStyle w:val="IndexLink"/>
                <w:rtl w:val="true"/>
              </w:rPr>
              <w:tab/>
            </w:r>
            <w:r>
              <w:rPr>
                <w:rStyle w:val="IndexLink"/>
              </w:rPr>
              <w:t>457</w:t>
            </w:r>
          </w:hyperlink>
        </w:p>
        <w:p>
          <w:pPr>
            <w:pStyle w:val="Contents4"/>
            <w:tabs>
              <w:tab w:val="clear" w:pos="8176"/>
              <w:tab w:val="right" w:pos="9026" w:leader="dot"/>
            </w:tabs>
            <w:rPr/>
          </w:pPr>
          <w:hyperlink w:anchor="__RefHeading___Toc3862215_3804643083">
            <w:r>
              <w:rPr>
                <w:webHidden/>
                <w:rStyle w:val="IndexLink"/>
                <w:rtl w:val="true"/>
              </w:rPr>
              <w:t>السابع</w:t>
            </w:r>
            <w:r>
              <w:rPr>
                <w:rStyle w:val="IndexLink"/>
                <w:rtl w:val="true"/>
              </w:rPr>
              <w:t xml:space="preserve">: </w:t>
            </w:r>
            <w:r>
              <w:rPr>
                <w:rStyle w:val="IndexLink"/>
                <w:rtl w:val="true"/>
              </w:rPr>
              <w:t>ما عسى أن يجري فيه الكلام من اختصاص الاقتضاء بكون متعلق اليد الأعيان دون المنافع،</w:t>
            </w:r>
            <w:r>
              <w:rPr>
                <w:rStyle w:val="IndexLink"/>
                <w:rtl w:val="true"/>
              </w:rPr>
              <w:tab/>
            </w:r>
            <w:r>
              <w:rPr>
                <w:rStyle w:val="IndexLink"/>
              </w:rPr>
              <w:t>458</w:t>
            </w:r>
          </w:hyperlink>
        </w:p>
        <w:p>
          <w:pPr>
            <w:pStyle w:val="Contents2"/>
            <w:tabs>
              <w:tab w:val="clear" w:pos="8743"/>
              <w:tab w:val="right" w:pos="9026" w:leader="dot"/>
            </w:tabs>
            <w:rPr/>
          </w:pPr>
          <w:hyperlink w:anchor="__RefHeading___Toc3862217_3804643083">
            <w:r>
              <w:rPr>
                <w:webHidden/>
                <w:rStyle w:val="IndexLink"/>
                <w:rtl w:val="true"/>
              </w:rPr>
              <w:t>[</w:t>
            </w:r>
            <w:r>
              <w:rPr>
                <w:rStyle w:val="IndexLink"/>
                <w:rtl w:val="true"/>
              </w:rPr>
              <w:t>المشرق السابع و عشرون</w:t>
            </w:r>
            <w:r>
              <w:rPr>
                <w:rStyle w:val="IndexLink"/>
                <w:rtl w:val="true"/>
              </w:rPr>
              <w:t>] [</w:t>
            </w:r>
            <w:r>
              <w:rPr>
                <w:rStyle w:val="IndexLink"/>
                <w:rtl w:val="true"/>
              </w:rPr>
              <w:t>في وجوب ترتب الحواضر على الفوائت</w:t>
            </w:r>
            <w:r>
              <w:rPr>
                <w:rStyle w:val="IndexLink"/>
                <w:rtl w:val="true"/>
              </w:rPr>
              <w:t>]</w:t>
              <w:tab/>
            </w:r>
            <w:r>
              <w:rPr>
                <w:rStyle w:val="IndexLink"/>
              </w:rPr>
              <w:t>460</w:t>
            </w:r>
          </w:hyperlink>
        </w:p>
        <w:p>
          <w:pPr>
            <w:pStyle w:val="Contents3"/>
            <w:tabs>
              <w:tab w:val="clear" w:pos="8459"/>
              <w:tab w:val="right" w:pos="9026" w:leader="dot"/>
            </w:tabs>
            <w:rPr/>
          </w:pPr>
          <w:hyperlink w:anchor="__RefHeading___Toc3862219_3804643083">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3862221_3804643083">
            <w:r>
              <w:rPr>
                <w:webHidden/>
                <w:rStyle w:val="IndexLink"/>
                <w:rtl w:val="true"/>
              </w:rPr>
              <w:t>تتميمان</w:t>
            </w:r>
            <w:r>
              <w:rPr>
                <w:rStyle w:val="IndexLink"/>
                <w:rtl w:val="true"/>
              </w:rPr>
              <w:t>:</w:t>
              <w:tab/>
            </w:r>
            <w:r>
              <w:rPr>
                <w:rStyle w:val="IndexLink"/>
              </w:rPr>
              <w:t>497</w:t>
            </w:r>
          </w:hyperlink>
        </w:p>
        <w:p>
          <w:pPr>
            <w:pStyle w:val="Contents4"/>
            <w:tabs>
              <w:tab w:val="clear" w:pos="8176"/>
              <w:tab w:val="right" w:pos="9026" w:leader="dot"/>
            </w:tabs>
            <w:rPr/>
          </w:pPr>
          <w:hyperlink w:anchor="__RefHeading___Toc3862223_3804643083">
            <w:r>
              <w:rPr>
                <w:webHidden/>
                <w:rStyle w:val="IndexLink"/>
                <w:rtl w:val="true"/>
              </w:rPr>
              <w:t>الأوّل</w:t>
            </w:r>
            <w:r>
              <w:rPr>
                <w:rStyle w:val="IndexLink"/>
                <w:rtl w:val="true"/>
              </w:rPr>
              <w:t xml:space="preserve">: </w:t>
            </w:r>
            <w:r>
              <w:rPr>
                <w:rStyle w:val="IndexLink"/>
                <w:rtl w:val="true"/>
              </w:rPr>
              <w:t>على عدم وجوب الترتيب، كما اخترناه، فهل يرجح تقديم الفائتة، أو الحاضرة؟</w:t>
            </w:r>
            <w:r>
              <w:rPr>
                <w:rStyle w:val="IndexLink"/>
                <w:rtl w:val="true"/>
              </w:rPr>
              <w:tab/>
            </w:r>
            <w:r>
              <w:rPr>
                <w:rStyle w:val="IndexLink"/>
              </w:rPr>
              <w:t>497</w:t>
            </w:r>
          </w:hyperlink>
        </w:p>
        <w:p>
          <w:pPr>
            <w:pStyle w:val="Contents4"/>
            <w:tabs>
              <w:tab w:val="clear" w:pos="8176"/>
              <w:tab w:val="right" w:pos="9026" w:leader="dot"/>
            </w:tabs>
            <w:rPr/>
          </w:pPr>
          <w:hyperlink w:anchor="__RefHeading___Toc3862225_3804643083">
            <w:r>
              <w:rPr>
                <w:webHidden/>
                <w:rStyle w:val="IndexLink"/>
                <w:rtl w:val="true"/>
              </w:rPr>
              <w:t>الثاني</w:t>
            </w:r>
            <w:r>
              <w:rPr>
                <w:rStyle w:val="IndexLink"/>
                <w:rtl w:val="true"/>
              </w:rPr>
              <w:t xml:space="preserve">: </w:t>
            </w:r>
            <w:r>
              <w:rPr>
                <w:rStyle w:val="IndexLink"/>
                <w:rtl w:val="true"/>
              </w:rPr>
              <w:t>لو كان عليه صلاة فائتة فصلّى الحاضرة، فعلى المختار صحّت، و لا حرج</w:t>
            </w:r>
            <w:r>
              <w:rPr>
                <w:rStyle w:val="IndexLink"/>
                <w:rtl w:val="true"/>
              </w:rPr>
              <w:t>.</w:t>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7_11694"/>
      <w:bookmarkStart w:id="1" w:name="pg2497_11694"/>
      <w:bookmarkEnd w:id="1"/>
    </w:p>
    <w:p>
      <w:pPr>
        <w:pStyle w:val="Heading2"/>
        <w:numPr>
          <w:ilvl w:val="1"/>
          <w:numId w:val="1"/>
        </w:numPr>
        <w:rPr/>
      </w:pPr>
      <w:bookmarkStart w:id="2" w:name="pg2497_11694"/>
      <w:bookmarkStart w:id="3" w:name="__RefHeading___Toc3861757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۳۲۶</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۱۷۹۰</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۴۳۵۴</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۳۳۲۹۰</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محمدبن احمد،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‌۱۲۹۷</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النراقي‌كاتب محمدحسن ابن محمدعلي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وحدتى شبيرى</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باهتمام اسدالله الطاهر آبادي الملقب به امين الاجله و معتمدالشريعه</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كارخانه مير محمدباقر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‌۲۵</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 فهرست مندرجات در ابتداي كتاب</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مقوائي، روكش كاغذ ابره قهوه‌اي رنگ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مقوائي، روكش تيماج مشكي</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w:t>
      </w:r>
      <w:r>
        <w:rPr>
          <w:rFonts w:ascii="Amiri" w:hAnsi="Amiri" w:eastAsia="Amiri" w:cs="Amiri"/>
          <w:color w:val="111111"/>
          <w:sz w:val="28"/>
          <w:sz w:val="28"/>
          <w:szCs w:val="28"/>
          <w:rtl w:val="true"/>
          <w:lang w:bidi="ar-SA"/>
        </w:rPr>
        <w:t xml:space="preserve"> ث</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۱۷۲۴</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۱۷۹۰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ascii="IRNazanin" w:hAnsi="IRNazanin" w:eastAsia="IRNazanin"/>
          <w:color w:val="111111"/>
          <w:sz w:val="28"/>
          <w:sz w:val="28"/>
          <w:szCs w:val="28"/>
          <w:lang w:bidi="fa-IR"/>
        </w:rPr>
        <w:t>۲۵۳۹۷۹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مقوايي، روكش‌تيماج‌مشكي، مجدول‌مضاعف‌ضربي؛ ازهم‌گسيختگي شيرازه از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مقوايي، روكش‌تيماج‌عنابي، مجدول‌ضربي؛ آسيب‌ديدگي‌جلد و ازهم‌گسيختگي‌مختصر شيرازه از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۳۳۲۹۰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مقوايي، روكش‌تيماج‌قرمز، مجدول‌مضاعف‌ضربي؛ ابتداي‌نسخه ممهور به مهرمستطيل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و مجموعه ده‌هزار‌جلدي بهمن عنايتي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ممهور به مهرمستطيل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و آرشيو خصوصي بهمن عنايتي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آسيب‌ديدگي‌جلد و ازهم‌گسيختگي مختصر شيرازه از جلد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1759_3804643083"/>
      <w:bookmarkStart w:id="6" w:name="_Toc2"/>
      <w:bookmarkEnd w:id="5"/>
      <w:r>
        <w:rPr>
          <w:rtl w:val="true"/>
        </w:rPr>
        <w:t>اشارة</w:t>
      </w:r>
      <w:bookmarkStart w:id="7" w:name="pg2497_11709"/>
      <w:bookmarkEnd w:id="6"/>
    </w:p>
    <w:p>
      <w:pPr>
        <w:pStyle w:val="Heading2"/>
        <w:numPr>
          <w:ilvl w:val="1"/>
          <w:numId w:val="1"/>
        </w:numPr>
        <w:rPr/>
      </w:pPr>
      <w:bookmarkStart w:id="8" w:name="__RefHeading___Toc3861761_3804643083"/>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فيّاض عوارف المعارف و المتفضّل بفوائد الأيادي و حقائق اللطائف، المتوحّد في ذاته فلا يدركه انسان </w:t>
      </w:r>
      <w:r>
        <w:rPr>
          <w:rStyle w:val="FootnoteAnchor"/>
          <w:rtl w:val="true"/>
        </w:rPr>
        <w:footnoteReference w:id="2"/>
      </w:r>
      <w:r>
        <w:rPr>
          <w:rFonts w:ascii="Amiri" w:hAnsi="Amiri" w:eastAsia="Amiri" w:cs="Amiri"/>
          <w:color w:val="111111"/>
          <w:sz w:val="28"/>
          <w:sz w:val="28"/>
          <w:szCs w:val="28"/>
          <w:rtl w:val="true"/>
          <w:lang w:bidi="ar-SA"/>
        </w:rPr>
        <w:t>كلّ عارف، و المتجلّي بصفاته فلا يغيب عن المشاهد و المواقف، و الصلاة على من أرسله بالكتاب المبين و نسخ به الصحائف محمّد صلّى اللّه عليه و آله الطاهرين، الذين فضّلهم على العالمين و خصّهم بما لا يلحقه لاحق و لا 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الفقير إلى ربّه الباقي عبد الصاحب محمّد بن أحمد بن محمّد مهدي النراقي، أنالهم اللّه سبحانه من فضله يوم التلاقي</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فوائد جمّة و مطالب مهمّة في تنقيح نبذ من الضوابط الكلّية الشرعيّة، و تحقيق مدارك لجملة من أمّهات المسائل الفرعية التي لا مناص عنها للفقيه الراشد و الطالب المسترشد، ممّا زلّت فيه أقدام أقوام و اتّسع فيه ميدان النظر لفرسان الكلام، و ضاق منه المخرج على من دخله و دار المقام، استطرفتها من غنائم الدهر و اقتطفتها من ثمار عوائد الأيّام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أرجو من اللّه تعالى أن يكون بيانا لكنوز حقائقها و تبيانا لرموز دقائقها، و إن كنت معترفا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الصدق 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الباع قصير و البضاعة مزجاة، جعلتها تذكرة لنفسي و تبصرة لمن أراد، و سمّيتها بمشارق الأحكام و اللّه الموفّق للسداد</w:t>
      </w:r>
      <w:r>
        <w:rPr>
          <w:rFonts w:eastAsia="Amiri" w:cs="Amiri" w:ascii="Amiri" w:hAnsi="Amiri"/>
          <w:color w:val="111111"/>
          <w:sz w:val="28"/>
          <w:szCs w:val="28"/>
          <w:rtl w:val="true"/>
          <w:lang w:bidi="ar-SA"/>
        </w:rPr>
        <w:t>.</w:t>
      </w:r>
      <w:bookmarkStart w:id="10" w:name="pg2497_11713"/>
    </w:p>
    <w:p>
      <w:pPr>
        <w:pStyle w:val="Heading2"/>
        <w:numPr>
          <w:ilvl w:val="1"/>
          <w:numId w:val="1"/>
        </w:numPr>
        <w:rPr/>
      </w:pPr>
      <w:bookmarkStart w:id="11" w:name="__RefHeading___Toc3861763_3804643083"/>
      <w:bookmarkStart w:id="12" w:name="_Toc4"/>
      <w:bookmarkEnd w:id="10"/>
      <w:bookmarkEnd w:id="11"/>
      <w:r>
        <w:rPr>
          <w:rtl w:val="true"/>
        </w:rPr>
        <w:t>[</w:t>
      </w:r>
      <w:r>
        <w:rPr>
          <w:rtl w:val="true"/>
        </w:rPr>
        <w:t>المشرق الأوّل</w:t>
      </w:r>
      <w:r>
        <w:rPr>
          <w:rtl w:val="true"/>
        </w:rPr>
        <w:t>] [</w:t>
      </w:r>
      <w:r>
        <w:rPr>
          <w:rtl w:val="true"/>
        </w:rPr>
        <w:t>في بيان ما يقتضيه الأصل في المعاملات من الصحّة أو الفساد</w:t>
      </w:r>
      <w:r>
        <w:rPr>
          <w:rtl w:val="true"/>
        </w:rPr>
        <w:t>]</w:t>
      </w:r>
      <w:bookmarkEnd w:id="12"/>
    </w:p>
    <w:p>
      <w:pPr>
        <w:pStyle w:val="Heading3"/>
        <w:numPr>
          <w:ilvl w:val="2"/>
          <w:numId w:val="1"/>
        </w:numPr>
        <w:rPr/>
      </w:pPr>
      <w:bookmarkStart w:id="13" w:name="__RefHeading___Toc3861765_380464308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يقتضيه الأصل في المعاملات من الصحّة أو الفساد، و تعيين مواردهما و ما يتبع ذلك، و في هذا البحث تحقيق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الأصل الأوّلي من الصحة و البطلان في الشبهة الحكمية، سواء كان الشكّ في شرعية أصل المعاملة أو في شرائطها و 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خروجه منه و انقلب إلى أصل ثانويّ شرعيّ، و فيه تحقيق معنى آية أَوْفُوا بِالْعُقُودِ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يتحصّل من الأصلين، من لزوم الصيغة أو عدمه في العقود، و شرائط الصيغة فيما تحقّق لزومها، فهنا مطالب ثلاثة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861767_3804643083"/>
      <w:bookmarkStart w:id="16" w:name="_Toc6"/>
      <w:bookmarkEnd w:id="15"/>
      <w:r>
        <w:rPr>
          <w:rtl w:val="true"/>
        </w:rPr>
        <w:t>المطلب الأوّل</w:t>
      </w:r>
      <w:r>
        <w:rPr>
          <w:rtl w:val="true"/>
        </w:rPr>
        <w:t xml:space="preserve">: </w:t>
      </w:r>
      <w:r>
        <w:rPr>
          <w:rtl w:val="true"/>
        </w:rPr>
        <w:t>فيما يقتضيه الأصل الأوّلي الحكمي من الصحّة و الفساد في المعاملات</w:t>
      </w:r>
      <w:r>
        <w:rPr>
          <w:rtl w:val="true"/>
        </w:rPr>
        <w:t>.</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 قد استمرّت بين الناس منذ استقرّت العادات و وضعت السياسات، معاملات بينهم في العقد و الحلّ و الربط و الفكّ فيما يحتاجون إليه في تمدّنهم و انتظام معاشهم، من التجارات و المناكحات و العطيّات و العهود و المواثيق</w:t>
      </w:r>
    </w:p>
    <w:p>
      <w:pPr>
        <w:pStyle w:val="BookText"/>
        <w:rPr/>
      </w:pPr>
      <w:r>
        <w:rPr>
          <w:rFonts w:ascii="Amiri" w:hAnsi="Amiri" w:eastAsia="Amiri" w:cs="Amiri"/>
          <w:color w:val="111111"/>
          <w:sz w:val="28"/>
          <w:sz w:val="28"/>
          <w:szCs w:val="28"/>
          <w:rtl w:val="true"/>
          <w:lang w:bidi="ar-SA"/>
        </w:rPr>
        <w:t>و أشباهها، و أكثرها غير مختصّة بالشرائع و الديانات، فضلا عن شريعة الإسلام، بل تعمّ الأديان و العادات، و اختلف حكمها فيها في بعض الخصوصيات و الشرائط و أسباب الانعقاد و الآثار و الأحكام المترتّبة عليها، كالبيع الشائع في الكلّ المختلف أحواله فيها بالانعقاد بالصيغة أو بالصفقة أو بمثل الملامسة أو المنابذة أو الحصاة، و الاشتراط بعدم الغرر و عدمه و نحو ذلك، فمهيّات أمثال تلك العقود غير مخترعة و لا موضوعة بالأصل في شريعتنا، بل أمضاها الشارع بشرائط قرّرها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بعضها بالشرائع أو بشريعتنا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تلك المعاملات و العقود المعتبرة هي المعهودة المتداولة المدوّنة التي ضبطها الفقهاء سلفا و خلفا في كتبهم و مسفوراتهم، و وضعوا لها أبوابا و لها أسماء معروفة، كالبيع و الصلح و الرهن و الإجارة و المزارعة و المضاربة و الضمان و الحوالة و الكفالة و الوكالة و النذر و الوقف و النكاح و الطلاق و الظهار و اللعان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ماهيّات تلك المعاملات كيفيات خاصّة و روابط معهودة في الشرع و العرف و العادة متمايزة بأنفسها، سواء كانت متباينة بالآثار المترتبة عليها أيضا، كالبيع و الإجارة و النكاح و الطلاق، أو متناسبة بالعموم و الخصوص المطلقين، كالبيع و الصلح، أو من وجه كالصلح و الضمان، أو بالتساوي كالبيع و الهبة المعوّضة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ثمرة الفرق حينئذ بالاختلاف في بعض الأحكام المتفرّعة عليها، بل قد يتفق بحسب تعاهد المتعاقدين في القيود و الشروط توافق اثنين منها في فرد في جميع الآثار و الأحكام المترتّبة عليها، فتميّزها حينئذ بمجرّد نفس مفهوم المعنى المعهود من المعاملة الحاكي عنه اسم المعاملة المخصوص بها، بحيث لا يصحّ و لا ينعقد أحدهما بقصد معنى الآخر منه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ينقدح عدم كفاية قصد إنشاء مجرّد الآثار المترتّبة عليها بالألفاظ</w:t>
      </w:r>
    </w:p>
    <w:p>
      <w:pPr>
        <w:pStyle w:val="BookText"/>
        <w:rPr/>
      </w:pPr>
      <w:r>
        <w:rPr>
          <w:rFonts w:ascii="Amiri" w:hAnsi="Amiri" w:eastAsia="Amiri" w:cs="Amiri"/>
          <w:color w:val="111111"/>
          <w:sz w:val="28"/>
          <w:sz w:val="28"/>
          <w:szCs w:val="28"/>
          <w:rtl w:val="true"/>
          <w:lang w:bidi="ar-SA"/>
        </w:rPr>
        <w:t>و القرائن الدالّة على تلك الآثار، بل يجب قصد مفهوم العقد المعهود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الدال على تلك الماهيّة هو اللفظ المخصوص الذي يسمّى به فينعقد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اختصاص انعقاده به، دون مطلق ما دلّ على ما يفيد أثره و أحكامه، من التجارات الغير المتداولة فيه و لو مع القرائن المنضمّة، و سيجي‌ء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العقد إن علم صحّته شرعا فهو، و إن شك فيها سواء لم يعلم كونه مما تداول بين الناس، أو علم و لم يعلم كونه من الموظّفة الشرعية، أو علم و لم يعلم اشتراطه بما وقع فيه الشك، فمقتضى الأصل الأوّلي فساده بمعنى عدم ترتّب الأثر المقصود منه شرعا، لأنّ الصحّة من الأمور الشرعية المتوقفة على التوظيف الذي هو أمر حادث، ينفيه الأصل إلى أن يثبت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بعض المحققين من تصحيح المعاملة بأصل البراءة، باعتبار اقتضاء إباحة ما تعاقد عليه المتعاملان و إن لم يفد اللزوم، من الغرائب، فإنّ الإباحة الشرعية هنا فرع ترتّب الأثر شرعا المتوقف على الجعل الشرعي المسبوق بالعدم، و لو هو إمضاء الشارع ما تداول عليه عادة الناس في ترتّب الأثر عليه، و الاستصحاب يقتضي عدمه، و لا يعارضه أصل البراءة، لأنّ متعلّقه نفي السبب و متعلّقها ثبوت السبب، و الأوّل مزيل للثاني و مقدّم عليه، بل لا تعارض بينهما حقيقة كما حقّقناه في الأصول و يأتي الإشارة إليه هنا في بعض الفوائد، و عليه عمل الفقهاء و سيرتهم في الفقه حتى الفاضل القائل و إن خالفه قولا في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الشك الموضوعي ما إذا شكّ في إذن المالك، فلا يجوز حينئذ تناول مال الغير بأصل الإباحة، أو شكّ في التطهير أو التذكية فلا يتناوله بأصل الطهارة أو البراءة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أنّ الإباحة الشرعية في كلّ مورد يتمسّك بها بالأصل حكم شرعي</w:t>
      </w:r>
      <w:bookmarkStart w:id="17" w:name="pg2497_11718"/>
    </w:p>
    <w:p>
      <w:pPr>
        <w:pStyle w:val="BookText"/>
        <w:rPr/>
      </w:pPr>
      <w:bookmarkEnd w:id="17"/>
      <w:r>
        <w:rPr>
          <w:rFonts w:ascii="Amiri" w:hAnsi="Amiri" w:eastAsia="Amiri" w:cs="Amiri"/>
          <w:color w:val="111111"/>
          <w:sz w:val="28"/>
          <w:sz w:val="28"/>
          <w:szCs w:val="28"/>
          <w:rtl w:val="true"/>
          <w:lang w:bidi="ar-SA"/>
        </w:rPr>
        <w:t>مسبوق بالعدم، فيعارضه الاستصحاب فلم يبق للأصل مورد أصلا، إذ ليس تعارض الاستصح‌اب لأصل البراءة بالمزيلية في جميع صور التعارض، كما إذا شك في الإباحة الاستقلالية الغير المترتّبة على حدوث سبب، فإنّ مقتضى الاستصحاب ليس هنا نفي السبب بل يمكن القول بكون الأصل حينئذ مزيلا للاستصحاب، نظرا إلى ثبوت التوظيف للإباحة الاستقلالية الظاهرية بمثل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مما لا يعلمون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غيرهما من أدلّة البراءة المقتضية للعلم الشرعيّ الرافع للاستصحاب كما بيّناه في مقامه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861769_3804643083"/>
      <w:bookmarkStart w:id="19" w:name="_Toc7"/>
      <w:bookmarkEnd w:id="18"/>
      <w:r>
        <w:rPr>
          <w:rtl w:val="true"/>
        </w:rPr>
        <w:t>المطلب الثاني</w:t>
      </w:r>
      <w:r>
        <w:rPr>
          <w:rtl w:val="true"/>
        </w:rPr>
        <w:t xml:space="preserve">: </w:t>
      </w:r>
      <w:r>
        <w:rPr>
          <w:rtl w:val="true"/>
        </w:rPr>
        <w:t>في بيان ما ثبت خروجه من الأصل الأوّلي و انقلب فيه بالأصل الثانوي المقتضى للصحّة</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ظاهر أكثر الأصحاب بل المعروف منهم، انقلاب أصل الفساد في أغلب صور الشك في اشتراط شي‌ء أو مانعيّته لمعاملة من المعاملات الموظفة، إلى أصل ثانوي اجتهادي يقتضي صحّة جميع ما صدق عليه اسم تلك المعاملة الموظفة عرفا، بل ربما يظهر من بعضهم أصالة الصحة عند الشك في شرعية أصل المعاملة و توظيفها بالخصوص أيضا، و بها يستدلّ على تأسيس عقد المعاوضة المطلقة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الأصل في المشهور عموم قوله سبحانه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w:t>
      </w:r>
      <w:r>
        <w:rPr>
          <w:rStyle w:val="FootnoteAnchor"/>
          <w:rtl w:val="true"/>
        </w:rPr>
        <w:footnoteReference w:id="6"/>
      </w:r>
      <w:r>
        <w:rPr>
          <w:rFonts w:ascii="Amiri" w:hAnsi="Amiri" w:eastAsia="Amiri" w:cs="Amiri"/>
          <w:color w:val="111111"/>
          <w:sz w:val="28"/>
          <w:sz w:val="28"/>
          <w:szCs w:val="28"/>
          <w:rtl w:val="true"/>
          <w:lang w:bidi="ar-SA"/>
        </w:rPr>
        <w:t>، فيستدلّون به على صحة العقود أو لزومها، و تداولوا عليه حتى قيل أنه المجمع عليه بينهم و قد يتأمّل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القول في الاستدلال بالآية أنّهم بين من يستدلّ بها على تأسيس العقود مطلقا، أي كلّما كان عقدا لغة و عرفا سواء كان من الموظفة الشرعية بخصوصها، كالعقود المدوّنة في كتب الفقه، أو غيرها فيتمسّك بها على ترتّب الأثر المقصود من وضعه عليه، و على تصحيح العقود الموظفة إذا شكّ في اشتراط شي‌ء أو مانعيّته فيها إلّا ما ثبت فساده من أصل كالمغارسة أو لفقدان شرط معلوم كالرباء و المحاقلة و الشغار و مشاركة الأبدان و نحوها، و بين من يستدلّ بها على تصحيح الموظفة خاصّة حملا للعقود عليها، فيستدلّ بها على نفي اشتراط ما شكّ فيه، و بين من ترك الاستدلال بها على الصحّة مطلقا، سواء كان من الموظفة أم لا، زعما لإجمال العقود في الآية، و هو الظاهر من والدي العلّامة </w:t>
      </w:r>
      <w:r>
        <w:rPr>
          <w:rStyle w:val="FootnoteAnchor"/>
          <w:rtl w:val="true"/>
        </w:rPr>
        <w:footnoteReference w:id="7"/>
      </w:r>
      <w:r>
        <w:rPr>
          <w:rFonts w:ascii="Amiri" w:hAnsi="Amiri" w:eastAsia="Amiri" w:cs="Amiri"/>
          <w:color w:val="111111"/>
          <w:sz w:val="28"/>
          <w:sz w:val="28"/>
          <w:szCs w:val="28"/>
          <w:rtl w:val="true"/>
          <w:lang w:bidi="ar-SA"/>
        </w:rPr>
        <w:t>، و يظهر منهم خلاف آخر في دلالتها على لزوم العقد و عدمه يأتي الإشارة إليه، وجه استدلال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الجمع المحلّى باللام على العموم حقيقة الشامل لكلّ ما صدق عليه العقد لغة أو عرفا، فثبت توظيفه في الشرع بهذا العموم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باستلزامه خروج الأكثر إذا كثر ما يسمّى عقدا في اللغة أو العرف مما لا يجب الوفاء به إجماعا، و الباقي في جنب المخرج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تخصيص الأكثر إنّما يلزم لو كان المقصود من عموم العقود العموم النوعيّ و هو خلاف التحقيق، بل المراد العموم الأفرادي فإذا لوحظ الأفراد فلا شكّ أنّ أفراد العقود المتداولة أكثر من أفراد غيرها، سيّما في مثل البيع و الإجارة و النكاح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المناط في الأكثرية إنّما هو بالنسبة إلى أفراد المدلول الوضعيّ من حيث كونها أفرادا له، فإنّها مورد تعلّق الحكم، و لا شكّ أنها غير مختصّة بالأفراد الواقعة في زمان الخطاب، بل يعمّ المتوقّعة الفرضية، بل كلّها أو أكثرها متوقّعة من وقت الصدور، و أكثريتها بأكثرية الأنواع و الأصناف التي هي تحتها، إلّا أن يقال بأنّ الجهة المقتضية لأكثرية وقوع الأفراد الواقعة مطّردة و حاصلة بحكم الحدس و الوجدان للمتوقعة أيضا، كما يشهد به العيان في الأفراد المتجدّدة بعد نزول الآية، و لكنه غير مفيد أيضا، لأنّ أكثرية وقوع تلك المعاملات الموظفة إنّما هي باعتبار فساد غيرها شرعا، فلا يناط بها الاستعمال الموجب لتلك الكثرة الذي به تأسيس الصحة، مع أنّ أكثرية المتداولة الشرعية بالنسبة إلى غيرها من الواقعة بين جميع فرق الأنام في العالم في أزمنة الخطاب و قبلها و بعدها إلى الآن غير مسلّمة، بل خلافها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استدلال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الحمل على العموم لما ذكر، فيتعين حمل اللام على العهد و الإشارة إلى جنس العقود المتداولة في زمان الصدور التي هي المدوّنة في الكتب، لا خصوص أشخاص كلّ عقد متداول فيه بكيفياتها المخصوصة، فيصحّ الاستدلال بها على الأفراد المشكوكة لدخولها في الجنس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أنّه لو سلّم صحّة الإشارة بلام العهد إلى أنواع الجنس دون فرده،</w:t>
      </w:r>
    </w:p>
    <w:p>
      <w:pPr>
        <w:pStyle w:val="BookText"/>
        <w:rPr/>
      </w:pPr>
      <w:r>
        <w:rPr>
          <w:rFonts w:ascii="Amiri" w:hAnsi="Amiri" w:eastAsia="Amiri" w:cs="Amiri"/>
          <w:color w:val="111111"/>
          <w:sz w:val="28"/>
          <w:sz w:val="28"/>
          <w:szCs w:val="28"/>
          <w:rtl w:val="true"/>
          <w:lang w:bidi="ar-SA"/>
        </w:rPr>
        <w:t>فدعوى كونه المعهود في الآية يطالب بالدليل، لاحتمال كونها الأفراد الصحيحة بكيفياتها المخصوصة، بل هي أقرب بمعنى العهد المعروف في كتب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يحتمل كان متعيّنا في الاستدلال، اقتصارا على القدر المتيقن، مضافا إلى احتمال كون المعهود غير ذلك من المعاني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وجه ترك الثالث للاستدلال بالآية على الصحة رأسا، و هو مشكل أيضا بملاحظة مخالفته لسيرة العلماء و متفاهمهم قديما و حديثا، بحيث يكاد أن يكون إجماعا منهم على الاستدلال بها، بل صار من المسلمات بين جمهور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تحقيق الحال و تصحيح الاستدلال على وجه لا يرد عليه الإشكال، فأقول فاستمع و كن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 العقد أصله لغة و عرفا الجمع بين الشيئين بحيث يعسر الانفصال، كما ذكره غير واحد، و هو يشمل الحسّي كعقد الحبل و شدّ العناج، و غير الحسّي و هو الذي يطلق عليه العهد الموثّق المتناول لمثل عقود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الحبل و العهد و البيع و 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القاموس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الحبل و البيع و العقد يعقده اشتدّه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المصباح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الحبل فانعقد، و العقد ما يمسكه و يحبسه و يوثقه، و منه قيل عقدت البيع و نحوه و عقدت اليمين، و الفرق بين العقد و العهد كما في المجمعين و آيات الأحكام و غيرها أنّ في العقد معنى الاستيثاق و الشدة، فلا يكون إلّا بين اثنين، و العهد قد يتفرد به الواحد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إطلاق العقد على العهد الموثق من باب الحقيقة لا المجاز، و ما</w:t>
      </w:r>
    </w:p>
    <w:p>
      <w:pPr>
        <w:pStyle w:val="BookText"/>
        <w:rPr/>
      </w:pPr>
      <w:r>
        <w:rPr>
          <w:rFonts w:ascii="Amiri" w:hAnsi="Amiri" w:eastAsia="Amiri" w:cs="Amiri"/>
          <w:color w:val="111111"/>
          <w:sz w:val="28"/>
          <w:sz w:val="28"/>
          <w:szCs w:val="28"/>
          <w:rtl w:val="true"/>
          <w:lang w:bidi="ar-SA"/>
        </w:rPr>
        <w:t xml:space="preserve">يشعر به في الكشّاف </w:t>
      </w:r>
      <w:r>
        <w:rPr>
          <w:rStyle w:val="FootnoteAnchor"/>
          <w:rtl w:val="true"/>
        </w:rPr>
        <w:footnoteReference w:id="1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العقد العهد الموثق شبه بعقد الحبل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الحقيقة بالأوّل </w:t>
      </w:r>
      <w:r>
        <w:rPr>
          <w:rStyle w:val="FootnoteAnchor"/>
          <w:rtl w:val="true"/>
        </w:rPr>
        <w:footnoteReference w:id="12"/>
      </w:r>
      <w:r>
        <w:rPr>
          <w:rFonts w:ascii="Amiri" w:hAnsi="Amiri" w:eastAsia="Amiri" w:cs="Amiri"/>
          <w:color w:val="111111"/>
          <w:sz w:val="28"/>
          <w:sz w:val="28"/>
          <w:szCs w:val="28"/>
          <w:rtl w:val="true"/>
          <w:lang w:bidi="ar-SA"/>
        </w:rPr>
        <w:t>إنّما هو إبداء للمناسبة بين الاستعمالات الحقيقية و ربط الخفيّ بالجليّ، كما هو دأب علماء اللغة في ربط المعاني المستعملة فيها تصاريف اللفظ بعضها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اتفاق أئمة التفسير و غيرهم على أن المراد بالعقد في الآية العهد الموثق، صرّح به في الكشاف </w:t>
      </w:r>
      <w:r>
        <w:rPr>
          <w:rStyle w:val="FootnoteAnchor"/>
          <w:rtl w:val="true"/>
        </w:rPr>
        <w:footnoteReference w:id="13"/>
      </w:r>
      <w:r>
        <w:rPr>
          <w:rFonts w:ascii="Amiri" w:hAnsi="Amiri" w:eastAsia="Amiri" w:cs="Amiri"/>
          <w:color w:val="111111"/>
          <w:sz w:val="28"/>
          <w:sz w:val="28"/>
          <w:szCs w:val="28"/>
          <w:rtl w:val="true"/>
          <w:lang w:bidi="ar-SA"/>
        </w:rPr>
        <w:t xml:space="preserve">و البيضاوي </w:t>
      </w:r>
      <w:r>
        <w:rPr>
          <w:rStyle w:val="FootnoteAnchor"/>
          <w:rtl w:val="true"/>
        </w:rPr>
        <w:footnoteReference w:id="14"/>
      </w:r>
      <w:r>
        <w:rPr>
          <w:rFonts w:ascii="Amiri" w:hAnsi="Amiri" w:eastAsia="Amiri" w:cs="Amiri"/>
          <w:color w:val="111111"/>
          <w:sz w:val="28"/>
          <w:sz w:val="28"/>
          <w:szCs w:val="28"/>
          <w:rtl w:val="true"/>
          <w:lang w:bidi="ar-SA"/>
        </w:rPr>
        <w:t xml:space="preserve">و الطبرسي </w:t>
      </w:r>
      <w:r>
        <w:rPr>
          <w:rStyle w:val="FootnoteAnchor"/>
          <w:rtl w:val="true"/>
        </w:rPr>
        <w:footnoteReference w:id="15"/>
      </w:r>
      <w:r>
        <w:rPr>
          <w:rFonts w:ascii="Amiri" w:hAnsi="Amiri" w:eastAsia="Amiri" w:cs="Amiri"/>
          <w:color w:val="111111"/>
          <w:sz w:val="28"/>
          <w:sz w:val="28"/>
          <w:szCs w:val="28"/>
          <w:rtl w:val="true"/>
          <w:lang w:bidi="ar-SA"/>
        </w:rPr>
        <w:t xml:space="preserve">و الطريحي </w:t>
      </w:r>
      <w:r>
        <w:rPr>
          <w:rStyle w:val="FootnoteAnchor"/>
          <w:rtl w:val="true"/>
        </w:rPr>
        <w:footnoteReference w:id="16"/>
      </w:r>
      <w:r>
        <w:rPr>
          <w:rFonts w:ascii="Amiri" w:hAnsi="Amiri" w:eastAsia="Amiri" w:cs="Amiri"/>
          <w:color w:val="111111"/>
          <w:sz w:val="28"/>
          <w:sz w:val="28"/>
          <w:szCs w:val="28"/>
          <w:rtl w:val="true"/>
          <w:lang w:bidi="ar-SA"/>
        </w:rPr>
        <w:t xml:space="preserve">و المحقق الأردبيلي في آيات الأحكام </w:t>
      </w:r>
      <w:r>
        <w:rPr>
          <w:rStyle w:val="FootnoteAnchor"/>
          <w:rtl w:val="true"/>
        </w:rPr>
        <w:footnoteReference w:id="17"/>
      </w:r>
      <w:r>
        <w:rPr>
          <w:rFonts w:ascii="Amiri" w:hAnsi="Amiri" w:eastAsia="Amiri" w:cs="Amiri"/>
          <w:color w:val="111111"/>
          <w:sz w:val="28"/>
          <w:sz w:val="28"/>
          <w:szCs w:val="28"/>
          <w:rtl w:val="true"/>
          <w:lang w:bidi="ar-SA"/>
        </w:rPr>
        <w:t xml:space="preserve">و المحدث الكاشاني في الصافي </w:t>
      </w:r>
      <w:r>
        <w:rPr>
          <w:rStyle w:val="FootnoteAnchor"/>
          <w:rtl w:val="true"/>
        </w:rPr>
        <w:footnoteReference w:id="18"/>
      </w:r>
      <w:r>
        <w:rPr>
          <w:rFonts w:ascii="Amiri" w:hAnsi="Amiri" w:eastAsia="Amiri" w:cs="Amiri"/>
          <w:color w:val="111111"/>
          <w:sz w:val="28"/>
          <w:sz w:val="28"/>
          <w:szCs w:val="28"/>
          <w:rtl w:val="true"/>
          <w:lang w:bidi="ar-SA"/>
        </w:rPr>
        <w:t xml:space="preserve">و غيرهم، و في تفسير عليّ بن إبراهيم </w:t>
      </w:r>
      <w:r>
        <w:rPr>
          <w:rStyle w:val="FootnoteAnchor"/>
          <w:rtl w:val="true"/>
        </w:rPr>
        <w:footnoteReference w:id="19"/>
      </w:r>
      <w:r>
        <w:rPr>
          <w:rFonts w:ascii="Amiri" w:hAnsi="Amiri" w:eastAsia="Amiri" w:cs="Amiri"/>
          <w:color w:val="111111"/>
          <w:sz w:val="28"/>
          <w:sz w:val="28"/>
          <w:szCs w:val="28"/>
          <w:rtl w:val="true"/>
          <w:lang w:bidi="ar-SA"/>
        </w:rPr>
        <w:t>بعد ذكر الآية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يشعر به الأمر بالإيفاء به، فإنّه لا يناسب غير العهد، نظير قوله تعالى وَ الْمُوفُونَ بِعَهْدِهِمْ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العهد الذي هو من معانى العقد من المعاهدة، ما فيه شدّ و ربط و توثيق بين اثنين، كما دلّ عليه كلام من ذكر و شهد به العرف، لا من سائر إطلاقات العهد كالتقدم بالأمور و المعرفة و الالتقاء و الإصلاح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ما يطلق عليه</w:t>
      </w:r>
    </w:p>
    <w:p>
      <w:pPr>
        <w:pStyle w:val="BookText"/>
        <w:rPr/>
      </w:pPr>
      <w:r>
        <w:rPr>
          <w:rFonts w:ascii="Amiri" w:hAnsi="Amiri" w:eastAsia="Amiri" w:cs="Amiri"/>
          <w:color w:val="111111"/>
          <w:sz w:val="28"/>
          <w:sz w:val="28"/>
          <w:szCs w:val="28"/>
          <w:rtl w:val="true"/>
          <w:lang w:bidi="ar-SA"/>
        </w:rPr>
        <w:t>كالضمان و اليمين و الأمان داخل فيما هو المراد من العهد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أمين الإسلام في المجمع </w:t>
      </w:r>
      <w:r>
        <w:rPr>
          <w:rStyle w:val="FootnoteAnchor"/>
          <w:rtl w:val="true"/>
        </w:rPr>
        <w:footnoteReference w:id="21"/>
      </w:r>
      <w:r>
        <w:rPr>
          <w:rFonts w:ascii="Amiri" w:hAnsi="Amiri" w:eastAsia="Amiri" w:cs="Amiri"/>
          <w:color w:val="111111"/>
          <w:sz w:val="28"/>
          <w:sz w:val="28"/>
          <w:szCs w:val="28"/>
          <w:rtl w:val="true"/>
          <w:lang w:bidi="ar-SA"/>
        </w:rPr>
        <w:t>بعد تفسير العقود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هذه العهود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بها العهود التي كان أهل الجاهلية عاهد بعضهم بعضا فيها على النصرة و الموازرة و المظاهرة على من حاول ظلمهم أو بغاهم سوء، و ذلك هو معنى الحلف عن ابن عباس و مجاهد و الربيع و قتادة و الضحاك و السدى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العهود التي أخذ اللّه سبحانه على عباده للإيمان به و طاعته فيما أحلّ لهم و حرّم عليهم، عن ابن عباس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أحلّ و حرّم و ما فرض و حدّ في القرآن كلّه، فلا تتعدّوا فيه و لا تنكثوا، و يؤيّده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العقود التي يتعاقدها الناس بينهم و يعقدها المرء على نفسه كعقد الأيمان و النكاح و عقد العهد و عقد البيع و عقد الحلف، عن ابن زيد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أمر من اللّه سبحانه لأهل الكتاب بالوفاء بما أخذ به ميثاقهم بالعمل بما في التوراة و الإنجيل في تصديق نبيّنا و ما جاء به صلّى اللّه عليه و آله و سلّم من عند ربّه، عن ابن جريح و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من هذه الأقوال القول الثاني،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ذلك جميع الأقوال الأخر فيجب الوفاء بجميع ذلك إلّا ما كان عقدا في المعاونة على أمر قبيح، فإنّ ذلك محذور بلا خلاف، 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مجمع البحرين </w:t>
      </w:r>
      <w:r>
        <w:rPr>
          <w:rStyle w:val="FootnoteAnchor"/>
          <w:rtl w:val="true"/>
        </w:rPr>
        <w:footnoteReference w:id="24"/>
      </w:r>
      <w:r>
        <w:rPr>
          <w:rFonts w:ascii="Amiri" w:hAnsi="Amiri" w:eastAsia="Amiri" w:cs="Amiri"/>
          <w:color w:val="111111"/>
          <w:sz w:val="28"/>
          <w:sz w:val="28"/>
          <w:szCs w:val="28"/>
          <w:rtl w:val="true"/>
          <w:lang w:bidi="ar-SA"/>
        </w:rPr>
        <w:t>، و هو كما ترى ظاهر بل صريح في أنّ المراد بالعقود</w:t>
      </w:r>
    </w:p>
    <w:p>
      <w:pPr>
        <w:pStyle w:val="BookText"/>
        <w:rPr/>
      </w:pPr>
      <w:r>
        <w:rPr>
          <w:rFonts w:ascii="Amiri" w:hAnsi="Amiri" w:eastAsia="Amiri" w:cs="Amiri"/>
          <w:color w:val="111111"/>
          <w:sz w:val="28"/>
          <w:sz w:val="28"/>
          <w:szCs w:val="28"/>
          <w:rtl w:val="true"/>
          <w:lang w:bidi="ar-SA"/>
        </w:rPr>
        <w:t xml:space="preserve">التي يتعاقدها الناس بينهم، أي عقود المعاملات في القول الثالث ليس كلّما يعقده المرء و لو اختراعا منه، بل العقود المجوّزة الموظّفة في الشرع مثل البيع و النكاح و اليمين و النذر، كما استشعره والدي العلّامة من كلامه </w:t>
      </w:r>
      <w:r>
        <w:rPr>
          <w:rStyle w:val="FootnoteAnchor"/>
          <w:rtl w:val="true"/>
        </w:rPr>
        <w:footnoteReference w:id="25"/>
      </w:r>
      <w:r>
        <w:rPr>
          <w:rFonts w:ascii="Amiri" w:hAnsi="Amiri" w:eastAsia="Amiri" w:cs="Amiri"/>
          <w:color w:val="111111"/>
          <w:sz w:val="28"/>
          <w:sz w:val="28"/>
          <w:szCs w:val="28"/>
          <w:rtl w:val="true"/>
          <w:lang w:bidi="ar-SA"/>
        </w:rPr>
        <w:t>، إذ ليس ما يخترعه المرء داخلا في القول الثاني الذي قوّاه و جعله جامع الأقوال أعني عقود اللّه التي أوجبها على العباد، و لا ينافيه استثناؤه المعاملات المحظورة عنه لأنّه استثناء ما فيه المنع للمعاونة على أمر قبيح من المعاملات الشرعيّة الموظفة كالبيع للظلمة و بيع الخمر و آلات اللهو و النذر في المعاصي و نحوها، فالعقود المخترعة الغير الموظفة بخصوصها خارجة عن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العقود العموم أي مطلق العهود الموثقة أو مطلق عهود المعاملات خاصّة كانت الغير الموظفة داخلة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الإيراد عليه </w:t>
      </w:r>
      <w:r>
        <w:rPr>
          <w:rStyle w:val="FootnoteAnchor"/>
          <w:rtl w:val="true"/>
        </w:rPr>
        <w:footnoteReference w:id="26"/>
      </w:r>
      <w:r>
        <w:rPr>
          <w:rFonts w:ascii="Amiri" w:hAnsi="Amiri" w:eastAsia="Amiri" w:cs="Amiri"/>
          <w:color w:val="111111"/>
          <w:sz w:val="28"/>
          <w:sz w:val="28"/>
          <w:szCs w:val="28"/>
          <w:rtl w:val="true"/>
          <w:lang w:bidi="ar-SA"/>
        </w:rPr>
        <w:t>باتفاقهم على اشتراط الاستيثاق و الشدّة في معنى العقد و لا يثبت ذلك إلّا بعد ثبوت اللزوم الشرعي، إذ مجرّد بناء المتعاقدين ليس إلّا نفس العهد، و التوثيق محتاج إلى موجب، و ليس في أمثال المقام إلّا إلزام الشرع، فلا يكون المعاملات الغير الموظفة داخلا في العموم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فيه بأنّ مجرد بناء المتعاقدين و إن لم يكف في صدق التوثيق بل هو نفس العهد، إلّا أنّ تسجيله بما تداول بينهم و تصافقا به عليه من لفظ أو فعل لتوثيق العهد و أحكامه عند قصدهم به تأكيدا للعهد و تقرّره كاف في صدق التوثيق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مفاد هذا القول الذي اختاره الطبرسي هو الذي ذكره سائر من ذكر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يحتمل أن يكون مرادا من العهود الموثقة التي هي معنى العقود في الآية، إمّا أحد الأقوال الأربعة المذكورة في المجمع، أو خصوص عقود المعاملات، و عليه إمّا مطلق ما يعم الشرعية و العرفية و صدق عليه المعاملات عرفا، أو خصوص جنس المعاملات الموظفة أو أفرادها المشتملة على جميع شرائط الصحّة، أو المراد غير ذلك من معاني العهد المناسب لصدق العقد عليه كالوصية أو الأمر أو الضمان أو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يفيد المدّعى من الاستدلال به من تلك الاحتمالات، إمّا الحمل على العموم أو على خصوص عقود المعاملات مطلقا أو أجناسها الموظفة من باب العهد، كما استظهره بعض الأجلّة في توجيه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 إن كان مقتضى الحقيقة إلّا أنّ فيه ما تقدّم من لزوم تخصيص الأكثر، و الآخر غير معلوم بحجّة، مع قيام احتمال غيره من المحتملات المذكورة، بل بمقتضى لزوم الاقتصار على المتيقن حينئذ يتعيّن احتمال الأفراد الصحيحة، إلّا أنّ هنا دقيقة غفلوا عنها، مقتضاها الحمل على المعنى الثاني الذي قوّاه الطبرسي أو 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يتمّ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مطلق العهود الموثقة الشرعية، سواء كانت بيننا و بين اللّه كالنذور و نحوها، أو من اللّه إلينا كالإيمان به المعقود في عالم الذرّ و بعده في أداء أمانة التكليف التي حملها الإنسان كما قال اللّه تعالى أَوْفُوا بِعَهْدِي أُوفِ بِعَهْدِكُمْ </w:t>
      </w:r>
      <w:r>
        <w:rPr>
          <w:rStyle w:val="FootnoteAnchor"/>
          <w:rtl w:val="true"/>
        </w:rPr>
        <w:footnoteReference w:id="27"/>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ascii="Amiri" w:hAnsi="Amiri" w:eastAsia="Amiri" w:cs="Amiri"/>
          <w:color w:val="111111"/>
          <w:sz w:val="28"/>
          <w:sz w:val="28"/>
          <w:szCs w:val="28"/>
          <w:rtl w:val="true"/>
          <w:lang w:bidi="ar-SA"/>
        </w:rPr>
        <w:t>و 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الآية، أو بين أنفسنا بعضنا مع بعض كالبيع و النكاح و الصلح و غيرها من عقود المعاملات، و معنى الأمر وجوب الوفاء بكلّ عهد من تلك العهود الموثقة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لبيان ذلك نذكر مقدّمة هي أنّ تخصيص الحكم المتعلّق في الجمع المحلّى ببعض الأفراد لدليل مخرج لغيره يمكن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اللام على الاستغراق و إخراج البعض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العهد و الإشارة بها إلى الباقي إذا كانت هناك قرينة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اللام للاستغراق من غير تخصيص و لكن خروج البعض من باب تقييد المدخول بالثاني لا بتخصيص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الأخير مع الثاني ظاهر، لكون اللام هنا للاستغراق و فيه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الأوّل فهو أنّ التجوّز عليه في الهيئة المركبة الموضوعة للعموم و على الأخير في المدخول خاصّة باستعماله في بعض أفراد الماهيّة، و دخول اللام عليه بمعناها الاستغراقي فهي لاستغراق جميع ما استعمل فيه المدخول من غير تخصيص، فلا تجوّز في اللام و لا في الهيئة التركيبية، فإنّ حقيقة اللام المحلّى بها الجمع استغراق جميع أفراد المعنى المستعمل فيه المدخول، سواء كان حقيقيا أو مجازيا، حتى أنه لو كان من غير جنس معناه الحقيقي، فهي لاستغراق أفراد هذا المعنى المجازي،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النعماء، فلا تجوّز في العموم و لا تخصيص بل التجوّز في المدخول، بل لو أريد بالمدخول ما يعمّ معناه الحقيقي، فاللام الداخلة عليه يفيد التعدّي عن أفراد الحقيقة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القياس ما إذا أريد به بعض أفراد الحقيقة، كقوله تعالى فَإِنَّهُ كٰانَ لِلْأَوّٰابِينَ غَفُوراً </w:t>
      </w:r>
      <w:r>
        <w:rPr>
          <w:rStyle w:val="FootnoteAnchor"/>
          <w:rtl w:val="true"/>
        </w:rPr>
        <w:footnoteReference w:id="30"/>
      </w:r>
      <w:r>
        <w:rPr>
          <w:rFonts w:ascii="Amiri" w:hAnsi="Amiri" w:eastAsia="Amiri" w:cs="Amiri"/>
          <w:color w:val="111111"/>
          <w:sz w:val="28"/>
          <w:sz w:val="28"/>
          <w:szCs w:val="28"/>
          <w:rtl w:val="true"/>
          <w:lang w:bidi="ar-SA"/>
        </w:rPr>
        <w:t>، فإنّه لاستغراق التوّابين الذين هم بعض أفراد المعنى الحقيقي، و من هذا قولهم جمع الأمير الصاغة، أي صاغة بلده أو مملكته، فلا تجوّز في الاستغراق بل التقييد في الصاغة بقرينة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الأخير يشارك الأوّل في استغراق أفراد ما استعمل فيه المدخول و استدعاء إخراج المشكوك فيه عن الاستغراق الدليل، على خلاف الثانى، فإنّ إدخاله يطالب الدليل اقتصارا على القدر المعلوم من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المعهود نوعا يقتصر فيه على النوع المعلوم، إلّا أنّه يفيد العموم بالنسبة إلى النوع المعلوم، و لكنّه أيضا عموم إطلاقيّ لا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يشارك الثانى في جواز خروج أكثر أفراد معنى المدخول، نظرا إلى كونه من باب التقييد الغير الممتنع منه ذلك لا التخصيص، على خلاف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تشخيص كون إرادة البعض من لفظ الجمع المحلّى من أيّ تلك الوجوه يمكن بملاحظة الدليل المخرج على حسب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على العهد لا بدّ أن يكون ذلك عهدا بين المتكلم و السامع، بحيث يصلح لانصراف اللفظ إليه مع متفاهم أهل العرف و الإشارة باللام إليه، سواء كان هو حضور المعهود نحو الْيَوْمَ أَكْمَلْتُ لَكُمْ دِينَكُمْ </w:t>
      </w:r>
      <w:r>
        <w:rPr>
          <w:rStyle w:val="FootnoteAnchor"/>
          <w:rtl w:val="true"/>
        </w:rPr>
        <w:footnoteReference w:id="31"/>
      </w:r>
      <w:r>
        <w:rPr>
          <w:rFonts w:ascii="Amiri" w:hAnsi="Amiri" w:eastAsia="Amiri" w:cs="Amiri"/>
          <w:color w:val="111111"/>
          <w:sz w:val="28"/>
          <w:sz w:val="28"/>
          <w:szCs w:val="28"/>
          <w:rtl w:val="true"/>
          <w:lang w:bidi="ar-SA"/>
        </w:rPr>
        <w:t>، أو ذكره صريحا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فِي زُجٰاجَةٍ </w:t>
      </w:r>
      <w:r>
        <w:rPr>
          <w:rStyle w:val="FootnoteAnchor"/>
          <w:rtl w:val="true"/>
        </w:rPr>
        <w:footnoteReference w:id="32"/>
      </w:r>
      <w:r>
        <w:rPr>
          <w:rFonts w:ascii="Amiri" w:hAnsi="Amiri" w:eastAsia="Amiri" w:cs="Amiri"/>
          <w:color w:val="111111"/>
          <w:sz w:val="28"/>
          <w:sz w:val="28"/>
          <w:szCs w:val="28"/>
          <w:rtl w:val="true"/>
          <w:lang w:bidi="ar-SA"/>
        </w:rPr>
        <w:t xml:space="preserve">، أو مكنيّا عنه كقوله تعالى لَيْسَ الذَّكَرُ كَالْأُنْثىٰ </w:t>
      </w:r>
      <w:r>
        <w:rPr>
          <w:rStyle w:val="FootnoteAnchor"/>
          <w:rtl w:val="true"/>
        </w:rPr>
        <w:footnoteReference w:id="33"/>
      </w:r>
      <w:r>
        <w:rPr>
          <w:rFonts w:ascii="Amiri" w:hAnsi="Amiri" w:eastAsia="Amiri" w:cs="Amiri"/>
          <w:color w:val="111111"/>
          <w:sz w:val="28"/>
          <w:sz w:val="28"/>
          <w:szCs w:val="28"/>
          <w:rtl w:val="true"/>
          <w:lang w:bidi="ar-SA"/>
        </w:rPr>
        <w:t>، و العهد الذكري يعمّ المتصل و غيره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 كلّ يوم البيت الفلاني و الفلاني إلى خمسة مثلا و في داره عشرون بيتا، ثم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 البيوت فاذهب إلى السوق، فإنّه ظاهر في الخمسة المعهودة، و المناط فهم العرف، فلو لم يفهم منه العهد و إن سبق ذكره لا ينصرف إليه، كقوله تعالى جٰاءَ الْحَقُّ وَ زَهَقَ الْبٰاطِلُ إِنَّ الْبٰاطِلَ كٰانَ زَهُوقاً</w:t>
      </w:r>
    </w:p>
    <w:p>
      <w:pPr>
        <w:pStyle w:val="BookText"/>
        <w:rPr/>
      </w:pPr>
      <w:r>
        <w:rPr>
          <w:rStyle w:val="FootnoteAnchor"/>
          <w:rtl w:val="true"/>
        </w:rPr>
        <w:footnoteReference w:id="34"/>
      </w:r>
      <w:r>
        <w:rPr>
          <w:rFonts w:ascii="Amiri" w:hAnsi="Amiri" w:eastAsia="Amiri" w:cs="Amiri"/>
          <w:color w:val="111111"/>
          <w:sz w:val="28"/>
          <w:sz w:val="28"/>
          <w:szCs w:val="28"/>
          <w:rtl w:val="true"/>
          <w:lang w:bidi="ar-SA"/>
        </w:rPr>
        <w:t>، باعتبار ظهوره في العلة المناسبة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التقييد يلزم أن يكون علّة خروج البعض عدم انصراف لفظ المدخول إليه عرفا عند الإطلاق، إمّا مطلقا، كما إذا غلب استعماله في البعض الآخر، و لو مع وقوعه في صيغ العموم باعتبار شذوذ غيره، أو في خصوص المورد، كما في جمع الأمير الصاغة، فإنّ المفهوم منه عرفا صاغة بلده أو مملكته لا جميع أهل الدنيا، و لعلّه لهذا يسمّيه أهل البيان بالاستغراق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الصورتين يكون خروج البعض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مورد أنّ خروج البعض من باب العهد أو تقييد المدخول فمقتضى الأصل كونه من الثاني، لاشتراكهما في تجوّز لفظ المدخول و لزوم التجوّز في اللام على العهد أيضا دون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لا يصحّ البناء على العموم و التخصيص في الآية، لاستلزامه تخصيص الأكثر، فلا بدّ إمّا حمل اللام على العهد أو على الاستغراق و ارتكابه التقييد في المدخول، و الظاهر كما ذكره والدي العلّامة، أنّ تقدّم طلب بعض أفراد الجمع المحلّى على إظهار الطلب ثانيا باللفظ الدال على الجميع ممّا يظنّ معه إرادة الأفراد المتقدّمة، و لا أقلّ من صلاحيّة كونه قرينة لإرادتها، كما في الأمر بكنس البيوت في المثال المتقدّم، و الآية من هذا الباب، لأنّها في سورة المائدة و هي على ما ذكره المفسّرون آخر السور المنزلة، أو المنزلة في أواخر عهد النبي صلّى اللّه عليه و آله و 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 من الشارع قبل نزولها في جملة عهود اللّه سبحانه عقود مقرّرة منه تعالى بين الناس بعضهم مع بعض من معاملاتهم المتداولة، فتقدم طلب الوفاء بتلك العقود يورث الظن بإرادتها خاصة من بين مطلق العقود، و لا أقلّ من كونه قرينة</w:t>
      </w:r>
    </w:p>
    <w:p>
      <w:pPr>
        <w:pStyle w:val="BookText"/>
        <w:rPr/>
      </w:pPr>
      <w:r>
        <w:rPr>
          <w:rFonts w:ascii="Amiri" w:hAnsi="Amiri" w:eastAsia="Amiri" w:cs="Amiri"/>
          <w:color w:val="111111"/>
          <w:sz w:val="28"/>
          <w:sz w:val="28"/>
          <w:szCs w:val="28"/>
          <w:rtl w:val="true"/>
          <w:lang w:bidi="ar-SA"/>
        </w:rPr>
        <w:t xml:space="preserve">لتعيين المعنى المجازي بعد صرف اللفظ عن العموم المحذور فيه، سيما مع تعاضدها بقرينة تعقبها بقوله تعالى أُحِلَّتْ لَكُمْ بَهِيمَةُ الْأَنْعٰامِ </w:t>
      </w:r>
      <w:r>
        <w:rPr>
          <w:rStyle w:val="FootnoteAnchor"/>
          <w:rtl w:val="true"/>
        </w:rPr>
        <w:footnoteReference w:id="35"/>
      </w:r>
      <w:r>
        <w:rPr>
          <w:rFonts w:ascii="Amiri" w:hAnsi="Amiri" w:eastAsia="Amiri" w:cs="Amiri"/>
          <w:color w:val="111111"/>
          <w:sz w:val="28"/>
          <w:sz w:val="28"/>
          <w:szCs w:val="28"/>
          <w:rtl w:val="true"/>
          <w:lang w:bidi="ar-SA"/>
        </w:rPr>
        <w:t>، الآية، فإنّه يشعر كون المراد بالعقود أمثال تلك الأحكام المفصّلة الموظفة قبل الخطاب، كما في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عدم ذكر عقد آخر في الروايات المرويّة عن الحجج الطاهرة من بعد النبي صلّى اللّه عليه و آله و سلّم غير ما هو المتداول عند الفقهاء الموظف بخصوصه، فبملاحظة أمثال ذلك يتعيّن حمل العقود بعد تعذّر الحقيقة على ما تقدّم توظيفه قبل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أنّه هل هو من باب التقييد و اللام على الاستغراق، أو من باب العهد، فيه احتمالان، و القرينة العرفية المذكورة صالحة للأمرين، حسب ما مرّ، لإمكان جعل اللام إشارة إلى هذا البعض بقرينة سبق العهد، أو كونها على حقيقتها أي الاستغراق و تقييد المدخول بقرينة انصراف اللفظ إليه، إلّا أنّ أصل الحقيقة في اللام يرجّح التقييد، و يكون معنى الآية وجوب الوفاء بجميع أفراد العهود الموثقة المقررة قبل الخطاب، فصحّ الاستدلال بها على نفي ما شك في اشتراطه أو مانعيته في العقود الموظفة، دون غير معلوم 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الموظفة هي الجامعة للشرائط فلا يتمّ 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الشرائط لا يمنع عن توظيف الماهيّة أعني جنس الموظفة، فيرجع الشك إلى أنّ المراد جنس الموظّفة أو هي منضمّة إلى الشرائط المقرّرة، فليقتصر على القدر المتيقّن من القيد، و هو الأوّل على البناء على التقييد الذي عرفت أنه مقتضى الأصل، و القرينة العرفية لا يقتضي أزيد منه، فمقتضى الأمر الوفاء بجميع أفراده، إلّا ما ثبت خروجه بدليل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حصول العلم بكثير من الأفراد الصحيحة قبل نزول الآية،</w:t>
      </w:r>
    </w:p>
    <w:p>
      <w:pPr>
        <w:pStyle w:val="BookText"/>
        <w:rPr/>
      </w:pPr>
      <w:r>
        <w:rPr>
          <w:rFonts w:ascii="Amiri" w:hAnsi="Amiri" w:eastAsia="Amiri" w:cs="Amiri"/>
          <w:color w:val="111111"/>
          <w:sz w:val="28"/>
          <w:sz w:val="28"/>
          <w:szCs w:val="28"/>
          <w:rtl w:val="true"/>
          <w:lang w:bidi="ar-SA"/>
        </w:rPr>
        <w:t>و لازمه حمل الأمر بالنسبة إليها على التأكيد، من قبيل الأمر بالمعروف، و إلى غيرها من سائر الأفراد على التأسيس، فيلزم استعمال الأمر في المعنيين، و هو غير معلوم الرخصة، بل صرّح بعضهم بعدم جوازه من قبيل استعمال المشترك في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الأمر و لو من باب التأكيد لا يوجب خروج الأمر عن حقيقته، و لا ينافيه تعلق الطلب به سابقا، فلا يتعدّد المعنى بتعلّق الأمر به و بغيره ثانيا، و هل تجد محذورا في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عمروا، بعد ما قال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جهة التعلق بهما من التأسيس و التأكيد لا يوجب تعدّد المستعمل فيه و اختلافه، و لا يثبت منعه، و مقتضى الأصل صحّة الاستعمال على مقتضى الوضع، مع أنّه يمكن الحمل على التأسيسي بالنسبة إلى المعلوم، فيكون كلّه من باب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تصحيح الاستدلال على نفي الاشتراط في محلّ الخلاف على حمل اللام على العهد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التوظيف قبل الخطاب غير كاف لكونه قرينة العهد، بل يشترط علم جميع المخاطبين بالآية بالمعهود، ليصلح للقرينة، و هو غير معلوم إلّا بالنسبة إلى أجناس تلك العقود الموظفة في الجملة، لا بجميع كيفياتها المخصوصة و شرائطها الواقعية، بل الظاهر بحكم الحدس و الاعتبار مضافا إلى الأصل عدم علم الجميع بها، كيف و هي بعد معركة الآراء و مختلف العلماء، و لو كانت شائعة عند جميع الناس من العوام و الخواص لكانت معروفة في الأنظار المتلاحقة و متداولة في الأيدي المتواصلة من الأصحاب فالتابعين فالعلماء إلى الآن، و اشتهرت في الأخبار الواردة عن الأطهار، مع توفّر الدواعي على النقل و الانتشار، و لم يكن موردا للخلاف بين الأسلاف و الأخلاف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فالقدر المعهود من العقود الذي صحّت الإشارة إليه باللام هو أجناسها الموظفة، دون الكيفيات و الخصوصيات، و تعلّق الأمر بها لا يوجب حملها على الصحيحة،</w:t>
      </w:r>
    </w:p>
    <w:p>
      <w:pPr>
        <w:pStyle w:val="BookText"/>
        <w:rPr/>
      </w:pPr>
      <w:r>
        <w:rPr>
          <w:rFonts w:ascii="Amiri" w:hAnsi="Amiri" w:eastAsia="Amiri" w:cs="Amiri"/>
          <w:color w:val="111111"/>
          <w:sz w:val="28"/>
          <w:sz w:val="28"/>
          <w:szCs w:val="28"/>
          <w:rtl w:val="true"/>
          <w:lang w:bidi="ar-SA"/>
        </w:rPr>
        <w:t>كجواز تعلق الأمر بالأعمّ و بيان الشرط في خطاب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الجواب عن اعتراض الصحيحي على القائل بالأعم في أسامى العبادات و المعاملات المتعلّقة للأوامر الشرعية، فإنّ صدق العام لا ينافي ثبوت الخاصّ، فيستدلّ بالأمر بها على صحّة جميع أفراد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في الماهيّة العامة لا المجملة المبهمة، فلا يمكن الاستدلال بها على الفرد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الماهيّة المبهمة داخلة في مطلق الماهيّة لصدقه عليها، كما يصدق على المطلقة و المشروطة، فلا ينافي صدق الماهيّة على المبهمة مع عدم ملاحظة الشرط، و إن كانت مشروطة في الواقع، كما يصدق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الرجل، أي ماهيّته إذا جاء زيد، و حيث إنّ المفروض تعلّق الأمر في الآية بالمعهود، و هو مجرّد الجنس دون الخصوصيات و الشرائط، و إن احتمل ثبوت الشرط و بيانه في خطاب آخر، فمقتضاه بضميمة أصل عدم الاشتراط، تأسيس صحّة جميع ما صدق عليه الجنس المعهود، و صحّ الاستدلال به على مورد الشك،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فحاصل الكلام مما تلوناه صحّة الاستدلال بالآية على صحّة العقود الموظفة إذا شك في شرطية شي‌ء أو مانعيته، إلّا إذا رجع الشك إلى المعنى الأعمّ و صدق نفس الماهيّة، فلم يصحّ الاستدلال حينئذ</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هو الكلام في كيفية الاستدلال بالآية على صحّة العقود، و أمّا على لزومها باعتبار الأمر بالإيفاء، فيظهر منه الاختلاف فيه أيضا من كلام جماعة، فعن بعضهم تفسير الأمر بالإيفاء على لزوم نفس العقد و وجوب الالتزام به إلّا ما ثبت خروجه بدليل، فيكون منافيا لجواز العقد، و عن آخر بالعمل على مقتضى العقد ما دام باقيا، فلا ينافي جواز بعض العقود، كالشركة و المضاربة و غيرهما، و عن</w:t>
      </w:r>
      <w:bookmarkStart w:id="20" w:name="pg2497_11746"/>
    </w:p>
    <w:p>
      <w:pPr>
        <w:pStyle w:val="BookText"/>
        <w:rPr/>
      </w:pPr>
      <w:bookmarkEnd w:id="20"/>
      <w:r>
        <w:rPr>
          <w:rFonts w:ascii="Amiri" w:hAnsi="Amiri" w:eastAsia="Amiri" w:cs="Amiri"/>
          <w:color w:val="111111"/>
          <w:sz w:val="28"/>
          <w:sz w:val="28"/>
          <w:szCs w:val="28"/>
          <w:rtl w:val="true"/>
          <w:lang w:bidi="ar-SA"/>
        </w:rPr>
        <w:t>ثالث بوجوب اعتقاد لزوم اللازم و جواز الجائز، و عن رابع حمله على الرخصة و نفي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المراد بالعقود أجناس العقود الموظفة بخصوصها، فمعنى الوفاء بها الذي تعلّق به الأمر ترتّب الأثر على العقد على حسب توظيفه، فقد يكون الأثر مقيّدا بمدّة معينة كالإجارة و النكاح المنقطع، و قد يكون مستداما بحيث لا ينقطع بسبب متجدّد، كالتحرير و الوقف على الجهة، و قد يكون مستداما إلى أن يتجدّد السبب، فقدره </w:t>
      </w:r>
      <w:r>
        <w:rPr>
          <w:rStyle w:val="FootnoteAnchor"/>
          <w:rtl w:val="true"/>
        </w:rPr>
        <w:footnoteReference w:id="36"/>
      </w:r>
      <w:r>
        <w:rPr>
          <w:rFonts w:ascii="Amiri" w:hAnsi="Amiri" w:eastAsia="Amiri" w:cs="Amiri"/>
          <w:color w:val="111111"/>
          <w:sz w:val="28"/>
          <w:sz w:val="28"/>
          <w:szCs w:val="28"/>
          <w:rtl w:val="true"/>
          <w:lang w:bidi="ar-SA"/>
        </w:rPr>
        <w:t>على أن يزول به، و هذا السبب إمّا مما هو ليس لقصد المتعاقدين مدخل في زوال الأثر به، كالارتداد للزوجية في النكاح الدائم، أو له مدخل، إمّا من أحدهما كالطلاق و الفسخ من ذي الخيار، أو بشرط توافقهما كالإقالة، فمعنى الوفاء بالعقد ترتّب الأثر على حسب ما قدر في الشرع من أحد هذه الوجوه، فلا ينافي وجوب الوفاء بمقتضى العقد لشرعية السبب الرافع و زوال الأثر به، و ينقدح من هذا أن الآية لا تدلّ على لزوم العقد، بل على مجرّد تأسيس الصحّة، و إن أفاده الاستصحاب عند الشك في السبب المزيل، و أنّ الصواب هو التفسير الثاني مع ما في الأخيرين من تجوّز بعيد يدفعه الأصل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861771_3804643083"/>
      <w:bookmarkStart w:id="22" w:name="_Toc8"/>
      <w:bookmarkEnd w:id="21"/>
      <w:r>
        <w:rPr>
          <w:rtl w:val="true"/>
        </w:rPr>
        <w:t>المطلب الثالث</w:t>
      </w:r>
      <w:r>
        <w:rPr>
          <w:rtl w:val="true"/>
        </w:rPr>
        <w:t xml:space="preserve">: </w:t>
      </w:r>
      <w:r>
        <w:rPr>
          <w:rtl w:val="true"/>
        </w:rPr>
        <w:t>في بيان ما يقتضيه الأصل من لزوم الصيغة أو عدمه في المعاملات،</w:t>
      </w:r>
      <w:bookmarkEnd w:id="22"/>
    </w:p>
    <w:p>
      <w:pPr>
        <w:pStyle w:val="Heading4"/>
        <w:numPr>
          <w:ilvl w:val="3"/>
          <w:numId w:val="1"/>
        </w:numPr>
        <w:rPr/>
      </w:pPr>
      <w:bookmarkStart w:id="23" w:name="__RefHeading___Toc3861773_3804643083"/>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ثم ما يقتضيه على تقدير اللزوم في شرائطها من الخصوصيات و الكيفيات الخاصّة، فهنا بحثان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861775_3804643083"/>
      <w:bookmarkStart w:id="26" w:name="_Toc10"/>
      <w:bookmarkEnd w:id="25"/>
      <w:r>
        <w:rPr>
          <w:rtl w:val="true"/>
        </w:rPr>
        <w:t>البحث الأوّل</w:t>
      </w:r>
      <w:r>
        <w:rPr>
          <w:rtl w:val="true"/>
        </w:rPr>
        <w:t xml:space="preserve">: </w:t>
      </w:r>
      <w:r>
        <w:rPr>
          <w:rtl w:val="true"/>
        </w:rPr>
        <w:t>في أنّه هل يلزم الصيغة أو يكفي المعاطاة</w:t>
      </w:r>
      <w:r>
        <w:rPr>
          <w:rtl w:val="true"/>
        </w:rPr>
        <w:t>.</w:t>
      </w:r>
      <w:bookmarkEnd w:id="26"/>
    </w:p>
    <w:p>
      <w:pPr>
        <w:pStyle w:val="Heading5"/>
        <w:numPr>
          <w:ilvl w:val="4"/>
          <w:numId w:val="1"/>
        </w:numPr>
        <w:rPr/>
      </w:pPr>
      <w:bookmarkStart w:id="27" w:name="__RefHeading___Toc3861777_3804643083"/>
      <w:bookmarkStart w:id="28" w:name="_Toc11"/>
      <w:bookmarkEnd w:id="27"/>
      <w:r>
        <w:rPr>
          <w:rtl w:val="true"/>
        </w:rPr>
        <w:t>اشارة</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في المطلب الأوّل أصالة فساد العقود و المعاملات أوّلا، و في الثاني انقلاب هذا الأصل في العقود الموظفة المعلومة بأجناسها إلى أصل الصحّة، و على هذا فالشكّ إن رجع</w:t>
      </w:r>
    </w:p>
    <w:p>
      <w:pPr>
        <w:pStyle w:val="BookText"/>
        <w:rPr/>
      </w:pPr>
      <w:r>
        <w:rPr>
          <w:rFonts w:ascii="Amiri" w:hAnsi="Amiri" w:eastAsia="Amiri" w:cs="Amiri"/>
          <w:color w:val="111111"/>
          <w:sz w:val="28"/>
          <w:sz w:val="28"/>
          <w:szCs w:val="28"/>
          <w:rtl w:val="true"/>
          <w:lang w:bidi="ar-SA"/>
        </w:rPr>
        <w:t>إلى نفس الماهيّة و صدقها على محلّ الشكّ يحكم بالفساد، لعدم ما يخرج به عن الأصل الأوّلي، و إن رجع إلى الخصوصيات و الكيفيات الزائدة يحكم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فالمعاملة الشرعية، إمّا يكون ممّا علم مدخلية الصيغة المخصوصة في انعقاده كالنكاح و الطلاق و نحوهما، أو يعلم عدمها كالعارية و نحوها،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فيها أو في مطلق اللفظ، فإمّا يعلم أن ماهيّته الموظفة غير معناه اللغوي كاللعان و الظهار و نحوهما، سواء علم لها حقيقة شرعية أم لا، أو لا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فإمّا ليس هنا إطلاق لفظي من الكتاب أو الأخبار دلّ على شرعيته، أو فيه إطلاق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الأصل في جميع الصور الفساد عدا الأخيرة، إذا الشكّ في غيرها يرجع إلى نفس الماهيّة و صدق الموظفة على المجرّد عن الصيغة، سيما على قول من يجعل المعاملة نفس الإيجاب و القبول، و في إطلاق العقد على المعاملة في عرف المتشرعة إشعار بالمدخلية، فإنّ الصيغة بمنزلة عقدة الحبل يشدّ به عهد المتعاملين، و لذا شاع استعمال العقد في الصيغة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ذكره بعض المحققين في حكمه بتوقّف انعقاد المعاملات عليها، من قصور الأفعال عن المقاصد الباطنية، كالتمليك و التملّك و الإنشاء و الرضا، و غايتها إفادة مطلق الظنّ، و لا يغني </w:t>
      </w:r>
      <w:r>
        <w:rPr>
          <w:rStyle w:val="FootnoteAnchor"/>
          <w:rtl w:val="true"/>
        </w:rPr>
        <w:footnoteReference w:id="37"/>
      </w:r>
      <w:r>
        <w:rPr>
          <w:rFonts w:ascii="IRNazanin" w:hAnsi="IRNazanin" w:eastAsia="IRNazanin"/>
          <w:color w:val="111111"/>
          <w:sz w:val="28"/>
          <w:sz w:val="28"/>
          <w:szCs w:val="28"/>
          <w:rtl w:val="true"/>
          <w:lang w:bidi="fa-IR"/>
        </w:rPr>
        <w:t xml:space="preserve">بعموم المنع </w:t>
      </w:r>
      <w:r>
        <w:rPr>
          <w:rStyle w:val="FootnoteAnchor"/>
          <w:rtl w:val="true"/>
        </w:rPr>
        <w:footnoteReference w:id="38"/>
      </w:r>
      <w:r>
        <w:rPr>
          <w:rFonts w:ascii="Amiri" w:hAnsi="Amiri" w:eastAsia="Amiri" w:cs="Amiri"/>
          <w:color w:val="111111"/>
          <w:sz w:val="28"/>
          <w:sz w:val="28"/>
          <w:szCs w:val="28"/>
          <w:rtl w:val="true"/>
          <w:lang w:bidi="ar-SA"/>
        </w:rPr>
        <w:t>و الاتّفاق على توقف الأسباب الشرعية على العلم أو الظنّ المعتبر شرعا، و من أنّ المعاملات شرعت لنظام أمر المعاش، و هي مثار الاختلاف و منشأ التنازع و التراجع، فيجب ضبطها بالأمر الظاهر الكاشف عما في الضمير، و إن كان نقضا للغرض الداعي إلى وضعها في الشريعة، و القيّم بذلك هو البيان المعبّر عمّا في الضمير بسهولة دون غيره، و لذا قرن سبحانه هذه النعمة بنعمة الإيجاد في محكم الكتاب و قد جرت عادة الشارع في جميع المواضع</w:t>
      </w:r>
    </w:p>
    <w:p>
      <w:pPr>
        <w:pStyle w:val="BookText"/>
        <w:rPr/>
      </w:pPr>
      <w:r>
        <w:rPr>
          <w:rFonts w:ascii="Amiri" w:hAnsi="Amiri" w:eastAsia="Amiri" w:cs="Amiri"/>
          <w:color w:val="111111"/>
          <w:sz w:val="28"/>
          <w:sz w:val="28"/>
          <w:szCs w:val="28"/>
          <w:rtl w:val="true"/>
          <w:lang w:bidi="ar-SA"/>
        </w:rPr>
        <w:t>بإناطة الأحكام بأسبابها الظاهرة، و الكشف عنها في مقام الالتباس بالطرق المعهودة الميسّرة لعامة الناس، و جعل المدار في المعاملات على العقود،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الأخيرة فمقتضى أصل الحقيقة الحمل على المعنى اللغوي على كون بيان الشرع بتقرير ما تداول بين الناس قبل الشرع، كما تقدّم بيانه، فيقتضي الإطلاق عدم اشتراط الصيغة إلّا أن يدلّ دليل على الاشتراط في الصحّة أو اللزوم، كما لعله الإجماع في اللزوم، كما سنشير إليه، و ذلك كالبيع الذي دلّ على شرعيته إطلاق قوله سبحانه أَحَلَّ اللّٰهُ الْبَيْعَ و نحوه، المحتمل لكونه باقيا على معناه اللغوي و العرفي، الذي يعمّ مجرّد التقابض لقصد البيع الخالي عن الصيغة، للتبادر و عدم صحّة السلب المثبت للغة، بضميمة أصل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نشأ الخلاف المشهور في صحّة المعاطاة في البيع و عدمها، بل مال بعض المحققين إلى لزومها، و حيث طال فيها التشاجر و التنازع، رأيت أن أبيّن جليّة الحال فيها،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التقابض و المعاطاة على وجه المعاوضة من دون صيغة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بيع لازم نسب إلى المفيد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ينعقد البيع على تراض بين الاثنين فيما يملكان التبايع له إذا عرفاه جميعا و رضيا بالبيع و تقابضا و افترقا بالأبدان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40"/>
      </w:r>
      <w:r>
        <w:rPr>
          <w:rFonts w:ascii="Amiri" w:hAnsi="Amiri" w:eastAsia="Amiri" w:cs="Amiri"/>
          <w:color w:val="111111"/>
          <w:sz w:val="28"/>
          <w:sz w:val="28"/>
          <w:szCs w:val="28"/>
          <w:rtl w:val="true"/>
          <w:lang w:bidi="ar-SA"/>
        </w:rPr>
        <w:t>إلى بعض معاصريه إلّا أنّه اشترط كون الدال على الرضا لفظا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من متأخري المتأخرين المحقق الأردبيلي </w:t>
      </w:r>
      <w:r>
        <w:rPr>
          <w:rStyle w:val="FootnoteAnchor"/>
          <w:rtl w:val="true"/>
        </w:rPr>
        <w:footnoteReference w:id="41"/>
      </w:r>
      <w:r>
        <w:rPr>
          <w:rFonts w:ascii="Amiri" w:hAnsi="Amiri" w:eastAsia="Amiri" w:cs="Amiri"/>
          <w:color w:val="111111"/>
          <w:sz w:val="28"/>
          <w:sz w:val="28"/>
          <w:szCs w:val="28"/>
          <w:rtl w:val="true"/>
          <w:lang w:bidi="ar-SA"/>
        </w:rPr>
        <w:t xml:space="preserve">و والدي العلّامة </w:t>
      </w:r>
      <w:r>
        <w:rPr>
          <w:rStyle w:val="FootnoteAnchor"/>
          <w:rtl w:val="true"/>
        </w:rPr>
        <w:footnoteReference w:id="42"/>
      </w:r>
      <w:r>
        <w:rPr>
          <w:rFonts w:ascii="IRNazanin" w:hAnsi="IRNazanin" w:eastAsia="IRNazanin"/>
          <w:color w:val="111111"/>
          <w:sz w:val="28"/>
          <w:sz w:val="28"/>
          <w:szCs w:val="28"/>
          <w:rtl w:val="true"/>
          <w:lang w:bidi="fa-IR"/>
        </w:rPr>
        <w:t>، وفاقا</w:t>
      </w:r>
    </w:p>
    <w:p>
      <w:pPr>
        <w:pStyle w:val="BookText"/>
        <w:rPr/>
      </w:pPr>
      <w:r>
        <w:rPr>
          <w:rFonts w:ascii="Amiri" w:hAnsi="Amiri" w:eastAsia="Amiri" w:cs="Amiri"/>
          <w:color w:val="111111"/>
          <w:sz w:val="28"/>
          <w:sz w:val="28"/>
          <w:szCs w:val="28"/>
          <w:rtl w:val="true"/>
          <w:lang w:bidi="ar-SA"/>
        </w:rPr>
        <w:t xml:space="preserve">من أهل الخلاف لأحمد بن حنبل و مالك مطلقا، و لبعض الحنفية و الشافعية و ابن شريح في الحقير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 بعضهم كونه قول المفيد ناقلا هو و غيره الإجماع بل ظاهر المذهب على خلافه، بل و ربما نسب إليه اعتبار اللفظ المخصوص في البيع و عدم كونه بيعا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المختلف </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للمفيد قول يوهم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حكى كلامه المتقدّم،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تصريح بصحّته إلّا أنّه يوهم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أنّه غير خال عن الظهور في الصحّة و إن لم يكن صريحا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بيع غير لازم، ذهب إليه المحقق الكركي </w:t>
      </w:r>
      <w:r>
        <w:rPr>
          <w:rStyle w:val="FootnoteAnchor"/>
          <w:rtl w:val="true"/>
        </w:rPr>
        <w:footnoteReference w:id="45"/>
      </w:r>
      <w:r>
        <w:rPr>
          <w:rFonts w:ascii="Amiri" w:hAnsi="Amiri" w:eastAsia="Amiri" w:cs="Amiri"/>
          <w:color w:val="111111"/>
          <w:sz w:val="28"/>
          <w:sz w:val="28"/>
          <w:szCs w:val="28"/>
          <w:rtl w:val="true"/>
          <w:lang w:bidi="ar-SA"/>
        </w:rPr>
        <w:t xml:space="preserve">و جماعة </w:t>
      </w:r>
      <w:r>
        <w:rPr>
          <w:rStyle w:val="FootnoteAnchor"/>
          <w:rtl w:val="true"/>
        </w:rPr>
        <w:footnoteReference w:id="46"/>
      </w:r>
      <w:r>
        <w:rPr>
          <w:rFonts w:ascii="Amiri" w:hAnsi="Amiri" w:eastAsia="Amiri" w:cs="Amiri"/>
          <w:color w:val="111111"/>
          <w:sz w:val="28"/>
          <w:sz w:val="28"/>
          <w:szCs w:val="28"/>
          <w:rtl w:val="true"/>
          <w:lang w:bidi="ar-SA"/>
        </w:rPr>
        <w:t>، بل ظاهر الأوّل الإجماع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بين الأصحاب أنّها أي المعاطاة بيع، و إن لم يكن كالعقد في اللزوم، خلافا لظاهر عبارة المفيد، و لا يقول أحد من الأصحاب أنّه بيع فاسد سوى المصنف في النهاية </w:t>
      </w:r>
      <w:r>
        <w:rPr>
          <w:rStyle w:val="FootnoteAnchor"/>
          <w:rtl w:val="true"/>
        </w:rPr>
        <w:footnoteReference w:id="47"/>
      </w:r>
      <w:r>
        <w:rPr>
          <w:rFonts w:ascii="Amiri" w:hAnsi="Amiri" w:eastAsia="Amiri" w:cs="Amiri"/>
          <w:color w:val="111111"/>
          <w:sz w:val="28"/>
          <w:sz w:val="28"/>
          <w:szCs w:val="28"/>
          <w:rtl w:val="true"/>
          <w:lang w:bidi="ar-SA"/>
        </w:rPr>
        <w:t xml:space="preserve">و قد رجع عنه في كتبه المتأخرة عنها، و قول اللّه تعالى أَحَلَّ اللّٰهُ الْبَيْعَ </w:t>
      </w:r>
      <w:r>
        <w:rPr>
          <w:rStyle w:val="FootnoteAnchor"/>
          <w:rtl w:val="true"/>
        </w:rPr>
        <w:footnoteReference w:id="48"/>
      </w:r>
      <w:r>
        <w:rPr>
          <w:rFonts w:ascii="Amiri" w:hAnsi="Amiri" w:eastAsia="Amiri" w:cs="Amiri"/>
          <w:color w:val="111111"/>
          <w:sz w:val="28"/>
          <w:sz w:val="28"/>
          <w:szCs w:val="28"/>
          <w:rtl w:val="true"/>
          <w:lang w:bidi="ar-SA"/>
        </w:rPr>
        <w:t xml:space="preserve">يتناولها، لأنّها بيع، للاتفاق حتى من القائلين بفسادها، و عليه يتنزّل القول بإفادتها الإباحة لوجوه ذكرها في جامع المقاصد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بيعا و إنما يفيد إباحة محضة، اختاره في المبسوط </w:t>
      </w:r>
      <w:r>
        <w:rPr>
          <w:rStyle w:val="FootnoteAnchor"/>
          <w:rtl w:val="true"/>
        </w:rPr>
        <w:footnoteReference w:id="50"/>
      </w:r>
      <w:r>
        <w:rPr>
          <w:rFonts w:ascii="IRNazanin" w:hAnsi="IRNazanin" w:eastAsia="IRNazanin"/>
          <w:color w:val="111111"/>
          <w:sz w:val="28"/>
          <w:sz w:val="28"/>
          <w:szCs w:val="28"/>
          <w:rtl w:val="true"/>
          <w:lang w:bidi="fa-IR"/>
        </w:rPr>
        <w:t xml:space="preserve">و الخلاف </w:t>
      </w:r>
      <w:r>
        <w:rPr>
          <w:rStyle w:val="FootnoteAnchor"/>
          <w:rtl w:val="true"/>
        </w:rPr>
        <w:footnoteReference w:id="51"/>
      </w:r>
      <w:r>
        <w:rPr>
          <w:rFonts w:ascii="IRNazanin" w:hAnsi="IRNazanin" w:eastAsia="IRNazanin"/>
          <w:color w:val="111111"/>
          <w:sz w:val="28"/>
          <w:sz w:val="28"/>
          <w:szCs w:val="28"/>
          <w:rtl w:val="true"/>
          <w:lang w:bidi="fa-IR"/>
        </w:rPr>
        <w:t xml:space="preserve">و السرائر </w:t>
      </w:r>
      <w:r>
        <w:rPr>
          <w:rStyle w:val="FootnoteAnchor"/>
          <w:rtl w:val="true"/>
        </w:rPr>
        <w:footnoteReference w:id="52"/>
      </w:r>
      <w:r>
        <w:rPr>
          <w:rFonts w:ascii="Amiri" w:hAnsi="Amiri" w:eastAsia="Amiri" w:cs="Amiri"/>
          <w:color w:val="111111"/>
          <w:sz w:val="28"/>
          <w:sz w:val="28"/>
          <w:szCs w:val="28"/>
          <w:rtl w:val="true"/>
          <w:lang w:bidi="ar-SA"/>
        </w:rPr>
        <w:t xml:space="preserve">و التنقيح </w:t>
      </w:r>
      <w:r>
        <w:rPr>
          <w:rStyle w:val="FootnoteAnchor"/>
          <w:rtl w:val="true"/>
        </w:rPr>
        <w:footnoteReference w:id="53"/>
      </w:r>
      <w:r>
        <w:rPr>
          <w:rFonts w:ascii="Amiri" w:hAnsi="Amiri" w:eastAsia="Amiri" w:cs="Amiri"/>
          <w:color w:val="111111"/>
          <w:sz w:val="28"/>
          <w:sz w:val="28"/>
          <w:szCs w:val="28"/>
          <w:rtl w:val="true"/>
          <w:lang w:bidi="ar-SA"/>
        </w:rPr>
        <w:t xml:space="preserve">و الغنية </w:t>
      </w:r>
      <w:r>
        <w:rPr>
          <w:rStyle w:val="FootnoteAnchor"/>
          <w:rtl w:val="true"/>
        </w:rPr>
        <w:footnoteReference w:id="54"/>
      </w:r>
      <w:r>
        <w:rPr>
          <w:rFonts w:ascii="Amiri" w:hAnsi="Amiri" w:eastAsia="Amiri" w:cs="Amiri"/>
          <w:color w:val="111111"/>
          <w:sz w:val="28"/>
          <w:sz w:val="28"/>
          <w:szCs w:val="28"/>
          <w:rtl w:val="true"/>
          <w:lang w:bidi="ar-SA"/>
        </w:rPr>
        <w:t xml:space="preserve">و المسالك </w:t>
      </w:r>
      <w:r>
        <w:rPr>
          <w:rStyle w:val="FootnoteAnchor"/>
          <w:rtl w:val="true"/>
        </w:rPr>
        <w:footnoteReference w:id="55"/>
      </w:r>
      <w:r>
        <w:rPr>
          <w:rFonts w:ascii="IRNazanin" w:hAnsi="IRNazanin" w:eastAsia="IRNazanin"/>
          <w:color w:val="111111"/>
          <w:sz w:val="28"/>
          <w:sz w:val="28"/>
          <w:szCs w:val="28"/>
          <w:rtl w:val="true"/>
          <w:lang w:bidi="fa-IR"/>
        </w:rPr>
        <w:t xml:space="preserve">و الدروس </w:t>
      </w:r>
      <w:r>
        <w:rPr>
          <w:rStyle w:val="FootnoteAnchor"/>
          <w:rtl w:val="true"/>
        </w:rPr>
        <w:footnoteReference w:id="56"/>
      </w:r>
      <w:r>
        <w:rPr>
          <w:rFonts w:ascii="Amiri" w:hAnsi="Amiri" w:eastAsia="Amiri" w:cs="Amiri"/>
          <w:color w:val="111111"/>
          <w:sz w:val="28"/>
          <w:sz w:val="28"/>
          <w:szCs w:val="28"/>
          <w:rtl w:val="true"/>
          <w:lang w:bidi="ar-SA"/>
        </w:rPr>
        <w:t xml:space="preserve">و الروضة </w:t>
      </w:r>
      <w:r>
        <w:rPr>
          <w:rStyle w:val="FootnoteAnchor"/>
          <w:rtl w:val="true"/>
        </w:rPr>
        <w:footnoteReference w:id="57"/>
      </w:r>
      <w:r>
        <w:rPr>
          <w:rFonts w:ascii="Amiri" w:hAnsi="Amiri" w:eastAsia="Amiri" w:cs="Amiri"/>
          <w:color w:val="111111"/>
          <w:sz w:val="28"/>
          <w:sz w:val="28"/>
          <w:szCs w:val="28"/>
          <w:rtl w:val="true"/>
          <w:lang w:bidi="ar-SA"/>
        </w:rPr>
        <w:t>و في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عليه، و في المستند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كونه بيعا، و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يكون إجماعا، و إن لم يتحقّق منهم منع إفادته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بيع فاسد، نسب إلى الفاضل في النهاية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معاملة مستقلّة مفيدة للملك المتزلزل، مال إليه بعضهم و هو محتمل 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تحقق لي من الأقوال، و قال بعض مشايخ من عاصرناه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محلّ النزاع غير محرّر، و كلماتهم فيه مشتبهة أو مختلطة، بل ربما ترى منهم نقل الإجماع على طرفي الضدّ حتى من فقيه واحد، فإنّ النزاع إن كان في المعاطاة مع قصد البيع، فهي على القول باشتراط الصيغة معاملة فاسدة، كما نسب القول بها إلى النهاية </w:t>
      </w:r>
      <w:r>
        <w:rPr>
          <w:rStyle w:val="FootnoteAnchor"/>
          <w:rtl w:val="true"/>
        </w:rPr>
        <w:footnoteReference w:id="60"/>
      </w:r>
      <w:r>
        <w:rPr>
          <w:rFonts w:ascii="Amiri" w:hAnsi="Amiri" w:eastAsia="Amiri" w:cs="Amiri"/>
          <w:color w:val="111111"/>
          <w:sz w:val="28"/>
          <w:sz w:val="28"/>
          <w:szCs w:val="28"/>
          <w:rtl w:val="true"/>
          <w:lang w:bidi="ar-SA"/>
        </w:rPr>
        <w:t>، لأنّها</w:t>
      </w:r>
    </w:p>
    <w:p>
      <w:pPr>
        <w:pStyle w:val="BookText"/>
        <w:rPr/>
      </w:pPr>
      <w:r>
        <w:rPr>
          <w:rFonts w:ascii="Amiri" w:hAnsi="Amiri" w:eastAsia="Amiri" w:cs="Amiri"/>
          <w:color w:val="111111"/>
          <w:sz w:val="28"/>
          <w:sz w:val="28"/>
          <w:szCs w:val="28"/>
          <w:rtl w:val="true"/>
          <w:lang w:bidi="ar-SA"/>
        </w:rPr>
        <w:t xml:space="preserve">تابعة بما اتفقاه، فلا يفيد الإباحة، كما أشار إليه الكركي </w:t>
      </w:r>
      <w:r>
        <w:rPr>
          <w:rStyle w:val="FootnoteAnchor"/>
          <w:rtl w:val="true"/>
        </w:rPr>
        <w:footnoteReference w:id="61"/>
      </w:r>
      <w:r>
        <w:rPr>
          <w:rFonts w:ascii="Amiri" w:hAnsi="Amiri" w:eastAsia="Amiri" w:cs="Amiri"/>
          <w:color w:val="111111"/>
          <w:sz w:val="28"/>
          <w:sz w:val="28"/>
          <w:szCs w:val="28"/>
          <w:rtl w:val="true"/>
          <w:lang w:bidi="ar-SA"/>
        </w:rPr>
        <w:t>في نفي الاشتراط،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المقصود من المتعاطيين إنّما هو الملك، فإذا لم يحصل كانت فاسدة، و لم يجز التصرف في العين، و كافة 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اشتراط الصيغة كانت بيعا صحيحا، فلم يبق للقول بالإباحة المشهور بينهم محلّ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الخلاف فيها مجرّدا عن قصد البيع فهي ليست بيعا قطعا، و يفيد الإباحة قولا واحدا، إذ الظاهر عدم الخلاف في مشروعيته حينئذ و لو على جهة المبادلة، و أيضا لم يتحقّق منهم أنّ الخلاف في المعاطاة هو فيما يتحقّق فيه سائر شرائط البيع عدا الصيغة، كما هو صريح المسالك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كونه بيعا، أو يعمّ غيره، كما هو لازم تعليقهم الإباحة بحصول التراضي، مضافا إلى ما نقل عنهم من عدم اشتراط قبض المجلس في معاملة النقدين في المعاطاة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في القواعد </w:t>
      </w:r>
      <w:r>
        <w:rPr>
          <w:rStyle w:val="FootnoteAnchor"/>
          <w:rtl w:val="true"/>
        </w:rPr>
        <w:footnoteReference w:id="63"/>
      </w:r>
      <w:r>
        <w:rPr>
          <w:rFonts w:ascii="Amiri" w:hAnsi="Amiri" w:eastAsia="Amiri" w:cs="Amiri"/>
          <w:color w:val="111111"/>
          <w:sz w:val="28"/>
          <w:sz w:val="28"/>
          <w:szCs w:val="28"/>
          <w:rtl w:val="true"/>
          <w:lang w:bidi="ar-SA"/>
        </w:rPr>
        <w:t>تجويز جهالة العوضين فيها، و أيضا قولهم بأنّ المعاطاة بيع صحيح أو فاسد أو إباحة مطلق في المقام، مع أنّ جماعة ذكروا فيه و غيرهم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تأتي في غير البيع أيضا من العقود المعوضة العينية كالصلح و الهبة المعوّضة،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الإشكالات لا محلّ لها، فإنّ النزاع في إمكان إيقاع البيع على وجه المعاطاة و عدمه، فمن قال بالأوّل، و هو من لم يشترط الصيغة، يقول باشتراط قصد البيع و سائر الشروط عدا الصيغة عند إرادة البيع بها، و من قال بالثاني لا يجوز قصده منها،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لغير الإباحة، و إن لم يستجمع شرائط البيع فلا يقصد منها البيع، و هكذا في سائر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هو أنّه على كفاية التقابض في البيع، فهل يلزم قصد البيع منه، أو ينصرف إليه مجرّدا عن القصد؟ و سنشير إليه في آخر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عدم اشتراط الصيغة في الصحّة، و إفادة مطلق الملك، و اشتراطها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البيع في العرف و العادة على التقابض بقصد التمليك بغير الألفاظ المخصوصة المقصودة بها إنشاء البيع إطلاقا شائعا لا يصحّ سلبه عنه، فيثبت به الحقيقة عرفا، و بضميمة الأصل، لغة، فيحمل عليه ما في الكتاب و السنّة، لعدم ثبوت الحقيقة الشرعية، بل الظاهر كما عليه الإجماع في المصابيح عدمها، فيتناوله عموم قوله تعالى أَحَلَّ اللّٰهُ الْبَيْعَ </w:t>
      </w:r>
      <w:r>
        <w:rPr>
          <w:rStyle w:val="FootnoteAnchor"/>
          <w:rtl w:val="true"/>
        </w:rPr>
        <w:footnoteReference w:id="64"/>
      </w:r>
      <w:r>
        <w:rPr>
          <w:rFonts w:ascii="Amiri" w:hAnsi="Amiri" w:eastAsia="Amiri" w:cs="Amiri"/>
          <w:color w:val="111111"/>
          <w:sz w:val="28"/>
          <w:sz w:val="28"/>
          <w:szCs w:val="28"/>
          <w:rtl w:val="true"/>
          <w:lang w:bidi="ar-SA"/>
        </w:rPr>
        <w:t>لم نقف عليه بهذه العبارة</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r>
        <w:rPr>
          <w:rFonts w:ascii="Amiri" w:hAnsi="Amiri" w:eastAsia="Amiri" w:cs="Amiri"/>
          <w:color w:val="111111"/>
          <w:sz w:val="28"/>
          <w:sz w:val="28"/>
          <w:szCs w:val="28"/>
          <w:rtl w:val="true"/>
          <w:lang w:bidi="ar-SA"/>
        </w:rPr>
        <w:t>و نحوه، مثل ما في صحيح جميل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ابتاع شيئا فهو له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السيرة القطعية المستمرّة على معاملة المأخوذ حسب المعاطاة معاملة الأملاك عينا و ثمنا في جميع التصرّفات التي منها ما لا يصحّ وقوعه إلّا من المالك، كالنقل و العتق و وطء الجارية و نحوها، و غير التصرّفات، كالإرث و الفقر و الغنى و استطاعة الحج و الزكاة و الخمس و غيرها، معتضدا بنقل الإجماع المتقدّم عن الكركي </w:t>
      </w:r>
      <w:r>
        <w:rPr>
          <w:rStyle w:val="FootnoteAnchor"/>
          <w:rtl w:val="true"/>
        </w:rPr>
        <w:footnoteReference w:id="67"/>
      </w:r>
      <w:r>
        <w:rPr>
          <w:rFonts w:ascii="Amiri" w:hAnsi="Amiri" w:eastAsia="Amiri" w:cs="Amiri"/>
          <w:color w:val="111111"/>
          <w:sz w:val="28"/>
          <w:sz w:val="28"/>
          <w:szCs w:val="28"/>
          <w:rtl w:val="true"/>
          <w:lang w:bidi="ar-SA"/>
        </w:rPr>
        <w:t>و الظاهر من غيره على كونه بيعا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القطعي على إباحة التصرف بها، و لم ينقل الخلاف فيها إلّا عن الفاضل في النهاية </w:t>
      </w:r>
      <w:r>
        <w:rPr>
          <w:rStyle w:val="FootnoteAnchor"/>
          <w:rtl w:val="true"/>
        </w:rPr>
        <w:footnoteReference w:id="68"/>
      </w:r>
      <w:r>
        <w:rPr>
          <w:rFonts w:ascii="Amiri" w:hAnsi="Amiri" w:eastAsia="Amiri" w:cs="Amiri"/>
          <w:color w:val="111111"/>
          <w:sz w:val="28"/>
          <w:sz w:val="28"/>
          <w:szCs w:val="28"/>
          <w:rtl w:val="true"/>
          <w:lang w:bidi="ar-SA"/>
        </w:rPr>
        <w:t xml:space="preserve">، و قد رجع عنه في كتبه المتأخرة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الإباحة هنا دليل الملك، إذ المالك إنما أباحه بقصد الملك، فلو لم يحصل الملك لم يبق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كونها معاملة مستقلّة يدفعه الأصل، كما ستعلم، مضافا إلى عدم قصده المتعاطي، بل المعلوم من أحوال الناس في المعاملات المتداولة بينهم على سبيل المعاطاة في الأسواق و غيرها قصدهم التمليك على جهة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وجه آخر، و هو أنّ الصيغة لو كانت شرط الصحّة شرعا كانت تلك المعاملات المعاطاتية بيوعا فاسدة غير مجوّزة للتصرف، لعدم كون الصيغة دخيلا في تحقّق المسمى اللغوي، كما تبين، و لا له حقيقة شرعية، و كونها كذلك غير منقول من أحد من العلماء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تفد المعاطاة الملك مع ما فيها من الشيوع و اشتهار العمل على الملك بما لا مزيد له في جميع الأعصار و الأمصار قديما و حديثا لوجب صدور المنع عنه من الأئمة، بل تكرّره و توافره، و لو صدر لوصل إلينا، لتوفر الدواعي، فعدمه دليل العدم، بل الثابت منهم بتقريرهم المعلوم لنا قطعا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المعاطاة للإباحة المحضة دون الملك لما اشترط فيها تعيين المبتاع، كما في الإباحة المجّانية، مثل نثار العرس، و الظاهر أنّهم لا يقولون به، و يؤيّد المطلوب بل لا يبعد جعله دليلا اتفاقهم على اللزوم بعد التصرف المتلف، لاستبعاد كون تلف المال مملّكا للعوض المسمّى، خصوصا مع حصرهم النواقل المملّكة فيما ليس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اشتراط الصيغة في اللزوم، فلوجهين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المعتضد بسيرة الأصحاب في المحافظة على ذكر الصيغ الخاصّة و ضبط ألفاظها و المداقة فيها و اهتمامهم في ذكر الخلاف في</w:t>
      </w:r>
    </w:p>
    <w:p>
      <w:pPr>
        <w:pStyle w:val="BookText"/>
        <w:rPr/>
      </w:pPr>
      <w:r>
        <w:rPr>
          <w:rFonts w:ascii="Amiri" w:hAnsi="Amiri" w:eastAsia="Amiri" w:cs="Amiri"/>
          <w:color w:val="111111"/>
          <w:sz w:val="28"/>
          <w:sz w:val="28"/>
          <w:szCs w:val="28"/>
          <w:rtl w:val="true"/>
          <w:lang w:bidi="ar-SA"/>
        </w:rPr>
        <w:t>خصوصيات الصيغة، من غير إشارة إلى الخلاف في أصلها، و لا ذكر دليل عليه، المشعر بكونه منزلا عندهم منزلة المسلّمات القطعية، بل قيل أنّه من الضروريات التي استغنت بذلك عن ذكرها في النصوص و غيرها، كما يؤمي إليه خلوّه عن ذكره فيما لا إشكال في اعتبارها فيه، كالنكاح و الطلاق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ينقل الخلاف فيمن تأخّر إلّا عمّن ذكر </w:t>
      </w:r>
      <w:r>
        <w:rPr>
          <w:rStyle w:val="FootnoteAnchor"/>
          <w:rtl w:val="true"/>
        </w:rPr>
        <w:footnoteReference w:id="70"/>
      </w:r>
      <w:r>
        <w:rPr>
          <w:rFonts w:ascii="Amiri" w:hAnsi="Amiri" w:eastAsia="Amiri" w:cs="Amiri"/>
          <w:color w:val="111111"/>
          <w:sz w:val="28"/>
          <w:sz w:val="28"/>
          <w:szCs w:val="28"/>
          <w:rtl w:val="true"/>
          <w:lang w:bidi="ar-SA"/>
        </w:rPr>
        <w:t xml:space="preserve">، و الإجماع منعقد من قبله، و عن بعض معاصري الشهيد الثاني، و هو مع شرطه مطلق اللفظ محافظة على حصر التمليك و التحريم بالكلام، للخبر الآتي القاصر عن إفادته، لا شريك له ظاهرا، و متروك بالشذوذ فيمن تقدّم عن غير المفيد، و كلامه كما ترى غير صريح فيه لظهوره في بيان شرائط صحّة البيع و لزومه ما لا ينعقد به </w:t>
      </w:r>
      <w:r>
        <w:rPr>
          <w:rStyle w:val="FootnoteAnchor"/>
          <w:rtl w:val="true"/>
        </w:rPr>
        <w:footnoteReference w:id="71"/>
      </w:r>
      <w:r>
        <w:rPr>
          <w:rFonts w:ascii="Amiri" w:hAnsi="Amiri" w:eastAsia="Amiri" w:cs="Amiri"/>
          <w:color w:val="111111"/>
          <w:sz w:val="28"/>
          <w:sz w:val="28"/>
          <w:szCs w:val="28"/>
          <w:rtl w:val="true"/>
          <w:lang w:bidi="ar-SA"/>
        </w:rPr>
        <w:t xml:space="preserve">، و ترك تعرّضه للتعويل على معلومية اعتبارها، كما لم يتعرّض لها في مثل النكاح و الطلاق أيضا، و يقوّي ذلك نقل بعضهم </w:t>
      </w:r>
      <w:r>
        <w:rPr>
          <w:rStyle w:val="FootnoteAnchor"/>
          <w:rtl w:val="true"/>
        </w:rPr>
        <w:footnoteReference w:id="72"/>
      </w:r>
      <w:r>
        <w:rPr>
          <w:rFonts w:ascii="Amiri" w:hAnsi="Amiri" w:eastAsia="Amiri" w:cs="Amiri"/>
          <w:color w:val="111111"/>
          <w:sz w:val="28"/>
          <w:sz w:val="28"/>
          <w:szCs w:val="28"/>
          <w:rtl w:val="true"/>
          <w:lang w:bidi="ar-SA"/>
        </w:rPr>
        <w:t>عنه اعتبار اللفظ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اللزوم، فإنّ اللزوم قيد وجوديّ زائد على مطلق الملك ينفيه الأصل، و لا هكذا تزلزل الملك، فإنّه لازم الماهيّة أعني مطلق الملك، من قبيل الماهيّة في مسألة المرة و التكرار في الأمر الموافقة للمرّة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بنفسه مقتض لبقائه، لا يرتفع إلّا برافع، فارتفاعه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معنى 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جديد يحتاج إلى جعل شرعيّ ينفيه الأصل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الملك و انفساخه برجوع المالك، قد يكون من جهة تزلزل الملك و عدم تماميته و عدم ارتفاع سلطنة المالك بالمرة في مقابل المستقر، فكان</w:t>
      </w:r>
    </w:p>
    <w:p>
      <w:pPr>
        <w:pStyle w:val="BookText"/>
        <w:rPr/>
      </w:pPr>
      <w:r>
        <w:rPr>
          <w:rFonts w:ascii="Amiri" w:hAnsi="Amiri" w:eastAsia="Amiri" w:cs="Amiri"/>
          <w:color w:val="111111"/>
          <w:sz w:val="28"/>
          <w:sz w:val="28"/>
          <w:szCs w:val="28"/>
          <w:rtl w:val="true"/>
          <w:lang w:bidi="ar-SA"/>
        </w:rPr>
        <w:t>بحيث له الرجوع متى شاء، كما في محل البحث، و يؤمي إليه إطلاق التزلزل عليه دون الخيار، و إلى ما ذكرنا ينظر ما قيل من أنّ الملك مقول بالتشكيك قابل للشدة و الضعف، و قد يكون لدليل خارج عن مقتضى المعاملة من شرط أو جبر ضرر أو تعبد، كما في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المقتضي لجواز الرجوع في الأوّل هو نقصان الملك، فليس بأمر زائد عن مطلق الملك، و إن كان زواله من أثر الرجوع،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زوال مطلق الملك أمر متجدّد مسبّب عن الرجوع و مقتضى الاستصحاب بقاؤه و عدم زواله به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ثبت بالاستصحاب المتقدّم اقتضاء الملك المستفاد من المعاطاة جواز الرجوع و زواله به، ينتقض به استصحاب البقاء، و يكون تعارض الاستصحابين من باب تعارض المزيل و المزال، إذ الأوّل سبب لزوال مقتضى الثاني دون العكس، بل هو على تقدير ثبوته كاشف عن خلاف السبب مقدّم على الكاشف كما حقّقناه في مقامه، فهو من قبيل ما إذا وجدت رطوبة في الثوب محتملة للقلّة التي يتجفّف في ساعة، و الكثرة التي لا يتجفّف فيها، فشكّ بعد الساعة في حصول الجفاف، فإنّه يبنى فيها على استصحاب عدم الكثرة المقتضي للجفاف، لا استصحاب الرطوبة الكاشفة عن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من اشترط الصيغة لمطلق الملك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عدة أخبار باختلاف يسير، إنّما يحلّل الكلام و يحرّم الكلام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بالاستدلال، إن كان مطلق الحلّ، فهو يحصل بالإباحة</w:t>
      </w:r>
    </w:p>
    <w:p>
      <w:pPr>
        <w:pStyle w:val="BookText"/>
        <w:rPr/>
      </w:pPr>
      <w:r>
        <w:rPr>
          <w:rFonts w:ascii="Amiri" w:hAnsi="Amiri" w:eastAsia="Amiri" w:cs="Amiri"/>
          <w:color w:val="111111"/>
          <w:sz w:val="28"/>
          <w:sz w:val="28"/>
          <w:szCs w:val="28"/>
          <w:rtl w:val="true"/>
          <w:lang w:bidi="ar-SA"/>
        </w:rPr>
        <w:t xml:space="preserve">التي يكتفي فيها بالأفعال و إذن شاهد الحال إجماعا، و إن كان الحلّ على وجه الملك فلا يساعده اللفظ، و موارد التعليل به في الأخبار غير دالّة عليه، بل هي في إرادة دوران اللزوم بالكلام دون الصحة، كما فهمه صاحب الوافي </w:t>
      </w:r>
      <w:r>
        <w:rPr>
          <w:rStyle w:val="FootnoteAnchor"/>
          <w:rtl w:val="true"/>
        </w:rPr>
        <w:footnoteReference w:id="74"/>
      </w:r>
      <w:r>
        <w:rPr>
          <w:rFonts w:ascii="Amiri" w:hAnsi="Amiri" w:eastAsia="Amiri" w:cs="Amiri"/>
          <w:color w:val="111111"/>
          <w:sz w:val="28"/>
          <w:sz w:val="28"/>
          <w:szCs w:val="28"/>
          <w:rtl w:val="true"/>
          <w:lang w:bidi="ar-SA"/>
        </w:rPr>
        <w:t>أوفق و أظهر، مضافا إلى أنّ مطلق الكلام أعمّ من الصيغة الشرعية، و تخصيصه بها ليس أولى من التقييد بما إذا انحصر طريق فهم المراد و القصد باللفظ، و يمكن أن يكون ذكر الكلام من باب التغليب، و المقصود ما يفهم منه القصد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الاتفاق على جريان حكم البيع الفاسد على البيع بالصيغ الباطلة، و لو أنّ المعاطاة كانت بيعا لزم كونه صحيحا بالصيغة الباطلة، لخروج الصيغة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إفادة المعاطاة الملك على القول بها إنّما هي إذا قصد بالتقابض البيع، فإذا اقترن بالصيغة لم يقصد به إنشاء البيع فلا يحصل الملك بالتقابض حينئذ قولا واحدا، سيما إذا تأخّر التقابض عن الصيغة، فإنّه يكون حينئذ من باب تسليم مال الغير إليه، بل يقصد البيع حينئذ بنفس الصيغة، فإذا فسدت لم يؤثر هي في الملك أيضا، فلا يحصل الانتقال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عند القائل بالمعاطاة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فيه إنشاء النقل بالصيغة و آخر بالتقابض، فإذا قصد الإنشاء بالأوّل لزم كون الصيغة صحيحة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أنّه لو سلّم ذلك فهو يرد على القول بالملك اللازم، إذ على القول بالمتزلزل كان اللزوم أثر الصيغة، فإذا فسدت لم يلزم، و حيث إنّ المقصود بالمعاملة إذا اقترنت بها، الملك اللازم و عليه التراضي، فإذا بطلت بطل 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كلامهم في تحقّق البيع بإشارة الأخرس و نحوه على وجه يكون كالبيع بالصيغة من غير إشارة إلى تبعيتها للعقد 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إشارة الأخرس تابعة لقصده، فإن قصد بها العقد يتبعه حكمه، و يكون البيع لازما، و إلّا يتبع المعاطاة، و غرضهم من الإطلاق بعد ذكر العقد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جواز المعاطاة في النكاح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قياس باطل، كما أنّه يجوز شرط الخيار فيه دونهما، مع أنّه يعارضه القياس بالعقود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الدعائم </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في البيع و الشراء و النكاح و الخلع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قصوره عن المدّعى سندا و دلالة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اشتراط الصيغة من سيرة الأصحاب على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المعلوم منها اشتراطها في البيع اللازم دون الصحيح المتزلزل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من ذهب إلى إفادة المعاطاة اللزوم، و لم يشترط الصيغة صدق البيع و التجارة عن تراض على المعاطاة في قوله عزّ و جلّ أَحَلَّ اللّٰهُ الْبَيْعَ </w:t>
      </w:r>
      <w:r>
        <w:rPr>
          <w:rStyle w:val="FootnoteAnchor"/>
          <w:rtl w:val="true"/>
        </w:rPr>
        <w:footnoteReference w:id="76"/>
      </w:r>
      <w:r>
        <w:rPr>
          <w:rFonts w:ascii="Amiri" w:hAnsi="Amiri" w:eastAsia="Amiri" w:cs="Amiri"/>
          <w:color w:val="111111"/>
          <w:sz w:val="28"/>
          <w:sz w:val="28"/>
          <w:szCs w:val="28"/>
          <w:rtl w:val="true"/>
          <w:lang w:bidi="ar-SA"/>
        </w:rPr>
        <w:t xml:space="preserve">و إِلّٰا أَنْ تَكُونَ تِجٰارَةً عَنْ تَرٰاضٍ </w:t>
      </w:r>
      <w:r>
        <w:rPr>
          <w:rStyle w:val="FootnoteAnchor"/>
          <w:rtl w:val="true"/>
        </w:rPr>
        <w:footnoteReference w:id="77"/>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الرواية </w:t>
      </w:r>
      <w:r>
        <w:rPr>
          <w:rFonts w:eastAsia="Amiri" w:cs="Amiri" w:ascii="Amiri" w:hAnsi="Amiri"/>
          <w:color w:val="111111"/>
          <w:sz w:val="28"/>
          <w:szCs w:val="28"/>
          <w:lang w:bidi="ar-SA"/>
        </w:rPr>
        <w:t>23013</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الأخبار النافية للخيار، منطوقا و مفهوما عما يصدق عليه البيع،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افترقا فلا خيار بعد الرضا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وجب البيع</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نحوها من أخبار خيار الشرط و العيب</w:t>
      </w:r>
      <w:r>
        <w:rPr>
          <w:rFonts w:eastAsia="Amiri" w:cs="Amiri" w:ascii="Amiri" w:hAnsi="Amiri"/>
          <w:color w:val="111111"/>
          <w:sz w:val="28"/>
          <w:szCs w:val="28"/>
          <w:rtl w:val="true"/>
          <w:lang w:bidi="ar-SA"/>
        </w:rPr>
        <w:t>.</w:t>
      </w:r>
      <w:bookmarkStart w:id="29" w:name="pg2497_11771"/>
    </w:p>
    <w:p>
      <w:pPr>
        <w:pStyle w:val="BookText"/>
        <w:rPr/>
      </w:pPr>
      <w:bookmarkEnd w:id="29"/>
      <w:r>
        <w:rPr>
          <w:rFonts w:ascii="Amiri" w:hAnsi="Amiri" w:eastAsia="Amiri" w:cs="Amiri"/>
          <w:color w:val="111111"/>
          <w:sz w:val="28"/>
          <w:sz w:val="28"/>
          <w:szCs w:val="28"/>
          <w:rtl w:val="true"/>
          <w:lang w:bidi="ar-SA"/>
        </w:rPr>
        <w:t>و الجواب عن الآيتين عدم الدلالة على اللزوم، بل على مجرد الصحّة، و عن إطلاق الأخبار بظهوره في إرادة الخيار من حيث المجلس أو الشرط أو العيب، و بالجملة هو في بيان سببية تلك الأسباب للخيار، و هو لا ينافي ثبوته في بعض أفراد البيع لجهة أخرى، فهو من قبيل إن قبضت في المجلس صحّ الصرف، مع أنّه يمكن فساده من جهة أخرى، فإنّ غرض المتكلّم من مثل هذا الكلام على ما هو المتبادر و المنساق إلى الأذهان من السياق بيان مجرد شرطية الأوّل للثاني، مع الفراغ عن وجود سائر أجزاء العلّة</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861779_3804643083"/>
      <w:bookmarkStart w:id="31" w:name="_Toc12"/>
      <w:bookmarkEnd w:id="30"/>
      <w:r>
        <w:rPr>
          <w:rtl w:val="true"/>
        </w:rPr>
        <w:t>تتميمات</w:t>
      </w:r>
      <w:r>
        <w:rPr>
          <w:rtl w:val="true"/>
        </w:rPr>
        <w:t>:</w:t>
      </w:r>
      <w:bookmarkEnd w:id="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المعاطاة يمكن تصويرها على وجوه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بها الإباحة بعوض و التسليط على التصرف كيف شاء، و لو بالإتلاف من غير تضمين، دون الملك و لا شبهة في مشروعيتها حينئذ على وجه المبادلة،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حلّية مال المرء بطيب نفسه، و لا خلاف فيه ظاهرا، و لا في عدم إفادتها الملك، و لا في عدم ضمان العوض مع التلف، كما في الإباحة المجانية في نثار العرس، و مقتضاها عدم صحة التصرفات المتوقفة على الملك، كالعتق و الوطء و البيع لنفسه و نحوها، فإنّ مجرّد تسليط المالك و لو على أمثال تلك التصرفات لا يوجب صحّتها شرعا، بل يتوقف على التوقيف الشرعيّ، و اتفاقهم على صحّته في المعاطاة لا يوجبها في محلّ الفرض، فإنّ من المجمعين من يقول بإفادتها الملك لكونه بيعا أو معاملة مستقلّة، و هو مناط صحّة هذه التصرفات الملكية عنده، فلا يقول بصحّتها في مثل تلك المعاطاة التي لا تفيده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الجمع بين صحّة هذه التصرفات في المعاطاة على القول بعدم إفادتها الملك، و بين ما دلّ على أن لا بيع و لا عتق إلّا في ملك، بتقدير الملك ضمنا، كما يقدّر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 و انعتاق العمودين على المشتري لا شاهد له أصلا، بل مقتضى الأصول و انحصار النواقل الشرعية في كتب الجماعة فيما ليس منه إرادة التصرف الناقل في مثل محل البحث يدلّان على خلافه، مع عدم انصراف الملك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 الملك الضمني الذي تقديره بمجرد التقدم الذاتي، بل المتبادر منه الملك المتعارف في العرف و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البيع بالمعاطاة أي إرادة النقل البيعي تفصيلا، كما إذا وقعت المساومة عليه، أو إجمالا على ما هو المعهود المركوز في المقصود غالبا في معاملات الناس المتداولة في الأسواق على سبيل المعاطاة، و المتّجه حينئذ كونها بيعا صحيحا غير لازم، على ما اخترناه بالأدلّة المتقدمة، فيعتبر فيها جميع ما يعتبر في البيع، لعموم ما دلّ عليه الشامل لمحل الفرض، و بيعا فاسدا على المحكيّ عن الفاضل في النهاية </w:t>
      </w:r>
      <w:r>
        <w:rPr>
          <w:rStyle w:val="FootnoteAnchor"/>
          <w:rtl w:val="true"/>
        </w:rPr>
        <w:footnoteReference w:id="81"/>
      </w:r>
      <w:r>
        <w:rPr>
          <w:rFonts w:ascii="Amiri" w:hAnsi="Amiri" w:eastAsia="Amiri" w:cs="Amiri"/>
          <w:color w:val="111111"/>
          <w:sz w:val="28"/>
          <w:sz w:val="28"/>
          <w:szCs w:val="28"/>
          <w:rtl w:val="true"/>
          <w:lang w:bidi="ar-SA"/>
        </w:rPr>
        <w:t>، بل هو لازم قول جميع القائلين بمدخلية الصيغة في صحّة البيع، فإطلاق كلام هؤلاء في إفادتها الإباحة الشامل للفرض، خصوصا على تسليم بعضهم صدق البيع عليها لغة و عرفا، غفلة واضحة، بل عليهم حجّة صريحة،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حرمة التصرف في المأخوذ بالمعاملة الفاسدة و ضمان ما يقبض بها من المسائل الإجماعية، و التعاطي مع تقييده بقصد البيع لا يفيد الإذن المطلق المجوّزة للتصرف، مع فرض عدم حصول المقصود، سيما مع الجهل بالفساد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فساد ما قيل، بل نسب إلى المتأخرين من أنّ محل النزاع و مجرى الأقوال من الإباحة و البيع المتزلزل و البيع الفاسد ما قصد به البيع، مع وجود جميع شرائطه عدا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به المعاوضة على وجه مطلق، من غير قصد البيع أو الإباحة المحضة، بمعنى عدم الالتفات إليهما لا تفصيلا و لا إجمالا، و الظاهر أنّ حكمه حكم الأوّل، فيحصل به الإباحة دون الملك، أمّا على عدم اشتراط الصيغة في الصحّة، فلحصول الإباحة على الوجهين، و توقّف الملك على قصد البيع، و أمّا على اشتراطها، فلحصول الإذن المجوّز للتصرف و المنافي له عند المشترط قصد البيع و لم يقع، و إن لم يقصد عدمه أيضا، و من هذا يظهر عدم اشتراط وجود سائر شرائط البيع حينئذ في حصول الإباحة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الملك المطلق، و هو كما قيل لا ريب في فسادها عند من يشترط الصيغة الخاصّة في تلك المعاوضة لإفادة الملك، لانتفاء الشرط، فينتفي به المشروط، فلا يحصل به الإباحة أيضا حسب ما مرّ، و أمّا عند من لم يشترطها، ففي صحّته و تنزيله على البيع بناء على أنّه الأصل في نقل الأعيان، و لا يخرج عنه إلّا بقصد غيره، كما أنّ الإجارة أصل في نقل المنافع مقدمة على الصلح و الجعالة، كما عن بعضهم، أو تنزيله على الهبة المعوضة، كما عن آخر، أو هو معاوضة ناقلة مستقلة ليست تحت شي‌ء من المعاوضات المعروفة، كما يظهر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إفادته الإباحة دون الملك، أو فساده مطلقا، احتمالات، أظهرها الأخير، لإمكان المناقشة؛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الأصل و خلوه عن الدليل، فلا ينزل العام على الخاص إلّا بقصده، و لذا لا يكتفي في صيغة البيع بمثل ملكتك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كانت المعاملات العينية المعاطاتية بين الناس يقصد بها البيع غالبا في عاداتهم، كما أشير إليه إذا قصد بالنقل ما تداولت عليه تلك المعاملات جريا على عادتهم، و إن لم يلتفت إلى خصوص البيع تفصيلا، أمكن التنزيل عليه، و ما ذكرناه من الفساد في تلك الصورة إنما هو إذا لم يمكن تطبيق القصد، و لو جريا على العادة المتداولة في المعاطاة على البيع، فكان القاصد كالمتردّد بين خصوصيات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فساد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باستدعائه التوظيف الشرعي و الدليل عليه،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الأصحاب النواقل في ما ذكروه من الأمور المخصوصة يقتضي خلافه، و الاستناد إلى أَوْفُوا بِالْعُقُودِ يندفع بما عرفت من كونه محمولا على العهد، و مع ذلك صدق العقد على المعاطاة محلّ إشكال، و دعوى السيرة المستمرّة على استقلال المعاطاة في التمليك واهية، لما عرفت من صدق البيع عليها مع القصد لغة و عرفا، فالسيرة لو كانت، فمن تلك الجهة، و إلّا فلا سيرة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مقيّدة بقصد الملك فينتفي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المعاطاة بالبيع، أو يعمّ سائر العقود اللازمة، عدا مثل النكاح و الطلاق و أشباههما المتفق على بطلانها فيها؟</w:t>
      </w:r>
    </w:p>
    <w:p>
      <w:pPr>
        <w:pStyle w:val="BookText"/>
        <w:rPr/>
      </w:pPr>
      <w:r>
        <w:rPr>
          <w:rFonts w:ascii="Amiri" w:hAnsi="Amiri" w:eastAsia="Amiri" w:cs="Amiri"/>
          <w:color w:val="111111"/>
          <w:sz w:val="28"/>
          <w:sz w:val="28"/>
          <w:szCs w:val="28"/>
          <w:rtl w:val="true"/>
          <w:lang w:bidi="ar-SA"/>
        </w:rPr>
        <w:t xml:space="preserve">صرّح بالعموم المحقق القمي </w:t>
      </w:r>
      <w:r>
        <w:rPr>
          <w:rStyle w:val="FootnoteAnchor"/>
          <w:rtl w:val="true"/>
        </w:rPr>
        <w:footnoteReference w:id="82"/>
      </w:r>
      <w:r>
        <w:rPr>
          <w:rFonts w:ascii="Amiri" w:hAnsi="Amiri" w:eastAsia="Amiri" w:cs="Amiri"/>
          <w:color w:val="111111"/>
          <w:sz w:val="28"/>
          <w:sz w:val="28"/>
          <w:szCs w:val="28"/>
          <w:rtl w:val="true"/>
          <w:lang w:bidi="ar-SA"/>
        </w:rPr>
        <w:t xml:space="preserve">لدخولها في عموم إِلّٰا أَنْ تَكُونَ تِجٰارَةً عَنْ تَرٰاضٍ </w:t>
      </w:r>
      <w:r>
        <w:rPr>
          <w:rStyle w:val="FootnoteAnchor"/>
          <w:rtl w:val="true"/>
        </w:rPr>
        <w:footnoteReference w:id="83"/>
      </w:r>
      <w:r>
        <w:rPr>
          <w:rFonts w:ascii="Amiri" w:hAnsi="Amiri" w:eastAsia="Amiri" w:cs="Amiri"/>
          <w:color w:val="111111"/>
          <w:sz w:val="28"/>
          <w:sz w:val="28"/>
          <w:szCs w:val="28"/>
          <w:rtl w:val="true"/>
          <w:lang w:bidi="ar-SA"/>
        </w:rPr>
        <w:t xml:space="preserve">حاشية الإرشاد للمحقق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يلحق به بعض ما هو إيقاع كالشفعة و الإبراء و فسخ الخيار و نحوها مما يصدق على المعاطاة فيها اسم تلك المعاملة، لإلحاق المعاطاة بها حينئذ بصدق الاسم، فيلحقها حكمها عدا ما كان من لوازم الصيغة كاللزوم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تعليق الإرشاد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المعاطاة الإجارة و نحوها، بخلاف النكاح و الطلاق و نحوهما، فلا يقع أصلا، و به صرّح في الإجارة بعض أجلّة من عاصرناه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 بعضهم ما يقتضي اعتبار المعاطاة في الإجارة، و كذا في الهبة، و ذلك إذا أمره بعمل على عوض معين عمله و استحقّ الأجرة، و لو كانت هذه إجارة فاسدة لم يجز له العمل و لم يستحق أجرة، مع علمه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الجواز بذلك و كذا لو وهب بغير عقد فإنّ ظاهرهم جواز الإتلاف و لو كانت هبة فاسدة لم يجز، بل يمنع عن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88"/>
      </w:r>
      <w:r>
        <w:rPr>
          <w:rFonts w:ascii="Amiri" w:hAnsi="Amiri" w:eastAsia="Amiri" w:cs="Amiri"/>
          <w:color w:val="111111"/>
          <w:sz w:val="28"/>
          <w:sz w:val="28"/>
          <w:szCs w:val="28"/>
          <w:rtl w:val="true"/>
          <w:lang w:bidi="ar-SA"/>
        </w:rPr>
        <w:t>،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 في مثال الهبة نظرا من حيث إنّ الهبة لا يختصّ بلفظ</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جواز المعاطاة في جميع العقود عدا ما استثنى مشكلة، فإنّ صدق التجارة و السيرة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العمدة من أدلّة المعاطاة 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و عدم القول بالفصل غير معلوم، بل في المحكيّ عن الجامع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بالإجارة و الهبة، 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يفيد أزيد من الإباحة دون الملك و اللزوم بالتلف، فعدم العموم أقرب، اقتصارا فيما خالف الأصل على مورد الدليل، و هو ما صدق عليه اسم التجارة، أو علمت فيه السيرة، أو استحقت المعاطاة اسم المعاملة في العرف و اللغة، مع وجود ما يقتضي صحّة مطلق تلك المعاملة، كما في معاطاة الهبة، فإن صحّتها مقتضى الدليلين الأخيرين </w:t>
      </w:r>
      <w:r>
        <w:rPr>
          <w:rStyle w:val="FootnoteAnchor"/>
          <w:rtl w:val="true"/>
        </w:rPr>
        <w:footnoteReference w:id="90"/>
      </w:r>
      <w:r>
        <w:rPr>
          <w:rFonts w:ascii="Amiri" w:hAnsi="Amiri" w:eastAsia="Amiri" w:cs="Amiri"/>
          <w:color w:val="111111"/>
          <w:sz w:val="28"/>
          <w:sz w:val="28"/>
          <w:szCs w:val="28"/>
          <w:rtl w:val="true"/>
          <w:lang w:bidi="ar-SA"/>
        </w:rPr>
        <w:t>، فيجوز فيها العمل بمقتضى الملك، كوطء الجارية، كما في هدايا السلاطين لرسول اللّه صلّى اللّه عليه و آله و سلّم، و منها المارية القبطية، و نحوها القرض و الإجارة على احتمال قويّ، فيستحق بها الأجرة المسمّاة،</w:t>
      </w:r>
    </w:p>
    <w:p>
      <w:pPr>
        <w:pStyle w:val="BookText"/>
        <w:rPr/>
      </w:pPr>
      <w:r>
        <w:rPr>
          <w:rFonts w:ascii="Amiri" w:hAnsi="Amiri" w:eastAsia="Amiri" w:cs="Amiri"/>
          <w:color w:val="111111"/>
          <w:sz w:val="28"/>
          <w:sz w:val="28"/>
          <w:szCs w:val="28"/>
          <w:rtl w:val="true"/>
          <w:lang w:bidi="ar-SA"/>
        </w:rPr>
        <w:t xml:space="preserve">كما عليه السيرة في الأجراء و الأكرة </w:t>
      </w:r>
      <w:r>
        <w:rPr>
          <w:rStyle w:val="FootnoteAnchor"/>
          <w:rtl w:val="true"/>
        </w:rPr>
        <w:footnoteReference w:id="91"/>
      </w:r>
      <w:r>
        <w:rPr>
          <w:rFonts w:ascii="Amiri" w:hAnsi="Amiri" w:eastAsia="Amiri" w:cs="Amiri"/>
          <w:color w:val="111111"/>
          <w:sz w:val="28"/>
          <w:sz w:val="28"/>
          <w:szCs w:val="28"/>
          <w:rtl w:val="true"/>
          <w:lang w:bidi="ar-SA"/>
        </w:rPr>
        <w:t>، و لو كانت إجارة فاسدة لم يستحقّ الأجرة مع علمه بالفساد، و لا المسمّاة مطلقا، و كذا معاطاة الصلح و الهبة المعوضة و الرهن و نحوها، مما يصدق عليه اسم التجارة أو المعاملة عرفا، على إشكال في الأخير، بل لا ينبغي ترك الاحتياط في الجميع، و في مثل الوقف و نحوه يتّجه العدم، و تفصيل الحال في كيفية الاستدلال في كلّ معاملة موكول إلى بابها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فالظاهر عدم اللزوم في جميع ما صحّت المعاطاة فيه، للأصل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تحقيقا و نقلا في لزوم المعاطاة بتلف العين من الجانبين، و أمّا من جانب فهو صريح جماعة، منهم المحقق الكركي </w:t>
      </w:r>
      <w:r>
        <w:rPr>
          <w:rStyle w:val="FootnoteAnchor"/>
          <w:rtl w:val="true"/>
        </w:rPr>
        <w:footnoteReference w:id="92"/>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جعله في المسالك </w:t>
      </w:r>
      <w:r>
        <w:rPr>
          <w:rStyle w:val="FootnoteAnchor"/>
          <w:rtl w:val="true"/>
        </w:rPr>
        <w:footnoteReference w:id="93"/>
      </w:r>
      <w:r>
        <w:rPr>
          <w:rFonts w:ascii="Amiri" w:hAnsi="Amiri" w:eastAsia="Amiri" w:cs="Amiri"/>
          <w:color w:val="111111"/>
          <w:sz w:val="28"/>
          <w:sz w:val="28"/>
          <w:szCs w:val="28"/>
          <w:rtl w:val="true"/>
          <w:lang w:bidi="ar-SA"/>
        </w:rPr>
        <w:t xml:space="preserve">أقوى، مشعرا بوقوع الخلاف فيه، و منعه والدي العلّامة </w:t>
      </w:r>
      <w:r>
        <w:rPr>
          <w:rStyle w:val="FootnoteAnchor"/>
          <w:rtl w:val="true"/>
        </w:rPr>
        <w:footnoteReference w:id="94"/>
      </w:r>
      <w:r>
        <w:rPr>
          <w:rFonts w:ascii="Amiri" w:hAnsi="Amiri" w:eastAsia="Amiri" w:cs="Amiri"/>
          <w:color w:val="111111"/>
          <w:sz w:val="28"/>
          <w:sz w:val="28"/>
          <w:szCs w:val="28"/>
          <w:rtl w:val="true"/>
          <w:lang w:bidi="ar-SA"/>
        </w:rPr>
        <w:t xml:space="preserve">و فصّل الفاضل القمي </w:t>
      </w:r>
      <w:r>
        <w:rPr>
          <w:rStyle w:val="FootnoteAnchor"/>
          <w:rtl w:val="true"/>
        </w:rPr>
        <w:footnoteReference w:id="95"/>
      </w:r>
      <w:r>
        <w:rPr>
          <w:rFonts w:ascii="Amiri" w:hAnsi="Amiri" w:eastAsia="Amiri" w:cs="Amiri"/>
          <w:color w:val="111111"/>
          <w:sz w:val="28"/>
          <w:sz w:val="28"/>
          <w:szCs w:val="28"/>
          <w:rtl w:val="true"/>
          <w:lang w:bidi="ar-SA"/>
        </w:rPr>
        <w:t>بلزومها على القول بإفادتها الملك المتزلزل دون الإباحة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96"/>
      </w:r>
      <w:r>
        <w:rPr>
          <w:rFonts w:ascii="Amiri" w:hAnsi="Amiri" w:eastAsia="Amiri" w:cs="Amiri"/>
          <w:color w:val="111111"/>
          <w:sz w:val="28"/>
          <w:sz w:val="28"/>
          <w:szCs w:val="28"/>
          <w:rtl w:val="true"/>
          <w:lang w:bidi="ar-SA"/>
        </w:rPr>
        <w:t xml:space="preserve">و الروضة </w:t>
      </w:r>
      <w:r>
        <w:rPr>
          <w:rStyle w:val="FootnoteAnchor"/>
          <w:rtl w:val="true"/>
        </w:rPr>
        <w:footnoteReference w:id="97"/>
      </w:r>
      <w:r>
        <w:rPr>
          <w:rFonts w:ascii="Amiri" w:hAnsi="Amiri" w:eastAsia="Amiri" w:cs="Amiri"/>
          <w:color w:val="111111"/>
          <w:sz w:val="28"/>
          <w:sz w:val="28"/>
          <w:szCs w:val="28"/>
          <w:rtl w:val="true"/>
          <w:lang w:bidi="ar-SA"/>
        </w:rPr>
        <w:t>كغيرهما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معنى التلف نقلهما عن الملك بوجه لازم، بل مطلقا كما للوالد الماجد و الفاضل المتقدم </w:t>
      </w:r>
      <w:r>
        <w:rPr>
          <w:rStyle w:val="FootnoteAnchor"/>
          <w:rtl w:val="true"/>
        </w:rPr>
        <w:footnoteReference w:id="98"/>
      </w:r>
      <w:r>
        <w:rPr>
          <w:rFonts w:ascii="Amiri" w:hAnsi="Amiri" w:eastAsia="Amiri" w:cs="Amiri"/>
          <w:color w:val="111111"/>
          <w:sz w:val="28"/>
          <w:sz w:val="28"/>
          <w:szCs w:val="28"/>
          <w:rtl w:val="true"/>
          <w:lang w:bidi="ar-SA"/>
        </w:rPr>
        <w:t>و غيرهما ممن عاصرناه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إلحاق تلف بعض العين بالكلّ كما عن جامع المقاصد </w:t>
      </w:r>
      <w:r>
        <w:rPr>
          <w:rStyle w:val="FootnoteAnchor"/>
          <w:rtl w:val="true"/>
        </w:rPr>
        <w:footnoteReference w:id="99"/>
      </w:r>
      <w:r>
        <w:rPr>
          <w:rFonts w:ascii="Amiri" w:hAnsi="Amiri" w:eastAsia="Amiri" w:cs="Amiri"/>
          <w:color w:val="111111"/>
          <w:sz w:val="28"/>
          <w:sz w:val="28"/>
          <w:szCs w:val="28"/>
          <w:rtl w:val="true"/>
          <w:lang w:bidi="ar-SA"/>
        </w:rPr>
        <w:t xml:space="preserve">و تعليق الإرشاد احتمالات في المسالك </w:t>
      </w:r>
      <w:r>
        <w:rPr>
          <w:rStyle w:val="FootnoteAnchor"/>
          <w:rtl w:val="true"/>
        </w:rPr>
        <w:footnoteReference w:id="100"/>
      </w:r>
      <w:r>
        <w:rPr>
          <w:rFonts w:ascii="Amiri" w:hAnsi="Amiri" w:eastAsia="Amiri" w:cs="Amiri"/>
          <w:color w:val="111111"/>
          <w:sz w:val="28"/>
          <w:sz w:val="28"/>
          <w:szCs w:val="28"/>
          <w:rtl w:val="true"/>
          <w:lang w:bidi="ar-SA"/>
        </w:rPr>
        <w:t xml:space="preserve">، ثالثها اللزوم من العين الآخر في مقابل التالف، و بقاء الباقي على أصل الإباحة، و في الروضة </w:t>
      </w:r>
      <w:r>
        <w:rPr>
          <w:rStyle w:val="FootnoteAnchor"/>
          <w:rtl w:val="true"/>
        </w:rPr>
        <w:footnoteReference w:id="101"/>
      </w:r>
      <w:r>
        <w:rPr>
          <w:rFonts w:ascii="IRNazanin" w:hAnsi="IRNazanin" w:eastAsia="IRNazanin"/>
          <w:color w:val="111111"/>
          <w:sz w:val="28"/>
          <w:sz w:val="28"/>
          <w:szCs w:val="28"/>
          <w:rtl w:val="true"/>
          <w:lang w:bidi="fa-IR"/>
        </w:rPr>
        <w:t>مال إلى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لزوم المعاملات المعاطاتية المتداولة بتلف العوضين، أو الكلّ من البعض، أو البعض من الكلّ، و لكن فيما يقتضيه من الملك أو الإباحة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شرعية تلك المعاطاة على ما وقعت عليه المراضاة معقد إجماع الفريقين، و معنى شرعيتها ترتّب الأثر من الإباحة أو الملك شرعا عليها، على حسب ما تعاهد المتعاطيان عليه و حيث إنّ مقصودهما الواقع عليه المراضاة، تسليط كلّ منهما الآخر على التصرف فيما صار إليه كيف شاء، و إتلافه على ضمان العوض المسمّى، و كلّ من العوضين مأخوذ بهذا العنوان، فيقتضي شرعيتها كونه المتعيّن في مقابل الآخر دون عوضه، مثلا كان أو قيمة، مع أن التسلط على المطالبة بالعوض، مع كون التلف بتسليطه، ينفيه الأصل، و على هذا يصير الملك أو الإباحة على الخلاف لازما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ثبت الإجماع على حصول الملك بالتلف على القول بالإباحة أيضا، كما عساه يظهر من القائلين بها، فيصير ملكا لازما أيضا، و إلّا فلزم الإباحة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ينقدح أنّ التصرف المغيّر للعين، كالمزج و الطحن و قصر الثوب و أمثالها يوجب اللزوم أيضا من الجانبين، إن تغيرت العينان، و من جانب من تغيّرت عنده إن</w:t>
      </w:r>
    </w:p>
    <w:p>
      <w:pPr>
        <w:pStyle w:val="BookText"/>
        <w:rPr/>
      </w:pPr>
      <w:r>
        <w:rPr>
          <w:rFonts w:ascii="Amiri" w:hAnsi="Amiri" w:eastAsia="Amiri" w:cs="Amiri"/>
          <w:color w:val="111111"/>
          <w:sz w:val="28"/>
          <w:sz w:val="28"/>
          <w:szCs w:val="28"/>
          <w:rtl w:val="true"/>
          <w:lang w:bidi="ar-SA"/>
        </w:rPr>
        <w:t>كانت من جانب، سواء كان التغيّر موجبا للنقص أو لا، لقضية الشرط بينهما المقتضي للزوم، و أصالة بقاء الملك للمالك الأوّل على الإباحة، و بقاء تزلزله على الملك لا تستلزم بقاء سلطنة الرجوع المنافي لغرضهما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عسى ما يتوهّم من الإشكال في المجال، أمّا على الإباحة فهو أنّها مجرّد الإذن في التصرف و الإتلاف على المبادلة، و هو لا يقتضي رفع التسلط على مطالبة ملكه، غاية الأمر رجوع صاحب التالف إلى عوضه دفعا للضرر، و شرعيته لا يقتضي أزيد من جواز التصرف و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الإباحة الحاصلة من المعاملة المعاطاتية المتداولة عند القائل بها ليست على حدّ مطلق الإذن في التصرفات الثابت جوازه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بمعنى صحّة ما وقع بينهما التراضي عليه في المعاملة من آثار الملك و ملك النماء و غيرهما، غير ملك العين و لذا يشترط في صحّتها تعيّن العوضين و نحوه، و هو غير لازم في مطلق الإذن، و الدليل على شرعيتها بهذا الوجه هو الإجماع القطعي و السيرة المعلومة في جميع الأعصار و الأمصار في تلك المعاملات المعاطاتية المتداولة بين الناس، فإنّهم يعاملون فيها معاملة الأملاك من غير نكير، غاية الأمر الخلاف في حصول ملك العين أو الإباحة المخصوصة على هذا الوجه، و منه اتفاقهم على حصول الملك بالتلف، و التجأ بعضهم في توجيهه على القول بالإباحة بحصول الملك الضمنى، من قبيل ملك من ينعتق عليه، فلا مجال لإنكار شرعيتها و ترتّب الآثار عليها، حسب ما اشترطاه إلّا على القول بكونها بيوعا فاسدة، و عرفت شذوذه و لا هكذا مطلق الإذن، فإنّه لا يفيد غير الحلّ في التصرف، دون ملك الآثار، و صحّة ما وقع عليه المراضاة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أنّ الإباحة التي ذكرناها في الصورة الأولى من صور المعاطاة،</w:t>
      </w:r>
    </w:p>
    <w:p>
      <w:pPr>
        <w:pStyle w:val="BookText"/>
        <w:rPr/>
      </w:pPr>
      <w:r>
        <w:rPr>
          <w:rFonts w:ascii="Amiri" w:hAnsi="Amiri" w:eastAsia="Amiri" w:cs="Amiri"/>
          <w:color w:val="111111"/>
          <w:sz w:val="28"/>
          <w:sz w:val="28"/>
          <w:szCs w:val="28"/>
          <w:rtl w:val="true"/>
          <w:lang w:bidi="ar-SA"/>
        </w:rPr>
        <w:t>أي ما إذا قصد بالتعاطي مجرد الإباحة على المبادلة بغير ملك هي من مطلق الإذن، و المتجه فيها عدم اللزوم مع بقاء أحد العينين أو بعضهما، و إن علم من قصد المتعاطيين فيها التسليط على التصرّف في ماله على ضمان العوض المسمّى، لعدم ثبوت شرعيتها بهذا الوجه، و لا صحّتها على حسب جميع ما وقع الإذن عليه، إذ ليست معدودة من وجه المعاملات الشرعية، و لا إجماع و لا سيرة فيها، فإنّها من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الملك فالإشكال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يلزم الملك بالتصرف الناقل و يسقط تسلّط المالك على الرجوع مع فرض بقاء العينين، فيرجع إلى المشتري الثاني بعين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مندفع بأنّ المراضاة في المعاطاة وقعت على تسليط كل منهما الآخر على جميع التصرفات حتى التصرف الناقل اللازم، كما هو المعلوم من الرجوع إلى أنفسنا، و المفروض صحّتها و شرعيتها كما مرّ، كيف و إلّا لم يحصل أصل النقل بوقوع الرضا به على هذا الوجه، مع أنّه خلاف الإجماع و السيرة، و لازم ذلك على القول بالملك لزوم النقل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يلزم الملك المتزلزل بالتلف أو نحوه مع أنّ غاية الأمر أنّ المعاطاة حينئذ كالبيع بالخيار من الجانبين، و من المعلوم عدم اللزوم فيه بذلك و لذا ربما يجعل هذه الأحكام المسلمة في المعاطاة من أقوى الشواهد على أنّها للإباحة دون البيع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مدفوع </w:t>
      </w:r>
      <w:r>
        <w:rPr>
          <w:rStyle w:val="FootnoteAnchor"/>
          <w:rtl w:val="true"/>
        </w:rPr>
        <w:footnoteReference w:id="102"/>
      </w:r>
      <w:r>
        <w:rPr>
          <w:rFonts w:ascii="Amiri" w:hAnsi="Amiri" w:eastAsia="Amiri" w:cs="Amiri"/>
          <w:color w:val="111111"/>
          <w:sz w:val="28"/>
          <w:sz w:val="28"/>
          <w:szCs w:val="28"/>
          <w:rtl w:val="true"/>
          <w:lang w:bidi="ar-SA"/>
        </w:rPr>
        <w:t>بأنّ شرعية المعاطاة كما أشرنا إليه إنّما هي على ما وقع عليه التراضي و التعاطي، و هو المراضاة بعين على عين، فعلى إفادته الملك المتزلزل إذا</w:t>
      </w:r>
    </w:p>
    <w:p>
      <w:pPr>
        <w:pStyle w:val="BookText"/>
        <w:rPr/>
      </w:pPr>
      <w:r>
        <w:rPr>
          <w:rFonts w:ascii="Amiri" w:hAnsi="Amiri" w:eastAsia="Amiri" w:cs="Amiri"/>
          <w:color w:val="111111"/>
          <w:sz w:val="28"/>
          <w:sz w:val="28"/>
          <w:szCs w:val="28"/>
          <w:rtl w:val="true"/>
          <w:lang w:bidi="ar-SA"/>
        </w:rPr>
        <w:t>تلف أحدهما، فتجويز الرجوع، إمّا مع ضمان عوض التالف، أو بدونه، و أيّهما كان فهو خلاف المراضاة و المواضعة من كون العين في مقابل العين لا العوض أو بدونه فالخيار في المعاطاة تابع للعوضين، و يبقى ما بقيا، نظير الرجوع في الهبة المنتفي بتلف الموهوب بخلاف سائر الخيارات، فإنّها تابعة للعقد، و لازمه رجوع كل من المتعاقدين إلى ماله، أو ضمان العوض عند وقوع الفسخ المزيل لأثر العقد من حين وقوعه، و بعبارة أو وجه آخر أثر المعاطاة هو الملك المتزلزل، بمعنى عدم زوال تمام حقّ المالك من العين، و لذا قلنا مقتضى الأصل فيها عدم اللزوم و عدم حصول الملكية التامّة المنافية لبقاء حقّ المالك، غير أنّ العين في مقابل العين، و مقتضى ذلك عدم جواز رجوع صاحب التالف، لفوات محلّه، و لا صاحب الباقي لفوات ما يقابله الموضوع عليه، بخلاف خيارات العقود، فإنّ أثر العقد الملك التامّ و إنّما الخيار في فكّ العقد بدليل خارج عن مقتضى العقد، من شرط أو تعبّد أو جبر ضرر و نحوها، و لازمه سقوط الأثر من حين الفسخ و رجوع كلّ إلى ماله عند بقائه و ضمان من عنده عند تلفه، فإنّ دليل هذا الخيار لا يختصّ بصورة وجود العين بل يتّبع العقد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الشهيد </w:t>
      </w:r>
      <w:r>
        <w:rPr>
          <w:rStyle w:val="FootnoteAnchor"/>
          <w:rtl w:val="true"/>
        </w:rPr>
        <w:footnoteReference w:id="103"/>
      </w:r>
      <w:r>
        <w:rPr>
          <w:rFonts w:ascii="Amiri" w:hAnsi="Amiri" w:eastAsia="Amiri" w:cs="Amiri"/>
          <w:color w:val="111111"/>
          <w:sz w:val="28"/>
          <w:sz w:val="28"/>
          <w:szCs w:val="28"/>
          <w:rtl w:val="true"/>
          <w:lang w:bidi="ar-SA"/>
        </w:rPr>
        <w:t xml:space="preserve">و الكركي </w:t>
      </w:r>
      <w:r>
        <w:rPr>
          <w:rStyle w:val="FootnoteAnchor"/>
          <w:rtl w:val="true"/>
        </w:rPr>
        <w:footnoteReference w:id="104"/>
      </w:r>
      <w:r>
        <w:rPr>
          <w:rFonts w:ascii="Amiri" w:hAnsi="Amiri" w:eastAsia="Amiri" w:cs="Amiri"/>
          <w:color w:val="111111"/>
          <w:sz w:val="28"/>
          <w:sz w:val="28"/>
          <w:szCs w:val="28"/>
          <w:rtl w:val="true"/>
          <w:lang w:bidi="ar-SA"/>
        </w:rPr>
        <w:t>و صريح غيرهما كفاية قبض أحد العوضين بالفعل في حصول المعاطاة، و هي كذلك، لصدق البيع و التجارة، فيجري حكم البيع على قبض أحدهما، بل قيل بجوازها بالألفاظ المقصود بها إنشاء البيع، غير الصيغة المخصوصة و إن لم يقع قبض من أحدهما، فيجري فيها حينئذ حكم البيع الغير المقبوض</w:t>
      </w:r>
      <w:r>
        <w:rPr>
          <w:rFonts w:eastAsia="Amiri" w:cs="Amiri" w:ascii="Amiri" w:hAnsi="Amiri"/>
          <w:color w:val="111111"/>
          <w:sz w:val="28"/>
          <w:szCs w:val="28"/>
          <w:rtl w:val="true"/>
          <w:lang w:bidi="ar-SA"/>
        </w:rPr>
        <w:t>.</w:t>
      </w:r>
      <w:bookmarkStart w:id="32" w:name="pg2497_11791"/>
    </w:p>
    <w:p>
      <w:pPr>
        <w:pStyle w:val="BookText"/>
        <w:rPr/>
      </w:pPr>
      <w:bookmarkEnd w:id="32"/>
      <w:r>
        <w:rPr>
          <w:rFonts w:ascii="Amiri" w:hAnsi="Amiri" w:eastAsia="Amiri" w:cs="Amiri"/>
          <w:color w:val="111111"/>
          <w:sz w:val="28"/>
          <w:sz w:val="28"/>
          <w:szCs w:val="28"/>
          <w:rtl w:val="true"/>
          <w:lang w:bidi="ar-SA"/>
        </w:rPr>
        <w:t xml:space="preserve">و فيه إشكال، لعدم ظهوره من الدليل المذكور، و في المسالك </w:t>
      </w:r>
      <w:r>
        <w:rPr>
          <w:rStyle w:val="FootnoteAnchor"/>
          <w:rtl w:val="true"/>
        </w:rPr>
        <w:footnoteReference w:id="105"/>
      </w:r>
      <w:r>
        <w:rPr>
          <w:rFonts w:ascii="Amiri" w:hAnsi="Amiri" w:eastAsia="Amiri" w:cs="Amiri"/>
          <w:color w:val="111111"/>
          <w:sz w:val="28"/>
          <w:sz w:val="28"/>
          <w:szCs w:val="28"/>
          <w:rtl w:val="true"/>
          <w:lang w:bidi="ar-SA"/>
        </w:rPr>
        <w:t xml:space="preserve">و الروضة </w:t>
      </w:r>
      <w:r>
        <w:rPr>
          <w:rStyle w:val="FootnoteAnchor"/>
          <w:rtl w:val="true"/>
        </w:rPr>
        <w:footnoteReference w:id="106"/>
      </w:r>
      <w:r>
        <w:rPr>
          <w:rFonts w:ascii="Amiri" w:hAnsi="Amiri" w:eastAsia="Amiri" w:cs="Amiri"/>
          <w:color w:val="111111"/>
          <w:sz w:val="28"/>
          <w:sz w:val="28"/>
          <w:szCs w:val="28"/>
          <w:rtl w:val="true"/>
          <w:lang w:bidi="ar-SA"/>
        </w:rPr>
        <w:t>التأمل فيها عند عدم التقابض، لعدم صدق المعاطاة، لأنّها معاملة يتوقّف على الإعطاء من الجانبين، و ردّ بعدم وجود هذا اللفظ في النصوص، فلا يتبعه الحكم، مع أنّه يكفي في صدق المفاعلة المشاركة في الجملة، و إن لم يتحقّق المبدأ في كل منهما مستقلا، كما في المتابعة و المرابحة، فإنّ الفعل يحصل باجتماعهما، بل لا يبعد القول بحصول التعاطي بمقابلة ما في ذمّة أحدهما الملتزم به للمدفوع</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861781_3804643083"/>
      <w:bookmarkStart w:id="34" w:name="_Toc13"/>
      <w:bookmarkEnd w:id="33"/>
      <w:r>
        <w:rPr>
          <w:rtl w:val="true"/>
        </w:rPr>
        <w:t>البحث الثاني</w:t>
      </w:r>
      <w:r>
        <w:rPr>
          <w:rtl w:val="true"/>
        </w:rPr>
        <w:t xml:space="preserve">: </w:t>
      </w:r>
      <w:r>
        <w:rPr>
          <w:rtl w:val="true"/>
        </w:rPr>
        <w:t>في بيان ضابطة صيغ العقود اللازمة على ما يقتضيه الأصول و عموم الأدلّة</w:t>
      </w:r>
      <w:r>
        <w:rPr>
          <w:rtl w:val="true"/>
        </w:rPr>
        <w:t>.</w:t>
      </w:r>
      <w:bookmarkEnd w:id="34"/>
    </w:p>
    <w:p>
      <w:pPr>
        <w:pStyle w:val="BookText"/>
        <w:rPr/>
      </w:pPr>
      <w:r>
        <w:rPr>
          <w:rFonts w:ascii="Amiri" w:hAnsi="Amiri" w:eastAsia="Amiri" w:cs="Amiri"/>
          <w:color w:val="111111"/>
          <w:sz w:val="28"/>
          <w:sz w:val="28"/>
          <w:szCs w:val="28"/>
          <w:rtl w:val="true"/>
          <w:lang w:bidi="ar-SA"/>
        </w:rPr>
        <w:t>و ليعلم أوّلا أنّ العقد صيغة شرعية لا بدّ لها من متخاطبين و لو حكما يترتّب عليها نقل ملك أو سقوط حقّ أو حلّ فرج أو تسلّط على تصرف، و هو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من الطرفين باعتبار أصله، و هو الذي لا يتسلّط على فسخه إلّا لسبب أجنبيّ من شرط أو جبر ضرر أو تعبد على وجه مخصوص، و ذلك البيع و الإجارة و الصلح و الضمان و الكفالة و الحوالة و السبق و الرمي و المزارعة و المساقاة و الصدقة و العمرى و الحبس و الوقف و النكاح و الهبة على بعض الوجوه و المكاتبة على الأشهر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من أحدهما خاصّة بالأصالة، و هو الذي لا يتسلّط على فسخه من طرف اللزوم إلّا بسبب أجنبيّ، و ذلك الرهن، فإنّه لازم من طرف الراهن جائز من طرف المرتهن، و يوافقه الخلع و المباراة، حيث إنّ للزوجة الرجوع في البذل، و معه كان للزوج الرجوع في النكاح، فهو في قوّة الفسخ لازم من طرفه جائز من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لازم من أحد منهما، و هو الجائز في أصله، و حكمه تسلّط كل منهما على الفسخ، و لا يعرضه اللزوم إلّا بنذر أو شرط و هو القرض و الوديعة و العارية و الوكالة و الجعالة و الشركة و المضاربة و الوصية و الهبة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الإيقاع صيغة شرعية يكفي فيها الواحد، يترتّب عليها قطع أو صلة أو نقل ملك أو استحقاق حقّ أو عقوبة أو سقوط حقّ و هي الطلاق و الرجعة و الظهار و الإيلاء و اللعان و العتق و التدبير و الأيمان و النذور و العهود و الحجر و الشفعة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العقد المعاطاة فيما صحّت فيه من المعاملات، فينعقد بمجرّد التقابض و القبض من طرف على ضمان العوض من الآخر، فمن لم يقل بإفادتها أثر المعاملة، كالقول بالإباحة المحضة في البيع، فعنده ليست من تلك المعاملة؛ و من يقول بإفادتها مفاد العقد لزوما أو جوازا فحكمها عنده حكمه، و من يقول بإفادتها الملك المتزلزل، كما هو المختار، فهو من أقسام المعاملة في مقابل العقد، و فرقها حينئذ مع العقد اللازم ظاهر و أمّا مع الجائز، فهو أنّ أثر الجائز هو الملك المستقر، و للمالك الفسخ، لدليل خارج، و أثر المعاطاة الملك المتزلزل و لا يستقرّ إلّا بتلف العين كما تبيّن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الإجماع على أنّ العقد الجائز لا يتعين له لفظ، بل كل لفظ دال على معناه كاف فيه، و إن لم يكن عربيا و ماضيا و لا من الألفاظ الصريحة في بابه، و يكفي فيه القبول الفعلي و لا يشترط فيه الاتصال و الفورية و نحوها، و لعلّه يتأتّى فيه الخلاف المتقدم من كفاية المعاطاة و عدمها، و إن اكتفي بها في الحلّ على اشتراط الصيغة أيضا فيما يفيد التسليط على التصرف أو الانتفاع مطلقا أو مع بقاء العين، كالوكالة و العارية و الهبة الجائزة و القرض و نحوها، لحصول مطلق الإذن، و إن لم يترتّب عليه سائر ثمرات العقد و لم يشترط بشروطه، كما في الوكالة، فإنّها حيث كانت عقدا يشترط فيها التنجيز و القدرة على الموكّل فيه عند التوكيل و غيرهما، و لا</w:t>
      </w:r>
    </w:p>
    <w:p>
      <w:pPr>
        <w:pStyle w:val="BookText"/>
        <w:rPr/>
      </w:pPr>
      <w:r>
        <w:rPr>
          <w:rFonts w:ascii="Amiri" w:hAnsi="Amiri" w:eastAsia="Amiri" w:cs="Amiri"/>
          <w:color w:val="111111"/>
          <w:sz w:val="28"/>
          <w:sz w:val="28"/>
          <w:szCs w:val="28"/>
          <w:rtl w:val="true"/>
          <w:lang w:bidi="ar-SA"/>
        </w:rPr>
        <w:t>يشترط في الإذن المطلق، و في الفرض فلا يفيد المعاطاة فيه الملك، كما لعلّه المشهور، و إن أفادت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صيغ العقود اللازمة، تارة في موادّ الألفاظ، و أخرى في الهيئات و التراكيب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فكلماتهم فيه في جليل النظر لا يخلو عن إجمال، بل تدافع حتى من فقيه واحد، كما ستطلع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 اللّه في التذكرة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شروط الصيغة الصراحة، فلا يقع بالكناية بيع البتة،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 في ملكك، أو جعلته لك، أو خذه منّي، أو سلّطتك عليه بكذا، عملا بأصالة بقاء الملك، و لأنّ المخاطب لا تدري بم خوطب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عن غيره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مستظهرا من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بالصريح ما كان موضوعا لعنوان ذلك العقد لغة أو شرعا، و من الكناية ما أفاد لازم ذلك العقد بحسب الوضع، فيفيد إرادة نفسه بالقرائن، و قد يبدّل الصريح و الكناية بالحقيقة و المجاز، بل ينسب ذلك إلى العلماء أو أكثرهم،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بالمجازات، و عن بعضهم عدم الفرق في الجميع بين المجاز القريب و البعيد، و مقتضى ذلك اشتراط الدلالة الوضعية في انعقاد الصيغة، و ربما يعلّل ذلك بأنّ تشريع العقود لكشف القصود، بحيث لا يبقى معها مجال التخالف و التجاذب في المعنى المراد، و لا يتأتّى هذا الفرض إلّا بإيراد الألفاظ الصريحة دون المجاز و الكناية، كالدفع و الإعطاء و التسليم و التسليط و أمثالها في البيع، و إن قصد بها البيع، و وقعت عليه المساومة و دلّت عليه القرينة، و أنت خبير بأنّ المجاز مع القرينة الصريحة سيما اللفظية قد يبلغ في الصراحة حدّ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توقّف في مورد تمايز المعاملات المتشابهة بألفاظ مهياتها الموضوعة لها و أسماءها المتداولة فيها، كما إذا فرض اشتراكها لغيرها في جميع الآثار المترتبة عليها، كما أشرنا إليه فيما تقدّم، كان المتعين حينئذ المعاملة بمقصوده، إلّا أنه ليس كلّيا، فيمكن الإشارة في غيره إلى المقصود بآثاره المختصّة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بعضهم بل كثيرهم الاكتفاء في كثير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قائل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الغير الموضوعة لذلك العقد، و انعقادها بالمجازات و الكنايات مع القرائن الدالّة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الإيجاب اللفظ الدال على النقل، مثل بعتك أو ملّكتك أو ما يقوم مقامهما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المحكيّ عن التبصرة </w:t>
      </w:r>
      <w:r>
        <w:rPr>
          <w:rStyle w:val="FootnoteAnchor"/>
          <w:rtl w:val="true"/>
        </w:rPr>
        <w:footnoteReference w:id="109"/>
      </w:r>
      <w:r>
        <w:rPr>
          <w:rFonts w:ascii="IRNazanin" w:hAnsi="IRNazanin" w:eastAsia="IRNazanin"/>
          <w:color w:val="111111"/>
          <w:sz w:val="28"/>
          <w:sz w:val="28"/>
          <w:szCs w:val="28"/>
          <w:rtl w:val="true"/>
          <w:lang w:bidi="fa-IR"/>
        </w:rPr>
        <w:t xml:space="preserve">و الإرشاد </w:t>
      </w:r>
      <w:r>
        <w:rPr>
          <w:rStyle w:val="FootnoteAnchor"/>
          <w:rtl w:val="true"/>
        </w:rPr>
        <w:footnoteReference w:id="110"/>
      </w:r>
      <w:r>
        <w:rPr>
          <w:rFonts w:ascii="IRNazanin" w:hAnsi="IRNazanin" w:eastAsia="IRNazanin"/>
          <w:color w:val="111111"/>
          <w:sz w:val="28"/>
          <w:sz w:val="28"/>
          <w:szCs w:val="28"/>
          <w:rtl w:val="true"/>
          <w:lang w:bidi="fa-IR"/>
        </w:rPr>
        <w:t xml:space="preserve">و شرحه لفخر الإسلام </w:t>
      </w:r>
      <w:r>
        <w:rPr>
          <w:rStyle w:val="FootnoteAnchor"/>
          <w:rtl w:val="true"/>
        </w:rPr>
        <w:footnoteReference w:id="111"/>
      </w:r>
      <w:r>
        <w:rPr>
          <w:rFonts w:ascii="Amiri" w:hAnsi="Amiri" w:eastAsia="Amiri" w:cs="Amiri"/>
          <w:color w:val="111111"/>
          <w:sz w:val="28"/>
          <w:sz w:val="28"/>
          <w:szCs w:val="28"/>
          <w:rtl w:val="true"/>
          <w:lang w:bidi="ar-SA"/>
        </w:rPr>
        <w:t>، و ظاهره كما قيل حصول النقل بكلّ لفظ دال عليه، مثل نقلته إلى ملكك و جعلته ملكا لك بكذا، فيشمل الكنايات، و قد سبق منعه عنها في التذكرة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المحكيّ عن المحقق أنّ عقد البيع لا يلزم فيه لفظ مخصوص </w:t>
      </w:r>
      <w:r>
        <w:rPr>
          <w:rStyle w:val="FootnoteAnchor"/>
          <w:rtl w:val="true"/>
        </w:rPr>
        <w:footnoteReference w:id="112"/>
      </w:r>
      <w:r>
        <w:rPr>
          <w:rFonts w:ascii="Amiri" w:hAnsi="Amiri" w:eastAsia="Amiri" w:cs="Amiri"/>
          <w:color w:val="111111"/>
          <w:sz w:val="28"/>
          <w:sz w:val="28"/>
          <w:szCs w:val="28"/>
          <w:rtl w:val="true"/>
          <w:lang w:bidi="ar-SA"/>
        </w:rPr>
        <w:t xml:space="preserve">، و عن الشهيد في بعض تعليقاته أنّه جوّز البيع بكلّ لفظ دلّ عليه، مثل أسلمت إليك و عاوضتك </w:t>
      </w:r>
      <w:r>
        <w:rPr>
          <w:rStyle w:val="FootnoteAnchor"/>
          <w:rtl w:val="true"/>
        </w:rPr>
        <w:footnoteReference w:id="113"/>
      </w:r>
      <w:r>
        <w:rPr>
          <w:rFonts w:ascii="Amiri" w:hAnsi="Amiri" w:eastAsia="Amiri" w:cs="Amiri"/>
          <w:color w:val="111111"/>
          <w:sz w:val="28"/>
          <w:sz w:val="28"/>
          <w:szCs w:val="28"/>
          <w:rtl w:val="true"/>
          <w:lang w:bidi="ar-SA"/>
        </w:rPr>
        <w:t>، بل قد يدّعى أنّه ظاهر كلّ من أطلق اعتبار الإيجاب و القبول اللفظيّ من دون لفظ خاص، كالشيخ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جماعة في الفرض الذي هو عقد لازم عدم اختصاصه بلفظ خاص، فجوّزوه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فيه و انتفع به و عليك ردّ عوضه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في الرهن أنّ إيجابه يؤدّى بكلّ لفظ يدلّ عليه، مثل قوله هذه وثيقة عندك أو أمسكه بمالك، و في الضمان بلفظ تعهّدت المال و تقلّدته و شبه ذلك، و المزارعة بكلّ لفظ تدلّ على تسليم الأرض للمزارعة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مجمع البرهان </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جوازها بكلّ لفظ يدلّ عليه مع كونه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المشهور جوازها بلفظ الأمر،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و الوقف بلفظ حرمت و تصدّقت، مع القرينة الدالّة على إرادة الوقف، مثل أن لا يباع و لا يورث، مع أنها من الكنايات، و غير ذلك مما هو ظاهر في الاكتفاء بغير الحقائق في العقود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بعض أفاضل من عاصرناه، الضابط في جميع العقود اللازمة الحقيقة، و لكن ما تعمّ </w:t>
      </w:r>
      <w:r>
        <w:rPr>
          <w:rStyle w:val="FootnoteAnchor"/>
          <w:rtl w:val="true"/>
        </w:rPr>
        <w:footnoteReference w:id="115"/>
      </w:r>
      <w:r>
        <w:rPr>
          <w:rFonts w:ascii="Amiri" w:hAnsi="Amiri" w:eastAsia="Amiri" w:cs="Amiri"/>
          <w:color w:val="111111"/>
          <w:sz w:val="28"/>
          <w:sz w:val="28"/>
          <w:szCs w:val="28"/>
          <w:rtl w:val="true"/>
          <w:lang w:bidi="ar-SA"/>
        </w:rPr>
        <w:t>لفظ المعاملة و لفظ قرينة المجاز، و جعله وجه الجمع بين اعتبارهم الحقائق و عدمه، فيكون المعتبر الدلالة اللفظية الوضعية، سواء كان اللفظ الدال على إنشاء العقد موضوعا له بنفسه أو مستعملا فيه مجازا بقرينة لفظ موضوع آخر ليرجع الإفادة بالآخر إلى الوضع؛ إذ لا يعقل الفرق في الموضوع الذي هو مناط الصراحة بين إفادة لفظ للمطلب بحكم الوضع أو إفادته له بضميمة لفظ آخر يدلّ بالوضع على إرادة المطلب من ذلك، و هذا بخلاف الذي يكون دلالته على المطلب لمقارنة حال أو سبق مقال خارج عن العقد، فإن الاعتماد عليه في متفاهم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المجازات القريبة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عما بني عليه من عدم العبرة بغير الأقوال في إنشاء المقاصد، و لذا لم يجوّزوا العقد بالمعاطاة و لو مع سبق مقال أو اقتران حال يدلّ على إرادة البيع جزما،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به الاقتصار على المشترك اللفظي، اتّكالا على القرينة الحالية المعيّنة و كذا المشترك المعنويّ، لأنّ الانكشاف بغير الأقوال لا يؤثر في النقل و الانتقال فلم يحصل هنا عقد لفظيّ يقع التفاهم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أكثر ما ذكروه من أمثلة الكنايات الممنوعة يأبى عن هذا الجمع و الإناطة بما ذكر، كيف و قد سمعت من التذكرة التفريع على عدم الانعقاد بالكناية عدم وقوع البيع بقوله أدخلته في ملكك أو جعلته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التحرير و غيره وقوعه بملكتك أو ما يقوم مقامه، و في غير البيع انعقاده بما هو أدون من ذلك دلالة عليه، مع أنّ عبارات المشترطين ظاهرة في كون العبرة بالصراحة و الحقيقية باللفظ المستعمل في نفس المعاملة المقصودة الذي يلزم و يقع الإنشاء به، و كونه دالا عليه بنفسه لا بمعونة قرينة و لو كانت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الفرق بالانعقاد و عدمه في المجازات بكون القرينة لفظية أو حالية مما لا يساعده دليل، فإنّ المناط في الانعقاد، إن كان إنشاء المعاملة باللفظ الموضوع لها، فهو غير ما قيل في شي‌ء منهما، لتجوّز اللفظ المستعمل فيهما، و إن كان فهمه في الأوّل بمعونة القرينة اللفظية و في الثاني بالحالية، و إن كان حصول إنشاء المعنى المقصود باللفظ دون مجرّد النيّة، فهو ما قيل فيهما، لحصوله بما استعمل فيه اللفظ واقعا، لا بما هو طريق فهم المخاطب إياه، فلا ينتقض بالمعاطاة، إذ الإنشاء فيها بالفعل دون القول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على ما يختلج بالبال أنّه لا شك و لا خلاف في أنّ صيغ العقود من الأسباب الشرعية لانعقاد المعاملات و ترتّب الآثار و الأحكام عقيبها، و كذا لا خلاف في اعتبار ظهور اللفظ فيها في المعنى المقصود، و إن اختلفوا في</w:t>
      </w:r>
    </w:p>
    <w:p>
      <w:pPr>
        <w:pStyle w:val="BookText"/>
        <w:rPr/>
      </w:pPr>
      <w:r>
        <w:rPr>
          <w:rFonts w:ascii="Amiri" w:hAnsi="Amiri" w:eastAsia="Amiri" w:cs="Amiri"/>
          <w:color w:val="111111"/>
          <w:sz w:val="28"/>
          <w:sz w:val="28"/>
          <w:szCs w:val="28"/>
          <w:rtl w:val="true"/>
          <w:lang w:bidi="ar-SA"/>
        </w:rPr>
        <w:t>الاكتفاء بكلّ لفظ دلّ عليه، كالمحكيّ عن جماعة، أو لزوم لفظ أو ألفاظ مخصوصة، كما في المشهور، بل لعلّه الظاهر من مطاوي كلمات الأصحاب في أبواب العقود، و إن اختلفوا في بعض الشروط، بل بعض العقود معقد الإجماع في ذلك، و كيف كان فمقتضى الأصول فيها كما تقدّم في أوائل البحث الاقتصار على موارد الدليل، استصحابا لعدم السبب و عدم ترتّب الأثر، و ليس في النصوص ما يعمّ السببية لمطلق الألفاظ المفهمة و لو بالقرينة، عدا ظاهر عموم قوله تعالى أَوْفُوا بِالْعُقُودِ، و قد علمت أنّه محمول على استغراق أجناس العقود الموظفة المعهودة، من باب اختصاص مدخول اللام بالمعهود، أو إشارة اللام إلى العهد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الأمير الصاغة، المستغرق في صاغة ملكه أو بلده، و ما يصلح قرينة للعهد لعموم المخاطبين في زمان الخطاب هو شيوع الاستعمال، و هو مختصّ بالألفاظ الخاصّة الموضوعة لتلك المعاملات لغة أو شرعا، أو المتداولة فيها بحسب الاستعمال في ألسنة العرف و لو مجازا، فيقتصر في الاستدلال بالآية على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يشير إلى ذلك ما حكي عن المحقق الثاني </w:t>
      </w:r>
      <w:r>
        <w:rPr>
          <w:rStyle w:val="FootnoteAnchor"/>
          <w:rtl w:val="true"/>
        </w:rPr>
        <w:footnoteReference w:id="116"/>
      </w:r>
      <w:r>
        <w:rPr>
          <w:rFonts w:ascii="Amiri" w:hAnsi="Amiri" w:eastAsia="Amiri" w:cs="Amiri"/>
          <w:color w:val="111111"/>
          <w:sz w:val="28"/>
          <w:sz w:val="28"/>
          <w:szCs w:val="28"/>
          <w:rtl w:val="true"/>
          <w:lang w:bidi="ar-SA"/>
        </w:rPr>
        <w:t>في باب السلم و النكاح في الجمع بين كلمات المانعين عن المجازات و المجوّزين لها، بحمل المجازات الممنوعة على المجازات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ما عن المسالك من أنّه يجب الاقتصار في العقود اللازمة على الألفاظ المنقولة شرعا، المعهودة لغة، و الظاهر أنّ مراده بالمنقولة شرعا هي المأثورة في كلام الشارع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الأردبيلي في باب النكاح أنه حكم شرعي حادث، فلا بدّ له من دليل يدلّ على حصوله، و هو العقد اللفظي المتلقّى من النص، ثم ذكر لإيجاب</w:t>
      </w:r>
    </w:p>
    <w:p>
      <w:pPr>
        <w:pStyle w:val="BookText"/>
        <w:rPr/>
      </w:pPr>
      <w:r>
        <w:rPr>
          <w:rFonts w:ascii="Amiri" w:hAnsi="Amiri" w:eastAsia="Amiri" w:cs="Amiri"/>
          <w:color w:val="111111"/>
          <w:sz w:val="28"/>
          <w:sz w:val="28"/>
          <w:szCs w:val="28"/>
          <w:rtl w:val="true"/>
          <w:lang w:bidi="ar-SA"/>
        </w:rPr>
        <w:t>النكاح ألفاظا ثلاثة، و عللها بورودها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فالضابط وجوب إيقاع العقد بإنشاء الألفاظ الدائرة في عرف المتشرّعة في زمان الشارع، تبعا للسان الشرع، و هي بعينها عنوانات تلك المعاملات، فلا ينعقد عقد بلفظ آخر ليس مما يختص به، و الظاهر أنّه المقصود من الصريح الذي اشترطوه، و تتضح منه أنه لا ينعقد مثلا بيع المنفعة أو الإعارة، و لا البيع بالهبة المعوّضة، و لا الوقف بالصدقة و أشباه ذلك، و لا ينعقد معاملة بما دلّ على لوازمها المختصّة، و لا بالألفاظ المشتركة، و لو مع القرينة اللفظية المعينة، إلا مع تداوله و شيوع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جواز الضمان بالتعهد و ما يشبهه، و بهذا الضابط يتميّز الصريح المعهود، و الذي يتوقّف عليه الانعقاد في كلّ عقد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على ما قلناه، أيضا بما ذكرناه فيما تقدّم، من أنّ تمايز مهيات المعاملات التي جعل الشارع كلّا منها بالأصالة موردا لأحكام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اتّفق اشتراكه في مورد لمعاملة أخرى منها، على حسب شرط المتعاملين و تعاهدهما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بتمايز ألفاظها المختصّة و عنواناتها المعروفة، فانعقادها بحقائقها يطلب بإنشاء تلك الأسماء و العنوانات المختصّة بها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الكلام في هيئات الصيغ و تراكيبها، كالعربية و الماضوية و تقدم الإيجاب و أمثالها، فمجمل القول فيها، أنّ ما شكّ منها في مدخليته في الماهيّة الأعمّ لجنس ما تداول عليه في زمان الخطاب، لزم الحكم باشتراطه، اقتصارا بالمتيقّن و عملا بالأصل، و ما علم عدم مدخليته في نفس الماهيّة، بل كان من الخصوصيات و المقارنات الزائدة المحتملة لكونه شرطا للصحّة، و كان اسم الماهية صادقا على فاقده منفيّ اشتراطه؛ لعموم أَوْفُوا بِالْعُقُودِ و هذا يختلف باختلاف العقود</w:t>
      </w:r>
    </w:p>
    <w:p>
      <w:pPr>
        <w:pStyle w:val="BookText"/>
        <w:rPr/>
      </w:pPr>
      <w:r>
        <w:rPr>
          <w:rFonts w:ascii="Amiri" w:hAnsi="Amiri" w:eastAsia="Amiri" w:cs="Amiri"/>
          <w:color w:val="111111"/>
          <w:sz w:val="28"/>
          <w:sz w:val="28"/>
          <w:szCs w:val="28"/>
          <w:rtl w:val="true"/>
          <w:lang w:bidi="ar-SA"/>
        </w:rPr>
        <w:t>و الشروط، و لا عناية لنا هنا لخصوص أفراد العقود، بل هو موكول إلى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ماضوية اللفظ من القسم الأوّل، فيكون شرطا، إلّا فيما ثبت خلافه بإجماع و نحوه؛ لجريان العادة باستعمال الماضي في الإنشاء في العقود، و صراحته فيه؛ فإنّ قصد الإنشاء بالمستقبل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بعضهم الإجماع على عدم الوقوع بالمضارع و الاستفهام، و في التذكرة </w:t>
      </w:r>
      <w:r>
        <w:rPr>
          <w:rStyle w:val="FootnoteAnchor"/>
          <w:rtl w:val="true"/>
        </w:rPr>
        <w:footnoteReference w:id="117"/>
      </w:r>
      <w:r>
        <w:rPr>
          <w:rFonts w:ascii="Amiri" w:hAnsi="Amiri" w:eastAsia="Amiri" w:cs="Amiri"/>
          <w:color w:val="111111"/>
          <w:sz w:val="28"/>
          <w:sz w:val="28"/>
          <w:szCs w:val="28"/>
          <w:rtl w:val="true"/>
          <w:lang w:bidi="ar-SA"/>
        </w:rPr>
        <w:t>الإجماع على عدم وقوع البيع بلفظ أبيعك أو اشتر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النطق، فلا ينعقد بالكتابة و الإشارة، و قيل يصحّ مع العجز، 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اشتراط العربية في أكثر العقود أيضا، لما ذكر، و عدم اللحن في الإعراب، بل عربية جميع أجزاء العقد الداخلة في أجزائه في الإيجاب و القبول، لأنّ غير العربية كالمعدوم، فكأنّه لم يذكر، فكان العقد غير تامّ، و من يكتفي بظهور اللفظ في المعنى المقصود يلزمه القول بعدم اشتراطه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علم المتكلّم تفصيلا بمعنى الكلام و لو بتلقين غيره و عدم كونه من أهل اللسان، فيكون فارقا بين معنى أبيع و بعت و أوجدت البيع و غيرها؛ أو يكفي مجرّد علمه بأنّ هذا اللفظ لإنشاء المعاملة المقصودة، فيقصد إنشاءها به؟ الظاهر الأوّل، لأنّ التلفّظ بالعقد ليس من باب التعبّد من قبيل تلاوة القرآن، كالتلفّظ بمعجمات أوائل السور مثلا، لأنّ المقصود من تشريع العقد استعمال المتكلّم هذا اللفظ المخصوص في معناه المقصود، و إرادته منه، و لا يتمّ ذلك إلّا بفهم المعنى و انطباقه للفظ، فلا يقال للجاهل بالمعنى المستعمل فيه أنه استعمل اللفظ فيه و أراده منه</w:t>
      </w:r>
      <w:r>
        <w:rPr>
          <w:rFonts w:eastAsia="Amiri" w:cs="Amiri" w:ascii="Amiri" w:hAnsi="Amiri"/>
          <w:color w:val="111111"/>
          <w:sz w:val="28"/>
          <w:szCs w:val="28"/>
          <w:rtl w:val="true"/>
          <w:lang w:bidi="ar-SA"/>
        </w:rPr>
        <w:t>.</w:t>
      </w:r>
      <w:bookmarkStart w:id="35" w:name="pg2497_11810"/>
    </w:p>
    <w:p>
      <w:pPr>
        <w:pStyle w:val="Heading2"/>
        <w:numPr>
          <w:ilvl w:val="1"/>
          <w:numId w:val="1"/>
        </w:numPr>
        <w:rPr/>
      </w:pPr>
      <w:bookmarkStart w:id="36" w:name="__RefHeading___Toc3861783_3804643083"/>
      <w:bookmarkStart w:id="37" w:name="_Toc14"/>
      <w:bookmarkEnd w:id="35"/>
      <w:bookmarkEnd w:id="36"/>
      <w:r>
        <w:rPr>
          <w:rtl w:val="true"/>
        </w:rPr>
        <w:t>[</w:t>
      </w:r>
      <w:r>
        <w:rPr>
          <w:rtl w:val="true"/>
        </w:rPr>
        <w:t>المشرق الثاني</w:t>
      </w:r>
      <w:r>
        <w:rPr>
          <w:rtl w:val="true"/>
        </w:rPr>
        <w:t>] [</w:t>
      </w:r>
      <w:r>
        <w:rPr>
          <w:rtl w:val="true"/>
        </w:rPr>
        <w:t>في بيان حكم العقد الفضولي</w:t>
      </w:r>
      <w:r>
        <w:rPr>
          <w:rtl w:val="true"/>
        </w:rPr>
        <w:t>]</w:t>
      </w:r>
      <w:bookmarkEnd w:id="37"/>
    </w:p>
    <w:p>
      <w:pPr>
        <w:pStyle w:val="Heading3"/>
        <w:numPr>
          <w:ilvl w:val="2"/>
          <w:numId w:val="1"/>
        </w:numPr>
        <w:rPr/>
      </w:pPr>
      <w:bookmarkStart w:id="38" w:name="__RefHeading___Toc3861785_3804643083"/>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العقد إذا صدر عن غير المالك و من في حكمه أعني الفضولي و بعض ما يتعلّق بالمقام، و اختلفوا في صحّته و لزومه بالإجازة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جوازه في النكاح، بل عن المرتضى </w:t>
      </w:r>
      <w:r>
        <w:rPr>
          <w:rStyle w:val="FootnoteAnchor"/>
          <w:rtl w:val="true"/>
        </w:rPr>
        <w:footnoteReference w:id="118"/>
      </w:r>
      <w:r>
        <w:rPr>
          <w:rFonts w:ascii="Amiri" w:hAnsi="Amiri" w:eastAsia="Amiri" w:cs="Amiri"/>
          <w:color w:val="111111"/>
          <w:sz w:val="28"/>
          <w:sz w:val="28"/>
          <w:szCs w:val="28"/>
          <w:rtl w:val="true"/>
          <w:lang w:bidi="ar-SA"/>
        </w:rPr>
        <w:t>و غيره الإجماع عليه و الأخبار فيه مستفيضة، و هو الأشهر في البيع بين من تأخر، بل عن جماعة مطلقا، بل قيل كاد أن يكون إجماعا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التذكرة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مشعرا بالإجماع، و قيل به في سائر العقود أيضا، بل يظهر من الشهيد في الروضة </w:t>
      </w:r>
      <w:r>
        <w:rPr>
          <w:rStyle w:val="FootnoteAnchor"/>
          <w:rtl w:val="true"/>
        </w:rPr>
        <w:footnoteReference w:id="120"/>
      </w:r>
      <w:r>
        <w:rPr>
          <w:rFonts w:ascii="Amiri" w:hAnsi="Amiri" w:eastAsia="Amiri" w:cs="Amiri"/>
          <w:color w:val="111111"/>
          <w:sz w:val="28"/>
          <w:sz w:val="28"/>
          <w:szCs w:val="28"/>
          <w:rtl w:val="true"/>
          <w:lang w:bidi="ar-SA"/>
        </w:rPr>
        <w:t>عدم القائل بالفرق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باختصاص الحكم بهما أي بالبيع و الشراء و النكاح فإذا ثبت فيهما ثبت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باختصاصه بالنكاح و له وجه لو نوقش في حديث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باختصاصه بالنكاح و حيث إنّ غرضنا بيان ما تقتضيه القاعدة في عموم العقود، فلا</w:t>
      </w:r>
    </w:p>
    <w:p>
      <w:pPr>
        <w:pStyle w:val="BookText"/>
        <w:rPr/>
      </w:pPr>
      <w:r>
        <w:rPr>
          <w:rFonts w:ascii="Amiri" w:hAnsi="Amiri" w:eastAsia="Amiri" w:cs="Amiri"/>
          <w:color w:val="111111"/>
          <w:sz w:val="28"/>
          <w:sz w:val="28"/>
          <w:szCs w:val="28"/>
          <w:rtl w:val="true"/>
          <w:lang w:bidi="ar-SA"/>
        </w:rPr>
        <w:t>بحث لنا هنا عن خصوص عقد إلّا فيما صحّ التعدي عنه بعدم القول بالفصل،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صحّته في العقود مطلقا،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عدم توقف صدق اسم المعاملة على مباشرة المالك بنفسه للعقد، بل يكفي النيابة كما في الوليّ و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اشتراط إذنه في الصحة أو في الصدق و هو حاصل بالإجازة و لا فرق في صدق الماهية على فعل النائب في تقدم الإذن و تأخره، و حيث ثبت صدق الماهية عليه و لو بعد الإجازة كان مقتضى الأصل المتأصّل فيما سبق صحّته إلى أن يخرج عنه بدليل دلّ على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يصدق عليه تجارة عن تراض فيندرج تحت عموم الآية </w:t>
      </w:r>
      <w:r>
        <w:rPr>
          <w:rStyle w:val="FootnoteAnchor"/>
          <w:rtl w:val="true"/>
        </w:rPr>
        <w:footnoteReference w:id="121"/>
      </w:r>
      <w:r>
        <w:rPr>
          <w:rFonts w:ascii="Amiri" w:hAnsi="Amiri" w:eastAsia="Amiri" w:cs="Amiri"/>
          <w:color w:val="111111"/>
          <w:sz w:val="28"/>
          <w:sz w:val="28"/>
          <w:szCs w:val="28"/>
          <w:rtl w:val="true"/>
          <w:lang w:bidi="ar-SA"/>
        </w:rPr>
        <w:t>، و يتمّ المطلوب في غير عقود التجارة بالإجماع المركب، لظهور عدم قائل بالفصل و إن قلنا به في خصوص البيع، بل عرفت من كلام الشهيد 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الإيراد عليه بأنّ مدلول الآية كون التجارة ناشئة عن التراضي فيلزم سبقه عليها، بل ربما يجعل الآية باعتبار الحصر المستفاد من الاستثناء دليلا على البطلان مردود، بمنع ذلك و صدق التجارة عن تراض على العقد بعد لحوق الإجازة عرفا؛ إذ نقول التجارة هي مجموع العقد و الإجازة، لكونها من أجزاء علّة الانتقال و إن كانت مؤثرة له بعد حصولها من حينه لا من حينها، كما تقف عليه عند بيان معنى الكشف، و لا شك أنّ المجموع المركّب مسبوق بالتراضي و منه يظهر فساد الاستدلال بالحصر على الفساد مع أنّ الاستثناء منقطع فلا يفيد الحصر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عروة البارقي </w:t>
      </w:r>
      <w:r>
        <w:rPr>
          <w:rStyle w:val="FootnoteAnchor"/>
          <w:rtl w:val="true"/>
        </w:rPr>
        <w:footnoteReference w:id="122"/>
      </w:r>
      <w:r>
        <w:rPr>
          <w:rFonts w:ascii="Amiri" w:hAnsi="Amiri" w:eastAsia="Amiri" w:cs="Amiri"/>
          <w:color w:val="111111"/>
          <w:sz w:val="28"/>
          <w:sz w:val="28"/>
          <w:szCs w:val="28"/>
          <w:rtl w:val="true"/>
          <w:lang w:bidi="ar-SA"/>
        </w:rPr>
        <w:t>المنجبر ضعف سنده بالشهرة رواية و فتوى تحصيلا و نقلا، و هو أنّ النبيّ صلّى اللّه عليه و آله و سلّم أعطاه دينارا ليشتري به شاة، فاشترى شاتين، ثم باع</w:t>
      </w:r>
    </w:p>
    <w:p>
      <w:pPr>
        <w:pStyle w:val="BookText"/>
        <w:rPr/>
      </w:pPr>
      <w:r>
        <w:rPr>
          <w:rFonts w:ascii="Amiri" w:hAnsi="Amiri" w:eastAsia="Amiri" w:cs="Amiri"/>
          <w:color w:val="111111"/>
          <w:sz w:val="28"/>
          <w:sz w:val="28"/>
          <w:szCs w:val="28"/>
          <w:rtl w:val="true"/>
          <w:lang w:bidi="ar-SA"/>
        </w:rPr>
        <w:t>أحدهما بدينار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و سلّم بالدينار و الشاة فقال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تجويز كون الشراء لنفسه و الدينار مأخوذا على وجه القرض اتكالا على الفحوى كما في الإقباض، أو كون عبارة التوكيل ما يفيد الوكالة العامّة و لم ينقل إلينا مع أنّ الفحوى مجزية في الوكالة مردود، بظهور كون الشراء بالوكالة سيما بملاحظة تفريع شرائه على توكيل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الاستناد بأمثال هذا الظهور لانسدّ باب الاستدلال بظواهر الكتاب و السنّة، إذ لا يمكن استقصاء الاحتمال، و به يظهر ما في الثاني أيضا، فإنّ الظاهر كون المحكي تمام ما وقع بين النبي صلّى اللّه عليه و آله و سلّم و عروة، مع أنّا لو أغمضنا عنه في البيع الأوّل أو الاكتفاء بالفحوى في التوكيل فالبيع الثاني لا يحتمله، و العلم بالرضا لا يخرجه عن الفضولي على ما هو المعروف بين الأصحاب، و إن استشكله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يكتفى به في جواز الإقباض، و أما قبض عروة الدينار فهو من جهة استنمائه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بظهور وقوع تلك المعاملة على جهة المعاطاة، و المناط فيها مجرّد المراضاة و وصول كل من العوضين إلى صاحب الآخر بإقباض المالك أو غيره و لو كان صبيّا أو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 التقابض بين فضوليين أو فضوليّ و غيره مقرونا برضى المالكين، ثم دخل كل من العوضين الى صاحب الآخر، كفي في صحّة التصرف، و ليس هذا من معاملة الفضولي، لأنّ الفضولي صار آلة في الإيصال، و العبرة برضى المالك المقرون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وصول العوض إلى صاحب الآخر جزء السبب الناقل في المعاطاة، كما اعترف به المناقش قبل حصول العوض إلى النبي صلّى اللّه عليه و آله و سلّم مع المعاطاة، لم يتحقّق بيع </w:t>
      </w:r>
      <w:r>
        <w:rPr>
          <w:rStyle w:val="FootnoteAnchor"/>
          <w:rtl w:val="true"/>
        </w:rPr>
        <w:footnoteReference w:id="123"/>
      </w:r>
      <w:r>
        <w:rPr>
          <w:rFonts w:ascii="Amiri" w:hAnsi="Amiri" w:eastAsia="Amiri" w:cs="Amiri"/>
          <w:color w:val="111111"/>
          <w:sz w:val="28"/>
          <w:sz w:val="28"/>
          <w:szCs w:val="28"/>
          <w:rtl w:val="true"/>
          <w:lang w:bidi="ar-SA"/>
        </w:rPr>
        <w:t>، و هو ينافي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صفقة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حصوله قبل</w:t>
      </w:r>
    </w:p>
    <w:p>
      <w:pPr>
        <w:pStyle w:val="BookText"/>
        <w:rPr/>
      </w:pPr>
      <w:r>
        <w:rPr>
          <w:rFonts w:ascii="Amiri" w:hAnsi="Amiri" w:eastAsia="Amiri" w:cs="Amiri"/>
          <w:color w:val="111111"/>
          <w:sz w:val="28"/>
          <w:sz w:val="28"/>
          <w:szCs w:val="28"/>
          <w:rtl w:val="true"/>
          <w:lang w:bidi="ar-SA"/>
        </w:rPr>
        <w:t>الوصول، و عدم كون عروة مجرّد آلة الإيصال، بخلافه على البناء على الفضولي، سيما على القول بكون الإجازة كاشفة فيه، كما هو الحق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الدليل يختصّ بالبيع، إلّا أن يعمّم بالفحوى، سيما مع ما تقدّم من الروضة من عدم القائل بالفرق بينه و بين سائر العقود مؤيّدا بما دلّ عليه النصوص و الفتاوى في النكاح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البيع أيضا ظاهر الموثق أو الصحيح في قضاء أمير المؤمنين عليه السّلام في وليدة باعها ابن سيّدها، خلافا للمحكيّ عن الشيخ في المبسوط </w:t>
      </w:r>
      <w:r>
        <w:rPr>
          <w:rStyle w:val="FootnoteAnchor"/>
          <w:rtl w:val="true"/>
        </w:rPr>
        <w:footnoteReference w:id="124"/>
      </w:r>
      <w:r>
        <w:rPr>
          <w:rFonts w:ascii="IRNazanin" w:hAnsi="IRNazanin" w:eastAsia="IRNazanin"/>
          <w:color w:val="111111"/>
          <w:sz w:val="28"/>
          <w:sz w:val="28"/>
          <w:szCs w:val="28"/>
          <w:rtl w:val="true"/>
          <w:lang w:bidi="fa-IR"/>
        </w:rPr>
        <w:t xml:space="preserve">و الخلاف </w:t>
      </w:r>
      <w:r>
        <w:rPr>
          <w:rStyle w:val="FootnoteAnchor"/>
          <w:rtl w:val="true"/>
        </w:rPr>
        <w:footnoteReference w:id="125"/>
      </w:r>
      <w:r>
        <w:rPr>
          <w:rFonts w:ascii="Amiri" w:hAnsi="Amiri" w:eastAsia="Amiri" w:cs="Amiri"/>
          <w:color w:val="111111"/>
          <w:sz w:val="28"/>
          <w:sz w:val="28"/>
          <w:szCs w:val="28"/>
          <w:rtl w:val="true"/>
          <w:lang w:bidi="ar-SA"/>
        </w:rPr>
        <w:t xml:space="preserve">و الحلّي </w:t>
      </w:r>
      <w:r>
        <w:rPr>
          <w:rStyle w:val="FootnoteAnchor"/>
          <w:rtl w:val="true"/>
        </w:rPr>
        <w:footnoteReference w:id="126"/>
      </w:r>
      <w:r>
        <w:rPr>
          <w:rFonts w:ascii="Amiri" w:hAnsi="Amiri" w:eastAsia="Amiri" w:cs="Amiri"/>
          <w:color w:val="111111"/>
          <w:sz w:val="28"/>
          <w:sz w:val="28"/>
          <w:szCs w:val="28"/>
          <w:rtl w:val="true"/>
          <w:lang w:bidi="ar-SA"/>
        </w:rPr>
        <w:t xml:space="preserve">و الحلبي </w:t>
      </w:r>
      <w:r>
        <w:rPr>
          <w:rStyle w:val="FootnoteAnchor"/>
          <w:rtl w:val="true"/>
        </w:rPr>
        <w:footnoteReference w:id="127"/>
      </w:r>
      <w:r>
        <w:rPr>
          <w:rFonts w:ascii="Amiri" w:hAnsi="Amiri" w:eastAsia="Amiri" w:cs="Amiri"/>
          <w:color w:val="111111"/>
          <w:sz w:val="28"/>
          <w:sz w:val="28"/>
          <w:szCs w:val="28"/>
          <w:rtl w:val="true"/>
          <w:lang w:bidi="ar-SA"/>
        </w:rPr>
        <w:t xml:space="preserve">و ابن زهرة </w:t>
      </w:r>
      <w:r>
        <w:rPr>
          <w:rStyle w:val="FootnoteAnchor"/>
          <w:rtl w:val="true"/>
        </w:rPr>
        <w:footnoteReference w:id="128"/>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129"/>
      </w:r>
      <w:r>
        <w:rPr>
          <w:rFonts w:ascii="Amiri" w:hAnsi="Amiri" w:eastAsia="Amiri" w:cs="Amiri"/>
          <w:color w:val="111111"/>
          <w:sz w:val="28"/>
          <w:sz w:val="28"/>
          <w:szCs w:val="28"/>
          <w:rtl w:val="true"/>
          <w:lang w:bidi="ar-SA"/>
        </w:rPr>
        <w:t xml:space="preserve">و مولانا الأردبيلي </w:t>
      </w:r>
      <w:r>
        <w:rPr>
          <w:rStyle w:val="FootnoteAnchor"/>
          <w:rtl w:val="true"/>
        </w:rPr>
        <w:footnoteReference w:id="130"/>
      </w:r>
      <w:r>
        <w:rPr>
          <w:rFonts w:ascii="Amiri" w:hAnsi="Amiri" w:eastAsia="Amiri" w:cs="Amiri"/>
          <w:color w:val="111111"/>
          <w:sz w:val="28"/>
          <w:sz w:val="28"/>
          <w:szCs w:val="28"/>
          <w:rtl w:val="true"/>
          <w:lang w:bidi="ar-SA"/>
        </w:rPr>
        <w:t xml:space="preserve">و الحرّ العاملي </w:t>
      </w:r>
      <w:r>
        <w:rPr>
          <w:rStyle w:val="FootnoteAnchor"/>
          <w:rtl w:val="true"/>
        </w:rPr>
        <w:footnoteReference w:id="131"/>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132"/>
      </w:r>
      <w:r>
        <w:rPr>
          <w:rFonts w:ascii="Amiri" w:hAnsi="Amiri" w:eastAsia="Amiri" w:cs="Amiri"/>
          <w:color w:val="111111"/>
          <w:sz w:val="28"/>
          <w:sz w:val="28"/>
          <w:szCs w:val="28"/>
          <w:rtl w:val="true"/>
          <w:lang w:bidi="ar-SA"/>
        </w:rPr>
        <w:t xml:space="preserve">و والدي العلّامة </w:t>
      </w:r>
      <w:r>
        <w:rPr>
          <w:rStyle w:val="FootnoteAnchor"/>
          <w:rtl w:val="true"/>
        </w:rPr>
        <w:footnoteReference w:id="133"/>
      </w:r>
      <w:r>
        <w:rPr>
          <w:rFonts w:ascii="Amiri" w:hAnsi="Amiri" w:eastAsia="Amiri" w:cs="Amiri"/>
          <w:color w:val="111111"/>
          <w:sz w:val="28"/>
          <w:sz w:val="28"/>
          <w:szCs w:val="28"/>
          <w:rtl w:val="true"/>
          <w:lang w:bidi="ar-SA"/>
        </w:rPr>
        <w:t xml:space="preserve">و غيرهم للأصل و الإجماع المنقول عن الخلاف </w:t>
      </w:r>
      <w:r>
        <w:rPr>
          <w:rStyle w:val="FootnoteAnchor"/>
          <w:rtl w:val="true"/>
        </w:rPr>
        <w:footnoteReference w:id="134"/>
      </w:r>
      <w:r>
        <w:rPr>
          <w:rFonts w:ascii="Amiri" w:hAnsi="Amiri" w:eastAsia="Amiri" w:cs="Amiri"/>
          <w:color w:val="111111"/>
          <w:sz w:val="28"/>
          <w:sz w:val="28"/>
          <w:szCs w:val="28"/>
          <w:rtl w:val="true"/>
          <w:lang w:bidi="ar-SA"/>
        </w:rPr>
        <w:t>و الغنية، و قبح التصرف في ملك الغير، و اشتراط القدرة على التسليم في البيع المنتفية هنا، و الظواهر الناهية عن بيع ما ليس عنده و عن 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صحيح صفار، كتب إلى أبي الحسن عليه السّلام رجل باع قرية فيها قطاع أرضين، فهل يصلح للمشتري ذلك و قد أقرّ له بكلّها؟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ما ليس عندك و قد وجب الشراء على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محمد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من امرأة من آل فلان بعض قطائعهم، و كتب عليها كتابا بأنّها قد قبضت المال و لم يقبض فيعطيها المال أم يمنعها؟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ليمنعها </w:t>
      </w:r>
      <w:r>
        <w:rPr>
          <w:rStyle w:val="FootnoteAnchor"/>
          <w:rtl w:val="true"/>
        </w:rPr>
        <w:footnoteReference w:id="135"/>
      </w:r>
      <w:r>
        <w:rPr>
          <w:rFonts w:ascii="Amiri" w:hAnsi="Amiri" w:eastAsia="Amiri" w:cs="Amiri"/>
          <w:color w:val="111111"/>
          <w:sz w:val="28"/>
          <w:sz w:val="28"/>
          <w:szCs w:val="28"/>
          <w:rtl w:val="true"/>
          <w:lang w:bidi="ar-SA"/>
        </w:rPr>
        <w:t xml:space="preserve">أشدّ المنع، فإنها باعت ما لم تملكه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المستفيضة الناهية عن شراء السرقة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بتلك الأدلّة فساد الفضوليّ في البيع، ثبت في غيره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بندرة القائل، بل انحصاره في الناقل، و قليل ممّن تأخّر عنه، بل الشيخ نفسه على خلافه في النهاية </w:t>
      </w:r>
      <w:r>
        <w:rPr>
          <w:rStyle w:val="FootnoteAnchor"/>
          <w:rtl w:val="true"/>
        </w:rPr>
        <w:footnoteReference w:id="138"/>
      </w:r>
      <w:r>
        <w:rPr>
          <w:rFonts w:ascii="Amiri" w:hAnsi="Amiri" w:eastAsia="Amiri" w:cs="Amiri"/>
          <w:color w:val="111111"/>
          <w:sz w:val="28"/>
          <w:sz w:val="28"/>
          <w:szCs w:val="28"/>
          <w:rtl w:val="true"/>
          <w:lang w:bidi="ar-SA"/>
        </w:rPr>
        <w:t xml:space="preserve">، كجماعة ممن تقدم عليه من عظماء الطائفة كالمفيد </w:t>
      </w:r>
      <w:r>
        <w:rPr>
          <w:rStyle w:val="FootnoteAnchor"/>
          <w:rtl w:val="true"/>
        </w:rPr>
        <w:footnoteReference w:id="139"/>
      </w:r>
      <w:r>
        <w:rPr>
          <w:rFonts w:ascii="Amiri" w:hAnsi="Amiri" w:eastAsia="Amiri" w:cs="Amiri"/>
          <w:color w:val="111111"/>
          <w:sz w:val="28"/>
          <w:sz w:val="28"/>
          <w:szCs w:val="28"/>
          <w:rtl w:val="true"/>
          <w:lang w:bidi="ar-SA"/>
        </w:rPr>
        <w:t xml:space="preserve">و الإسكافي </w:t>
      </w:r>
      <w:r>
        <w:rPr>
          <w:rStyle w:val="FootnoteAnchor"/>
          <w:rtl w:val="true"/>
        </w:rPr>
        <w:footnoteReference w:id="14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بمنع كون مجرّد الصيغة المعلّقة على إذن المالك تصرفا في ملك الغير، مع أنّ التحريم، حيث لم يتعلّق بنفس المعاملة من حيث هي، كما في الفرض غير مقتضى للفساد على الحقّ</w:t>
      </w:r>
      <w:r>
        <w:rPr>
          <w:rFonts w:eastAsia="Amiri" w:cs="Amiri" w:ascii="Amiri" w:hAnsi="Amiri"/>
          <w:color w:val="111111"/>
          <w:sz w:val="28"/>
          <w:szCs w:val="28"/>
          <w:rtl w:val="true"/>
          <w:lang w:bidi="ar-SA"/>
        </w:rPr>
        <w:t>.</w:t>
      </w:r>
      <w:bookmarkStart w:id="40" w:name="pg2497_11820"/>
    </w:p>
    <w:p>
      <w:pPr>
        <w:pStyle w:val="BookText"/>
        <w:rPr/>
      </w:pPr>
      <w:bookmarkEnd w:id="40"/>
      <w:r>
        <w:rPr>
          <w:rFonts w:ascii="Amiri" w:hAnsi="Amiri" w:eastAsia="Amiri" w:cs="Amiri"/>
          <w:color w:val="111111"/>
          <w:sz w:val="28"/>
          <w:sz w:val="28"/>
          <w:szCs w:val="28"/>
          <w:rtl w:val="true"/>
          <w:lang w:bidi="ar-SA"/>
        </w:rPr>
        <w:t>و الرابع بوجود القدرة على التسليم بالقوّة القريبة بتحصيل الإجازة فيما إذا علم إمكانه، و هي كافية، كبيع الطائر المعتاد عوده، و يتمّ بعدم القول بالفصل، مع أنّ القدرة إنّما يشترط في البائع الذي بيده السلطنة و الإقباض، لا في من يجري العقد، و إلّا لزم بطلان عقد الوكيل المجمع على صحّته، و عليه ينزّل النهي عن بيع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به عن الخامس، فيحمل على بيع ما قطعت عنه يد مالكه، أو على عدم كونه ملكا لمن له البيع، سواء كان عينا شخصيا أو كليا غير مقدور التحصيل عادة، كما هو ظاهر أكثر ما اشتمل على تلك العبارة، كالصحيح المتقدم، و بالجملة المشروط له بحكم التبادر و ملاحظة مظانّ الأخبار و سياقها هو من له السلطنة و الإقباض، لا من يصدر عنه لفظ العقد، فلا يشمل الفضولي المتوقف على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يضعف السادس أيضا لقوّة ظهوره في اشتراط الملك لمن له البيع، لا للعاقد عنه، بل لا يبعد اختصاص بعضه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بيع إلّا فيما يملك</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في بيع مثل الخمر و الخنزير، مع احتمال بعضه نفي اللزوم، لا مجرد استعداد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دلالة الصحيحين و النهي عن شراء السرقة و نحوها عن إفادة المنع في محلّ الفرض، فإنّها ظاهرة في منع بيع مال الغير لنفسه، مع أن الممنوع في صحيح محمد دفع المال قبل الإجازة، و لا كلام فيه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861787_3804643083"/>
      <w:bookmarkStart w:id="42" w:name="_Toc16"/>
      <w:bookmarkEnd w:id="41"/>
      <w:r>
        <w:rPr>
          <w:rtl w:val="true"/>
        </w:rPr>
        <w:t>تتميمات</w:t>
      </w:r>
      <w:r>
        <w:rPr>
          <w:rtl w:val="true"/>
        </w:rPr>
        <w:t>:</w:t>
      </w:r>
      <w:bookmarkEnd w:id="4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3861789_3804643083"/>
      <w:bookmarkStart w:id="44" w:name="_Toc17"/>
      <w:bookmarkEnd w:id="43"/>
      <w:r>
        <w:rPr>
          <w:rtl w:val="true"/>
        </w:rPr>
        <w:t>الأوّل</w:t>
      </w:r>
      <w:r>
        <w:rPr>
          <w:rtl w:val="true"/>
        </w:rPr>
        <w:t xml:space="preserve">: </w:t>
      </w:r>
      <w:r>
        <w:rPr>
          <w:rtl w:val="true"/>
        </w:rPr>
        <w:t>قد اختلفوا في أنّ الإجازة على صحتها، هل هي كاشفة عن الانتقال من حين العقد، أو ناقلة من حينها</w:t>
      </w:r>
      <w:r>
        <w:rPr>
          <w:rtl w:val="true"/>
        </w:rPr>
        <w:t>.</w:t>
      </w:r>
      <w:bookmarkEnd w:id="44"/>
    </w:p>
    <w:p>
      <w:pPr>
        <w:pStyle w:val="BookText"/>
        <w:rPr/>
      </w:pPr>
      <w:r>
        <w:rPr>
          <w:rFonts w:ascii="Amiri" w:hAnsi="Amiri" w:eastAsia="Amiri" w:cs="Amiri"/>
          <w:color w:val="111111"/>
          <w:sz w:val="28"/>
          <w:sz w:val="28"/>
          <w:szCs w:val="28"/>
          <w:rtl w:val="true"/>
          <w:lang w:bidi="ar-SA"/>
        </w:rPr>
        <w:t>المحكيّ عن الأكثر الأوّل، لأنها رضى بمقتضى العقد الذي قصده الفضولي، و هو النقل من حينه لا حينها، فلو كان النقل يحصل بالإجازة لما كانت إمضاء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الإجازة اللاحقة حكم التوكيل السابق، و السبب الناقل هو ما تعلّقت به الإجازة، أعني العقد، كما في التوكيل، فالانتقال يحصل من حينه لا من حينها، و يكشف بالإجازة كون العقد تام الشرائط مؤثرا حين ما وقع، فيكون كاشفة عن وقوع النقل لا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بتوقّف التأثير عليها، فهي جزء السبب الناقل، و أنّه لو لا الرضا جزئه لزم العلم بالصحّة بدون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و الاعتراض كلاهما محل نظر؛ لإمكان المناقشة في الأوّل بأنّ كون الإجازة رضي بمقتضى العقد لا ينافي كونها جزء علّة للانتقال و حصول الأثر من حينها، فلا يمنع عن كونها ناقلة، كما أنّ القبول رضي بمقتضى الإيجاب، مع أنّه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مقتضى العقد إنشاء النقل، و هو لا يستلزم حصول الانتقال شرعا، لجواز اشتراطه في التأثير بشرط متوقّع، فإذا وقع يترتّب عليه الأثر، كما في قبض الوقف، فإنّه شرط الانتقال، مع أن العقد قبله صحيح في نفسه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 بأنّ توقّف تأثير العقد على الإجازة لا يستلزم حصول الأثر من حينها، لإمكان توقف تأثيره من حينه على حصولها بعده، فإذا حصلت حصل الأثر من حينه، و لا استحالة في تأخّر شرط التأثير في الأسباب الشرعية، كما في اشتراط صحّة غسل المستحاضة بأغسالها الليلية الآتية، و تقديم غسل الجمعة قبلها عليها، فالكشف هنا ليس كشفا علميا كما توهمه كلام بعضهم، ضرورة مدخلية الإجازة في حصول الانتقال في نفس الأمر، و لا خلاف فيه، بل هو كشف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علمت إمكان اعتبار كلّ من المعنيين في الإجازة، مع توقّف تأثير العقد عليها، فلا يصحّ الاستناد لإثبات أحدهما بما ذكر في إبطال الآخر، بل اللازم طلب الدليل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مطاوي الأخبار كونها كاشفة، كما عليه المعظم، لا لاطلاقات حلية البيع و جواز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 عدم انصرافها إلى الفضولي قاصرة عن إفادته، إذ لا كلام في مدخلية الإجازة في الانتقال من العقد على القولين، و لا إشعار في الإطلاقات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صحّة التمسك بعموم أَوْفُوا بِالْعُقُودِ مع ما فيه من الإجمال في المقام، بل لظهور خبر عروة فيه؛ فإنّه على كونه ناقلة من حينها لما حصل له ملك الشاة قبلها، فكان بيعها الثاني الذي هو قبل إجازة الأوّل باطلا فإنّه من بيع ما لا يملكه من له البيع، بل يشعر به خبر الوليدة أيضا، حيث لم يرجع السيّد عليه بعد الإمضاء بأجرة 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صحيحة أبي عبيدة في نكاح الصغيرين المشتملة على أنه لو بلغ أحدهما و أجاز و مات، ثم بلغ الآخر و أجاز ورث منه، و عمل بها الأصحاب، و لا يتمّ التقريب إلّا على القول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فائدة الخلاف يظهر في النماء المتخلّل، و فيما لو ترتّب العقود على أحد العوضين أو كليهما فضولا، فإنّه يختلف حكم الصحة و البطلان على الكشف و النقل بتنجيز الكلّ أو البعض أو بإجازة المبيع أو الثمن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الثمرة في عدم جواز فسخ الآخر قبل إجازة المالك على الكشف دون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بوروده على النقل أيضا؛ استصحابا لقابلية العقد على وجه لا يرتفع بفسخه</w:t>
      </w:r>
      <w:r>
        <w:rPr>
          <w:rFonts w:eastAsia="Amiri" w:cs="Amiri" w:ascii="Amiri" w:hAnsi="Amiri"/>
          <w:color w:val="111111"/>
          <w:sz w:val="28"/>
          <w:szCs w:val="28"/>
          <w:rtl w:val="true"/>
          <w:lang w:bidi="ar-SA"/>
        </w:rPr>
        <w:t>.</w:t>
      </w:r>
      <w:bookmarkStart w:id="45" w:name="pg2497_11825"/>
    </w:p>
    <w:p>
      <w:pPr>
        <w:pStyle w:val="BookText"/>
        <w:rPr/>
      </w:pPr>
      <w:bookmarkEnd w:id="45"/>
      <w:r>
        <w:rPr>
          <w:rFonts w:ascii="Amiri" w:hAnsi="Amiri" w:eastAsia="Amiri" w:cs="Amiri"/>
          <w:color w:val="111111"/>
          <w:sz w:val="28"/>
          <w:sz w:val="28"/>
          <w:szCs w:val="28"/>
          <w:rtl w:val="true"/>
          <w:lang w:bidi="ar-SA"/>
        </w:rPr>
        <w:t xml:space="preserve">و الظاهر جواز الفسخ على تقديري الكشف و النقل معا، لاختصاص دليل صحّة الإجازة، أعني الخبرين المسطورين بصورة عدم الفسخ، فغيرها يطالب دليلا آخر، و يرجع الشكّ إلى وجود المقتضى الثانوي، و لا يجري </w:t>
      </w:r>
      <w:r>
        <w:rPr>
          <w:rStyle w:val="FootnoteAnchor"/>
          <w:rtl w:val="true"/>
        </w:rPr>
        <w:footnoteReference w:id="142"/>
      </w:r>
      <w:r>
        <w:rPr>
          <w:rFonts w:ascii="Amiri" w:hAnsi="Amiri" w:eastAsia="Amiri" w:cs="Amiri"/>
          <w:color w:val="111111"/>
          <w:sz w:val="28"/>
          <w:sz w:val="28"/>
          <w:szCs w:val="28"/>
          <w:rtl w:val="true"/>
          <w:lang w:bidi="ar-SA"/>
        </w:rPr>
        <w:t>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المناقشة أيضا فيما قيل من ثمرة الخلاف، فيما إذا انسلخت قابلية الملك من أحدهما بموته قبل إجازة الآخر، أو بعروض ارتداد إذا كان المبيع مسلما أو مصحفا، و صحّته على الكشف دون النقل، و فيما إذا انسلخت قابلية المبيع بنقله أو انتقاله </w:t>
      </w:r>
      <w:r>
        <w:rPr>
          <w:rStyle w:val="FootnoteAnchor"/>
          <w:rtl w:val="true"/>
        </w:rPr>
        <w:footnoteReference w:id="143"/>
      </w:r>
      <w:r>
        <w:rPr>
          <w:rFonts w:ascii="Amiri" w:hAnsi="Amiri" w:eastAsia="Amiri" w:cs="Amiri"/>
          <w:color w:val="111111"/>
          <w:sz w:val="28"/>
          <w:sz w:val="28"/>
          <w:szCs w:val="28"/>
          <w:rtl w:val="true"/>
          <w:lang w:bidi="ar-SA"/>
        </w:rPr>
        <w:t>إلى النجاسة و تنجّسه مائعا و نحو ذلك، و فيما إذا تجدّدت القابلية قبل الإجازة بعد فقدانها حال العقد، كتجدّد الثمرة بعده و قبلها، لمنع شمول دليل الصحّة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أبى عبيدة يفيد الأوّل، إلّا أنّه يختصّ بالنكاح، و عدم القول بالفصل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الثمرة أيضا في تعلّق الخيارات و الشفعة و مبدأ زمان الخيار و مفترقه في مجلس الصرف و السلم، و أنت خبير بأنّ أمثال تلك الثمرات مبنيّة على جعل مبدأ تلك الأحكام مبدأ الملك، و أما على كونه مبدأ حدوث الانتقال فلا يختلف الحال ظاهرا، لأنّه بعد الإجازة على القولين</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861791_3804643083"/>
      <w:bookmarkStart w:id="47" w:name="_Toc18"/>
      <w:bookmarkEnd w:id="46"/>
      <w:r>
        <w:rPr>
          <w:rtl w:val="true"/>
        </w:rPr>
        <w:t>الثاني</w:t>
      </w:r>
      <w:r>
        <w:rPr>
          <w:rtl w:val="true"/>
        </w:rPr>
        <w:t xml:space="preserve">: </w:t>
      </w:r>
      <w:r>
        <w:rPr>
          <w:rtl w:val="true"/>
        </w:rPr>
        <w:t>لا يكفي في الإجازة السكوت مع الحضور،</w:t>
      </w:r>
      <w:bookmarkEnd w:id="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التذكرة الإجماع عليه، إلّا في سكوت البكر في إجازة النكاح، كإذنها فيه، لدليل يختصّ به، و كذا مع الغياب لو علم به، و لا يكفي فيهما العلم بالرضا، بل يجب اللفظ، وقوفا فيما خالف الأصل على مورد النصّ، فلا يخرج بالعلم بالرضا قبله من الفضولي</w:t>
      </w:r>
      <w:r>
        <w:rPr>
          <w:rFonts w:eastAsia="Amiri" w:cs="Amiri" w:ascii="Amiri" w:hAnsi="Amiri"/>
          <w:color w:val="111111"/>
          <w:sz w:val="28"/>
          <w:szCs w:val="28"/>
          <w:rtl w:val="true"/>
          <w:lang w:bidi="ar-SA"/>
        </w:rPr>
        <w:t>.</w:t>
      </w:r>
      <w:bookmarkStart w:id="48" w:name="pg2497_11828"/>
    </w:p>
    <w:p>
      <w:pPr>
        <w:pStyle w:val="BookText"/>
        <w:rPr/>
      </w:pPr>
      <w:bookmarkEnd w:id="48"/>
      <w:r>
        <w:rPr>
          <w:rFonts w:ascii="Amiri" w:hAnsi="Amiri" w:eastAsia="Amiri" w:cs="Amiri"/>
          <w:color w:val="111111"/>
          <w:sz w:val="28"/>
          <w:sz w:val="28"/>
          <w:szCs w:val="28"/>
          <w:rtl w:val="true"/>
          <w:lang w:bidi="ar-SA"/>
        </w:rPr>
        <w:t>و هل يشترط اللفظ في الفسخ، صرّح به بعض الأجلّة، و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الاكتفاء بمجرّد العلم بالكراهة الباطنية، ما لم يفدها قول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فسخ المعقود له بعد الاطلاع بطل العقد، و لا ينفع إجازته ثانيا للأصل و عدم الخلاف ظاهرا و لا يفسخها الترديد و لا تأخير الإجازة، كما هو ظاهر خبر الوليدة، و خلاف بعضهم في الأخير ليس بشي‌ء</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861793_3804643083"/>
      <w:bookmarkStart w:id="50" w:name="_Toc19"/>
      <w:bookmarkEnd w:id="49"/>
      <w:r>
        <w:rPr>
          <w:rtl w:val="true"/>
        </w:rPr>
        <w:t>الثالث</w:t>
      </w:r>
      <w:r>
        <w:rPr>
          <w:rtl w:val="true"/>
        </w:rPr>
        <w:t xml:space="preserve">: </w:t>
      </w:r>
      <w:r>
        <w:rPr>
          <w:rtl w:val="true"/>
        </w:rPr>
        <w:t>إذا باع الغاصب لنفسه فأجاز المالك لنفسه</w:t>
      </w:r>
      <w:r>
        <w:rPr>
          <w:rtl w:val="true"/>
        </w:rPr>
        <w:t>.</w:t>
      </w:r>
      <w:bookmarkEnd w:id="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فالمحكيّ في الإيضاح </w:t>
      </w:r>
      <w:r>
        <w:rPr>
          <w:rStyle w:val="FootnoteAnchor"/>
          <w:rtl w:val="true"/>
        </w:rPr>
        <w:footnoteReference w:id="144"/>
      </w:r>
      <w:r>
        <w:rPr>
          <w:rFonts w:ascii="Amiri" w:hAnsi="Amiri" w:eastAsia="Amiri" w:cs="Amiri"/>
          <w:color w:val="111111"/>
          <w:sz w:val="28"/>
          <w:sz w:val="28"/>
          <w:szCs w:val="28"/>
          <w:rtl w:val="true"/>
          <w:lang w:bidi="ar-SA"/>
        </w:rPr>
        <w:t xml:space="preserve">عن الأكثر صحّته إمّا مطلقا كما عن الدروس </w:t>
      </w:r>
      <w:r>
        <w:rPr>
          <w:rStyle w:val="FootnoteAnchor"/>
          <w:rtl w:val="true"/>
        </w:rPr>
        <w:footnoteReference w:id="145"/>
      </w:r>
      <w:r>
        <w:rPr>
          <w:rFonts w:ascii="IRNazanin" w:hAnsi="IRNazanin" w:eastAsia="IRNazanin"/>
          <w:color w:val="111111"/>
          <w:sz w:val="28"/>
          <w:sz w:val="28"/>
          <w:szCs w:val="28"/>
          <w:rtl w:val="true"/>
          <w:lang w:bidi="fa-IR"/>
        </w:rPr>
        <w:t xml:space="preserve">و شرح القواعد </w:t>
      </w:r>
      <w:r>
        <w:rPr>
          <w:rStyle w:val="FootnoteAnchor"/>
          <w:rtl w:val="true"/>
        </w:rPr>
        <w:footnoteReference w:id="146"/>
      </w:r>
      <w:r>
        <w:rPr>
          <w:rFonts w:ascii="Amiri" w:hAnsi="Amiri" w:eastAsia="Amiri" w:cs="Amiri"/>
          <w:color w:val="111111"/>
          <w:sz w:val="28"/>
          <w:sz w:val="28"/>
          <w:szCs w:val="28"/>
          <w:rtl w:val="true"/>
          <w:lang w:bidi="ar-SA"/>
        </w:rPr>
        <w:t xml:space="preserve">، أو مع جهل المشتري كما عن المختلف </w:t>
      </w:r>
      <w:r>
        <w:rPr>
          <w:rStyle w:val="FootnoteAnchor"/>
          <w:rtl w:val="true"/>
        </w:rPr>
        <w:footnoteReference w:id="147"/>
      </w:r>
      <w:r>
        <w:rPr>
          <w:rFonts w:ascii="Amiri" w:hAnsi="Amiri" w:eastAsia="Amiri" w:cs="Amiri"/>
          <w:color w:val="111111"/>
          <w:sz w:val="28"/>
          <w:sz w:val="28"/>
          <w:szCs w:val="28"/>
          <w:rtl w:val="true"/>
          <w:lang w:bidi="ar-SA"/>
        </w:rPr>
        <w:t xml:space="preserve">و الإيضاح </w:t>
      </w:r>
      <w:r>
        <w:rPr>
          <w:rStyle w:val="FootnoteAnchor"/>
          <w:rtl w:val="true"/>
        </w:rPr>
        <w:footnoteReference w:id="148"/>
      </w:r>
      <w:r>
        <w:rPr>
          <w:rFonts w:ascii="Amiri" w:hAnsi="Amiri" w:eastAsia="Amiri" w:cs="Amiri"/>
          <w:color w:val="111111"/>
          <w:sz w:val="28"/>
          <w:sz w:val="28"/>
          <w:szCs w:val="28"/>
          <w:rtl w:val="true"/>
          <w:lang w:bidi="ar-SA"/>
        </w:rPr>
        <w:t xml:space="preserve">و الشهيد في حواشي القواعد </w:t>
      </w:r>
      <w:r>
        <w:rPr>
          <w:rStyle w:val="FootnoteAnchor"/>
          <w:rtl w:val="true"/>
        </w:rPr>
        <w:footnoteReference w:id="149"/>
      </w:r>
      <w:r>
        <w:rPr>
          <w:rFonts w:ascii="Amiri" w:hAnsi="Amiri" w:eastAsia="Amiri" w:cs="Amiri"/>
          <w:color w:val="111111"/>
          <w:sz w:val="28"/>
          <w:sz w:val="28"/>
          <w:szCs w:val="28"/>
          <w:rtl w:val="true"/>
          <w:lang w:bidi="ar-SA"/>
        </w:rPr>
        <w:t xml:space="preserve">و العلّامة الرازي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القواعد </w:t>
      </w:r>
      <w:r>
        <w:rPr>
          <w:rStyle w:val="FootnoteAnchor"/>
          <w:rtl w:val="true"/>
        </w:rPr>
        <w:footnoteReference w:id="151"/>
      </w:r>
      <w:r>
        <w:rPr>
          <w:rFonts w:ascii="Amiri" w:hAnsi="Amiri" w:eastAsia="Amiri" w:cs="Amiri"/>
          <w:color w:val="111111"/>
          <w:sz w:val="28"/>
          <w:sz w:val="28"/>
          <w:szCs w:val="28"/>
          <w:rtl w:val="true"/>
          <w:lang w:bidi="ar-SA"/>
        </w:rPr>
        <w:t xml:space="preserve">و التذكرة </w:t>
      </w:r>
      <w:r>
        <w:rPr>
          <w:rStyle w:val="FootnoteAnchor"/>
          <w:rtl w:val="true"/>
        </w:rPr>
        <w:footnoteReference w:id="152"/>
      </w:r>
      <w:r>
        <w:rPr>
          <w:rFonts w:ascii="Amiri" w:hAnsi="Amiri" w:eastAsia="Amiri" w:cs="Amiri"/>
          <w:color w:val="111111"/>
          <w:sz w:val="28"/>
          <w:sz w:val="28"/>
          <w:szCs w:val="28"/>
          <w:rtl w:val="true"/>
          <w:lang w:bidi="ar-SA"/>
        </w:rPr>
        <w:t xml:space="preserve">التردّد في العالم، و عن ظاهر جماعة منهم صاحب المدارك في كتاب الزكاة </w:t>
      </w:r>
      <w:r>
        <w:rPr>
          <w:rStyle w:val="FootnoteAnchor"/>
          <w:rtl w:val="true"/>
        </w:rPr>
        <w:footnoteReference w:id="153"/>
      </w:r>
      <w:r>
        <w:rPr>
          <w:rFonts w:ascii="Amiri" w:hAnsi="Amiri" w:eastAsia="Amiri" w:cs="Amiri"/>
          <w:color w:val="111111"/>
          <w:sz w:val="28"/>
          <w:sz w:val="28"/>
          <w:szCs w:val="28"/>
          <w:rtl w:val="true"/>
          <w:lang w:bidi="ar-SA"/>
        </w:rPr>
        <w:t>البطلان، و هو لا يخلو عن قوّة للأصل و اختصاص أخبار الصحة بغير محلّ الفرض، و ظهور آية التجارة في تجارة المالك، إذ المتبادر منها وقوع العقد للمالك من حينه، و لعموم النهي عن بيع ما لا يملك، الظاهر بما مرّ في وقوعه لغير المالك، كما في الفرض، و نحوه النهي عن بيع</w:t>
      </w:r>
    </w:p>
    <w:p>
      <w:pPr>
        <w:pStyle w:val="BookText"/>
        <w:rPr/>
      </w:pPr>
      <w:r>
        <w:rPr>
          <w:rFonts w:ascii="Amiri" w:hAnsi="Amiri" w:eastAsia="Amiri" w:cs="Amiri"/>
          <w:color w:val="111111"/>
          <w:sz w:val="28"/>
          <w:sz w:val="28"/>
          <w:szCs w:val="28"/>
          <w:rtl w:val="true"/>
          <w:lang w:bidi="ar-SA"/>
        </w:rPr>
        <w:t>السرقة و الخيانة، فيكون فاسدا لتعلّق النهي بنفس المعاملة، و لو لوصف خارج، كتعلّقه ببيع الغرر، فمنعه بملاحظة كون الوصف خارجا غفلة واضحة، مضافا في صورة علم المشتري إلى قصده تمليك الثمن للغاصب دون المالك، فكيف يقع في ملك ربّ العين بإجازته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جهل أمكن تصويره بأنّ غرض المشتري تمليك البائع من حيث هو مالك باعتقاده، فالمالك هو المقصود بالملك حقيقة، كما في بيع الوكيل إذا زعمه المشتري مالكا، فإنّ الظاهر عدم الخلاف في صحّته، بل الظاهر أنّ مع العلم لا قصد للمشتري بالتمليك مطلقا، و إنّما قصده مجرّد التسليط على التصرف دون الملك، لأنّه غير معقول مع العلم بعدم وقوعه، فما تصدى به بعض العلماء للتوفيق بين تسليط المشتري الغاصب على الثمن، و بين حصول المعاوضة على الثمن في مقابل العين المتوقّف عليه تأثير الإجازة، من أنّ تسليط المشتري عليه لا ينافي كونه عوضا عن المبيع بمقتضى البيع، فإنّ المراد بالعوضية هو العوضية بمقتضى ظاهر العقد لا يصحّحه الإجازة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يظهر اشتراط كون البيع بقصد النقل عن المالك في بيع ملك الغير مطلقا و لو في غير الغصب، كما أنه إذا باع باعتقاد كون المبيع لنفسه، فظهر أنّه لغيره، فلا يفيد صحّته إجازة المالك، إذا انتقل إلى البائع الفضولي قبل الإجازة، ثمّ أجازه البائع أو مات المعقود له قبلها و أجازه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قصد المشتري للمعقود له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كما لا يشترط في بيع الوكيل علم المشتري بكونه للموكّل و قصده إيّاه، و لعلّه لا خلاف فيه، و يدلّ عليه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 المبيع للغير</w:t>
      </w:r>
      <w:bookmarkStart w:id="51" w:name="pg2497_11831"/>
    </w:p>
    <w:p>
      <w:pPr>
        <w:pStyle w:val="BookText"/>
        <w:rPr/>
      </w:pPr>
      <w:bookmarkEnd w:id="51"/>
      <w:r>
        <w:rPr>
          <w:rFonts w:ascii="Amiri" w:hAnsi="Amiri" w:eastAsia="Amiri" w:cs="Amiri"/>
          <w:color w:val="111111"/>
          <w:sz w:val="28"/>
          <w:sz w:val="28"/>
          <w:szCs w:val="28"/>
          <w:rtl w:val="true"/>
          <w:lang w:bidi="ar-SA"/>
        </w:rPr>
        <w:t>يعتبر قصده نقل الثمن إليه و لو إجمالا لا إلى الفضولي أو الوكيل، و على هذا لو سكت البائع عن تسمية الغير مع جهل المشتري بما قصده، يقع البيع له باطنا مع الإجازة، و لنفسه ظاهرا مع عدمها، إلّا إذا صدقه المشتري فيقع باطلا، بل نقل عنهم في باب الوكالة أن الوكيل لو اشترى بنية الموكّل بدون تسميته، ثم أنكر الموكّل الوكالة، يقع على الوكيل ظاهرا و باطنا، و إن كان فيه إشكال، كما نبّه عليه بعض الأجلّة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861795_3804643083"/>
      <w:bookmarkStart w:id="53" w:name="_Toc20"/>
      <w:bookmarkEnd w:id="52"/>
      <w:r>
        <w:rPr>
          <w:rtl w:val="true"/>
        </w:rPr>
        <w:t>الرابع</w:t>
      </w:r>
      <w:r>
        <w:rPr>
          <w:rtl w:val="true"/>
        </w:rPr>
        <w:t xml:space="preserve">: </w:t>
      </w:r>
      <w:r>
        <w:rPr>
          <w:rtl w:val="true"/>
        </w:rPr>
        <w:t>إذا لم يجز المالك فله أن يرجع إلى المشتري بعين ماله و نمائه،</w:t>
      </w:r>
      <w:bookmarkEnd w:id="53"/>
    </w:p>
    <w:p>
      <w:pPr>
        <w:pStyle w:val="BookText"/>
        <w:rPr/>
      </w:pPr>
      <w:r>
        <w:rPr>
          <w:rFonts w:ascii="Amiri" w:hAnsi="Amiri" w:eastAsia="Amiri" w:cs="Amiri"/>
          <w:color w:val="111111"/>
          <w:sz w:val="28"/>
          <w:sz w:val="28"/>
          <w:szCs w:val="28"/>
          <w:rtl w:val="true"/>
          <w:lang w:bidi="ar-SA"/>
        </w:rPr>
        <w:t xml:space="preserve">متصلا أو منفصلا، مع بقائهما، أو بمثلهما أو قيمتهما مع التلف بنقل أو غيره، و بعوض منافعها المستوفاة و غيرها، و بأرش النقص و العيب، عالما كان المشتري أو جاهلا، إجماعا ظاهرا في جميع ذلك، تحقيقا و نقلا له و لمستفيضة الأخبار في خصوص أكثر تلك الأحكام، مضافا في غير عوض المنافع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مع بقاء العين، و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كلام في ذلك كله، إنما هو في رجوع المشتري بما أغرم على البائع، و تحقيقه أنّ المشتري، إن كان عالما بكونه مغصوبا في يده، لم يرجع بما اغترم بغير الثمن إلى البائع، قولا واحدا؛ للأصل و وقوع التلف في يده العادية، مع أنّ من الفرض ما لم يسبق بتصرّف البائع فيه و إثبات يده عليه، و أمّا بالثمن؛ فإن كان موجودا بعينه رجع به، وفاقا لجماعة منهم الفاضل في المختلف </w:t>
      </w:r>
      <w:r>
        <w:rPr>
          <w:rStyle w:val="FootnoteAnchor"/>
          <w:rtl w:val="true"/>
        </w:rPr>
        <w:footnoteReference w:id="157"/>
      </w:r>
      <w:r>
        <w:rPr>
          <w:rFonts w:ascii="Amiri" w:hAnsi="Amiri" w:eastAsia="Amiri" w:cs="Amiri"/>
          <w:color w:val="111111"/>
          <w:sz w:val="28"/>
          <w:sz w:val="28"/>
          <w:szCs w:val="28"/>
          <w:rtl w:val="true"/>
          <w:lang w:bidi="ar-SA"/>
        </w:rPr>
        <w:t xml:space="preserve">و التذكرة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الشهيدان </w:t>
      </w:r>
      <w:r>
        <w:rPr>
          <w:rStyle w:val="FootnoteAnchor"/>
          <w:rtl w:val="true"/>
        </w:rPr>
        <w:footnoteReference w:id="159"/>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160"/>
      </w:r>
      <w:r>
        <w:rPr>
          <w:rFonts w:ascii="Amiri" w:hAnsi="Amiri" w:eastAsia="Amiri" w:cs="Amiri"/>
          <w:color w:val="111111"/>
          <w:sz w:val="28"/>
          <w:sz w:val="28"/>
          <w:szCs w:val="28"/>
          <w:rtl w:val="true"/>
          <w:lang w:bidi="ar-SA"/>
        </w:rPr>
        <w:t xml:space="preserve">لعدم موجب للانتقال بعد فرض بطلان البيع و استصحاب الملك، فيتسلّط عليه؛ للعموم المشار إليه، مع أنّه لم يدفع إليه مجانا، بل عوضا عن شي‌ء لم يسلم له؛ و إن لم يكن موجودا؛ فإن دفعه المشتري ليسلم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توقعا لإجازته، فله الرجوع أيضا بعوضه، و وجهه ظاهر؛ و إلّا كما في بيع الغاصب لنفسه، فالمشهور عدم الرجوع، بل في المختلف </w:t>
      </w:r>
      <w:r>
        <w:rPr>
          <w:rStyle w:val="FootnoteAnchor"/>
          <w:rtl w:val="true"/>
        </w:rPr>
        <w:footnoteReference w:id="161"/>
      </w:r>
      <w:r>
        <w:rPr>
          <w:rFonts w:ascii="Amiri" w:hAnsi="Amiri" w:eastAsia="Amiri" w:cs="Amiri"/>
          <w:color w:val="111111"/>
          <w:sz w:val="28"/>
          <w:sz w:val="28"/>
          <w:szCs w:val="28"/>
          <w:rtl w:val="true"/>
          <w:lang w:bidi="ar-SA"/>
        </w:rPr>
        <w:t xml:space="preserve">و التذكرة </w:t>
      </w:r>
      <w:r>
        <w:rPr>
          <w:rStyle w:val="FootnoteAnchor"/>
          <w:rtl w:val="true"/>
        </w:rPr>
        <w:footnoteReference w:id="162"/>
      </w:r>
      <w:r>
        <w:rPr>
          <w:rFonts w:ascii="Amiri" w:hAnsi="Amiri" w:eastAsia="Amiri" w:cs="Amiri"/>
          <w:color w:val="111111"/>
          <w:sz w:val="28"/>
          <w:sz w:val="28"/>
          <w:szCs w:val="28"/>
          <w:rtl w:val="true"/>
          <w:lang w:bidi="ar-SA"/>
        </w:rPr>
        <w:t xml:space="preserve">الإجماع عليه ظاهرا، و ربما يتأمّل في كونه إجماعيا، و ينسب الرجوع إلى المحقق في بعض تحقيقاته، و قوّاه في الروضة </w:t>
      </w:r>
      <w:r>
        <w:rPr>
          <w:rStyle w:val="FootnoteAnchor"/>
          <w:rtl w:val="true"/>
        </w:rPr>
        <w:footnoteReference w:id="163"/>
      </w:r>
      <w:r>
        <w:rPr>
          <w:rFonts w:ascii="Amiri" w:hAnsi="Amiri" w:eastAsia="Amiri" w:cs="Amiri"/>
          <w:color w:val="111111"/>
          <w:sz w:val="28"/>
          <w:sz w:val="28"/>
          <w:szCs w:val="28"/>
          <w:rtl w:val="true"/>
          <w:lang w:bidi="ar-SA"/>
        </w:rPr>
        <w:t xml:space="preserve">، و في المسالك </w:t>
      </w:r>
      <w:r>
        <w:rPr>
          <w:rStyle w:val="FootnoteAnchor"/>
          <w:rtl w:val="true"/>
        </w:rPr>
        <w:footnoteReference w:id="164"/>
      </w:r>
      <w:r>
        <w:rPr>
          <w:rFonts w:ascii="Amiri" w:hAnsi="Amiri" w:eastAsia="Amiri" w:cs="Amiri"/>
          <w:color w:val="111111"/>
          <w:sz w:val="28"/>
          <w:sz w:val="28"/>
          <w:szCs w:val="28"/>
          <w:rtl w:val="true"/>
          <w:lang w:bidi="ar-SA"/>
        </w:rPr>
        <w:t>، لو لا الإجماع على خلافه، و علّل بتحريم تصرّف البائع فيه لأنّه أكل مال بالباطل، فيكون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165"/>
      </w:r>
      <w:r>
        <w:rPr>
          <w:rFonts w:ascii="Amiri" w:hAnsi="Amiri" w:eastAsia="Amiri" w:cs="Amiri"/>
          <w:color w:val="111111"/>
          <w:sz w:val="28"/>
          <w:sz w:val="28"/>
          <w:szCs w:val="28"/>
          <w:rtl w:val="true"/>
          <w:lang w:bidi="ar-SA"/>
        </w:rPr>
        <w:t xml:space="preserve">جمع بين تحريم التصرف في الثمن و عدم جواز الرجوع على تقدير وقوع الإجماع،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الجائز أن يكون عدم جواز رجوع المشتري العالم عقوبة له، حيث دفع إليه ماله معاوضا له على محرّم، فلم يجز له مطالبة العوض و إن كان له في ذمّة البائع، و وجبت عليه دفعه إليه، نظير ما لو حلف المنكر على عدم المال في 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 البعد غايته، بل التحقيق منع استلزام حرمة التصرف في محل الفرض الضمان؛ فإنّ حرمة التصرف في مال الغير قد يكون منشأها عدم إذن المالك، و قد</w:t>
      </w:r>
    </w:p>
    <w:p>
      <w:pPr>
        <w:pStyle w:val="BookText"/>
        <w:rPr/>
      </w:pPr>
      <w:r>
        <w:rPr>
          <w:rFonts w:ascii="Amiri" w:hAnsi="Amiri" w:eastAsia="Amiri" w:cs="Amiri"/>
          <w:color w:val="111111"/>
          <w:sz w:val="28"/>
          <w:sz w:val="28"/>
          <w:szCs w:val="28"/>
          <w:rtl w:val="true"/>
          <w:lang w:bidi="ar-SA"/>
        </w:rPr>
        <w:t>يكون عدم إذن الشارع، و إن كان مأذونا من قبل المالك، كمن أذن في صرف ماله في المعصية و أكل طعامه في نهار رمضان، و الضمان إنّما يحصل في الأوّل، و أمّا على الثاني، فغير مسلم، بل مقتضى الأصل مع إذن المالك البراءة عن العوض، و صرفه على الوجه المحرم لا يوجب الضمان، و المفروض من الثاني، لحصول الأذن من المشتري في التصرف في ماله و إتلافه على هذا الوجه، غاية الأمر كونه مشروطا بالمعاوضة المحرّمة، و قد أتي بها و إن كانت معصية، فحصل به شرط الإذن، فلا ضمان، و إن لم يحصل به الملك الشرعي و الآية لا تدلّ على الضمان، بل على مجرّد حرمة الأكل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المشتري أذن في التصرف بشرط عدم استرداد العوض منه و لو من قبل غير البائع، و حيث انتفى الشرط ينتفي المشروط و يتحقّق الضمان، مدفوع بمنع هذا الشرط، فإنّ غرض المشتري العالم بالغصب و بعدم حصول الملك الشرعي له من دفع الثمن إلى البائع هو مجرد تسليط البائع إياه على المبيع و رفع يده عنه من غير رجوع منه إليه، لا من المالك، إذ التقدير علمه بعدم رضى المالك و انتظاره الفرصة، و بالتمكن عن أخذه، فكيف يكون شرطه الضمني عدم رجوعه عند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إذنه مشروطا بالضمان على تقدير رجوع المالك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صحّة مثل هذا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معهود بينهما، مع فرض العلم، مع أنّ 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الضمان مع التلف في الصورة المزبورة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المشتري جاهلا فله الرجوع إلى البائع بالثمن، عينا مع بقائه، و عوضا مع تلفه، قولا واحدا، و له الرجوع عليه بكل ما اغترم، و لم يحصل في مقابله نفع من نقص القيمة، و عوض النماء التالف، و الأجرة، و قيمة الولد المستولد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على والده فكاكه ببذل قيمته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صرفه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جاز له كلّ ذلك بظهور الإجماع و موثقة جميل </w:t>
      </w:r>
      <w:r>
        <w:rPr>
          <w:rStyle w:val="FootnoteAnchor"/>
          <w:rtl w:val="true"/>
        </w:rPr>
        <w:footnoteReference w:id="166"/>
      </w:r>
      <w:r>
        <w:rPr>
          <w:rFonts w:ascii="Amiri" w:hAnsi="Amiri" w:eastAsia="Amiri" w:cs="Amiri"/>
          <w:color w:val="111111"/>
          <w:sz w:val="28"/>
          <w:sz w:val="28"/>
          <w:szCs w:val="28"/>
          <w:rtl w:val="true"/>
          <w:lang w:bidi="ar-SA"/>
        </w:rPr>
        <w:t>في الرجل يشتري الجارية من السوق، فيولدها، ثم يجي‌ء مستحقّ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الجارية المستحقّ، و يدفع إليه المبتاع قيمة الولد، و يرجع على من بايعه بثمن الجارية و قيمة الولد التي أخذت منه، و قريب منهما خبر زرارة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يتمّ المدّعى بالإجماع المركب، بل يدلّ عليه عموم التعليل للرجوع بالتدليس في رواية رفاعة </w:t>
      </w:r>
      <w:r>
        <w:rPr>
          <w:rStyle w:val="FootnoteAnchor"/>
          <w:rtl w:val="true"/>
        </w:rPr>
        <w:footnoteReference w:id="168"/>
      </w:r>
      <w:r>
        <w:rPr>
          <w:rFonts w:ascii="Amiri" w:hAnsi="Amiri" w:eastAsia="Amiri" w:cs="Amiri"/>
          <w:color w:val="111111"/>
          <w:sz w:val="28"/>
          <w:sz w:val="28"/>
          <w:szCs w:val="28"/>
          <w:rtl w:val="true"/>
          <w:lang w:bidi="ar-SA"/>
        </w:rPr>
        <w:t>، المطابق لقاعدة رجوع المغرور إلى من غرّه، المعروفة بينهم في أبواب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اغترمه بما حصل له في مقابله نفع، كعوض الثمن و أجرة السكنى، فالرجوع به عليه لا يخلو عن قوة أيضا، للتغرير في الانتفاع و الإتلاف مجانا، كما في إطعام الغاصب الضيف المالك بما له مع جهله، وفاقا للمحقق في تجارة الشرائع </w:t>
      </w:r>
      <w:r>
        <w:rPr>
          <w:rStyle w:val="FootnoteAnchor"/>
          <w:rtl w:val="true"/>
        </w:rPr>
        <w:footnoteReference w:id="169"/>
      </w:r>
      <w:r>
        <w:rPr>
          <w:rFonts w:ascii="Amiri" w:hAnsi="Amiri" w:eastAsia="Amiri" w:cs="Amiri"/>
          <w:color w:val="111111"/>
          <w:sz w:val="28"/>
          <w:sz w:val="28"/>
          <w:szCs w:val="28"/>
          <w:rtl w:val="true"/>
          <w:lang w:bidi="ar-SA"/>
        </w:rPr>
        <w:t xml:space="preserve">و التنقيح </w:t>
      </w:r>
      <w:r>
        <w:rPr>
          <w:rStyle w:val="FootnoteAnchor"/>
          <w:rtl w:val="true"/>
        </w:rPr>
        <w:footnoteReference w:id="170"/>
      </w:r>
      <w:r>
        <w:rPr>
          <w:rFonts w:ascii="Amiri" w:hAnsi="Amiri" w:eastAsia="Amiri" w:cs="Amiri"/>
          <w:color w:val="111111"/>
          <w:sz w:val="28"/>
          <w:sz w:val="28"/>
          <w:szCs w:val="28"/>
          <w:rtl w:val="true"/>
          <w:lang w:bidi="ar-SA"/>
        </w:rPr>
        <w:t xml:space="preserve">خلافا للشيخ في جملة من كتبه </w:t>
      </w:r>
      <w:r>
        <w:rPr>
          <w:rStyle w:val="FootnoteAnchor"/>
          <w:rtl w:val="true"/>
        </w:rPr>
        <w:footnoteReference w:id="171"/>
      </w:r>
      <w:r>
        <w:rPr>
          <w:rFonts w:ascii="Amiri" w:hAnsi="Amiri" w:eastAsia="Amiri" w:cs="Amiri"/>
          <w:color w:val="111111"/>
          <w:sz w:val="28"/>
          <w:sz w:val="28"/>
          <w:szCs w:val="28"/>
          <w:rtl w:val="true"/>
          <w:lang w:bidi="ar-SA"/>
        </w:rPr>
        <w:t xml:space="preserve">، و الحلّي </w:t>
      </w:r>
      <w:r>
        <w:rPr>
          <w:rStyle w:val="FootnoteAnchor"/>
          <w:rtl w:val="true"/>
        </w:rPr>
        <w:footnoteReference w:id="172"/>
      </w:r>
      <w:r>
        <w:rPr>
          <w:rFonts w:ascii="Amiri" w:hAnsi="Amiri" w:eastAsia="Amiri" w:cs="Amiri"/>
          <w:color w:val="111111"/>
          <w:sz w:val="28"/>
          <w:sz w:val="28"/>
          <w:szCs w:val="28"/>
          <w:rtl w:val="true"/>
          <w:lang w:bidi="ar-SA"/>
        </w:rPr>
        <w:t>للأصل المقدوح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تخصيص الرجوع بما إذا كان البائع عالما، كما استظهره بعض المحققين، لظهور اختصاص صدق التغرير و التدليس به، و عدم ثبوت الإجماع المركب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حكم جهل المشتري علمه إذا ادّعى البائع إذن المالك و كان متصرّفا فيه،</w:t>
      </w:r>
    </w:p>
    <w:p>
      <w:pPr>
        <w:pStyle w:val="BookText"/>
        <w:rPr/>
      </w:pPr>
      <w:r>
        <w:rPr>
          <w:rFonts w:ascii="Amiri" w:hAnsi="Amiri" w:eastAsia="Amiri" w:cs="Amiri"/>
          <w:color w:val="111111"/>
          <w:sz w:val="28"/>
          <w:sz w:val="28"/>
          <w:szCs w:val="28"/>
          <w:rtl w:val="true"/>
          <w:lang w:bidi="ar-SA"/>
        </w:rPr>
        <w:t>لكونه مسموعا منه شرعا، فيحصل به التغرير، بل يشمله عموم الأخبار المتقدمة، فيرجع عليه بجميع ما اغترمه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رجوعه بغير عوض الثمن في هذه الصورة إذا لم يكن في تصرّف البائع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حصل العلم للمشتري من قوله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المالك له أن يرجع إلى البائع في جميع ما ذكر من الغرامات إذا كان غاصبا و لو في مجرّد دفعه إلى المشتري، و وجهه ظاهر، و لو لم يكن الدفع منه بل كان بتغريره، ففيه وجهان، و الرجوع إليه مع حصول العلم للمشتري من تغريره بكونه المالك أو مأذونا فيه غير بعيد، و حيث رجع المالك إلى البائع فيما له أخذه منه، فالمشتري إن كان عالما بالحال رجع البائع إليه بالمبيع عينا أو عوضا، و بعوض النماء و النقص و غيرهما مما كان للمالك الرجوع إليه لكون التلف في يده العادية، فيغرم البائع المغترم مقام المالك فيما اغترمه؛ و إن كان جاهلا بالحال لم يرجع البائع إليه، لما تقدم، إلّا في عوض المنافع المستوفاة،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كيفية الغرامة و تقدير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التالف، إن كان مثليا، فلا خلاف في ضمان المثل إلّا باتفاقهما على القيمة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زمان الغصب و مكانه في دفع المثل إذا اختلف بهما القيمة، له وجه قوي إذا كان الاختلاف معتدّا به، كما إذا غصب الماء في فلاة قفر، و الثلج في الصيف، فلا يدفع مثل الماء في شاطئ البحر، و مثل الثلج في الشتاء، إذ المقصود من المثل عوض التالف، و لا يعدّ ذلك عوضا عرفا، و عموم حكم الإجماع الشامل لمثل المقام غير معلوم و لا مظنون، و إن أعوز المثل فلم يوجد في البلد و ما حوله يبدّل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كونها قيمة يوم البذل، أو يوم الإعواز، أو أعلى القيم من حين الغصب إلى دفع العوض، أو من حينه إلى وقت الإعواز، أو من حين الإعواز إلى</w:t>
      </w:r>
    </w:p>
    <w:p>
      <w:pPr>
        <w:pStyle w:val="BookText"/>
        <w:rPr/>
      </w:pPr>
      <w:r>
        <w:rPr>
          <w:rFonts w:ascii="Amiri" w:hAnsi="Amiri" w:eastAsia="Amiri" w:cs="Amiri"/>
          <w:color w:val="111111"/>
          <w:sz w:val="28"/>
          <w:sz w:val="28"/>
          <w:szCs w:val="28"/>
          <w:rtl w:val="true"/>
          <w:lang w:bidi="ar-SA"/>
        </w:rPr>
        <w:t>الدفع،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و أقواها الأوّل، إذ بالإعواض إلى القيمة تبرأ الذمّة عن المثل، و يعدل إليها فقيمة حال الإعواض و التبديل تكون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التبديل يحصل وقت الإعواز، فهو المعتبر، مردود، بأنّ الإعواز لا يوجب البراءة عن المثل، و إنّما يبيح مطالبة عوض المثل، فمتى طلبه يعاوض بالقيمة، و هو وقت الدفع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قيميا ففي القيمة المعتبرة أقوال أيضا، المحكيّ في الشرائع </w:t>
      </w:r>
      <w:r>
        <w:rPr>
          <w:rStyle w:val="FootnoteAnchor"/>
          <w:rtl w:val="true"/>
        </w:rPr>
        <w:footnoteReference w:id="173"/>
      </w:r>
      <w:r>
        <w:rPr>
          <w:rFonts w:ascii="Amiri" w:hAnsi="Amiri" w:eastAsia="Amiri" w:cs="Amiri"/>
          <w:color w:val="111111"/>
          <w:sz w:val="28"/>
          <w:sz w:val="28"/>
          <w:szCs w:val="28"/>
          <w:rtl w:val="true"/>
          <w:lang w:bidi="ar-SA"/>
        </w:rPr>
        <w:t xml:space="preserve">عن الأكثر اعتبار قيمة يوم الغصب، و هو لموضع من المبسوط </w:t>
      </w:r>
      <w:r>
        <w:rPr>
          <w:rStyle w:val="FootnoteAnchor"/>
          <w:rtl w:val="true"/>
        </w:rPr>
        <w:footnoteReference w:id="174"/>
      </w:r>
      <w:r>
        <w:rPr>
          <w:rFonts w:ascii="IRNazanin" w:hAnsi="IRNazanin" w:eastAsia="IRNazanin"/>
          <w:color w:val="111111"/>
          <w:sz w:val="28"/>
          <w:sz w:val="28"/>
          <w:szCs w:val="28"/>
          <w:rtl w:val="true"/>
          <w:lang w:bidi="fa-IR"/>
        </w:rPr>
        <w:t xml:space="preserve">و النافع </w:t>
      </w:r>
      <w:r>
        <w:rPr>
          <w:rStyle w:val="FootnoteAnchor"/>
          <w:rtl w:val="true"/>
        </w:rPr>
        <w:footnoteReference w:id="175"/>
      </w:r>
      <w:r>
        <w:rPr>
          <w:rFonts w:ascii="Amiri" w:hAnsi="Amiri" w:eastAsia="Amiri" w:cs="Amiri"/>
          <w:color w:val="111111"/>
          <w:sz w:val="28"/>
          <w:sz w:val="28"/>
          <w:szCs w:val="28"/>
          <w:rtl w:val="true"/>
          <w:lang w:bidi="ar-SA"/>
        </w:rPr>
        <w:t xml:space="preserve">، و اختاره والدي العلّامة في المستند </w:t>
      </w:r>
      <w:r>
        <w:rPr>
          <w:rStyle w:val="FootnoteAnchor"/>
          <w:rtl w:val="true"/>
        </w:rPr>
        <w:footnoteReference w:id="176"/>
      </w:r>
      <w:r>
        <w:rPr>
          <w:rFonts w:ascii="Amiri" w:hAnsi="Amiri" w:eastAsia="Amiri" w:cs="Amiri"/>
          <w:color w:val="111111"/>
          <w:sz w:val="28"/>
          <w:sz w:val="28"/>
          <w:szCs w:val="28"/>
          <w:rtl w:val="true"/>
          <w:lang w:bidi="ar-SA"/>
        </w:rPr>
        <w:t xml:space="preserve">، و عن القاضي </w:t>
      </w:r>
      <w:r>
        <w:rPr>
          <w:rStyle w:val="FootnoteAnchor"/>
          <w:rtl w:val="true"/>
        </w:rPr>
        <w:footnoteReference w:id="177"/>
      </w:r>
      <w:r>
        <w:rPr>
          <w:rFonts w:ascii="IRNazanin" w:hAnsi="IRNazanin" w:eastAsia="IRNazanin"/>
          <w:color w:val="111111"/>
          <w:sz w:val="28"/>
          <w:sz w:val="28"/>
          <w:szCs w:val="28"/>
          <w:rtl w:val="true"/>
          <w:lang w:bidi="fa-IR"/>
        </w:rPr>
        <w:t xml:space="preserve">و المختلف </w:t>
      </w:r>
      <w:r>
        <w:rPr>
          <w:rStyle w:val="FootnoteAnchor"/>
          <w:rtl w:val="true"/>
        </w:rPr>
        <w:footnoteReference w:id="178"/>
      </w:r>
      <w:r>
        <w:rPr>
          <w:rFonts w:ascii="Amiri" w:hAnsi="Amiri" w:eastAsia="Amiri" w:cs="Amiri"/>
          <w:color w:val="111111"/>
          <w:sz w:val="28"/>
          <w:sz w:val="28"/>
          <w:szCs w:val="28"/>
          <w:rtl w:val="true"/>
          <w:lang w:bidi="ar-SA"/>
        </w:rPr>
        <w:t xml:space="preserve">اعتبار قيمة يوم التلف، و في الدروس </w:t>
      </w:r>
      <w:r>
        <w:rPr>
          <w:rStyle w:val="FootnoteAnchor"/>
          <w:rtl w:val="true"/>
        </w:rPr>
        <w:footnoteReference w:id="179"/>
      </w:r>
      <w:r>
        <w:rPr>
          <w:rFonts w:ascii="Amiri" w:hAnsi="Amiri" w:eastAsia="Amiri" w:cs="Amiri"/>
          <w:color w:val="111111"/>
          <w:sz w:val="28"/>
          <w:sz w:val="28"/>
          <w:szCs w:val="28"/>
          <w:rtl w:val="true"/>
          <w:lang w:bidi="ar-SA"/>
        </w:rPr>
        <w:t xml:space="preserve">عزّاه إلى الأكثر، و قوّاه المحقق القمي </w:t>
      </w:r>
      <w:r>
        <w:rPr>
          <w:rStyle w:val="FootnoteAnchor"/>
          <w:rtl w:val="true"/>
        </w:rPr>
        <w:footnoteReference w:id="180"/>
      </w:r>
      <w:r>
        <w:rPr>
          <w:rFonts w:ascii="Amiri" w:hAnsi="Amiri" w:eastAsia="Amiri" w:cs="Amiri"/>
          <w:color w:val="111111"/>
          <w:sz w:val="28"/>
          <w:sz w:val="28"/>
          <w:szCs w:val="28"/>
          <w:rtl w:val="true"/>
          <w:lang w:bidi="ar-SA"/>
        </w:rPr>
        <w:t xml:space="preserve">و اختار الشهيدان في الدروس </w:t>
      </w:r>
      <w:r>
        <w:rPr>
          <w:rStyle w:val="FootnoteAnchor"/>
          <w:rtl w:val="true"/>
        </w:rPr>
        <w:footnoteReference w:id="181"/>
      </w:r>
      <w:r>
        <w:rPr>
          <w:rFonts w:ascii="Amiri" w:hAnsi="Amiri" w:eastAsia="Amiri" w:cs="Amiri"/>
          <w:color w:val="111111"/>
          <w:sz w:val="28"/>
          <w:sz w:val="28"/>
          <w:szCs w:val="28"/>
          <w:rtl w:val="true"/>
          <w:lang w:bidi="ar-SA"/>
        </w:rPr>
        <w:t xml:space="preserve">و اللمعة و الروضة </w:t>
      </w:r>
      <w:r>
        <w:rPr>
          <w:rStyle w:val="FootnoteAnchor"/>
          <w:rtl w:val="true"/>
        </w:rPr>
        <w:footnoteReference w:id="182"/>
      </w:r>
      <w:r>
        <w:rPr>
          <w:rFonts w:ascii="Amiri" w:hAnsi="Amiri" w:eastAsia="Amiri" w:cs="Amiri"/>
          <w:color w:val="111111"/>
          <w:sz w:val="28"/>
          <w:sz w:val="28"/>
          <w:szCs w:val="28"/>
          <w:rtl w:val="true"/>
          <w:lang w:bidi="ar-SA"/>
        </w:rPr>
        <w:t>، و السبزواري أعلى القيم من التصرف إلى التلف و نسبه في</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183"/>
      </w:r>
      <w:r>
        <w:rPr>
          <w:rFonts w:ascii="Amiri" w:hAnsi="Amiri" w:eastAsia="Amiri" w:cs="Amiri"/>
          <w:color w:val="111111"/>
          <w:sz w:val="28"/>
          <w:sz w:val="28"/>
          <w:szCs w:val="28"/>
          <w:rtl w:val="true"/>
          <w:lang w:bidi="ar-SA"/>
        </w:rPr>
        <w:t xml:space="preserve">إلى الأكثر، و عن بعض المتأخرين أعلاها من التصرف إلى الدفع، و الأظهر الأوّل، لصحيح أبي ولّاد </w:t>
      </w:r>
      <w:r>
        <w:rPr>
          <w:rStyle w:val="FootnoteAnchor"/>
          <w:rtl w:val="true"/>
        </w:rPr>
        <w:footnoteReference w:id="184"/>
      </w:r>
      <w:r>
        <w:rPr>
          <w:rFonts w:ascii="Amiri" w:hAnsi="Amiri" w:eastAsia="Amiri" w:cs="Amiri"/>
          <w:color w:val="111111"/>
          <w:sz w:val="28"/>
          <w:sz w:val="28"/>
          <w:szCs w:val="28"/>
          <w:rtl w:val="true"/>
          <w:lang w:bidi="ar-SA"/>
        </w:rPr>
        <w:t>في حكاية كراية البغل، و فيها أنّ أبي ولّاد بعد تعيين كري البغل و المسافة خالف و جاوز الحد، سأل مولانا الصادق عليه السّلام عن حكمه،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للكري،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عطب البغل أو لغى أ ليس كان يلزمني؟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 البغل كسرا أو دبرا أو عقرا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أن يحلف على القيمة فيلزمك، و إن ردّ اليمين عليك فحلفت على القيمة لزمك ذلك، أو يأتي صاحب البغل بشهود يشهدون أنّ قيمة البغل حين أكرى كذا و كذا،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الدلالة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بأنّ ذلك إنّما يتمّ لو كان المراد من القيمة قيمة يوم المخالفة، و أمّا إن جعلنا الظرف لغوا متعلّقا بقوله عليه السّلام يلزمك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يعني أنّ اللزوم في يوم المخالفة، فلا يتمّ التقريب، لأنّ حدّ القيمة على هذا غير معين يجب الرجوع فيه إلى ما يقتضيه الدليل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بأنّ الضمان بالقيمة لم يتحقق يوم المخالفة، بل هو بعد التلف، و اعتبار التعلق به فيه ينافي إطلاق اللفظ، فلا يلائم الإجمال، مع أنّه على احتمال المستشكل يلزم حمل الضمان في الجواب على الضمان التعليقي المسبب عن المخالفة، أي عليه يوم المخالفة قيمته متى حصل بعده التلف، و هو مع بعده في نفسه لا يطابق</w:t>
      </w:r>
    </w:p>
    <w:p>
      <w:pPr>
        <w:pStyle w:val="BookText"/>
        <w:rPr/>
      </w:pPr>
      <w:r>
        <w:rPr>
          <w:rFonts w:ascii="Amiri" w:hAnsi="Amiri" w:eastAsia="Amiri" w:cs="Amiri"/>
          <w:color w:val="111111"/>
          <w:sz w:val="28"/>
          <w:sz w:val="28"/>
          <w:szCs w:val="28"/>
          <w:rtl w:val="true"/>
          <w:lang w:bidi="ar-SA"/>
        </w:rPr>
        <w:t>السؤال عن الضمان التنجيزي بعد التلف، 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بغل، مبيّن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المصدّق للمسئول عنه الآن من الضمان بعد التلف، فلا يلائم ما ذكره على أنّ تنكير بغل على جعل يوم ظرفا لغوا ركيك في الغاية، بل بعيد عن المقصود، إذ المعتبر قيمة البغل المكتري بخصوصه، بل الظاهر أنّه مضاف إلى يوم، من باب التخصيص، إشارة إلى اختلافه بحسب القيمة في الأزمان، و إنّ المعتبر قيمة بغل يوم المخالفة دون سائر الأحوال، و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المطلوب أيضا قوله عليه السّلام أخيرا، أو يأتي صاحب البغل بشهود يشهدون أنّ قيمة البغل حين اكترى كذا و كذا، فيلزمك؛ فإنّه يفيد لزوم حين الكري دون وقت التلف أو الدفع أو أعلى القيم، و الاعتماد عليه مع كونه قبل المخالفة الغير المعتبر إجماعا، إنّما هو باعتبار عدم فاصلة معتدّ بها بين وقتي الإكراء و المخالفة، كما يومئ إليه صدر الحديث، و يقضي العادة و المشاهدة بعدم تفاوت قيمة سوقية لمثل البغل في هذه المدة القليلة غالبا، خصوصا مع التأيد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حجج سائر الأقوال وجوه ضعيفة، عدا ما يقتضيه الاعتبار للثاني، إلّا أنّه كغيره محجوج بالخبر الصحيح المذكور هذا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من اعتبار القيمة السوقية على الخلاف المزبور، إنما هو في تلف العين، و أمّا مع بقاءها، فالواجب ردّ العين من غير ضمان للتفاوت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قيمة يوم الغصب على ما اخترناه مع التلف، إنّما هو إذا لم يتفاوت القيمة باعتبار زيادة عينية كسمن، أو وصفية كتعلم صنعة، و لو هي بفعل الغاصب، و أمّا معها، فيضمن قيمة الأصل يوم الغصب، و إن كانت أقلّ من قيمة يوم التلف </w:t>
      </w:r>
      <w:r>
        <w:rPr>
          <w:rStyle w:val="FootnoteAnchor"/>
          <w:rtl w:val="true"/>
        </w:rPr>
        <w:footnoteReference w:id="185"/>
      </w:r>
      <w:r>
        <w:rPr>
          <w:rFonts w:ascii="IRNazanin" w:hAnsi="IRNazanin" w:eastAsia="IRNazanin"/>
          <w:color w:val="111111"/>
          <w:sz w:val="28"/>
          <w:sz w:val="28"/>
          <w:szCs w:val="28"/>
          <w:rtl w:val="true"/>
          <w:lang w:bidi="fa-IR"/>
        </w:rPr>
        <w:t>أو الدفع،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قيمة الزيادة معا، فلو كان فرسا مهزولا، قيمته يوم التلف ثلاثون، فسمن و تلف، و كان قيمته السوقية عند التلف عشرين، عشرة منها للسمن، لزمه أربعون</w:t>
      </w:r>
      <w:r>
        <w:rPr>
          <w:rFonts w:eastAsia="Amiri" w:cs="Amiri" w:ascii="Amiri" w:hAnsi="Amiri"/>
          <w:color w:val="111111"/>
          <w:sz w:val="28"/>
          <w:szCs w:val="28"/>
          <w:rtl w:val="true"/>
          <w:lang w:bidi="ar-SA"/>
        </w:rPr>
        <w:t>.</w:t>
      </w:r>
      <w:bookmarkStart w:id="54" w:name="pg2497_11850"/>
    </w:p>
    <w:p>
      <w:pPr>
        <w:pStyle w:val="Heading2"/>
        <w:numPr>
          <w:ilvl w:val="1"/>
          <w:numId w:val="1"/>
        </w:numPr>
        <w:rPr/>
      </w:pPr>
      <w:bookmarkStart w:id="55" w:name="__RefHeading___Toc3861797_3804643083"/>
      <w:bookmarkStart w:id="56" w:name="_Toc21"/>
      <w:bookmarkEnd w:id="54"/>
      <w:bookmarkEnd w:id="55"/>
      <w:r>
        <w:rPr>
          <w:rtl w:val="true"/>
        </w:rPr>
        <w:t>[</w:t>
      </w:r>
      <w:r>
        <w:rPr>
          <w:rtl w:val="true"/>
        </w:rPr>
        <w:t>المشرق الثالث</w:t>
      </w:r>
      <w:r>
        <w:rPr>
          <w:rtl w:val="true"/>
        </w:rPr>
        <w:t>] [</w:t>
      </w:r>
      <w:r>
        <w:rPr>
          <w:rtl w:val="true"/>
        </w:rPr>
        <w:t>في حكم العقود المتبعّضة الصادرة بصيغة واحدة</w:t>
      </w:r>
      <w:r>
        <w:rPr>
          <w:rtl w:val="true"/>
        </w:rPr>
        <w:t>]</w:t>
      </w:r>
      <w:bookmarkEnd w:id="56"/>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العقود المتبعّضة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انتقل ماله و لغيره صفقة، ببيع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البيع أو نحوه في غير مملوكه على الإجازة، على القول بصحّة الفضولي، و هو بإطلاقه على اشتراط قصد الفضولي كما مرّ غير سديد، بل يقتصر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الإشكال و الخلاف في صحّته في المملوك، على تقدير الإجازة، و صحّة الفضولي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يصحّ في المملوك على تقدير بطلانه في غير المملوك، لعدم الإجازة، أو ظهور فساده لجهة أخرى؟ الظاهر عدم الخلاف فيه في خصوص البيع، و إن تأمّل فيه أيضا بعض من تأخر، و عن الغنية </w:t>
      </w:r>
      <w:r>
        <w:rPr>
          <w:rStyle w:val="FootnoteAnchor"/>
          <w:rtl w:val="true"/>
        </w:rPr>
        <w:footnoteReference w:id="186"/>
      </w:r>
      <w:r>
        <w:rPr>
          <w:rFonts w:ascii="Amiri" w:hAnsi="Amiri" w:eastAsia="Amiri" w:cs="Amiri"/>
          <w:color w:val="111111"/>
          <w:sz w:val="28"/>
          <w:sz w:val="28"/>
          <w:szCs w:val="28"/>
          <w:rtl w:val="true"/>
          <w:lang w:bidi="ar-SA"/>
        </w:rPr>
        <w:t xml:space="preserve">و التذكرة </w:t>
      </w:r>
      <w:r>
        <w:rPr>
          <w:rStyle w:val="FootnoteAnchor"/>
          <w:rtl w:val="true"/>
        </w:rPr>
        <w:footnoteReference w:id="187"/>
      </w:r>
      <w:r>
        <w:rPr>
          <w:rFonts w:ascii="Amiri" w:hAnsi="Amiri" w:eastAsia="Amiri" w:cs="Amiri"/>
          <w:color w:val="111111"/>
          <w:sz w:val="28"/>
          <w:sz w:val="28"/>
          <w:szCs w:val="28"/>
          <w:rtl w:val="true"/>
          <w:lang w:bidi="ar-SA"/>
        </w:rPr>
        <w:t>الإجماع عليه، و عن بعضهم 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صحيح صفار </w:t>
      </w:r>
      <w:r>
        <w:rPr>
          <w:rStyle w:val="FootnoteAnchor"/>
          <w:rtl w:val="true"/>
        </w:rPr>
        <w:footnoteReference w:id="188"/>
      </w:r>
      <w:r>
        <w:rPr>
          <w:rFonts w:ascii="Amiri" w:hAnsi="Amiri" w:eastAsia="Amiri" w:cs="Amiri"/>
          <w:color w:val="111111"/>
          <w:sz w:val="28"/>
          <w:sz w:val="28"/>
          <w:szCs w:val="28"/>
          <w:rtl w:val="true"/>
          <w:lang w:bidi="ar-SA"/>
        </w:rPr>
        <w:t>، في رجل له قطاع من أرضين، و عرف حدود القرية،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أنّى قد بعت من فلان جميع القرية، و إنّما له بعض هذه القرية، و قد أقرّ له بكلّها،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لا يملك، و قد وجب الشراء على البائع على ما يملك، الدال على صحّة البيع فيما يملك، و لو بعموم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سائر العقود، فلم أر من تعرّض بقول صريح يشمل الجميع، و إن تعرّضوا لبعض، كوقف ما يملك و ما لا يملك، و يظهر من الأكثر الحكم بالصحة فيه، و لعلّ مأخذه يعمّ الجميع، و كيف كان فلنبيّن ما يقتضيه الأصل و عموم الدليل على وجه كلي ينضبط به حكم التبعّض في جميع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إمّا يكون مما لا يقبل أثره التجزّي، كالنكاح و الطلاق، فلا تبعيض، أو يقبل التجزّي، بأن يتعلق أثره بكلّ جزء من المتعلّق، كالبيع و الصلح و الهبة و الإجارة و أمثالها، حيث إنّ الانتقال بها يتعلّق بكلّ جزء من متعلقاتها، فمقتضى النظر الدقيق فيه عدم استلزام فساد بعضه فساد الآخر، لوجود مقتضى الصحّة و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فلدلالة عموم دليل شرعية المعاملة عليه، كقوله تعالى أَوْفُوا بِالْعُقُودِ </w:t>
      </w:r>
      <w:r>
        <w:rPr>
          <w:rStyle w:val="FootnoteAnchor"/>
          <w:rtl w:val="true"/>
        </w:rPr>
        <w:footnoteReference w:id="189"/>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الصلح، الرواية </w:t>
      </w:r>
      <w:r>
        <w:rPr>
          <w:rFonts w:eastAsia="Amiri" w:cs="Amiri" w:ascii="Amiri" w:hAnsi="Amiri"/>
          <w:color w:val="111111"/>
          <w:sz w:val="28"/>
          <w:szCs w:val="28"/>
          <w:lang w:bidi="ar-SA"/>
        </w:rPr>
        <w:t>24011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0"/>
      </w:r>
      <w:r>
        <w:rPr>
          <w:rFonts w:ascii="Amiri" w:hAnsi="Amiri" w:eastAsia="Amiri" w:cs="Amiri"/>
          <w:color w:val="111111"/>
          <w:sz w:val="28"/>
          <w:sz w:val="28"/>
          <w:szCs w:val="28"/>
          <w:rtl w:val="true"/>
          <w:lang w:bidi="ar-SA"/>
        </w:rPr>
        <w:t xml:space="preserve">و تِجٰارَةً عَنْ تَرٰاضٍ </w:t>
      </w:r>
      <w:r>
        <w:rPr>
          <w:rStyle w:val="FootnoteAnchor"/>
          <w:rtl w:val="true"/>
        </w:rPr>
        <w:footnoteReference w:id="191"/>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أَحَلَّ اللّٰهُ الْبَيْعَ </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صلح جائز</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و غير ذلك، لصدق معنى المعاملة على كلّ</w:t>
      </w:r>
    </w:p>
    <w:p>
      <w:pPr>
        <w:pStyle w:val="BookText"/>
        <w:rPr/>
      </w:pPr>
      <w:r>
        <w:rPr>
          <w:rFonts w:ascii="Amiri" w:hAnsi="Amiri" w:eastAsia="Amiri" w:cs="Amiri"/>
          <w:color w:val="111111"/>
          <w:sz w:val="28"/>
          <w:sz w:val="28"/>
          <w:szCs w:val="28"/>
          <w:rtl w:val="true"/>
          <w:lang w:bidi="ar-SA"/>
        </w:rPr>
        <w:t>جزء،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 أو وهب أو وقف، فإنّ البيع مثلا ليس إلّا نقل الملك، و هو يحصل بالنسبة إلى كلّ جزء، و إلّا لم يحصل له به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 ما يتصوّر كونه مانعا، انضمام غير المملوك إليه، و هو لا يصلح للمنع، فإنّ ما يستظهر به للمنع لا يكاد أن يتمّ و هو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العقد على الجزء دلالة تبعية، و هي فرع بقاء المتبوع، أعني الكلّ و حيث انتفى ينتفي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تابعة للقصود، و القصد تعلّق بالعقد على المجموع دون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التراضي الذي هو شرط الصحّة حصل على المجموع، و هو لا يستلزم حصوله في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لم يقع عليه المعاملة، فلا يوصف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اللفظة الواحدة، أعني العقد لا يمكن تبعيضها، فإمّا يغلب الصحيح على الفاسد، أو بالعكس، و الثاني أولى، لأنّ تصحيح العقد في الفاسد ممتنع، و إبطاله في الصحيح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العقود موضوعة للمعاني الشرعية، و هي توظيفية لا نعلم دخول المركّب من الصحيح و الفاسد فيها، فيجب الاقتصار في تحققها على ما علم كونه منها شرعا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التبعية في الدلالة اللفظية لا يستلزم التبعية في تعلّق الحكم،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عشرة، أو صم شهرا، فالدلالة على كلّ واحد تبعية، و الحكم الثابت منها له أصلي، لا ينتفي عنه بانتفاء الكلّ، إلّا لدلالة خارجة دلّت على قصد الارتباط، و مثله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 الدار، و تعذّر كنس بيت منها، فلا يتأمّل في الباقي، 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و إن باع كلّ جزء منها ببيع مستقلّ، مع أنّ من</w:t>
      </w:r>
    </w:p>
    <w:p>
      <w:pPr>
        <w:pStyle w:val="BookText"/>
        <w:rPr/>
      </w:pPr>
      <w:r>
        <w:rPr>
          <w:rFonts w:ascii="Amiri" w:hAnsi="Amiri" w:eastAsia="Amiri" w:cs="Amiri"/>
          <w:color w:val="111111"/>
          <w:sz w:val="28"/>
          <w:sz w:val="28"/>
          <w:szCs w:val="28"/>
          <w:rtl w:val="true"/>
          <w:lang w:bidi="ar-SA"/>
        </w:rPr>
        <w:t>الفرض ما كان الدلالة اللفظية على الأبعاض مطابقة،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أو وهبت أو وقفت هذا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إن كان عدم تعلق القصد بالجزء مطلقا، ففساده ظاهر، و إن كان عدم تعلّقه به أصالة، بل على الوجه الجزئية و الارتباط، فهو غير معلوم، لا من اللفظ، كما عرفت، بل هو أوفق لعدمه نظرا إلى صدق نسبة اسم المعاملة كالبيع و الصلح و غيرهما حينئذ إلى الأجزاء، و لا من غيره، لفرض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إيقاع العقد كالبيع مثلا على المجموع صفقة، مقتضاه إنشاء نقل واحد متعلق بالمجموع بما هو مجموع بحيث يعد في العرف بيعا واحدا فاللفظ يدلّ على قصد إنشاء بيع المجموع بالأصالة، و يجب حل قصد المتكلم على ما يقتضيه اللفظ، فيبنى على قصد البائع إنشاء النقل كذلك، و لازمه قصد الجزئية في أجزاء البيع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 بتسليم كون اللفظ دالّا على إنشاء واحد متعلق بالمجموع، و أنّه يعدّ في العرف بيعا واحدا، و لكن إنشاء نقل الكلّ و بيعه يتحلل إلى إنشاءات و بيوع متعددة، بالنسبة إلى أجزاء البيع، و وحدته وحدة نوعية بالنسبة إليها، لا تأبى عن صدقه على كلّ فرد، و تعلّق حكم هذا الواحد النوعي بآحاد الأفراد، تعلّقا أصليا استقلاليا ارتباطيا تبعيّا، لا وحدة شخصية، من قبيل المركب الشخصي بالنسبة إلى أجزائه، فهو كسائر الصفات أو الأفعال التي يصحّ نسبتها إلى كلّ جزء من أجزاء متعلّقاتها، كالغصب مثلا، فإنّ من غصب دارا و لو بغصب واحد، يصحّ نسبة الغصب إلى كلّ بيت منها،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مغصوب، و يترتّب عليه آثار الغصب و أحكامه، أصالة و استقلالا، لا ارتباطا بسائر البيوت، بحيث إذا خرج بعضها عن الغصبية خرج الكلّ، و نحوه الطهارة و النجاسة و التطهير و التنجيس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وحدة اللفظ الدال على الإنشاء شخصية لا تصدّق على أبعاضه، و أين هو من المدلول بالنسبة إلى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إمكان التجزئة في أحكام إنشاء واحد، فيما علم فيه فساد البعض، و إن كان اللفظ الدال على إنشاء الكلّ واحدا غير قابل للتجزئة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إنشاء الكلّ كيف يتصور مع فرض العلم بفساد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الإنشاء لا يستلزم العلم بالصحة الشرعية و ترتّب الأثر، و لا ينافي العلم بعدمه، كما في إنشاء الفضولي الذي يجب أن يقع على البتّ و الجزم دون التعليق، و إلّا كان باطلا اتفاقا، مع احتمال عدم إجازة المالك، و بالجملة الإنشاء فعل العاقد، و ليس هو إلّا إيقاع اللفظ بالقصد و الالتفات إلى معناه على وجه السببية، و الانتقال أمر شرعي، و لا يلزمه العلم بحصوله غاية الأمر علمه حينئذ بكونه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يناط به العقد هو الرضا بما تعلّق به الإنشاء الذي دلّ عليه لفظ العقد، و قد سمعت أنّه تعلّق بكلّ بعض على وجه الاستقلال، تعلّق حكم الكلّي و أمّا الرضا الخارج عن ذلك، فهو من الدواعي، لا يؤثر في بطلان العقد، مع أنّ وقوع التراضي على المجموع من حيث هو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فقد يعلم من مساومة المعاملة أو شاهد الحال أو اعتراف العاقد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مفصّلا، و كفاك شاهدا ما تكرّر ذكره من صحّة توصيف كلّ جزء باسم المعاملة و نسبتها إليه، كمن باع قطيعة غنم يصدق على كلّ غنم أنّه باعه و اشتراه المبتاع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اللفظ لا يستلزم وحدة المدلول، و وحدانية السبب لا يستلزم وحدانية الأثر، كما مضى، فوجود المانع عن تأثيره في بعض المسبّبات لا يمنع عن تأثيره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ثبوت الحقيقة في أسماء العقود ثمّ كونها موضوعة للمعاني الصحيحة، و الأوّل غير معلوم، و الثاني خلاف التحقيق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مما ذكرنا يتضح حكم ما إذا كان فساد بعض المعقود عليه لا لعدم الملك، بل لجهة أخرى في نفسه، كما لو باع مع ماله ما لا يملكه المسلم كالخمر، أو مطلقا كالحرّ، و ما لا يصحّ بيعه كالمنفعة، أو في متعلقه كما لو وقف على حرّ و مملوك أو حيّ و ميّت، فإنّه يحكم في جميع ذلك بالصحة في البعض الصحيح، دون الفاسد، ممّا صدق اسم المعاملة بمعناه الأعمّ على الجملة، و إلّا فيتّجه فساد الكلّ لعدم تناوله حينئذ مقتضى الصحّة من الأدلّة</w:t>
      </w:r>
      <w:r>
        <w:rPr>
          <w:rFonts w:eastAsia="Amiri" w:cs="Amiri" w:ascii="Amiri" w:hAnsi="Amiri"/>
          <w:color w:val="111111"/>
          <w:sz w:val="28"/>
          <w:szCs w:val="28"/>
          <w:rtl w:val="true"/>
          <w:lang w:bidi="ar-SA"/>
        </w:rPr>
        <w:t>.</w:t>
      </w:r>
      <w:bookmarkStart w:id="57" w:name="pg2497_11862"/>
    </w:p>
    <w:p>
      <w:pPr>
        <w:pStyle w:val="Heading2"/>
        <w:numPr>
          <w:ilvl w:val="1"/>
          <w:numId w:val="1"/>
        </w:numPr>
        <w:rPr/>
      </w:pPr>
      <w:bookmarkStart w:id="58" w:name="__RefHeading___Toc3861799_3804643083"/>
      <w:bookmarkStart w:id="59" w:name="_Toc22"/>
      <w:bookmarkEnd w:id="57"/>
      <w:bookmarkEnd w:id="58"/>
      <w:r>
        <w:rPr>
          <w:rtl w:val="true"/>
        </w:rPr>
        <w:t>[</w:t>
      </w:r>
      <w:r>
        <w:rPr>
          <w:rtl w:val="true"/>
        </w:rPr>
        <w:t>المشرق الرابع</w:t>
      </w:r>
      <w:r>
        <w:rPr>
          <w:rtl w:val="true"/>
        </w:rPr>
        <w:t>] [</w:t>
      </w:r>
      <w:r>
        <w:rPr>
          <w:rtl w:val="true"/>
        </w:rPr>
        <w:t>في شروط ضمن العقد</w:t>
      </w:r>
      <w:r>
        <w:rPr>
          <w:rtl w:val="true"/>
        </w:rPr>
        <w:t>]</w:t>
      </w:r>
      <w:bookmarkEnd w:id="59"/>
    </w:p>
    <w:p>
      <w:pPr>
        <w:pStyle w:val="Heading3"/>
        <w:numPr>
          <w:ilvl w:val="2"/>
          <w:numId w:val="1"/>
        </w:numPr>
        <w:rPr/>
      </w:pPr>
      <w:bookmarkStart w:id="60" w:name="__RefHeading___Toc3861801_3804643083"/>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شروط ضمن العقد و فيها مطالب</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3861803_3804643083"/>
      <w:bookmarkStart w:id="63" w:name="_Toc24"/>
      <w:bookmarkEnd w:id="62"/>
      <w:r>
        <w:rPr>
          <w:rtl w:val="true"/>
        </w:rPr>
        <w:t>المطلب الأوّل</w:t>
      </w:r>
      <w:r>
        <w:rPr>
          <w:rtl w:val="true"/>
        </w:rPr>
        <w:t xml:space="preserve">: </w:t>
      </w:r>
      <w:r>
        <w:rPr>
          <w:rtl w:val="true"/>
        </w:rPr>
        <w:t>في بيان معنى الشرط</w:t>
      </w:r>
      <w:r>
        <w:rPr>
          <w:rtl w:val="true"/>
        </w:rPr>
        <w:t>.</w:t>
      </w:r>
      <w:bookmarkEnd w:id="63"/>
    </w:p>
    <w:p>
      <w:pPr>
        <w:pStyle w:val="BookText"/>
        <w:rPr/>
      </w:pPr>
      <w:r>
        <w:rPr>
          <w:rFonts w:ascii="Amiri" w:hAnsi="Amiri" w:eastAsia="Amiri" w:cs="Amiri"/>
          <w:color w:val="111111"/>
          <w:sz w:val="28"/>
          <w:sz w:val="28"/>
          <w:szCs w:val="28"/>
          <w:rtl w:val="true"/>
          <w:lang w:bidi="ar-SA"/>
        </w:rPr>
        <w:t>اعلم أنّ للشرط في العرف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ينتفي المشروط بانتفائه، و توقف عليه وجود المشروط، سواء استلزم وجوده الوجود أيضا كما هو مفاد القضية الشرطية، أم لا، كما هو مصطلح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و يلتزم به، كما هو معناه المعروف من اللغة، قال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إلزام الشي‌ء و التزامه في البيع و نحوه، و المراد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 به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فإنّه المناسب لاستدلالهم عليه بمثل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 لأنّ الأوّل يوجب التعليق في العقد، بخلاف الثاني، و إن قلنا فيه بتوقّف لزوم العقد على الوفاء بالشرط، و ثبوت الخيار للمشروط له مع عدمه، كما في المشهور، إلّا أنّه غير التعليق في نفس العقد، فلا محذور فيه، و أمّا</w:t>
      </w:r>
    </w:p>
    <w:p>
      <w:pPr>
        <w:pStyle w:val="BookText"/>
        <w:rPr/>
      </w:pPr>
      <w:r>
        <w:rPr>
          <w:rFonts w:ascii="Amiri" w:hAnsi="Amiri" w:eastAsia="Amiri" w:cs="Amiri"/>
          <w:color w:val="111111"/>
          <w:sz w:val="28"/>
          <w:sz w:val="28"/>
          <w:szCs w:val="28"/>
          <w:rtl w:val="true"/>
          <w:lang w:bidi="ar-SA"/>
        </w:rPr>
        <w:t xml:space="preserve">التعليق في نفسه، كما يرد على الفرض، فهو مبطل له بلا خلاف في أكثر فروضه، و تفصيله أنّ التعليق إن كان بصفة متوقعة، و إن كانت متيقّن الحصول، كمجي‌ء رأس شهر، فالظاهر من كلامهم الاتفاق على بطلانه، و إن أنكر الدليل عليه في المسالك </w:t>
      </w:r>
      <w:r>
        <w:rPr>
          <w:rStyle w:val="FootnoteAnchor"/>
          <w:rtl w:val="true"/>
        </w:rPr>
        <w:footnoteReference w:id="197"/>
      </w:r>
      <w:r>
        <w:rPr>
          <w:rFonts w:ascii="Amiri" w:hAnsi="Amiri" w:eastAsia="Amiri" w:cs="Amiri"/>
          <w:color w:val="111111"/>
          <w:sz w:val="28"/>
          <w:sz w:val="28"/>
          <w:szCs w:val="28"/>
          <w:rtl w:val="true"/>
          <w:lang w:bidi="ar-SA"/>
        </w:rPr>
        <w:t xml:space="preserve">و الكفاية </w:t>
      </w:r>
      <w:r>
        <w:rPr>
          <w:rStyle w:val="FootnoteAnchor"/>
          <w:rtl w:val="true"/>
        </w:rPr>
        <w:footnoteReference w:id="198"/>
      </w:r>
      <w:r>
        <w:rPr>
          <w:rFonts w:ascii="Amiri" w:hAnsi="Amiri" w:eastAsia="Amiri" w:cs="Amiri"/>
          <w:color w:val="111111"/>
          <w:sz w:val="28"/>
          <w:sz w:val="28"/>
          <w:szCs w:val="28"/>
          <w:rtl w:val="true"/>
          <w:lang w:bidi="ar-SA"/>
        </w:rPr>
        <w:t>، و إن كان على أمر واقع،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إن كان اليوم الجمعة، ففيه الخلاف، و في الكفاية </w:t>
      </w:r>
      <w:r>
        <w:rPr>
          <w:rStyle w:val="FootnoteAnchor"/>
          <w:rtl w:val="true"/>
        </w:rPr>
        <w:footnoteReference w:id="199"/>
      </w:r>
      <w:r>
        <w:rPr>
          <w:rFonts w:ascii="Amiri" w:hAnsi="Amiri" w:eastAsia="Amiri" w:cs="Amiri"/>
          <w:color w:val="111111"/>
          <w:sz w:val="28"/>
          <w:sz w:val="28"/>
          <w:szCs w:val="28"/>
          <w:rtl w:val="true"/>
          <w:lang w:bidi="ar-SA"/>
        </w:rPr>
        <w:t>و بعض آخر صحّته إذا كان عالما بوقوعه، و الحقّ أنّه مبطل أيضا مطلقا،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أمورا ثلاثة، مقتضى النظر اشتراط الجميع في صحة العقود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العقد في سببية الأثر المترتب عليه من حين وقوعه،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المقتضي للاقتصار على معلوم الصحّة، و الإجماع عليه، محققا </w:t>
      </w:r>
      <w:r>
        <w:rPr>
          <w:rStyle w:val="FootnoteAnchor"/>
          <w:rtl w:val="true"/>
        </w:rPr>
        <w:footnoteReference w:id="200"/>
      </w:r>
      <w:r>
        <w:rPr>
          <w:rFonts w:ascii="IRNazanin" w:hAnsi="IRNazanin" w:eastAsia="IRNazanin"/>
          <w:color w:val="111111"/>
          <w:sz w:val="28"/>
          <w:sz w:val="28"/>
          <w:szCs w:val="28"/>
          <w:rtl w:val="true"/>
          <w:lang w:bidi="fa-IR"/>
        </w:rPr>
        <w:t xml:space="preserve">و منقولا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مفاد الأدلة الدالّة على سببيته للآثار، و لازم ذلك بطلان تعليقه على أمر متوقع بعد حين، و إن كان معلوم الوقوع، لأنّه خروج عن مقتضى السببية المستفادة من تلك الأدلّة، و لا ينافيه قولهم بأنّ الشرط بمعنى الالتزام بما سيوجد المتفق على صحّته في حكم جزء العقد، لأنّ الجزء هو الالتزام و الإلزام، و هو أمر واقع حين العقد، و إن كان متعلقه أمرا خارجا عنه، بل ينقدح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الأمرين الآتيين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التعليق على أمر واقع أيضا، لاستلزامه إدخال ما ليس من العقد في السببية، في غير ما دلّ على صحته دليل، كالتدبير و النذر و نحوهما</w:t>
      </w:r>
      <w:r>
        <w:rPr>
          <w:rFonts w:eastAsia="Amiri" w:cs="Amiri" w:ascii="Amiri" w:hAnsi="Amiri"/>
          <w:color w:val="111111"/>
          <w:sz w:val="28"/>
          <w:szCs w:val="28"/>
          <w:rtl w:val="true"/>
          <w:lang w:bidi="ar-SA"/>
        </w:rPr>
        <w:t>.</w:t>
      </w:r>
      <w:bookmarkStart w:id="64" w:name="pg2497_11866"/>
    </w:p>
    <w:p>
      <w:pPr>
        <w:pStyle w:val="BookText"/>
        <w:rPr/>
      </w:pPr>
      <w:bookmarkEnd w:id="64"/>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إنشاء أثر العقد، كإنشاء النقل في البيع، و التزويج في عقد النكاح، و غيرهما، لكونه جزء السبب المؤثّر إجماعا، و لازم ذلك اشتراط البتّ و القطع في العقد، و الترديد يضاد الإنشاء القطعي، فلا يصحّ التعليق على أمر واقع غير معلوم الوقوع، لمنافاته الإنشاء البتّي، و به صرّح جماعة كثيرة من أساطين الفقه، مضافا إلى كونه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العقد على هذا الإنشاء القطعيّ، لغة و عرفا، و لا يكفي مجرد القصد الخالي عن اللفظ الدال عليه، ضرورة وجوب مطابقة صورة اللفظ للمعنى المقصود و لازم ذلك عدم صحّة التعليق على أمر واقع و إن كان معلوم الوقوع للعاقد لأنّ مدلول اللفظ على ما يتبادر منه عرفا و لغة </w:t>
      </w:r>
      <w:r>
        <w:rPr>
          <w:rStyle w:val="FootnoteAnchor"/>
          <w:rtl w:val="true"/>
        </w:rPr>
        <w:footnoteReference w:id="202"/>
      </w:r>
      <w:r>
        <w:rPr>
          <w:rFonts w:ascii="Amiri" w:hAnsi="Amiri" w:eastAsia="Amiri" w:cs="Amiri"/>
          <w:color w:val="111111"/>
          <w:sz w:val="28"/>
          <w:sz w:val="28"/>
          <w:szCs w:val="28"/>
          <w:rtl w:val="true"/>
          <w:lang w:bidi="ar-SA"/>
        </w:rPr>
        <w:t>، الترديد و عدم القطع في الإنشاء</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861805_3804643083"/>
      <w:bookmarkStart w:id="66" w:name="_Toc25"/>
      <w:bookmarkEnd w:id="65"/>
      <w:r>
        <w:rPr>
          <w:rtl w:val="true"/>
        </w:rPr>
        <w:t>المطلب الثاني</w:t>
      </w:r>
      <w:r>
        <w:rPr>
          <w:rtl w:val="true"/>
        </w:rPr>
        <w:t xml:space="preserve">: </w:t>
      </w:r>
      <w:r>
        <w:rPr>
          <w:rtl w:val="true"/>
        </w:rPr>
        <w:t>في بيان مشروعية الشرط الواقع في ضمن العقد و صحته،</w:t>
      </w:r>
      <w:bookmarkEnd w:id="66"/>
    </w:p>
    <w:p>
      <w:pPr>
        <w:pStyle w:val="BookText"/>
        <w:rPr/>
      </w:pPr>
      <w:r>
        <w:rPr>
          <w:rFonts w:ascii="Amiri" w:hAnsi="Amiri" w:eastAsia="Amiri" w:cs="Amiri"/>
          <w:color w:val="111111"/>
          <w:sz w:val="28"/>
          <w:sz w:val="28"/>
          <w:szCs w:val="28"/>
          <w:rtl w:val="true"/>
          <w:lang w:bidi="ar-SA"/>
        </w:rPr>
        <w:t>بمعنى استحقاقه المشروط له، و لزوم الوفاء به على المشروط عليه إلّا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عليه، المتظافر نقله </w:t>
      </w:r>
      <w:r>
        <w:rPr>
          <w:rStyle w:val="FootnoteAnchor"/>
          <w:rtl w:val="true"/>
        </w:rPr>
        <w:footnoteReference w:id="203"/>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الصحيح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عزّ و جلّ، فلا يجوز له، و لا يجوز على الذي اشترط عليه و المسلمون عند شروطهم فيما وافق كتاب اللّه عزّ و جلّ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كل شرط خالف كتاب</w:t>
      </w:r>
    </w:p>
    <w:p>
      <w:pPr>
        <w:pStyle w:val="BookText"/>
        <w:rPr/>
      </w:pPr>
      <w:r>
        <w:rPr>
          <w:rFonts w:ascii="Amiri" w:hAnsi="Amiri" w:eastAsia="Amiri" w:cs="Amiri"/>
          <w:color w:val="111111"/>
          <w:sz w:val="28"/>
          <w:sz w:val="28"/>
          <w:szCs w:val="28"/>
          <w:rtl w:val="true"/>
          <w:lang w:bidi="ar-SA"/>
        </w:rPr>
        <w:t>اللّه تعالى فلا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الحسن </w:t>
      </w:r>
      <w:r>
        <w:rPr>
          <w:rStyle w:val="FootnoteAnchor"/>
          <w:rtl w:val="true"/>
        </w:rPr>
        <w:footnoteReference w:id="206"/>
      </w:r>
      <w:r>
        <w:rPr>
          <w:rFonts w:ascii="Amiri" w:hAnsi="Amiri" w:eastAsia="Amiri" w:cs="Amiri"/>
          <w:color w:val="111111"/>
          <w:sz w:val="28"/>
          <w:sz w:val="28"/>
          <w:szCs w:val="28"/>
          <w:rtl w:val="true"/>
          <w:lang w:bidi="ar-SA"/>
        </w:rPr>
        <w:t>عن الشرط في الإماء أن لا يباع و لا يوهب،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في غير الميراث، فإنّها يورث، و كل شرط خالف كتاب اللّه عزّ و جلّ فهو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 جميل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و شرط لأهلها أن لا يبيع و لا يهب و لا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لهم إلّا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مرسل آخر منه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ابن عمار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 منصور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لوجوب الوفاء بشرط الرجل للمرأة على عدم طلاقها و عدم التزويج عليها، معلّلا بأنّ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عمّار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امرأة، فسألها أن يزوّجها نفسه،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على أن تلتمس منّي ما سألت من نظر أو التماس، و 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ما ينال الرجل من أهله، إلّا أنّك لا تدخل فرجك في فرجي، و تلذّذ بما شئت، فإني أخاف الفضيحة،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له إلّا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المصرحة بأنّه لا يخرج الرجل امرأته من بلدها إذا شرط لها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الدالّة على وجوب الوفاء بالوعد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المستفيضة </w:t>
      </w:r>
      <w:r>
        <w:rPr>
          <w:rStyle w:val="FootnoteAnchor"/>
          <w:rtl w:val="true"/>
        </w:rPr>
        <w:footnoteReference w:id="212"/>
      </w:r>
      <w:r>
        <w:rPr>
          <w:rFonts w:ascii="Amiri" w:hAnsi="Amiri" w:eastAsia="Amiri" w:cs="Amiri"/>
          <w:color w:val="111111"/>
          <w:sz w:val="28"/>
          <w:sz w:val="28"/>
          <w:szCs w:val="28"/>
          <w:rtl w:val="true"/>
          <w:lang w:bidi="ar-SA"/>
        </w:rPr>
        <w:t>المصرّحة بأنّ رسول صلّى اللّه عليه و آله و سلّم نصّ بأنّ من باع نخلا قد أبره، فثمرته للّذي باع،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دلالة تلك الأخبار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مشروعية كل شرط على حسب ما اشترط، و منه المأخوذ في ضمن العقد، لصدقه عليه، و حيث إنّه مأخوذ فيه على وجه الاستحقاق، و انعقد العقد عليه، فحكمه حكم أحد العوضين، لعدم رضى المشروط له بما يعطى عوضا عن متاعه إلّا مع هذا الشرط، و وقع إنشاء العقد على كونه منه و جزءا لما هو بإزاء متاعه، و لا فرق في ذلك بين ما إذا باع بدينارين، أو بدينار و شرط عليه دينارا، أو أن يفعل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يفترق عن الثمن و المثمن في أحكام أخر، كجواز كونه منفعة في البيع دونهما، و اغتفار بعض الجهالات،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فلازم مشروعيته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لازما كنفس العوضين لعين ما دلّ على لزوم العقد بأجزائه، كالأمر بالوفاء به، و خصوص العموم الوارد في كلّ عقد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ما في كلام بعض الأفاضل، من كون الشرط بمنزلة الداعي، و قسم من الملزمات مستقلّ برأسه، و إن اعتبر في إلزامه وقوعه في ضمن عقد لازم، و العجب منه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ضبط المدّة، بحيث لا يحتمل الزيادة و النقصان، كقدوم الحاجّ في الخيار المشترط، بأنّ للشرط قسطا من الثمن، فيدخل فيما نهي عنه من الغرر</w:t>
      </w:r>
      <w:r>
        <w:rPr>
          <w:rFonts w:eastAsia="Amiri" w:cs="Amiri" w:ascii="Amiri" w:hAnsi="Amiri"/>
          <w:color w:val="111111"/>
          <w:sz w:val="28"/>
          <w:szCs w:val="28"/>
          <w:rtl w:val="true"/>
          <w:lang w:bidi="ar-SA"/>
        </w:rPr>
        <w:t>.</w:t>
      </w:r>
      <w:bookmarkStart w:id="67" w:name="pg2497_11872"/>
    </w:p>
    <w:p>
      <w:pPr>
        <w:pStyle w:val="BookText"/>
        <w:rPr/>
      </w:pPr>
      <w:bookmarkEnd w:id="67"/>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وجوب الوفاء بما التزم به المسلم، إلّا ما استثنى، للتبادر المعتضد بفهم العلماء في جميع الأعصار، في أبواب الفقه، من غير نكير، و لكونها جملة خبرية مستعملة في الإنشاء بقرينة الاستثناء، و لزوم الكذب لولاه، و ظاهرها الوجوب، و لاستدلال الإمام عليه السّلام على وجوب الوفاء، بكون المسلمين عند شروطهم، في جملة منها، و تصريح بعضها بالوجوب، كما في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فالاستشكال في دلالتها على الوجوب لا وجه له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861807_3804643083"/>
      <w:bookmarkStart w:id="69" w:name="_Toc26"/>
      <w:bookmarkEnd w:id="68"/>
      <w:r>
        <w:rPr>
          <w:rtl w:val="true"/>
        </w:rPr>
        <w:t>المطلب الثالث</w:t>
      </w:r>
      <w:r>
        <w:rPr>
          <w:rtl w:val="true"/>
        </w:rPr>
        <w:t xml:space="preserve">: </w:t>
      </w:r>
      <w:r>
        <w:rPr>
          <w:rtl w:val="true"/>
        </w:rPr>
        <w:t>في أنّ انعقاد الشرط يختصّ بالمذكور في متن العقد،</w:t>
      </w:r>
      <w:bookmarkEnd w:id="69"/>
    </w:p>
    <w:p>
      <w:pPr>
        <w:pStyle w:val="BookText"/>
        <w:rPr/>
      </w:pPr>
      <w:r>
        <w:rPr>
          <w:rFonts w:ascii="Amiri" w:hAnsi="Amiri" w:eastAsia="Amiri" w:cs="Amiri"/>
          <w:color w:val="111111"/>
          <w:sz w:val="28"/>
          <w:sz w:val="28"/>
          <w:szCs w:val="28"/>
          <w:rtl w:val="true"/>
          <w:lang w:bidi="ar-SA"/>
        </w:rPr>
        <w:t>لا بما لا يقع في العقد أصلا، أو المذكور في أحد طرفيه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 دلالة الأخبار بالوجهين المذكورين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الاستحقاق له عليه من جهة جزئية العقد، فلا يتناول الفاقد للعقد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مجرد وجوب الوفاء، و هو حيث لا يتعلق بما في ضمن المعاملة لا يفيد غير مطلق التكليف و العصيان في الترك، لا اشتغال الذمة بحقّ الغير، على سبيل سائر الحقوق المالية التي يمكن استيفاؤها من ماله مع المخالفة، و هذا غير المبحوث عنه في المقام، بل الظاهر الاتفاق على أنّ وجوب الوفاء في باب الشرط من القسم الثاني، مضافا إلى إمكان منع صدق الشرط على مجرّد القول الخالي عما يوجب اللزوم من سبب شرعي أو عرفي، و لا أقلّ من الشكّ في صدقه القادح في الاستدلال بها على مطلق الوجوب أيضا، بل القدر المتيقّن في الصدق كونه مقترنا بعقد و نحوه، و معه يحصل الاستحقاق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وقوع الالتزام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سرّ تخصيصهم الشرط بما في ضمن العقد، دون الواقع في خارجه، و منه ينقدح وجه عدم لزوم الوفاء بالشرط الواقع في ضمن العقد الفاسد أو المنفسخ بالتقايل؛ لانتفاء حكم الجزئية الموجب للزوم بانتفاء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المذكور في أحد طرفي العقد، فعدم لزومه ظاهر عبائر الأكثر، من التعبير عنه بالمذكور في ضمن العقد، و قد يصرح بما يذكر بين الإيجاب و القبول، فلا يعتدّ بما ذكر قبله، و إن بني العقد عليه أو بعده، بل نفي عنه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بعض من عاصرناه الاعتداد بما بنى عليه، و إن لم يذكر في العقد، و من الشيخ في النهاية </w:t>
      </w:r>
      <w:r>
        <w:rPr>
          <w:rStyle w:val="FootnoteAnchor"/>
          <w:rtl w:val="true"/>
        </w:rPr>
        <w:footnoteReference w:id="213"/>
      </w:r>
      <w:r>
        <w:rPr>
          <w:rFonts w:ascii="Amiri" w:hAnsi="Amiri" w:eastAsia="Amiri" w:cs="Amiri"/>
          <w:color w:val="111111"/>
          <w:sz w:val="28"/>
          <w:sz w:val="28"/>
          <w:szCs w:val="28"/>
          <w:rtl w:val="true"/>
          <w:lang w:bidi="ar-SA"/>
        </w:rPr>
        <w:t>الاكتفاء بما ذكر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فوجه عدم الاعتداد به ما ذكرنا آنفا و سابقا، من أنّ انعقاد الشرط و لزومه باعتبار جزئيته للعقد و تقريب دلالة الأخبار، فلا يتناول الخارج عن العقد، و وجه القول بشموله للبعد غير معلوم، خصوصا مع الاختصاص دون القبل، و لذا ربما يتكلّف في توجيهه بتنزيله بما بعد الإيجاب خاصّة، و للقول بما قبل العقد بأنّه في حكم المذكور في العقد، فلا يصحّ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ما يحصل به الرضا بالعقد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مجرد الداعي، بحيث لو لم يثق به لم يبادر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إنشاء العقد، مضافا إلى كونه داعيا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يختلف به صحّة العقد و فساده هو الثاني لتعليق إنشاء العقد عليه، من قبيل العوضين بخلاف الأوّل، فإنّه ليس متعلق الإنشاء إيجابا و قبولا، فلا تأثير له في العقد، و تقدّم البناء عليه لا يوجب جزئيته له </w:t>
      </w:r>
      <w:r>
        <w:rPr>
          <w:rStyle w:val="FootnoteAnchor"/>
          <w:rtl w:val="true"/>
        </w:rPr>
        <w:footnoteReference w:id="214"/>
      </w:r>
      <w:r>
        <w:rPr>
          <w:rFonts w:ascii="Amiri" w:hAnsi="Amiri" w:eastAsia="Amiri" w:cs="Amiri"/>
          <w:color w:val="111111"/>
          <w:sz w:val="28"/>
          <w:sz w:val="28"/>
          <w:szCs w:val="28"/>
          <w:rtl w:val="true"/>
          <w:lang w:bidi="ar-SA"/>
        </w:rPr>
        <w:t>، مع عدم دلالة لفظ العقد عليه بوجه،</w:t>
      </w:r>
      <w:bookmarkStart w:id="70" w:name="pg2497_11876"/>
    </w:p>
    <w:p>
      <w:pPr>
        <w:pStyle w:val="BookText"/>
        <w:rPr/>
      </w:pPr>
      <w:bookmarkEnd w:id="70"/>
      <w:r>
        <w:rPr>
          <w:rFonts w:ascii="Amiri" w:hAnsi="Amiri" w:eastAsia="Amiri" w:cs="Amiri"/>
          <w:color w:val="111111"/>
          <w:sz w:val="28"/>
          <w:sz w:val="28"/>
          <w:szCs w:val="28"/>
          <w:rtl w:val="true"/>
          <w:lang w:bidi="ar-SA"/>
        </w:rPr>
        <w:t>غاية الأمر كونه قرينة لوقوع التراضي لغة بوفائه عليه، و مجرد ذلك بدون المراضاة الإنشائية بينهما، الحاصلة بنفس العقد، غير كاف في التأثير على وجه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أشعر به في العقد على وجه صحّ تعلّق إنشائه بما يتركب منه، كان دخيلا في العقد، و مجرد النيّة الخالية عما دلّ على إنشاء المنويّ في عقد المعاملة غير مفيد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861809_3804643083"/>
      <w:bookmarkStart w:id="72" w:name="_Toc27"/>
      <w:bookmarkEnd w:id="71"/>
      <w:r>
        <w:rPr>
          <w:rtl w:val="true"/>
        </w:rPr>
        <w:t>المطلب الرابع</w:t>
      </w:r>
      <w:r>
        <w:rPr>
          <w:rtl w:val="true"/>
        </w:rPr>
        <w:t xml:space="preserve">: </w:t>
      </w:r>
      <w:r>
        <w:rPr>
          <w:rtl w:val="true"/>
        </w:rPr>
        <w:t>في حكم الشرط إذا امتنع عنه المشروط عليه،</w:t>
      </w:r>
      <w:bookmarkEnd w:id="72"/>
    </w:p>
    <w:p>
      <w:pPr>
        <w:pStyle w:val="BookText"/>
        <w:rPr/>
      </w:pPr>
      <w:r>
        <w:rPr>
          <w:rFonts w:ascii="Amiri" w:hAnsi="Amiri" w:eastAsia="Amiri" w:cs="Amiri"/>
          <w:color w:val="111111"/>
          <w:sz w:val="28"/>
          <w:sz w:val="28"/>
          <w:szCs w:val="28"/>
          <w:rtl w:val="true"/>
          <w:lang w:bidi="ar-SA"/>
        </w:rPr>
        <w:t>و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الوفاء به على المشروط عليه، و إن امتنع أجبر عليه، كسائر أجزاء العقد، و ليس لأحدهما الفسخ قبل تعذّر الشرط و فواته، إلّا برضى الآخر، و الظاهر أنّه المشهور، و اختاره في السرائر </w:t>
      </w:r>
      <w:r>
        <w:rPr>
          <w:rStyle w:val="FootnoteAnchor"/>
          <w:rtl w:val="true"/>
        </w:rPr>
        <w:footnoteReference w:id="215"/>
      </w:r>
      <w:r>
        <w:rPr>
          <w:rFonts w:ascii="Amiri" w:hAnsi="Amiri" w:eastAsia="Amiri" w:cs="Amiri"/>
          <w:color w:val="111111"/>
          <w:sz w:val="28"/>
          <w:sz w:val="28"/>
          <w:szCs w:val="28"/>
          <w:rtl w:val="true"/>
          <w:lang w:bidi="ar-SA"/>
        </w:rPr>
        <w:t xml:space="preserve">و الغنية </w:t>
      </w:r>
      <w:r>
        <w:rPr>
          <w:rStyle w:val="FootnoteAnchor"/>
          <w:rtl w:val="true"/>
        </w:rPr>
        <w:footnoteReference w:id="216"/>
      </w:r>
      <w:r>
        <w:rPr>
          <w:rFonts w:ascii="Amiri" w:hAnsi="Amiri" w:eastAsia="Amiri" w:cs="Amiri"/>
          <w:color w:val="111111"/>
          <w:sz w:val="28"/>
          <w:sz w:val="28"/>
          <w:szCs w:val="28"/>
          <w:rtl w:val="true"/>
          <w:lang w:bidi="ar-SA"/>
        </w:rPr>
        <w:t xml:space="preserve">و المسالك </w:t>
      </w:r>
      <w:r>
        <w:rPr>
          <w:rStyle w:val="FootnoteAnchor"/>
          <w:rtl w:val="true"/>
        </w:rPr>
        <w:footnoteReference w:id="217"/>
      </w:r>
      <w:r>
        <w:rPr>
          <w:rFonts w:ascii="Amiri" w:hAnsi="Amiri" w:eastAsia="Amiri" w:cs="Amiri"/>
          <w:color w:val="111111"/>
          <w:sz w:val="28"/>
          <w:sz w:val="28"/>
          <w:szCs w:val="28"/>
          <w:rtl w:val="true"/>
          <w:lang w:bidi="ar-SA"/>
        </w:rPr>
        <w:t xml:space="preserve">و الكفاية </w:t>
      </w:r>
      <w:r>
        <w:rPr>
          <w:rStyle w:val="FootnoteAnchor"/>
          <w:rtl w:val="true"/>
        </w:rPr>
        <w:footnoteReference w:id="218"/>
      </w:r>
      <w:r>
        <w:rPr>
          <w:rFonts w:ascii="Amiri" w:hAnsi="Amiri" w:eastAsia="Amiri" w:cs="Amiri"/>
          <w:color w:val="111111"/>
          <w:sz w:val="28"/>
          <w:sz w:val="28"/>
          <w:szCs w:val="28"/>
          <w:rtl w:val="true"/>
          <w:lang w:bidi="ar-SA"/>
        </w:rPr>
        <w:t>، بل في الأوّلين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و إن امتنع فللمشروط له التخيير بين الإجبار و لو بالرفع إلى الحاكم، و الفسخ</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وجوبه، و إن امتنع فللمشروط له الفسخ، دون الإجبار، نقل عن ظاهر الدروس </w:t>
      </w:r>
      <w:r>
        <w:rPr>
          <w:rStyle w:val="FootnoteAnchor"/>
          <w:rtl w:val="true"/>
        </w:rPr>
        <w:footnoteReference w:id="21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سائغ في عقد البيع، فيلزم الشرط من طرف المشروط عليه، فإن أخلّ به، فللمشترط الفسخ؛ و هل يمكن إجباره عليه؟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73" w:name="pg2497_11878"/>
    </w:p>
    <w:p>
      <w:pPr>
        <w:pStyle w:val="BookText"/>
        <w:rPr/>
      </w:pPr>
      <w:bookmarkEnd w:id="73"/>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الوفاء على أحد منهما، و إنما فائدة الشرط جعل العقد عرضة للزوال عند فقد الشرط و لزومه عند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المنقول عن الشهيد و هو أنّ الشرط الواقع في العقد اللازم، إن كان العقد كافيا في تحققه، و لا يحتاج بعده إلى صيغة، فهو لازم لا يجوز الإخلال به، كشرط الوكالة في عقد الرهن و نحوه، و إن احتاج بعده إلى أمر آخر، كشرط العتق فليس بلازم، بل يقلب العقد اللازم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الأوّل، لتعلّق الحقّ عليه، بل لوقوعه جزء العقد، فحكمه حكم أحد العوضين، فعلي المشروط عليه أداؤه لذي الحقّ، و على المشروط له مطالبة حقه، و لو بالإجبار عليه و رفع الأمر إلى الحاكم، و ثبوت الخيار مع كون العقد لازما يحتاج إلى دليل ينفيه الأصل، و يحتاج إلى دليل، مع كون الفرض لزوم العقد من أصله، و يتضح من ذلك ضعف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الأخير بأنّ اشتراط ما العقد كاف في تحققه، كجزء من الإيجابين، فهو تابع لهما في اللزوم و الجواز، و اشتراط ما سيوجد أمر منفصل من العقد، و قد علّق عليه العقد، و المعلّق على الممكن ممكن، مخدوش بمنع التعليق، بل هو التزام في نفس العقد بأمر مقدور، و إن كان الملتزم به منفصلا، فله الإجبار عليه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3861811_3804643083"/>
      <w:bookmarkStart w:id="75" w:name="_Toc28"/>
      <w:bookmarkEnd w:id="74"/>
      <w:r>
        <w:rPr>
          <w:rtl w:val="true"/>
        </w:rPr>
        <w:t>المطلب الخامس</w:t>
      </w:r>
      <w:r>
        <w:rPr>
          <w:rtl w:val="true"/>
        </w:rPr>
        <w:t xml:space="preserve">: </w:t>
      </w:r>
      <w:r>
        <w:rPr>
          <w:rtl w:val="true"/>
        </w:rPr>
        <w:t>في حكم ما إذا تعذر الشرط لفوات وقته و نحوه،</w:t>
      </w:r>
      <w:bookmarkEnd w:id="75"/>
    </w:p>
    <w:p>
      <w:pPr>
        <w:pStyle w:val="BookText"/>
        <w:rPr/>
      </w:pPr>
      <w:r>
        <w:rPr>
          <w:rFonts w:ascii="Amiri" w:hAnsi="Amiri" w:eastAsia="Amiri" w:cs="Amiri"/>
          <w:color w:val="111111"/>
          <w:sz w:val="28"/>
          <w:sz w:val="28"/>
          <w:szCs w:val="28"/>
          <w:rtl w:val="true"/>
          <w:lang w:bidi="ar-SA"/>
        </w:rPr>
        <w:t>و إن لم يكن بتقصير من المشروط عليه، كما اذا شرط تسليم العوض في يوم معين، و لم يف به، أو سكنى دار في مدّة معينة، فانهدمت قبلها، أو منفعة ملك آخر، فانطمس بالسيل و نحو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تخيير المشروط له بين فسخ العقد و إمضائه، بل عن جماعة الإجماع عليه، بل بلا خلاف فيه يعرف، و هذا الذي سمّوه في الخيارات بخيار الاشتراط، و صرّحوا به في كثير من صور التدليس في النكاح، كتزويج المرأة على أنّها بنت</w:t>
      </w:r>
    </w:p>
    <w:p>
      <w:pPr>
        <w:pStyle w:val="BookText"/>
        <w:rPr/>
      </w:pPr>
      <w:r>
        <w:rPr>
          <w:rFonts w:ascii="Amiri" w:hAnsi="Amiri" w:eastAsia="Amiri" w:cs="Amiri"/>
          <w:color w:val="111111"/>
          <w:sz w:val="28"/>
          <w:sz w:val="28"/>
          <w:szCs w:val="28"/>
          <w:rtl w:val="true"/>
          <w:lang w:bidi="ar-SA"/>
        </w:rPr>
        <w:t xml:space="preserve">مهيرة </w:t>
      </w:r>
      <w:r>
        <w:rPr>
          <w:rStyle w:val="FootnoteAnchor"/>
          <w:rtl w:val="true"/>
        </w:rPr>
        <w:footnoteReference w:id="220"/>
      </w:r>
      <w:r>
        <w:rPr>
          <w:rFonts w:ascii="Amiri" w:hAnsi="Amiri" w:eastAsia="Amiri" w:cs="Amiri"/>
          <w:color w:val="111111"/>
          <w:sz w:val="28"/>
          <w:sz w:val="28"/>
          <w:szCs w:val="28"/>
          <w:rtl w:val="true"/>
          <w:lang w:bidi="ar-SA"/>
        </w:rPr>
        <w:t>فبانت بنت سرية، و على أنّها بكر فبانت ثيّبة،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بأنّ الخيار مقتضى الشرط، و لعلّ وجهه أنّ التراضي على سبيل اللزوم وقع على هذا الشرط، فإذا انتفى كان له الرجوع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بأنّ الظاهر من العقد الرضا بالانتقال مع التزام الشرط، و قد وقع الالتزام، و أمّا تحققه فهو أمر خارجيّ لا دخل له بالعقد، بل قد لا يلتفت في العقد على عدم تحققه، و إن كان باعثا على العقد، فهو من قبيل سائر دواعي العقد المتخلفة عنه، مخدوش بأنّ تقييد العقد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ظاهرا على تعليق رضى المشروط له عليه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مقصود المشروط له من الإلزام ليس مجرده، بل إيجاد الملتزم به و حصوله، فلفظ الشرط المقيد به العقد يدلّ بالدلالة العرفية الالتزامية على تعليق رضاه على تحقق الملتزم به، و لما كان تعليق رضاه بنفس العقد على تحققه غير معلوم، لحصول الغرض بالتعليق في مجرد اللزوم و استمرار العقد، على أنّه لو لم يحصل كان له الفسخ، فهو القدر المحقق من التعليق، سيما بملاحظة أن التعليق في نفس العقد يوجب البطلان، فلا موجب لحمل اللفظ على المعنى الفاسد، مع عدم ما يقتضيه، بل يتعين الحمل على تعليق اللزوم الذي لا يوجب البطلان، و يعمل بمقتضاه، لأدلّة جواز الشرط المقتضي لصحة لوازمه التي منها انتفاء اللزوم بانتفاء الملتزم به، فإذن، فالمعتمد ما عليه المعظم من ثبوت الخيار بتعذّر الشرط، مضافا إلى أدلّة نفي الضرر المقتضي للخيار في غالب موارد الفرض، كما استدلّوا بها على كثير من الخيارات</w:t>
      </w:r>
      <w:r>
        <w:rPr>
          <w:rFonts w:eastAsia="Amiri" w:cs="Amiri" w:ascii="Amiri" w:hAnsi="Amiri"/>
          <w:color w:val="111111"/>
          <w:sz w:val="28"/>
          <w:szCs w:val="28"/>
          <w:rtl w:val="true"/>
          <w:lang w:bidi="ar-SA"/>
        </w:rPr>
        <w:t>.</w:t>
      </w:r>
      <w:bookmarkStart w:id="76" w:name="pg2497_11882"/>
    </w:p>
    <w:p>
      <w:pPr>
        <w:pStyle w:val="Heading3"/>
        <w:numPr>
          <w:ilvl w:val="2"/>
          <w:numId w:val="1"/>
        </w:numPr>
        <w:rPr/>
      </w:pPr>
      <w:bookmarkStart w:id="77" w:name="__RefHeading___Toc3861813_3804643083"/>
      <w:bookmarkStart w:id="78" w:name="_Toc29"/>
      <w:bookmarkEnd w:id="76"/>
      <w:bookmarkEnd w:id="77"/>
      <w:r>
        <w:rPr>
          <w:rtl w:val="true"/>
        </w:rPr>
        <w:t>المطلب السادس</w:t>
      </w:r>
      <w:r>
        <w:rPr>
          <w:rtl w:val="true"/>
        </w:rPr>
        <w:t xml:space="preserve">: </w:t>
      </w:r>
      <w:r>
        <w:rPr>
          <w:rtl w:val="true"/>
        </w:rPr>
        <w:t>في بيان الشروط الفاسدة</w:t>
      </w:r>
      <w:r>
        <w:rPr>
          <w:rtl w:val="true"/>
        </w:rPr>
        <w:t>.</w:t>
      </w:r>
      <w:bookmarkEnd w:id="78"/>
    </w:p>
    <w:p>
      <w:pPr>
        <w:pStyle w:val="BookText"/>
        <w:rPr/>
      </w:pPr>
      <w:r>
        <w:rPr>
          <w:rFonts w:ascii="Amiri" w:hAnsi="Amiri" w:eastAsia="Amiri" w:cs="Amiri"/>
          <w:color w:val="111111"/>
          <w:sz w:val="28"/>
          <w:sz w:val="28"/>
          <w:szCs w:val="28"/>
          <w:rtl w:val="true"/>
          <w:lang w:bidi="ar-SA"/>
        </w:rPr>
        <w:t>قد استثنيت من الشروط الجائزة شرائط، اختلفت كلماتهم في تحريرها، و جملة ما ذكروه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المنافي لمقتضى العقد، و الشرط المخالف للكتاب و السنة، و الشرط الذي أحلّ حراما أو حرّم حلالا، و الشرط المؤدّى إلى جهالة أحد العوضين، و الشرط الغير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يرجع بعضها إلى بعض، فيقتصر به عن ذكره،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المخالف للكتاب و السنة، يغني عن المؤدّى إلى الجهالة، لكونه معاملة غررية منهيّ عنها في السنة، و كما عن جماعة من تفسير المخالف لهما بما يخالف مقتضى العقد، نظرا إلى مخالفته لما جعله الشارع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نبيّن جليّة الحال في كلّ منها بعنوانه، و نكشف حجاب الارتياب عما هو المعنى المقصود منه، الذي وقع فيه الإشكال و الخلاف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الشرط المنافي لمدلول العقد لذاته، أي لما هو ماهيّته عرفا أو شرعا، أو لماله مدخلية في صحّته شرعا، أو لما يلزمه كذلك، بحيث لا ينفكّ منه، فإنّ جميع ذلك مناف لما هو مقتضى العقد بذاته الغير المتخلف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بطلانه ما سمعت من أنّ استحقاق الشرط و لزومه إنّما هو باعتبار وقوعه جزء العقد، و هذا فرع بقاء العقد على مقتضاه الذي هو معنى صحّته و ترتّب الأثر الموضوع له عليه، فإذا كان الشرط مخالفا له، كانت صحّة الشرط مقتضية لفساد العقد المقتضي لفساد الشرط، فيلزم من صحته عدمها، فيكون باطلا، فعلى هذا لو شرط عدم تملك العوضين، أو عدم تسليمه، كان باطلا، لأن العوض من أركان ماهيّة البيع، فإذا انتفى ينتفي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أمثلته ما ذكروه من شرط عدم الانتفاع به أو كون المنفعة للبائع، و ربما</w:t>
      </w:r>
    </w:p>
    <w:p>
      <w:pPr>
        <w:pStyle w:val="BookText"/>
        <w:rPr/>
      </w:pPr>
      <w:r>
        <w:rPr>
          <w:rFonts w:ascii="Amiri" w:hAnsi="Amiri" w:eastAsia="Amiri" w:cs="Amiri"/>
          <w:color w:val="111111"/>
          <w:sz w:val="28"/>
          <w:sz w:val="28"/>
          <w:szCs w:val="28"/>
          <w:rtl w:val="true"/>
          <w:lang w:bidi="ar-SA"/>
        </w:rPr>
        <w:t>يناقض ذلك بما اتفق على صحته من شرط المنفعة، كسكنى الدار للبائع في مدّة معينة، و شرط المرأة على زوجها أن لا يخرجها من بلدها، كما هو المنصوص عليه، مع أنّ مقتضى البيع ملك المنفعة مطلقا، و مقتضى الزوجية تسلط الزوج على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اشتراط سقوط خيار المجلس و خيار الحيوان، مع أنّ عقد البيع يقتضيهما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بعض الشروط، كشرط أن لا يبيع المبيع، أو لا يعتقه، أو لا يطأها، فقد يذكرونها في أمثلة كون الشرط منافيا لمقتضى العقد، لأن مقتضاه الملك و هو يقتضي جواز أنحاء المتصرفات، فالملك الذي هو مقتضى العقد ينافي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استشكله في التذكرة </w:t>
      </w:r>
      <w:r>
        <w:rPr>
          <w:rStyle w:val="FootnoteAnchor"/>
          <w:rtl w:val="true"/>
        </w:rPr>
        <w:footnoteReference w:id="221"/>
      </w:r>
      <w:r>
        <w:rPr>
          <w:rFonts w:ascii="Amiri" w:hAnsi="Amiri" w:eastAsia="Amiri" w:cs="Amiri"/>
          <w:color w:val="111111"/>
          <w:sz w:val="28"/>
          <w:sz w:val="28"/>
          <w:szCs w:val="28"/>
          <w:rtl w:val="true"/>
          <w:lang w:bidi="ar-SA"/>
        </w:rPr>
        <w:t xml:space="preserve">في شرط عدم البيع و عدم العتق، بل في جملة من الصحاح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الشرط في الأمة لا يباع و لا يوهب،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فإنّها تورث، لأنّ كلّ شرط خالف الكتاب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مردود، كما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يذبّ عن هذه الإشكالات بوجوه قاصرة غير حاسمة لمادة الإشكال، و الذي يختلج ببالي في تحقيق المقام أن مقتضى العقد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داخلا في حقيقته و ماهيته، بحيث لا يتحقق العقد بدونه، شرعا أو عرفا، من غير توسط جعل آخر في ترتبه عليه، كالعوضين للبيع و النقل بالمعاوضة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داخلا في حقيقته، و لكن رتّبه الشارع على مقتضاه بتوسط دليل غير دليل شرعية العقد، بواسطة أو وسائط، كالتسلط على المبيع الذي جعله</w:t>
      </w:r>
    </w:p>
    <w:p>
      <w:pPr>
        <w:pStyle w:val="BookText"/>
        <w:rPr/>
      </w:pPr>
      <w:r>
        <w:rPr>
          <w:rFonts w:ascii="Amiri" w:hAnsi="Amiri" w:eastAsia="Amiri" w:cs="Amiri"/>
          <w:color w:val="111111"/>
          <w:sz w:val="28"/>
          <w:sz w:val="28"/>
          <w:szCs w:val="28"/>
          <w:rtl w:val="true"/>
          <w:lang w:bidi="ar-SA"/>
        </w:rPr>
        <w:t>الشارع أثر الملك الذي هو مقتضى البيع،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و خيار المجلس الذي رتبه على النقل الحاصل بالبيع، و جواز الوطء المترتب على الزوجية الحاصلة من النكاح، و التسلط على سكنى الزوجية المترتب عليها،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الأوّل فلا شبهة و لا خلاف في بطلان المنافي له، و وجهه ظاهر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فاللازم فيه ملاحظة الدليل المقتضي لترتّبه على مقتضى العقد، فإن علم بإجماع أو نحوه عدم انفكاكه و عدم تخلفه عنه مطلقا، كحرمة أمّ الزوجة اللازم للزوجية و نحوها، فالشرط المنافي له باطل أيضا، لعين ما مرّ، و إن علم تخلفه بسبب الشرط، و إن لزمه عند الإطلاق، كخيار المجلس و خيار الحيوان الذي دلّ الإجماع على تخلفه عنه بالشرط، كما يتخلّف عنه بغيره أيضا، كإسقاطه بعد العقد و التصرف، فلا كلام فيه أيضا، و يصحّ الشرط، و إن لم يعلم شي‌ء منها، سواء علم إمكان التخلّف بسبب غير الشرط لدليل دلّ عليه بخصوصه، أو لم يعلم ذلك أيضا، فهو على حسب نظر الفقيه، فإن لم يثبت له دليل عامّ على سببية العقد لهذا الأمر، و احتمل اختصاص اقتضاء العقد خلافه بالمجرد عن الشرط، فيحكم بصحّة الشرط عملا بعموم أدلّة الوفاء به، و إن ثبت له دليل كذلك، فمقتضى النظر بطلان الشرط، خصوصا مع اعتضاده بأصل الفساد، مضافا إلى 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للسنة المقتضية للترتب و السببية، و لا يلاحظ فيها التعارض مع أدلّة الشرط، لاختصاص الأخيرة بما لا ينافي مقتضى العقد، حسب ما مرّ، و على الفقيه تدقيق النظر في كلّ مجال، لكي لا يشتبه عليه حقيقة الحال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يرتفع الإشكال عن الأمثلة التي ذكروها، من عدم جواز شرط عدم انتفاع المشتري بالمبيع، و جوازه في زمان معين، و عدم جواز شرط عدم الوطء في</w:t>
      </w:r>
    </w:p>
    <w:p>
      <w:pPr>
        <w:pStyle w:val="BookText"/>
        <w:rPr/>
      </w:pPr>
      <w:r>
        <w:rPr>
          <w:rFonts w:ascii="Amiri" w:hAnsi="Amiri" w:eastAsia="Amiri" w:cs="Amiri"/>
          <w:color w:val="111111"/>
          <w:sz w:val="28"/>
          <w:sz w:val="28"/>
          <w:szCs w:val="28"/>
          <w:rtl w:val="true"/>
          <w:lang w:bidi="ar-SA"/>
        </w:rPr>
        <w:t>النكاح الدائم، و جوازه في المتعة، و جواز أن لا يخرج الزوجة عن بلدها، و أمثال ذلك، لكون الإجماع هو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أن يكون مبنى الإجماع ما يقتضيه الاعتبار، من أنّ غرض الشارع من البيع حصول الملك، و الغرض منه الانتفاع به و لو في الجملة، فشرط عدمه مطلقا ينافي الغرض من وضعه، و منه النهي عن بيع الغرر، ممّا يعدّ سفها، بخلاف شرط في زمان معيّن، و به يوجه المنع فيما ذكروا من اشتراط أن لا يبيعه و لا يعتق و لا يطأها و استشكله في التذكرة، و ورد جوازه في الإماء، و كذا الغرض من وضع النكاح الدائم التوالد و التناسل، فشرط عدم الوطء ينافيه، بخلاف المتعة، فإنّ المقصود من وضعها مطلق التمتع، و هو يحصل بغير الوطء أيضا، و لذا لا يجوز شرط عدم التمتع مطلقا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يدلّ على جواز جميع التصرفات في جميع الأحوال في الملك الذي هو مقتضى البيع، فلا يصحّ شرط عدم التسلط و لو على بعضها، كعدم العتق أو سكنى الدار في زمان معين، و هو خلاف ما ذكروه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الإلزام و الالتزام بالشرط في ترك بعض التصرفات من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لسبقه يقدم، كمن أوجب على نفسه بنذر أو شبهه أن يبيع أو لا يبيع ملكه، مع أنّ دلالة الإطلاق المذكور على جواز جميع أنحاء التصرفات في جميع الأحوال غير ظاهرة، و لذا لا يستدلّ به على جواز الوطء في دبر الأمة، في مقابل أدلّة المنع </w:t>
      </w:r>
      <w:r>
        <w:rPr>
          <w:rStyle w:val="FootnoteAnchor"/>
          <w:rtl w:val="true"/>
        </w:rPr>
        <w:footnoteReference w:id="224"/>
      </w:r>
      <w:r>
        <w:rPr>
          <w:rFonts w:ascii="Amiri" w:hAnsi="Amiri" w:eastAsia="Amiri" w:cs="Amiri"/>
          <w:color w:val="111111"/>
          <w:sz w:val="28"/>
          <w:sz w:val="28"/>
          <w:szCs w:val="28"/>
          <w:rtl w:val="true"/>
          <w:lang w:bidi="ar-SA"/>
        </w:rPr>
        <w:t>و كيف كان فلس المقصود في</w:t>
      </w:r>
    </w:p>
    <w:p>
      <w:pPr>
        <w:pStyle w:val="BookText"/>
        <w:rPr/>
      </w:pPr>
      <w:r>
        <w:rPr>
          <w:rFonts w:ascii="Amiri" w:hAnsi="Amiri" w:eastAsia="Amiri" w:cs="Amiri"/>
          <w:color w:val="111111"/>
          <w:sz w:val="28"/>
          <w:sz w:val="28"/>
          <w:szCs w:val="28"/>
          <w:rtl w:val="true"/>
          <w:lang w:bidi="ar-SA"/>
        </w:rPr>
        <w:t>المقام خصوص الموارد، بل تعيين المناط فيما ليس له دليل خاصّ، و هو 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المخالف للكتاب و السنة، فلا خلاف في عدم الاعتداد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استفاضت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مضافا إلى كثير مما تقدم رواية ابن فضّال </w:t>
      </w:r>
      <w:r>
        <w:rPr>
          <w:rStyle w:val="FootnoteAnchor"/>
          <w:rtl w:val="true"/>
        </w:rPr>
        <w:footnoteReference w:id="225"/>
      </w:r>
      <w:r>
        <w:rPr>
          <w:rFonts w:ascii="Amiri" w:hAnsi="Amiri" w:eastAsia="Amiri" w:cs="Amiri"/>
          <w:color w:val="111111"/>
          <w:sz w:val="28"/>
          <w:sz w:val="28"/>
          <w:szCs w:val="28"/>
          <w:rtl w:val="true"/>
          <w:lang w:bidi="ar-SA"/>
        </w:rPr>
        <w:t>، في امرأة نكحها رجل، فأصدقته المرأة، و اشترطت عليه أن بيدها الجماع و الطلاق،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 السنة، و ولّى الحقّ من ليس أهله، و قضى أنّ على الرجل الصداق، و أنّ بيده الجماع و الطلاق، و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منها رواية محمد بن قيس </w:t>
      </w:r>
      <w:r>
        <w:rPr>
          <w:rStyle w:val="FootnoteAnchor"/>
          <w:rtl w:val="true"/>
        </w:rPr>
        <w:footnoteReference w:id="226"/>
      </w:r>
      <w:r>
        <w:rPr>
          <w:rFonts w:ascii="Amiri" w:hAnsi="Amiri" w:eastAsia="Amiri" w:cs="Amiri"/>
          <w:color w:val="111111"/>
          <w:sz w:val="28"/>
          <w:sz w:val="28"/>
          <w:szCs w:val="28"/>
          <w:rtl w:val="true"/>
          <w:lang w:bidi="ar-SA"/>
        </w:rPr>
        <w:t xml:space="preserve">، و مرسلة مروان بن مسلم </w:t>
      </w:r>
      <w:r>
        <w:rPr>
          <w:rStyle w:val="FootnoteAnchor"/>
          <w:rtl w:val="true"/>
        </w:rPr>
        <w:footnoteReference w:id="227"/>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جعل أمر امرأته بيدها؟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الأمر من ليس أهله، و خالف السنة، و لم يجز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 رجل تزوّج امرأة، فإن جاء بصداقها إلى أجل مسمّى فهي امرأته، و إن لم يجي‌ء بالصداق فليس له عليها سبيل، شرطوا بينهم حيث أنكحوا، فقضى أنّ بيد الرجل بضع امرأته، و أحبط شرطهم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مستفيضة الأخبار، فلا شبهة في عدم جواز هذا الشرط، و إنّما الكلام فيما يراد منه، فإنّه لا يكاد يسلم ظاهره عن مناقشة و مناقضة بأمثلة اتفاقية،</w:t>
      </w:r>
    </w:p>
    <w:p>
      <w:pPr>
        <w:pStyle w:val="BookText"/>
        <w:rPr/>
      </w:pPr>
      <w:r>
        <w:rPr>
          <w:rFonts w:ascii="Amiri" w:hAnsi="Amiri" w:eastAsia="Amiri" w:cs="Amiri"/>
          <w:color w:val="111111"/>
          <w:sz w:val="28"/>
          <w:sz w:val="28"/>
          <w:szCs w:val="28"/>
          <w:rtl w:val="true"/>
          <w:lang w:bidi="ar-SA"/>
        </w:rPr>
        <w:t>فإنّه إن أريد بمخالفته مخالفة لزومه، فالشروط السائغة كلّها غير لازمة، قبل الشرط بمقتضى الكتاب و السنة، و لزمت من جهة الأمر بالوفاء بعد الشرط، فلا معنى لاستثنائها، و إن أريد مخالفة متعلق الشرط، لما ثبت من الكتاب و السنة، سواء كان ثبوته منهما بأصل الشرع، كما قيل، كشرط استرقاء الحرّ، و استباحة بضع محرّم و شرب الخمر و ترك التزويج و التسري و نحوها، أو بتوسّط العقد، كشرط عدم انتفاع المشتري من المبيع، و عدم انتقاله بالإرث، و كون الطلاق بيد الزوجة، و أمثالها، فينتقض بشروط أخرى جائزة، إجماعا و نصّا، كشرط سقوط خيار الحيوان و المجلس، و ثبوت الخيار و المنفعة للبائع إلى زمان معلوم، و عتق المبيع، و عدم إخراج الزوجة عن بلدها، و غير ذلك مما لا يحصى، فلا يتحصّل مناط التفرقة بذلك بين الشرط الجائز و غير الجائز، و لم يتّضح الفرق بين تعيين المدّة و عدمه في شرط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جمع من المحقّقين دفعا لهذه الإشكالات، و ضبطا لمناط الفرق بينهما لتوجيه الحديث و تنزيله إلى محامل بعيدة،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حاسمة لمادّة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جعل الضابط في الشرط الجائز ما لا يخالف مقتضى السنة بأصل الشرع، لا بتوسّط العقد، استشهادا له باتفاقهم على صحة شرائط يخالف مقتضى السنة بتوسّط العقد، كشرط عدم الانتفاع مدّة معينة، و شرط سقوط خيار المجلس،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منتقض بصحة شرط عدم الانتفاع من مال آخر له غير المبيع مدّة معلومة، و عدم تزويج امرأة معينة، و نحوهما المتفق على صحته مما لا يحصى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الجائز و غير الجائز ورود النصّ بخصوصه على جواز</w:t>
      </w:r>
    </w:p>
    <w:p>
      <w:pPr>
        <w:pStyle w:val="BookText"/>
        <w:rPr/>
      </w:pPr>
      <w:r>
        <w:rPr>
          <w:rFonts w:ascii="Amiri" w:hAnsi="Amiri" w:eastAsia="Amiri" w:cs="Amiri"/>
          <w:color w:val="111111"/>
          <w:sz w:val="28"/>
          <w:sz w:val="28"/>
          <w:szCs w:val="28"/>
          <w:rtl w:val="true"/>
          <w:lang w:bidi="ar-SA"/>
        </w:rPr>
        <w:t>خلاف الشرط، فلا يجوز شرط عدمه، كتزويج الزيادة على الواحدة،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مَثْنىٰ وَ ثُلٰاثَ وَ رُبٰاعَ </w:t>
      </w:r>
      <w:r>
        <w:rPr>
          <w:rStyle w:val="FootnoteAnchor"/>
          <w:rtl w:val="true"/>
        </w:rPr>
        <w:footnoteReference w:id="229"/>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r>
        <w:rPr>
          <w:rFonts w:ascii="Amiri" w:hAnsi="Amiri" w:eastAsia="Amiri" w:cs="Amiri"/>
          <w:color w:val="111111"/>
          <w:sz w:val="28"/>
          <w:sz w:val="28"/>
          <w:szCs w:val="28"/>
          <w:rtl w:val="true"/>
          <w:lang w:bidi="ar-SA"/>
        </w:rPr>
        <w:t>أو بالعموم، فيجوز، كتزويج المرأة الفلانية، و هو كما ترى مجازفة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المحقق القمي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مخالفة السنة اشتراط ترك مباح على وجه القاعدة الكلّية دون خصوصية فرد، نظرا إلى أنّ متعلّق الحكم الشرعي هو الكلّي، و تعلّقه بالجزئيات باعتبار تحقق الكلّي في ضمنها، فشرط ما يخالف الكلّي يخالف السنة، مثل ترك التزويج و التسري و جعل الخيرة في الطلاق و الجماع بيد الزوجة، المخالف لقوله تعالى الرِّجٰالُ قَوّٰامُونَ عَلَى النِّسٰاءِ </w:t>
      </w:r>
      <w:r>
        <w:rPr>
          <w:rStyle w:val="FootnoteAnchor"/>
          <w:rtl w:val="true"/>
        </w:rPr>
        <w:footnoteReference w:id="232"/>
      </w: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Style w:val="FootnoteAnchor"/>
          <w:rtl w:val="true"/>
        </w:rPr>
        <w:footnoteReference w:id="233"/>
      </w:r>
      <w:r>
        <w:rPr>
          <w:rFonts w:ascii="Amiri" w:hAnsi="Amiri" w:eastAsia="Amiri" w:cs="Amiri"/>
          <w:color w:val="111111"/>
          <w:sz w:val="28"/>
          <w:sz w:val="28"/>
          <w:szCs w:val="28"/>
          <w:rtl w:val="true"/>
          <w:lang w:bidi="ar-SA"/>
        </w:rPr>
        <w:t>و أما ما يخالف الجزئي، كعدم تزويج امرأة معينة، فليس مخالفا لما تعلّق به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فلأنّه لا شاهد للفرق بهذه الاعتبارات مع التساوي في صدق تعلّق الحكم الشرعي بهما لغة و عرفا، و لو هو بواسطة الكلّي أيضا، و أمّا ثانيا فلأنّ انتفاء الحكم عن الجزئى بالشرط ينافي كلّية الحكم الشاملة له الثابتة بالشرع، فيخالف الشرط الحكم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ثالثا، فلأنّ كلّ شرط لا ينفكّ عن خصوصية لم يعتبر في الحكم الكلّي، و لو هي خصوص المشروط له، فلم يبق مورد للاستثناء، و التفرقة بين الخصوصيات تحكّم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والدي العلّامة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بالشرط المخالف للكتاب و السنة أن يشترط حكما خالف حكمها، سواء كان من الأحكام الطلبية أو الوضعية، و ذلك كما أنّه</w:t>
      </w:r>
    </w:p>
    <w:p>
      <w:pPr>
        <w:pStyle w:val="BookText"/>
        <w:rPr/>
      </w:pPr>
      <w:r>
        <w:rPr>
          <w:rFonts w:ascii="Amiri" w:hAnsi="Amiri" w:eastAsia="Amiri" w:cs="Amiri"/>
          <w:color w:val="111111"/>
          <w:sz w:val="28"/>
          <w:sz w:val="28"/>
          <w:szCs w:val="28"/>
          <w:rtl w:val="true"/>
          <w:lang w:bidi="ar-SA"/>
        </w:rPr>
        <w:t>ثبت منهما أنّ أمر المرأة ليس بيدها، فشرط كونه بيدها، و ثبت أن الطلاق بيد الزوج، فيشترط أن لا يكون بيده، و ثبت أنّ الناس مسلطون على أموالهم، فيشترط أن لا يكون مسلطا على أمواله أو على مال معيّن، و ثبت أنّ الخمر حرام، فيشترط أن يكون حلالا، إلى غير ذلك، و أمّا اشتراط أن لا يتصرّف المشتري في المبيع مدّة معلومة، فهو ليس مخالفا للكتاب أو السنة، إذ لم يثبت منهما تصرّفه، بل إنّما ثبت جواز تصرّفه، و المخالف له عدم جواز تصرّفه، فلو شرطه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عدم تصرّفه يستلزم عدم جواز تصرّفه، فيخالف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الشرط يستلزم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إيجاب الشارع للعمل بالشرط يستلزم عدم جواز التصرف، و ليس المستثنى شرطا خالف إيجابه أو وجوبه الكتاب أو السنة، انتهى خلاصة ما أوردناه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الاستثناء بطلان شرط كان متعلّقه حكما طلبيا أو وضعيا خالف ما ثبت قبله من الكتاب و السنة، لا نفس الفعل، و إن صار بعد إنفاذ الشرط مخالفا لحكمه السابق، و به فسّر الشرط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حلّل حراما أو حرّم حلالا، كما سنشير إليه، و هذا التفسير و إن كان أقرب بالاعتبار، و أوفق بأكثر الأخبار من غيره، إلّا أنّه غير مسلم عن بعض المناقضة أيضا، لانتقاضه طردا بمثل شرط سقوط خيار المجلس أو الحيوان، و ثبوت الخيار مدّة معلومة، المجمع على صحّته، و نحو ذلك، مما ليس بفعل العبد، و عكسا بشرط فعل ثبت حرمته بالكتاب أو السنة، أو ترك ما ثبت وجوبه، كشرط شرب الخمر، و استرقاق الحرّ، و ترك فريضة، و أمثالها، و بشرط فعل مباح أو ترك مباح كان لزومه و لو بالشرط مخالفا للسنة، كشرط عدم التزويج و التسري، فإنّه غير جائز على ما تكرّر عليه نقل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دفعه بأن شرط فعل الحرام و ترك الواجب ليس من جهة مخالفة السنة أو تحليل الحرام و عكسه، بل بوقوع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دلّ على حرمة الفعل أو الترك، و بين أدلّة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المناقشة فيه بأنّ هذا التعارض واقع غالبا في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 عدم تزويج امرأة مدّة معيّنة، دلّ على إباحته قوله تعالى فَانْكِحُوا مٰا طٰابَ لَكُمْ، و نسبة التعارض بين أدلّة وجوب الوفاء بالشرط و بينه مثل النسبة بينها و بين أدلة الوجوب و الحرمة في الأوّل، و كون الإجماع مرجّحا في الأوّل لا ينضبط به القاعدة الكلّية، بل يقتصر به على مورد اليقين، فلا يرتفع به الإشكال، بل وجب الرجوع في الثاني في غير ما علم صحّته بالخصوص بالإجماع إلى ما يقتضيه الأصل، لكون التعارض بين الدليلين بالعموم من وجه، فلا يحصل بذلك الضابط الكلّي في الشروط الجائزة و غير الجائزة، و التفرقة بين الأمور المحرّمة، إلّا أن يجعل الإجماع مناطا فيهما،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منافيا لمقتضى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مطرد في موارد الخلاف و الشبهة، و مع ذلك كلّه فحمل المخالفة للكتاب أو السنة على معنى اشتراط حكم يخالف حكمها مما يستدعي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وقفت عليه من كلماتهم في توجيه الحديث،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إلى أمر محصّل مضبوط حاسم لمادّة الإشكال، و الذي يختلج ببالي و أظنّه أسلم، بل سالما عن النقض و الإيراد، أنّ فائدة الشرط المقصود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 عند شروطهم، ما تعاهد عليه المشترطان، و حيث إنّ هذا يعمّ جميع ما تعلّق به الشرط و وقع عليه الإلزام، استثنى عليه السّلام منه ما يخالف مقتضى الشرع من الأفعال و الأحكام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يلتزم به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الأفعال و التروك، أو من قبيل</w:t>
      </w:r>
    </w:p>
    <w:p>
      <w:pPr>
        <w:pStyle w:val="BookText"/>
        <w:rPr/>
      </w:pPr>
      <w:r>
        <w:rPr>
          <w:rFonts w:ascii="Amiri" w:hAnsi="Amiri" w:eastAsia="Amiri" w:cs="Amiri"/>
          <w:color w:val="111111"/>
          <w:sz w:val="28"/>
          <w:sz w:val="28"/>
          <w:szCs w:val="28"/>
          <w:rtl w:val="true"/>
          <w:lang w:bidi="ar-SA"/>
        </w:rPr>
        <w:t>الأحكام الطلبية أو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عمل سائغ شرعا أو محرّم، من فعل معصية كشرب الخمر، أو ترك فريضة كترك الصوم، أو تشريع حكم يلتزم بفعله بعد الشرط، و نحو ذلك،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الحكم إمّا يكون مما يتحقّق شرعا باشتراط الفعل الجائز، و يلزمه كاشتغال الذمة بالمبلغ للمشروط له اللازم للالتزام بإعطائه، و عدم تسلط الزوج على إخراج الزوجة من بلدها اللازم للالتزام بعدم إخراجها، و سقوط الخيار اللازم بشرط عدم الفسخ، و الخيار اللازم بشرط الفسخ متى شاء، و وجوب الكون اللازم بشرط ترك الحركة، و حرمة الإقامة اللازمة للالتزام بالسفر، و أمثال ذلك، من الأحكام التي يكفي في تحققها شرعا مجرد الالتزام بالفعل الجائز، أو لا يترتّب شرعا على مجرد الإلزام بالفعل السائغ، بل هو إمّا لا يتغيّر عما هو في أصل الشرع باختيار من المكلّف، كالتوريث و الطهارة و النجاسة و نحوها، أو يتغيّر بسبب اختياري من المكلّف في الكتاب و السنة، غير مجرد الشرط، كحرّية الرقّ المسببة شرعا عن تحريره بالعتق، و الرقية المسببة عن الاختلاس من دار الحرب، و الوقفية المسببة عن صيغة الوقف،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اقسام أربعة لا شك في دخول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منه، و كونه شرطا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الفعل واجبا كصلاة الفريضة، كان الشرط يؤكّد وجوبه، و لا ضير في الواجبات الشرعية، كما في نذر الواجب، و لا ينافي لزوم الشرط مقتضى الكتاب و السنة الدال على عدمه قبل الشرط، كقوله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235"/>
      </w:r>
      <w:r>
        <w:rPr>
          <w:rFonts w:ascii="Amiri" w:hAnsi="Amiri" w:eastAsia="Amiri" w:cs="Amiri"/>
          <w:color w:val="111111"/>
          <w:sz w:val="28"/>
          <w:sz w:val="28"/>
          <w:szCs w:val="28"/>
          <w:rtl w:val="true"/>
          <w:lang w:bidi="ar-SA"/>
        </w:rPr>
        <w:t xml:space="preserve">المنافي للزوم عدم تزويج امرأة بالشرط، و الرِّجٰالُ قَوّٰامُونَ عَلَى النِّسٰاءِ </w:t>
      </w:r>
      <w:r>
        <w:rPr>
          <w:rStyle w:val="FootnoteAnchor"/>
          <w:rtl w:val="true"/>
        </w:rPr>
        <w:footnoteReference w:id="236"/>
      </w:r>
      <w:r>
        <w:rPr>
          <w:rFonts w:ascii="Amiri" w:hAnsi="Amiri" w:eastAsia="Amiri" w:cs="Amiri"/>
          <w:color w:val="111111"/>
          <w:sz w:val="28"/>
          <w:sz w:val="28"/>
          <w:szCs w:val="28"/>
          <w:rtl w:val="true"/>
          <w:lang w:bidi="ar-SA"/>
        </w:rPr>
        <w:t>المنافي لشرط عدم إخراجها من البلد و نحو</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لزومه ليس متعلّق الشرط، بل هو مقتضى دليل وجوب الوفاء به، و المفروض هو ترجيحه على ما ينافيه، و الفراغ عنه بما مرّ في المطلب السابق، بل لا تعارض بينهما حقيقة؛ فإنّ الأحكام الشرعية يتغيّر بتجدّد الأسباب، كحكم إباحة الفعل قبل الشرط، فإنّه كان حكمه الأصلي، و صار لازما بسبب الشرط، و هل النسبة بينهما إلّا كنسبة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الرافع للتسلط، فلا يلاحظ الترجيح في خصوص الموارد، بل هما من باب الوارد و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شكّ في دخول الأخير في المستثنى، أي المخالف للكتاب أو السنة، كشرط عدم الإرث، و رقّية الحرّ، و حرّية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ينبغي الشك في دخول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فعل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لكونه المتبادر بالأذهان و متفاهم الأصحاب، فإنّه يصدق على شرب الخمر المتعاهد فعله و الإلزام به كونه مخالفا لمقتضى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نفس الحكم المترتّب على إلزام فعل جائز، كشرط اشتغال الذمّة و سقوط الخيار و نحو ذلك، فالظاهر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أدلّة الشرط، و عدم مخالفته للكتاب أو السنّة، بل هو موافق للسنة الواضعة لحكم الشرع بالسببية الرافعة للحكم السابق، كما علمت، و منع اشتراط القدرة على نفس متعلّق الشرط، بل يكفي القدرة على سببه الذي هو الإلزام الذي هو المقدور له، فهو من قبيل التعبير عن الملزوم باللازم، فلا يخرج الحكم المشروط عن قدرته حقيقة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أنّ اشتغال الذمّة إنّما يحصل بعد الشرط و الإلزام و اعتبار المتعلّق قبله، فجعله متعلّقا لا يخلو عن دور، لأنّ ذلك يستحيل فيما كان من باب الأخبار و القضايا، دون ما هو من الإنشاء الذي يعتبر في العقود الشرعية، فإنّ تحقق المتعلّق إنّما هو بنفس الإنشاء كما في الرهن بنحو جعلته مرهونا، و في الطلاق بقوله هي</w:t>
      </w:r>
    </w:p>
    <w:p>
      <w:pPr>
        <w:pStyle w:val="BookText"/>
        <w:rPr/>
      </w:pPr>
      <w:r>
        <w:rPr>
          <w:rFonts w:ascii="Amiri" w:hAnsi="Amiri" w:eastAsia="Amiri" w:cs="Amiri"/>
          <w:color w:val="111111"/>
          <w:sz w:val="28"/>
          <w:sz w:val="28"/>
          <w:szCs w:val="28"/>
          <w:rtl w:val="true"/>
          <w:lang w:bidi="ar-SA"/>
        </w:rPr>
        <w:t>طالق، و في الضمان بأنا ضامن، و غير ذلك، و الشروط الشرعية من باب الإنشاء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الشرط الثالث، أي الذي أحلّ حراما أو حرّم حلالا، فقد وقع التصريح بعدم الاعتداد به في موثق إسحاق بن عمّار </w:t>
      </w:r>
      <w:r>
        <w:rPr>
          <w:rStyle w:val="FootnoteAnchor"/>
          <w:rtl w:val="true"/>
        </w:rPr>
        <w:footnoteReference w:id="237"/>
      </w:r>
      <w:r>
        <w:rPr>
          <w:rFonts w:ascii="Amiri" w:hAnsi="Amiri" w:eastAsia="Amiri" w:cs="Amiri"/>
          <w:color w:val="111111"/>
          <w:sz w:val="28"/>
          <w:sz w:val="28"/>
          <w:szCs w:val="28"/>
          <w:rtl w:val="true"/>
          <w:lang w:bidi="ar-SA"/>
        </w:rPr>
        <w:t>، بل لا كلام في عدم جوازه، و الإشكالات الواردة في الشرط السابق يتأتّى هنا أيضا، نظرا إلى أنّ بناء الشرط على تحريم ما استبيح و إباحة ما حرّم، لكونه مقتضى الإلزام، فإنّه يحلّ للمشروط له المطالبة بالشرط و لو جبرا، و يحرم على المشروط عليه الامتناع عنه على عكس حكمهما قبل الشرط، و كذا يرد عليه ظاهرا النقض بكثير من الأمثلة المتقدمة، و تكلّفوا في تفسيره بما تكلّفوا به في الشرط السابق، و لا يخلو شي‌ء منه عن النقض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حقّقنا فيه من أنّ المراد به الإلزام بفعل محرّم كاسترقاق الحرّ و شرب الخمر و تزويج الخامسة، أو بترك حلال لا يجوز في الشرع الإلزام بتركه، كترك وطء الزوجة، أو الالتزام بحكم يستلزم العمل بأحد هذين المحذورين، و يظهر لك بالتأمل الصادق تطبيق ذلك على التفصيل السابق في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المؤدّى إلى جهالة أحد العوضين، و في حكمها الجهل الغير المغتفر في العقد و إن لم يؤدّ إليها، فالتحقيق فيها أنّ الجهل المتعلّق بالشرط على وجوه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مؤدّيا إلى جهالة أحد العوضين، بمعنى تردّده بحسب الواقع في أحد الأمرين أو أكثر سواء كانت في عينه، كأن يبيع بدينار عراقي و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كذا كان الثمن فرس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قدره، كأن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كذا كان الثمن دينارين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صفة، كأن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كذا، كان الدينار روميا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باطل اجماعا،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استلزامه في الأكثر الغرر المنهيّ عنه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منافيا لمقتضى العقد، و 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عدم تعيّن العوض حال العقد، و توقف تعيينه على أمر سيوجد، و هو ينافي استقلال العقد في السببية، الذي هو مقتضى الأدلة، حسب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إذا باع إلى سنة و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كذا كان الثمن معجّلا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لمدخلية المدّة في العوض، و لا يذهب عليك أنّه أن شرط هبة بعض الثمن أو إعطاء دينار مضافا إليه إذا حدث كذا، أو إعطاؤه معجّلا عنده، ليس هو مما يؤدّى إلى جهالة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اتحاد مآل الشرطين بما تقدّم بيانه في تفصيل الشرط المخالف للكتاب، فلازمه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وجوب الإعطاء أو الإبراء بالشرط في الثاني، لازمه اشتغال الذمّة بالمشروط به أو التزامه عنه، لا صيرورة الثمن زائدا أو ناقصا، و المبطل هو التردد و التعليق في الثمن، لا في حصول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الشرط قسطا من العوض لا يوجب الجهل به، إذ القسط منه هو الاشتراط، و هو الإلزام بالمبلغ أو نحوه عند حدوث كذا، لا نفس المبلغ، و شتّان ما بينهما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الجهل مستلزما للغرر المنهيّ عنه، و إن لم يرجع إلى الجهل بأحد العوضين بعينه، بل إلى ما يتعلّق بالعقد، مما يتفاوت به النفع و الضرر، و يختلف فيه الأغراض عرفا المجهول </w:t>
      </w:r>
      <w:r>
        <w:rPr>
          <w:rStyle w:val="FootnoteAnchor"/>
          <w:rtl w:val="true"/>
        </w:rPr>
        <w:footnoteReference w:id="238"/>
      </w:r>
      <w:r>
        <w:rPr>
          <w:rFonts w:ascii="Amiri" w:hAnsi="Amiri" w:eastAsia="Amiri" w:cs="Amiri"/>
          <w:color w:val="111111"/>
          <w:sz w:val="28"/>
          <w:sz w:val="28"/>
          <w:szCs w:val="28"/>
          <w:rtl w:val="true"/>
          <w:lang w:bidi="ar-SA"/>
        </w:rPr>
        <w:t>عند المتعاقدين، و إن تعيّن بحسب الواقع، و سيجي‌ء تحقيق القول في الغرر و الشرط الغرري، و دليل فساده في بعض المشارق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ما اتفقوا على بطلانه من شرط الخيار في مدّة مجهولة أو محدودة بحدّ غير مضبوط يحتمل الزيادة و النقيصة، كقدوم الحاجّ و إدراك الثمرات، و نحوه التحديد بما لم ينضبط به مبدأ الخيار، كإتيانه إلى سنة من حين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المدّة مضبوطة، و لكن علّق الخيار على اقتران الفسخ بأمر لا نعلم وقت حصوله في أثناء المدّة المعينة، سواء كان من فعل المشروط له أو غيره، صحّ الشرط، كقسط </w:t>
      </w:r>
      <w:r>
        <w:rPr>
          <w:rStyle w:val="FootnoteAnchor"/>
          <w:rtl w:val="true"/>
        </w:rPr>
        <w:footnoteReference w:id="240"/>
      </w:r>
      <w:r>
        <w:rPr>
          <w:rFonts w:ascii="Amiri" w:hAnsi="Amiri" w:eastAsia="Amiri" w:cs="Amiri"/>
          <w:color w:val="111111"/>
          <w:sz w:val="28"/>
          <w:sz w:val="28"/>
          <w:szCs w:val="28"/>
          <w:rtl w:val="true"/>
          <w:lang w:bidi="ar-SA"/>
        </w:rPr>
        <w:t xml:space="preserve">المدّة إلى سنة و نحوها، بشرط أداء الثمن فيها، كما ورد في النصوص المستفيضة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الفرق بين تعليق الفسخ على قدوم الحاجّ إلى سنة، أو على حياة المشروط له فيها فصحّ الشرط، و بين تحديد المدّة بقدومه أو حياته و نحوها فبطل، و إن اشتركا في الجهل بزمانه، و سنذكر وجه الفرق بينهما في البحث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الجهالة في أصل المدّة يرجع الغرر فيه إلى نفس العقد، بخلاف الثاني، فانتظر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الجهل واقعيا، بمعنى عدم تعين المشروط المجهول في نفس الأمر، و إن لم يرجع إلى أحد العوضين، كأن يبيع بمائة و شرط له سكنى هذا الدار، من غير تعيين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مؤدّيا إلى العوض أو الغرر، فحكمه ما مضى من البطلان، و إلّا فالمشروط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 الفعل الملتزم به، كإعطاء دينار أو إسكان دار و نحوهما، فالمتّجه فيه الصحّة، لعموم الأدلّة، و عدم احتمال مانع سوى لزوم تعين متعلق الشرط على ما سيجي‌ء، و هو مدفوع بتعيّنه على الوجه الكلّي، و هو ما صدق عليه فعل الشارط على حسب ما تعلّق به لفظ الشرط، و لزوم تعيينه بالفرد عند الوفاء به من باب المقدمة، و هو موكول بحسب دلالة اللفظ إلى خيرة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متعلّق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متعلق الفعل، و الأوّل متعين، و الثاني غير لازم التعيّن في الشرط، و الفرق بينهما ظاهر، و لذا لا يصحّ الرهن بما يعادل من ماله الدين من غير تعيين، و يصحّ ذلك في الشرط،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بعشرة دنانير، و شرطت عليك أن تجعل لى مرهونا يعادلها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متعلّق الشرط غير فعل الشارط،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كلّي تساوت أفراده، كأن يشترط له دينارا عراقيا أو رطلا من الحنطة، فالوجه فيه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لتعيين الحقّ الذي تعلّق به الشرط، و هو الكلّي بما هو كلّي، و عرفت أنّ لزوم التعيين بالفرد عند الوفاء به إنّما هو من باب المقدمة، و حيث لا اختلاف في خصوصيات الأفراد المختلف به الأغراض، لا يضرّ عدم تعيّنه في الشرط، بل على الشارط الواجب عليه الوفاء تعيينه بواحد منها، كما لا يضرّ عدم تعيينه في العقد إذا كان أحد العوضين، كبيع رطل من الحنطة بهذا، أو بيع هذا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كلّيّ مختلف الأفراد، كأن يشترط له فرسا، فلا يبعد فيه البطلان، فمتعلّق غرض المتعاقدين في مثل ذلك إلى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و هي غير متعينة، و ليس في لفظ الشرط ما دلّ على كونه بتعيين الشارط، فيستحيل تعلّق الحقّ بها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كون المقصود مجرّد الماهيّة بأي فرد تحققت و لو على تفاوت مراتبها،</w:t>
      </w:r>
    </w:p>
    <w:p>
      <w:pPr>
        <w:pStyle w:val="BookText"/>
        <w:rPr/>
      </w:pPr>
      <w:r>
        <w:rPr>
          <w:rFonts w:ascii="Amiri" w:hAnsi="Amiri" w:eastAsia="Amiri" w:cs="Amiri"/>
          <w:color w:val="111111"/>
          <w:sz w:val="28"/>
          <w:sz w:val="28"/>
          <w:szCs w:val="28"/>
          <w:rtl w:val="true"/>
          <w:lang w:bidi="ar-SA"/>
        </w:rPr>
        <w:t>لم يبطل بذلك، و إن بطل من جهة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جزئيّ مردّد بين شيئين أو أكثر، كأن يشترط له أحد هذين العبدين، فإنّه ظاهر في عدم تعلّق الشرط بالمفهوم الكلّي، بل بالخصوصية الغير المتعينة، فيتّجه فيه البطلان لما ذكر، كما يبطل العقد إذا جعل ذلك أحد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242"/>
      </w:r>
      <w:r>
        <w:rPr>
          <w:rFonts w:ascii="Amiri" w:hAnsi="Amiri" w:eastAsia="Amiri" w:cs="Amiri"/>
          <w:color w:val="111111"/>
          <w:sz w:val="28"/>
          <w:sz w:val="28"/>
          <w:szCs w:val="28"/>
          <w:rtl w:val="true"/>
          <w:lang w:bidi="ar-SA"/>
        </w:rPr>
        <w:t>أن يكون الجهالة بغير ما ذكر من الوجوه الثلاثة مقتضى عموم الأدلّة صحة الشرط حينئذ و عدم بطلانه بها إلّا إذا ثبت بطلانه بها بدليل فيقتصر على مورده كما في وجوب ضبط آخر المدّة في خيار الشرط بما لا يحتمل الزيادة و النقصان الثابت بالإجماع و بطلانه بالتحديد بقدوم الحاجّ و ادراك الثمرات و نحوهما و لا هكذا ضبط أوّل المدّة كما في شرط حصول اختيار للبائع بردّ الثمن و دلّ عليه النصوص كالموثّق عن رجل مسلم احتاج إلى بيع و لو لا مشى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إليّ من أن يكون لغيرك على أن تشترط لي أن جئتك بثمنها إلى سنة أن تردّها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ينقدح من هذا أنّه لو شرط الخيار إلى مدّة حياة أحدهما أو ثالث بطل و لو شرط إلى عشرين سنة بشرط حدوث كذا أو بشرط موت فلان يصحّ و لو شرط إلى عشرين بشرط حياته ففيه إشكال لوقوع </w:t>
      </w:r>
      <w:r>
        <w:rPr>
          <w:rStyle w:val="FootnoteAnchor"/>
          <w:rtl w:val="true"/>
        </w:rPr>
        <w:footnoteReference w:id="243"/>
      </w:r>
      <w:r>
        <w:rPr>
          <w:rFonts w:ascii="Amiri" w:hAnsi="Amiri" w:eastAsia="Amiri" w:cs="Amiri"/>
          <w:color w:val="111111"/>
          <w:sz w:val="28"/>
          <w:sz w:val="28"/>
          <w:szCs w:val="28"/>
          <w:rtl w:val="true"/>
          <w:lang w:bidi="ar-SA"/>
        </w:rPr>
        <w:t>الجهل إلى آخر المدّة حقيقة حيث يفيد تحديد الغاية بأمرين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مجهول هو ثبوت المشروط له، و الأخرى معيّن هو انقضاء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قصد من شرط الحياة عدم الانتقال إلى الوارث يبطل من جهة أخرى هي مخالفته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الفسخ بلفظه إلى عشرين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انقطاع اللفظ بالموت الذي هو مجهول فرجع الجهل إلى الغاية و من عدم تقييد المدّة به، بل هو قيد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الأوجه فيه الصحة و مراعاة الاحتياط أولى، بل ينبغي الاحتياط بالاحتراز عما كان الجهل فيه مثار النزاع مطلقا و إن لم يكن منع الغرر فيه ثابتا، بل قيل بالمنع، لأنّه لم يعهد نظيره في الشرع بل المعلوم منه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الغير المقدور، فلا خلاف في بطلانه و اشتراط القدرة عليه و لو في بعض المدّة بقدر ما أمكن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 ظهور الأخبار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الإلزام و الالتزام، و معنى شرعيته تحقّق اللزوم، و وجوب الخروج عن عهدته مطلقا، أو إنشاء بقاء لزوم العقد على المشروط له، كما ربما يظهر عن بعضهم، من أنّ فائدته جعل العقد اللازم جائزا، كما سيجي‌ء، و هو فرع القدرة عليه أو على سببه، كان يكون فعلا مقدورا أو حكما يكفي في ثبوته مجرد الالتزام به حسب ما مرّ، فلا ينعقد اللزوم بما ليس بمقدور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عدم المقدورية إمّا من جهة تعذّر الفعل مطلقا، أو بالنسبة إلى المشروط عليه، أو من جهة كونه فعل الغير، كمجي‌ء زيد يوم كذا، من غير أن يكون سببه مقدورا لمن شرط عليه، و منه بيع الزرع على أن يجعله اللّه تعالى أو المشتري سنبلا، و الرطب على أن يجعله تمرا، إلّا أن يقصد به إبقائه إلى بلوغه سنبلا أو تمرا، مع أنّه لا يخلو عن 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لخروجه عن صورة الشرط المقدور، و عن المطابقة بين اللفظ و المقصود، على ما أشرنا اليه في بعض ما تقدّم، و لا بأس به مع وضوح المراد، أو كونه من الأحكام المخالفة للكتاب و السنة، أو المتوقّفة على سبب خارج من الشرط، كاشتراطه حلية بضع أو فرقة زوجته أو حرّية عبده،</w:t>
      </w:r>
      <w:bookmarkStart w:id="79" w:name="pg2497_11916"/>
    </w:p>
    <w:p>
      <w:pPr>
        <w:pStyle w:val="BookText"/>
        <w:rPr/>
      </w:pPr>
      <w:bookmarkEnd w:id="79"/>
      <w:r>
        <w:rPr>
          <w:rFonts w:ascii="Amiri" w:hAnsi="Amiri" w:eastAsia="Amiri" w:cs="Amiri"/>
          <w:color w:val="111111"/>
          <w:sz w:val="28"/>
          <w:sz w:val="28"/>
          <w:szCs w:val="28"/>
          <w:rtl w:val="true"/>
          <w:lang w:bidi="ar-SA"/>
        </w:rPr>
        <w:t>من غير قصد سبب إيجاد سببهما من الشرط، فهذه كلّها من الشروط الغير المقدورة، و 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الإشكال في بعض الأمثلة، إلا أنّه بعد ما اتضح المناط يمكن دفعه بتأمّل دقيق فيه، كما إذا اشترط البيع من ثالث باعتبار توقّفه على رضاه، فهو من غير المقدور، و الظاهر أنّه يبنى على الخلاف في معنى البيع، فإن قلنا أنّه نفس العقد المركّب من الإيجاب و القبول، لم يصحّ الشرط، لأنّ المركّب من فعله و فعل الغير ليس من فعله، فليس مقدورا، و تنزيله على الإيجاب خاصّة خروج عن حقيقة اللفظ، و إن قلنا بأنّه نقل الملك بعوض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لكونه من فعله، و إن كان من شرط تحققه قبول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يتوقّف صدق القدرة على العلم أو الظنّ بحصول القبول من الغير مطلقا، إن لم يعيّن المشتري أو خصوص شخص إن عيّنه، فإذا اتّفق أن لا يرضى بالقبول كان للمشروط له الخيار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861815_3804643083"/>
      <w:bookmarkStart w:id="81" w:name="_Toc30"/>
      <w:bookmarkEnd w:id="80"/>
      <w:r>
        <w:rPr>
          <w:rtl w:val="true"/>
        </w:rPr>
        <w:t>المطلب السابع في حكم العقد إذا فسد الشرط</w:t>
      </w:r>
      <w:bookmarkEnd w:id="81"/>
    </w:p>
    <w:p>
      <w:pPr>
        <w:pStyle w:val="BookText"/>
        <w:rPr/>
      </w:pPr>
      <w:r>
        <w:rPr>
          <w:rFonts w:ascii="IRNazanin" w:hAnsi="IRNazanin" w:eastAsia="IRNazanin"/>
          <w:color w:val="111111"/>
          <w:sz w:val="28"/>
          <w:sz w:val="28"/>
          <w:szCs w:val="28"/>
          <w:rtl w:val="true"/>
          <w:lang w:bidi="fa-IR"/>
        </w:rPr>
        <w:t xml:space="preserve">المطلب السابع </w:t>
      </w:r>
      <w:r>
        <w:rPr>
          <w:rStyle w:val="FootnoteAnchor"/>
          <w:rtl w:val="true"/>
        </w:rPr>
        <w:footnoteReference w:id="244"/>
      </w:r>
      <w:r>
        <w:rPr>
          <w:rFonts w:ascii="Amiri" w:hAnsi="Amiri" w:eastAsia="Amiri" w:cs="Amiri"/>
          <w:color w:val="111111"/>
          <w:sz w:val="28"/>
          <w:sz w:val="28"/>
          <w:szCs w:val="28"/>
          <w:rtl w:val="true"/>
          <w:lang w:bidi="ar-SA"/>
        </w:rPr>
        <w:t>في حكم العقد إذا فسد الشرط</w:t>
      </w:r>
    </w:p>
    <w:p>
      <w:pPr>
        <w:pStyle w:val="BookText"/>
        <w:rPr/>
      </w:pPr>
      <w:r>
        <w:rPr>
          <w:rFonts w:ascii="Amiri" w:hAnsi="Amiri" w:eastAsia="Amiri" w:cs="Amiri"/>
          <w:color w:val="111111"/>
          <w:sz w:val="28"/>
          <w:sz w:val="28"/>
          <w:szCs w:val="28"/>
          <w:rtl w:val="true"/>
          <w:lang w:bidi="ar-SA"/>
        </w:rPr>
        <w:t>و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البطلان، و الحقّ الثاني، وفاقا للمحكيّ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لتحقيق المرام، ما تداول بينهم من أنّ العقود تابعة للقصود، و ما اشتهر من أنّ الأصل في المعاملات الصحة، و التوفيق بينه و بين أصل الفساد الذي هو معقد الإجماع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أسباب شرعية لآثار مخصوصة جعلها الشارع مترتّبة عليها، و اللازم على الفقيه في ذلك معرفة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الذي هو السبب و الأثر المسبّب له، و شرائط تأثيره و كيفية ترتّبه عليه، فإن علم الثلاثة بدليل خاص، أو عام فهو،</w:t>
      </w:r>
    </w:p>
    <w:p>
      <w:pPr>
        <w:pStyle w:val="BookText"/>
        <w:rPr/>
      </w:pPr>
      <w:r>
        <w:rPr>
          <w:rFonts w:ascii="Amiri" w:hAnsi="Amiri" w:eastAsia="Amiri" w:cs="Amiri"/>
          <w:color w:val="111111"/>
          <w:sz w:val="28"/>
          <w:sz w:val="28"/>
          <w:szCs w:val="28"/>
          <w:rtl w:val="true"/>
          <w:lang w:bidi="ar-SA"/>
        </w:rPr>
        <w:t>و إلّا يجب الاقتصار في كلّ منها على المعلوم، عملا بأصل الفساد المتّفق عليه، و استصحاب عدم ترتّب الأثر، و قد يكون الأثر الثابت من الشرع مما يختلف كيفيته باختلاف إطلاق العقد، أو تقييده بشرط، أو خصوصية للعوضين أو أحدهما، ككونه حيوانا أو نقدا و نحوهما، كما أن نقل الملك الذي هو أثر البيع يختلف لزوما و تزلزلا إلى مدّة من طرف أو الطرفين، و مستتبعا للمنافع أو مجردا عنها إلى مدّة معينة، إلى غير ذلك من الوجوه و الاعتبارات، و اللازم في جميع ذلك الاقتصار في الصحة على القدر الثابت بالأدلّة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ثبت بالإجماع و يطابقه الأصل المذكور، اشتراط قصد إنشاء الأثر الذي رتّبه الشارع عليه، فلو صدر بلا قصد، أو بقصد الإخبار أو إنشاء أثر آخر،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هذا القصد أمران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لفظ العقد، فقصد به إنشاء الأثر المترتّب عليه، فلا أثر لقصد لم يتعلّق بإنشاء العقد به، و إن كان الرضا بالعقد معلقا عليه، و كان من العلل الداعية عليه، سواء كان هو من بعض الأحكام المترتبة على أثر العقد، كأن يكون غرضه من التزويج مجرد حلّية النظر إلى أمّ الزوجة، أو من الأمور الخارجة، كأن تزوّجها طمعا في مالها أو استخدامها، أو من بيع داره شراء دار المشتري باعتقاد كونه وسيلة له، بل و إن وقعت المساومة بينهما عليه، فأمثال هذه الأغراض و القصود لا دخل لها بقصد الإنشاء المعتبر في العقود، و لا يتبعها العقد، و إن كان الرضا معلقا عليها، بل لا يؤثر في العقد، و إن كان اعتقاد المتعاقدين أو أحدهما ترتّبه على العقد شرعا، على خلاف الواقع، كما إذا رضيت المتمتعة بعقد الانقطاع، بظنّ استحقاقها القسم و النفقة كالدائمة، بحيث لو لا هذا الاعتقاد لما رضيت بالتمتع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 يتأمل في ذلك أحد من أهل العلم، فما قد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العقود تابعة للقصود، و ما قصد به هو التزوّج حال كونها مستحقة للقسم و النفقة، فلا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مرادهم من تلك العبارة، هو المقصود من العقود، أي القصد المعتبر في لفظ العقد الذي يتحقّق به الإنشاء، لا مطلق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الرضا بالعقد يتوقف عليه، فمع عدمه لا مراضاة، و لا هو تجارة عن تراض، و لأجله يكون باطلا، مدفوع بأنّ الرضا الفعليّ حاصل على الفرض، و هو كاف في صدق التراضي المشروط في العقد، و حصول الإنشاء على الرضا، و ما ليس فيه هو الرضا الفرضي، و حصول الضرر في بعض الفروض غير مانع عن الصحة، بل عن اللزوم أيضا، لإقدام نفسه عليه، و مثله غير منفيّ، و إن كان للجهل بالمسألة، كما في نظائر الفرض من موارد الأحكام، و قد أشبعنا الكلام فيما يتعلّق بذلك في مسألة نفي الضرر، في بعض الفوائد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إنشاء الأثر الذي جعله الشارع بالأصالة مسبّبا له، فلو قصد إنشاء غيره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لوازم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العقد باطلا، لخروجه عن السببية الشرعية التي وضعها الشارع، و هو من مقتضى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 فإن المراد عموم السببية في الصحة و البطلان، فلو قصد بعقد النكاح إنشاء محرّمية أمّ الزوجة، و بعقد البيع استحقاق المنفعة، كان باطلا و بالجملة صحة العقد تابعة لما قصد إنشاؤه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العقد بإطلاقه سببا لأثر شرعا، و بتقيّده بشي‌ء سببا لأثر يخالف الأوّل نوعا أو وصفا </w:t>
      </w:r>
      <w:r>
        <w:rPr>
          <w:rStyle w:val="FootnoteAnchor"/>
          <w:rtl w:val="true"/>
        </w:rPr>
        <w:footnoteReference w:id="245"/>
      </w:r>
      <w:r>
        <w:rPr>
          <w:rFonts w:ascii="Amiri" w:hAnsi="Amiri" w:eastAsia="Amiri" w:cs="Amiri"/>
          <w:color w:val="111111"/>
          <w:sz w:val="28"/>
          <w:sz w:val="28"/>
          <w:szCs w:val="28"/>
          <w:rtl w:val="true"/>
          <w:lang w:bidi="ar-SA"/>
        </w:rPr>
        <w:t xml:space="preserve">، و إطلاقا و تقييدا، أو بغير ذلك من الاعتبارات وجب تطبيق العقد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عليه، و مع تخلفه لم يكن صحيحا، كأن يقصد بالنكاح المجرد عن ذكر المدّة الزوجية المنقطعة، أو بالعكس، و بالبيع المطلق إنشاء الملك المتزلزل بالخيار، و في بيع الحيوان إنشاء الملك اللازم، من غير ذكر الخيار في الأوّل، و سقوطه في الثاني، فمقتضى قاعدة السببية الموافق للأصل المتقدّم فساد العقد إلّا فيما خرج بدليل، لأن الأثر المقصود غير ما يقتضيه العقد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العقد إن كان مدلوله اللغويّ و العرفيّ متعيّنا و لو بتوسط القرائن المنضمّة، لزم كونه المقصود بالإنشاء، و لا يصحّ لو قصد به غيره، للأصل المذكور، و لعلّه لا خلاف فيه أيضا، و إن لم يكن متعيّنا، بل قابلا بحسب الدلالة اللفظية لوجوه أو أفراد مختلفة، كان تعيّن أحدهما منوطا بقصد العاقد، فترتّب الأثر الشرعيّ للعقد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تعيّنه في القصد، و إلّا بطل العقد، لاستحالة تعلق الحقّ بغير المعيّن و بطلان الترجيح بلا مرجّح،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و لم يعيّنها من بين بناتها، و إن عيّنه فهو المتعيّن، و يلزم عدم التدافع بين قصدي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اطلاع القابل على ما قصده الموجب؟</w:t>
      </w:r>
    </w:p>
    <w:p>
      <w:pPr>
        <w:pStyle w:val="BookText"/>
        <w:rPr/>
      </w:pPr>
      <w:r>
        <w:rPr>
          <w:rFonts w:ascii="Amiri" w:hAnsi="Amiri" w:eastAsia="Amiri" w:cs="Amiri"/>
          <w:color w:val="111111"/>
          <w:sz w:val="28"/>
          <w:sz w:val="28"/>
          <w:szCs w:val="28"/>
          <w:rtl w:val="true"/>
          <w:lang w:bidi="ar-SA"/>
        </w:rPr>
        <w:t>لا شك في الاشتراط فيما يكون الغرر فيه منهيا عنه، و أمّا في غيره ففيه إشكال، من كون القبول واقعا على ما قصده الموجب، و هو متعيّن و إن لم يعلمه بعينه، و من كونه مثار النزاع المرغوب عنه في الشريعة في أكثر نظائر الفرض، و على الجملة فمما بيناه في المقامين تبيّن ما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اختلف المتعاقدان في ما قصدا به، فالمعتبر، و إن كان قول القاصد، لأنّ القصد من الأمور القلبية التي لا يطّلع عليها غيره، إلّا أنّ اللفظ إن كان له دلالة ظاهرة بحسب العرف و اللغة، و لو لأجل القرينة، كما في القسم الأوّل، نقدم قول من يطابق دعواه مدلول اللفظ، لأنّ الشارع أقام الألفاظ الظاهرة في معانيها مقام العلم</w:t>
      </w:r>
    </w:p>
    <w:p>
      <w:pPr>
        <w:pStyle w:val="BookText"/>
        <w:rPr/>
      </w:pPr>
      <w:r>
        <w:rPr>
          <w:rFonts w:ascii="Amiri" w:hAnsi="Amiri" w:eastAsia="Amiri" w:cs="Amiri"/>
          <w:color w:val="111111"/>
          <w:sz w:val="28"/>
          <w:sz w:val="28"/>
          <w:szCs w:val="28"/>
          <w:rtl w:val="true"/>
          <w:lang w:bidi="ar-SA"/>
        </w:rPr>
        <w:t>به إجماعا، و إن كان مقتضى أصل الفساد فيما يخالفه عدم ترتّب الأثر إلّا مع العلم بقصده ذلك الأثر، و إلى هذا ينظر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المعاملات الصحة،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هذا و ادّعى قصد الإجارة، لم يسمع دعواه بمجردها إلّا بقرينة شاهدة عليه، مثله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بدرهم على أن تكريني دابّتك هذه يوما، فظهرت الدابّة مستحقّة للغير، فمقتضاه نقل الملك منضمّا مع الإكراء، فيبطل باستحقاق الدابّة للغير، فلو ادّعى قصده إطلاق البيع لم يسمع، و إن احتمل صدقه إلّا إذا فرض تساوي الاحتمالين بحسب الدلالة، و القول بعدم سماع دعواه مع فرض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عرفت هذا، فلنرجع إلى المقصود، أعني بطلان العقد بفساد الشرط،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الشرط المأخوذ في ضمن العقد جزء له، و العقد هو المركّب منه، و عرفت أنّ اللفظ يحمل على مدلوله، و كونه مقصود اللافظ، فهذا التركيب ظاهر في قصد إنشاء الأثر، مقيّدا بالالتزام بالشرط، فالالتزام جزء الأثر المقصود بالإنشاء في هذا التركيب، فإذا ظهر فساد الجزء فسد الكلّ، لتعلّق القصد على وجه الجزئية، فلم يبق الباقي مقصودا بالانفراد، فلا يترتّب على العقد التركيبي أثر شرعيّ، بل على ما سمعت، من لزوم تطابق المدلول للقصد لو قصد الصحيح منفردا من مثل هذا التركيب، لقلنا بفساده أيضا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بعض ما تقدم عدم فساد العقد بفساد بعض العوض، بل لعلّه المتّفق عليه في البيع، مع أنّ متعلّق القصد فيه المركّب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ثمة، لا تتأتّى في الشرط، لأنّ وجهه فيما مرّ أنّ دلالة لفظ العقد</w:t>
      </w:r>
    </w:p>
    <w:p>
      <w:pPr>
        <w:pStyle w:val="BookText"/>
        <w:rPr/>
      </w:pPr>
      <w:r>
        <w:rPr>
          <w:rFonts w:ascii="Amiri" w:hAnsi="Amiri" w:eastAsia="Amiri" w:cs="Amiri"/>
          <w:color w:val="111111"/>
          <w:sz w:val="28"/>
          <w:sz w:val="28"/>
          <w:szCs w:val="28"/>
          <w:rtl w:val="true"/>
          <w:lang w:bidi="ar-SA"/>
        </w:rPr>
        <w:t>على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تبعية 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يستلزم التبعية في الحكم المدلول بها،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عشرة، فإنّ دلالة العشرة على الوحدات بالتبعية التضمّنية، و لا هكذا تعلّق وجوب الإكرام بها، بل كلّ واحد منها مقصود بإنشاء الحكم عليه منفردا مستقلا، و لذا لا ينتفي حكم الكلّ بانتفاء البعض، و هو من قبيل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 الدار، و هي موضوعة للماهية المركبة من البيوت، فلا يسقط الحكم عن بعضها بانهدام بعض، إلّا مع قرينة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المراضاة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قصد الجزئية في إنشاء نفس النقل 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البيع و الصلح و نحوهما، غاية الأمر حصول المقصود بوقوع الخيار عند ظهور التبعض، لا بطلان العقد، و كيف كان، فلا 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الجزء الصحيح بما يقابله 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الشرط، فإنّ الإلزام بما اشترط ليس مقصودا بالانفراد قطعا، و ليس </w:t>
      </w:r>
      <w:r>
        <w:rPr>
          <w:rStyle w:val="FootnoteAnchor"/>
          <w:rtl w:val="true"/>
        </w:rPr>
        <w:footnoteReference w:id="248"/>
      </w:r>
      <w:r>
        <w:rPr>
          <w:rFonts w:ascii="Amiri" w:hAnsi="Amiri" w:eastAsia="Amiri" w:cs="Amiri"/>
          <w:color w:val="111111"/>
          <w:sz w:val="28"/>
          <w:sz w:val="28"/>
          <w:szCs w:val="28"/>
          <w:rtl w:val="true"/>
          <w:lang w:bidi="ar-SA"/>
        </w:rPr>
        <w:t>في مقابله للمشروط عليه عوض، فكيف يلتزم به مجانا، و بالجملة ظاهر اللفظ كون المعاوضة مقيدة و مرتبطة بالإلزام بالشرط فينتفي بانتفاء القيد، و لو قصد منه إنشاء النقل لا على وجه التقييد، فهو خروج عن مقتضى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يحصل إشكال آخر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جزء العوض و الشرط كالفرق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عمروا، و قولنا أكرم زيدا بشرط أن يكون معه عمرو، فإنّه لا ينتفي حكم إكرام زيد بفقدان عمرو في الأوّل، بخلافه في 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اتضح مما ذكرناه فساد الاحتجاج للقول الأوّل، بأنّ كلّ واحد من العقد و الشرط مستقلّ في إفادة معناه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ذكرناه من فساد العقد و الشرط إنّما هو من باب الأصل و القاعدة، فلا ينافيه ما إذا ثبت في مورد صحة العقد مع فساد شرطه، كما هو المشهور في شروط عقد النكاح، مثل أن لا يتزوّج عليها، أو لا يتسري، أو شرط تسليم المهر إلى أجل، عدم كون العقد باطلا مع التخلّف، بل في المسالك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صحة العقد، و ورد فيه أخبار معتبرة، و قيل لا يتمّ في النكاح أيضا قاعدة يعتمد عليها في هذا المطلب، و اللّه العالم بحقائق أحكامه</w:t>
      </w:r>
      <w:r>
        <w:rPr>
          <w:rFonts w:eastAsia="Amiri" w:cs="Amiri" w:ascii="Amiri" w:hAnsi="Amiri"/>
          <w:color w:val="111111"/>
          <w:sz w:val="28"/>
          <w:szCs w:val="28"/>
          <w:rtl w:val="true"/>
          <w:lang w:bidi="ar-SA"/>
        </w:rPr>
        <w:t>.</w:t>
      </w:r>
      <w:bookmarkStart w:id="82" w:name="pg2497_11929"/>
    </w:p>
    <w:p>
      <w:pPr>
        <w:pStyle w:val="Heading2"/>
        <w:numPr>
          <w:ilvl w:val="1"/>
          <w:numId w:val="1"/>
        </w:numPr>
        <w:rPr/>
      </w:pPr>
      <w:bookmarkStart w:id="83" w:name="__RefHeading___Toc3861817_3804643083"/>
      <w:bookmarkStart w:id="84" w:name="_Toc31"/>
      <w:bookmarkEnd w:id="82"/>
      <w:bookmarkEnd w:id="83"/>
      <w:r>
        <w:rPr>
          <w:rtl w:val="true"/>
        </w:rPr>
        <w:t>[</w:t>
      </w:r>
      <w:r>
        <w:rPr>
          <w:rtl w:val="true"/>
        </w:rPr>
        <w:t>المشرق الخامس</w:t>
      </w:r>
      <w:r>
        <w:rPr>
          <w:rtl w:val="true"/>
        </w:rPr>
        <w:t>] [</w:t>
      </w:r>
      <w:r>
        <w:rPr>
          <w:rtl w:val="true"/>
        </w:rPr>
        <w:t>في بيان حكم المعاملات الإضرارية</w:t>
      </w:r>
      <w:r>
        <w:rPr>
          <w:rtl w:val="true"/>
        </w:rPr>
        <w:t>]</w:t>
      </w:r>
      <w:bookmarkEnd w:id="84"/>
    </w:p>
    <w:p>
      <w:pPr>
        <w:pStyle w:val="Heading3"/>
        <w:numPr>
          <w:ilvl w:val="2"/>
          <w:numId w:val="1"/>
        </w:numPr>
        <w:rPr/>
      </w:pPr>
      <w:bookmarkStart w:id="85" w:name="__RefHeading___Toc3861819_380464308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المعاملات الإضرارية، و أعني بها الانتقالات المحاباتية الصادرة عمّن له دين لا يفي ماله به، و إن كان الدين من قبيل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تمليكاته بعوض المثل، لعدم المانع مع وجود المقتضي، و هو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تمليكه بأقلّ منه أو مجانا، إذا تمكّن من تحصيل ما يؤدّي به دينه و لو بالاستدانة، إنّما الكلام في تمليكه كذلك، أو إباحته، مع عدم العلم أو الظنّ المعتدّ به بالتمكن منه،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 الكلام إمّا في جواز إتلاف المالك ماله بنفسه زائدا على قدر مئونته، أو إباحته للغير و تسليطه على الإتلاف، أو في حصول الحلّية للغير بإباحة المالك، و جواز قبول جائزته و تصرّفاته و إتلافه له، أو في صحّة العقد الناقل و حصول الانتقال الشرعي به، فهنا مطالب ثلاثة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حرمته، لوجوب أداء الدين عليه، و انحصار مقدمته على الفرض بصرف ما في يده من المال فيه، و ما لا يتمّ الواجب إلّا به واجب، فيحرم ضدّه، و هو إتلافه و صرفه في غيره، و كونه ضدّا خاصّا و لا يقتضي</w:t>
      </w:r>
    </w:p>
    <w:p>
      <w:pPr>
        <w:pStyle w:val="BookText"/>
        <w:rPr/>
      </w:pPr>
      <w:r>
        <w:rPr>
          <w:rFonts w:ascii="Amiri" w:hAnsi="Amiri" w:eastAsia="Amiri" w:cs="Amiri"/>
          <w:color w:val="111111"/>
          <w:sz w:val="28"/>
          <w:sz w:val="28"/>
          <w:szCs w:val="28"/>
          <w:rtl w:val="true"/>
          <w:lang w:bidi="ar-SA"/>
        </w:rPr>
        <w:t>الأمر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المختار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لاندفاعه باختصاص ذلك بما إذا لم يكن الضدّ الخاصّ رافعا للتمكّن من فعل المأمور به ثانيا مع بقاء وجوبه،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التحقيق حرمته، كما بيّناه في الأصول، و لا يعارضه عموم الناس، لأنّ حرمته عقلية لا ينفكّ عن وجوب أداء الدين، فلا ينتفي إلّا بانتفائه الباطل بالإجماع القطعي، فلا يخصّص به، و مع ذلك فالعموم المذكور ظاهر في الجواز الذاتيّ الأصليّ، و هو لا ينافي الحرمة العرضية المسببة عن سبب متجدّد، كما في نظائر المقام مما لا يحصى، و يأتي بيانه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أنّ من أباح له المالك، إمّا يعلم عدم تمكّن المالك عن أداء الدين من غير هذا المال، و مع هذا يحتمل صرفه فيه إن لم يقبل منه، أو أخذ الدائن عنه جبرا أو تقاصّا، أو لا يعلم ذلك، و إن علم لا يحتمل صرفه في الدين أو اقتدار صاحب الدين عن استيفائه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يحلّ له قبوله و إتلافه من غير التزام عوضه للدائن، لا لما استدللنا به على المنع على المالك، لعدم وجوب ذي المقدّمة على غيره حتى يحرم عليه ضدّ مقدّمته، بل لصدق كونه مضارا على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بإتلاف ما ينحصر أخذ حقّه فيه، و تفويت تمكّنه من وصول الحقّ، و تمكّن المالك عن إيصاله، و شهادة العرف بكون ذلك ضرر الدائن، و الضرر منفيّ و محرّم بعموم أدلّته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أتلف بإذن المالك فمقتضى النظر عدم ضمانه، لعدم اقتضائه نفي الضرر، كما يأتي تفصيله في قاعدة نفي الضرر، و لأنّ قاعدة الإتلاف بعدم الضمان مع إذن المالك، و إن كان التصرف محرّما، كما في أكل طعامه بإذنه في نهار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الكثيرة تجويز أخذ جوائز السلطان و مظالمه مستوعبة لما له عادة، و لا أقلّ من شموله له، و كذا دلّت عليه السيرة المستمرّة المعلومة في قبول الناس جوائز السلاطين و الحكام و أضرابهم من غير نكير، و بهما يخصّص عموم نفي الضرر، لكونهما أخصّ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تلك الأخبار منساقة لبيان حلّية أموالهم و جوائزهم باعتبار الشبهة في أعيانها، و لا دخل له بمحلّ الفرض الذي يرتفع المانع عنه بالتزام العوض، و ثانيا أنّ موارد تلك الأخبار و السيرة من القسم الثاني الذي نذكر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النظر حلّيته له بإباحة المالك، و له إتلافه حيث يشاء، أمّا مع عدم علمه بعدم تمكن المالك فظاهر، و احتماله غير كاف، إذ غايته احتمال الضرر و هو غير منفيّ، و أمّا مع عدم احتماله صرف المالك إيّاه في الدين و لا تمكن صاحب الدين عن أخذه، فلعدم استناد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بل إلى المالك، فلا يتوجّه إليه النهي، و غالب موارد الفرض سيما بالنسبة إلى أرباب المظالم من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حرمة الإتلاف من جهة كونه تفويتا للواجب أو عدم تأثير إباحة المالك في الحلّ، لعدم جواز تسليطه الغير عليه و ترخيصه كما مرّ، لاندفاع الأوّل بعدم دليل على حرمة تفويت الواجب عن الغير، بل عليه وزره إن كان بتقصيره، كما في الفرض، و الثاني بأنّ الموجب للحلّية في المقام رضي المالك و إذنه في التصرف المتلف، نظرا الى كونه صاحب المال و عدم حقّ للدائن فيه بعد لا جواز إباحته و ترخيصه، و لا ملازمة بينهما، كما في من شرط على نفسه بنذر و شبهه أن لا يأذن زيدا في أكل طعامه فأذنه، فإنّه يعصى بالإذن دون المأذون فيه في الأكل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من تعرّض لبيانه و تحقيقه عدا والدي العلّامة في بعض</w:t>
      </w:r>
    </w:p>
    <w:p>
      <w:pPr>
        <w:pStyle w:val="BookText"/>
        <w:rPr/>
      </w:pPr>
      <w:r>
        <w:rPr>
          <w:rFonts w:ascii="IRNazanin" w:hAnsi="IRNazanin" w:eastAsia="IRNazanin"/>
          <w:color w:val="111111"/>
          <w:sz w:val="28"/>
          <w:sz w:val="28"/>
          <w:szCs w:val="28"/>
          <w:rtl w:val="true"/>
          <w:lang w:bidi="fa-IR"/>
        </w:rPr>
        <w:t xml:space="preserve">إفاداته </w:t>
      </w:r>
      <w:r>
        <w:rPr>
          <w:rStyle w:val="FootnoteAnchor"/>
          <w:rtl w:val="true"/>
        </w:rPr>
        <w:footnoteReference w:id="249"/>
      </w:r>
      <w:r>
        <w:rPr>
          <w:rFonts w:ascii="Amiri" w:hAnsi="Amiri" w:eastAsia="Amiri" w:cs="Amiri"/>
          <w:color w:val="111111"/>
          <w:sz w:val="28"/>
          <w:sz w:val="28"/>
          <w:szCs w:val="28"/>
          <w:rtl w:val="true"/>
          <w:lang w:bidi="ar-SA"/>
        </w:rPr>
        <w:t>، حيث حكم ببطلان العقود الناقلة بأقلّ من عوض المثل عمّن له دين مستوعب، و هو مقتضى التحقيق، لا لما استدلّ به على مختاره من اقتضاء النهي في المعاملة الفساد، نظرا إلى حرمة صرف المال في غير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على ما عرفت، لعدم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الاقتضاء بما إذا تعلّق النهي بنفس المعاملة أو جزئه أو وصفه لأجل المعاملة الظاهر في المانعية دون غيره، كما في محلّ البحث، حيثما </w:t>
      </w:r>
      <w:r>
        <w:rPr>
          <w:rStyle w:val="FootnoteAnchor"/>
          <w:rtl w:val="true"/>
        </w:rPr>
        <w:footnoteReference w:id="251"/>
      </w:r>
      <w:r>
        <w:rPr>
          <w:rFonts w:ascii="Amiri" w:hAnsi="Amiri" w:eastAsia="Amiri" w:cs="Amiri"/>
          <w:color w:val="111111"/>
          <w:sz w:val="28"/>
          <w:sz w:val="28"/>
          <w:szCs w:val="28"/>
          <w:rtl w:val="true"/>
          <w:lang w:bidi="ar-SA"/>
        </w:rPr>
        <w:t>يتعلّق بها كذلك، بل بمطلق الإضرار أو سببية الحرام، مضافا إلى أنّ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بصورة العلم و العمد، لعدم العصيان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صحة العقود المملّكة بغير عوض كالأوقاف و الهبات و نحوهما، أو بأقلّ من العوض كالعقود المعوّضة المحاباتية، ممن استوعب دينه ماله الغير المتمكن عن أدائه بغيره، إضرار على صاحب الدين، و تفويت لما يمكن له أدائه، و يصدق عليه أنّه ضرر عرفا على صاحب الدين، لزوال تمكّنه به عن أداء حقّه، و هو ضرر على ذي الحقّ قطعا، ألا ترى أنّ صاحب الفاقة إذا استدان ألف دينار ليكتسب به فوهبه لغيره يقال في العرف أنّه أضرّ بصاحب المال، و هبته ضرر عليه، و الضرر منفي في الإسلام، بمعنى عدم تشريع حكم يتضمّنه، وضعيا كان أو طلبيا، كما يأتي بيانه، و لا يعارضه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 من تقدّم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يعارضه إطلاق أدلّة تلك العقود، و هو بالعموم من وجه، فيرجع إلى الأصل و مقتضاه الفساد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يشعر بما قلناه بعض النصوص المعتبرة الواردة في صدقة من استوعب دينه</w:t>
      </w:r>
    </w:p>
    <w:p>
      <w:pPr>
        <w:pStyle w:val="BookText"/>
        <w:rPr/>
      </w:pPr>
      <w:r>
        <w:rPr>
          <w:rFonts w:ascii="Amiri" w:hAnsi="Amiri" w:eastAsia="Amiri" w:cs="Amiri"/>
          <w:color w:val="111111"/>
          <w:sz w:val="28"/>
          <w:sz w:val="28"/>
          <w:szCs w:val="28"/>
          <w:rtl w:val="true"/>
          <w:lang w:bidi="ar-SA"/>
        </w:rPr>
        <w:t xml:space="preserve">ماله، الدال على عموم المدّعى، لعدم القول بالفصل، كمكاتبة أحمد بن حمزه </w:t>
      </w:r>
      <w:r>
        <w:rPr>
          <w:rStyle w:val="FootnoteAnchor"/>
          <w:rtl w:val="true"/>
        </w:rPr>
        <w:footnoteReference w:id="252"/>
      </w:r>
      <w:r>
        <w:rPr>
          <w:rFonts w:ascii="Amiri" w:hAnsi="Amiri" w:eastAsia="Amiri" w:cs="Amiri"/>
          <w:color w:val="111111"/>
          <w:sz w:val="28"/>
          <w:sz w:val="28"/>
          <w:szCs w:val="28"/>
          <w:rtl w:val="true"/>
          <w:lang w:bidi="ar-SA"/>
        </w:rPr>
        <w:t>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أوقف، ثم مات صاحبه و عليه دين لا يفي ماله، 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وقفه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مكاتبة أخرى، رواها ابن محبوب </w:t>
      </w:r>
      <w:r>
        <w:rPr>
          <w:rStyle w:val="FootnoteAnchor"/>
          <w:rtl w:val="true"/>
        </w:rPr>
        <w:footnoteReference w:id="253"/>
      </w:r>
      <w:r>
        <w:rPr>
          <w:rFonts w:ascii="Amiri" w:hAnsi="Amiri" w:eastAsia="Amiri" w:cs="Amiri"/>
          <w:color w:val="111111"/>
          <w:sz w:val="28"/>
          <w:sz w:val="28"/>
          <w:szCs w:val="28"/>
          <w:rtl w:val="true"/>
          <w:lang w:bidi="ar-SA"/>
        </w:rPr>
        <w:t>إلّا أنّه فيها إذا وقف،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دين لا يفي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أخرى في عتق من عليه دين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في خبر عجلان </w:t>
      </w:r>
      <w:r>
        <w:rPr>
          <w:rStyle w:val="FootnoteAnchor"/>
          <w:rtl w:val="true"/>
        </w:rPr>
        <w:footnoteReference w:id="255"/>
      </w:r>
      <w:r>
        <w:rPr>
          <w:rFonts w:ascii="Amiri" w:hAnsi="Amiri" w:eastAsia="Amiri" w:cs="Amiri"/>
          <w:color w:val="111111"/>
          <w:sz w:val="28"/>
          <w:sz w:val="28"/>
          <w:szCs w:val="28"/>
          <w:rtl w:val="true"/>
          <w:lang w:bidi="ar-SA"/>
        </w:rPr>
        <w:t>، من صحّة عتق من عليه دين، فهو أعمّ من استيعاب الدين، فيخصّص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الفقهاء ممنوعية المفلس عن التصرف في أمواله على حجر الحاكم يقتضي جوازه قبله، بل هذا فائدة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تختلف باختلاف العنوانات، فلا يدافع بعضها بعضا، و ما ذكره الفقهاء في باب الحجر إنّما هو للمنوعية من جهة منع الحاكم عن التصرف و رفع سلطنته مطلقا، و هو يعمّ جميع التصرفات، سواء كانت من العقود المعوّضة بعوض المثل أو بأقلّ منه، بل و بما زاد عنه أو غيرها، كدفع المال إلى بعض الديان أو إلى الجميع، من غير ملاحظة النسبة، و كذا لا يحلّ معه تصرّف الغير بإباحة المالك مطلقا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الممنوعية فيما ذكرناه إنّما هي من جهة الضرر على الديان، من قبيل منع المالك من التصرف المضرّ بالجار، فلا يمنع به عن مطلق التصرف، و لا عن مطلق</w:t>
      </w:r>
      <w:bookmarkStart w:id="87" w:name="pg2497_11939"/>
    </w:p>
    <w:p>
      <w:pPr>
        <w:pStyle w:val="BookText"/>
        <w:rPr/>
      </w:pPr>
      <w:bookmarkEnd w:id="87"/>
      <w:r>
        <w:rPr>
          <w:rFonts w:ascii="Amiri" w:hAnsi="Amiri" w:eastAsia="Amiri" w:cs="Amiri"/>
          <w:color w:val="111111"/>
          <w:sz w:val="28"/>
          <w:sz w:val="28"/>
          <w:szCs w:val="28"/>
          <w:rtl w:val="true"/>
          <w:lang w:bidi="ar-SA"/>
        </w:rPr>
        <w:t>النقل، و لا عن الإباحة، و لا يمنع عن صرفه في بعض الديون دون بعض، كما سننبه عليه، فلا يختصّ فائدة الحجر بما يفيده نفي الضرر</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861821_3804643083"/>
      <w:bookmarkStart w:id="89" w:name="_Toc33"/>
      <w:bookmarkEnd w:id="88"/>
      <w:r>
        <w:rPr>
          <w:rtl w:val="true"/>
        </w:rPr>
        <w:t>تتميمات</w:t>
      </w:r>
      <w:r>
        <w:rPr>
          <w:rtl w:val="true"/>
        </w:rPr>
        <w:t>:</w:t>
      </w:r>
      <w:bookmarkEnd w:id="89"/>
    </w:p>
    <w:p>
      <w:pPr>
        <w:pStyle w:val="Heading4"/>
        <w:numPr>
          <w:ilvl w:val="3"/>
          <w:numId w:val="1"/>
        </w:numPr>
        <w:rPr/>
      </w:pPr>
      <w:bookmarkStart w:id="90" w:name="__RefHeading___Toc3861823_3804643083"/>
      <w:bookmarkStart w:id="91" w:name="_Toc34"/>
      <w:bookmarkEnd w:id="90"/>
      <w:r>
        <w:rPr>
          <w:rtl w:val="true"/>
        </w:rPr>
        <w:t>الأوّل</w:t>
      </w:r>
      <w:r>
        <w:rPr>
          <w:rtl w:val="true"/>
        </w:rPr>
        <w:t xml:space="preserve">: </w:t>
      </w:r>
      <w:r>
        <w:rPr>
          <w:rtl w:val="true"/>
        </w:rPr>
        <w:t>هل له صرف جميع ماله في بعض الديون أو في الكلّ من غير رعاية النسبة؟</w:t>
      </w:r>
      <w:bookmarkEnd w:id="91"/>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وجوب أداء كلّ دين غير مرتبط بالآخر، فلا منع له عن امتثال بعضه، سيما مع عدم إمكان امتثال الجميع، كما على الفرض، و إيجابه الضرر على الآخر يعارضه ضرر الأوّل، فيتعارض الضرران، و يبقى السلطنة المالكية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ما سنذكر في تعارض الضررين من ترجيح الأخفّ، منعه عن اختيار الأكثر، فهو الأشبه 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الحجر، و كيف كان فالأولى بل الأحوط ملاحظة النسبة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861825_3804643083"/>
      <w:bookmarkStart w:id="93" w:name="_Toc35"/>
      <w:bookmarkEnd w:id="92"/>
      <w:r>
        <w:rPr>
          <w:rtl w:val="true"/>
        </w:rPr>
        <w:t>الثاني</w:t>
      </w:r>
      <w:r>
        <w:rPr>
          <w:rtl w:val="true"/>
        </w:rPr>
        <w:t xml:space="preserve">: </w:t>
      </w:r>
      <w:r>
        <w:rPr>
          <w:rtl w:val="true"/>
        </w:rPr>
        <w:t>هل يلحق بالعقود الناقلة الإبراء،</w:t>
      </w:r>
      <w:bookmarkEnd w:id="93"/>
    </w:p>
    <w:p>
      <w:pPr>
        <w:pStyle w:val="BookText"/>
        <w:rPr/>
      </w:pPr>
      <w:r>
        <w:rPr>
          <w:rFonts w:ascii="Amiri" w:hAnsi="Amiri" w:eastAsia="Amiri" w:cs="Amiri"/>
          <w:color w:val="111111"/>
          <w:sz w:val="28"/>
          <w:sz w:val="28"/>
          <w:szCs w:val="28"/>
          <w:rtl w:val="true"/>
          <w:lang w:bidi="ar-SA"/>
        </w:rPr>
        <w:t>فلم يجز إن كان عليه دين يستوعب إبراء حقّه على من عليه و لم تبرأ ذمّته؟</w:t>
      </w:r>
    </w:p>
    <w:p>
      <w:pPr>
        <w:pStyle w:val="BookText"/>
        <w:rPr/>
      </w:pPr>
      <w:r>
        <w:rPr>
          <w:rFonts w:ascii="Amiri" w:hAnsi="Amiri" w:eastAsia="Amiri" w:cs="Amiri"/>
          <w:color w:val="111111"/>
          <w:sz w:val="28"/>
          <w:sz w:val="28"/>
          <w:szCs w:val="28"/>
          <w:rtl w:val="true"/>
          <w:lang w:bidi="ar-SA"/>
        </w:rPr>
        <w:t>فيه إشكال، و لا يبعد الإلحاق، لاتحاد المناط و أصالة بقاء الحقّ</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861827_3804643083"/>
      <w:bookmarkStart w:id="95" w:name="_Toc36"/>
      <w:bookmarkEnd w:id="94"/>
      <w:r>
        <w:rPr>
          <w:rtl w:val="true"/>
        </w:rPr>
        <w:t>الثالث</w:t>
      </w:r>
      <w:r>
        <w:rPr>
          <w:rtl w:val="true"/>
        </w:rPr>
        <w:t xml:space="preserve">: </w:t>
      </w:r>
      <w:r>
        <w:rPr>
          <w:rtl w:val="true"/>
        </w:rPr>
        <w:t>إذا أقرّ المديون المذكور بدين آخر أو بما في يده للغير فالظاهر قبوله</w:t>
      </w:r>
      <w:bookmarkEnd w:id="95"/>
    </w:p>
    <w:p>
      <w:pPr>
        <w:pStyle w:val="BookText"/>
        <w:rPr/>
      </w:pPr>
      <w:r>
        <w:rPr>
          <w:rFonts w:ascii="Amiri" w:hAnsi="Amiri" w:eastAsia="Amiri" w:cs="Amiri"/>
          <w:color w:val="111111"/>
          <w:sz w:val="28"/>
          <w:sz w:val="28"/>
          <w:szCs w:val="28"/>
          <w:rtl w:val="true"/>
          <w:lang w:bidi="ar-SA"/>
        </w:rPr>
        <w:t>قبل الحجر لظهور الإجماع، و لأنّ الإقرار ليس سببا ناقلا بل إخبار عن الواقع، و هو مسموع بالأدلّة القطعية فيما يتعلّق بالضرر على النفس أصالة، و إن كان من لوازمه ما يؤدّى إلى ضرر الغير، كما في نظائر المقام من الأقارير النافذة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861829_3804643083"/>
      <w:bookmarkStart w:id="97" w:name="_Toc37"/>
      <w:bookmarkEnd w:id="96"/>
      <w:r>
        <w:rPr>
          <w:rtl w:val="true"/>
        </w:rPr>
        <w:t>الرابع</w:t>
      </w:r>
      <w:r>
        <w:rPr>
          <w:rtl w:val="true"/>
        </w:rPr>
        <w:t xml:space="preserve">: </w:t>
      </w:r>
      <w:r>
        <w:rPr>
          <w:rtl w:val="true"/>
        </w:rPr>
        <w:t>هل يختصّ ما ذكرناه بالديون العاجلة، أو يعمّ الآجلة؟</w:t>
      </w:r>
      <w:bookmarkEnd w:id="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إذا علم عدم التمكن من أدائه عند الأجل، لصدق الضرر على المدين بإتلافه عرفا، كما إذا استدان من له بضاعة مائة ألف دينار إلى شهر أو سنة،</w:t>
      </w:r>
    </w:p>
    <w:p>
      <w:pPr>
        <w:pStyle w:val="BookText"/>
        <w:rPr/>
      </w:pPr>
      <w:r>
        <w:rPr>
          <w:rFonts w:ascii="Amiri" w:hAnsi="Amiri" w:eastAsia="Amiri" w:cs="Amiri"/>
          <w:color w:val="111111"/>
          <w:sz w:val="28"/>
          <w:sz w:val="28"/>
          <w:szCs w:val="28"/>
          <w:rtl w:val="true"/>
          <w:lang w:bidi="ar-SA"/>
        </w:rPr>
        <w:t>فوهب المجموع لغيره، فيشمله أدلّة نفي الضرر، بل تقتضيه دليل المقدّمة بالتقريب المتقدّم أيضا، لوجوب إبقاءها لعين ما دلّ على وجوب إتيانها إذا كان ذو المقدّمة واجبا مطلقا، كما في الفرض، فإنّ اشتغال ذمّة المديون بالدين غير مشروط بحلول الأجل، بل و لا وجوب أدائه، فإنّه واجب مطلق، و إنّما الأجل وقت امتثال الفعل، لا وقت تعلّق الوجوب، و فرق بيّن بينهما، كما في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أن تفعل غدا كذا،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سأوجبت عليك أو يجب غدا عليك أن تفعل كذا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نحن فيه من الأوّل، حسب ما يقتضيه الأدلّة، فيجب عليه بعد تعلّق الوجوب قبل حلول الوقت تحصيل مقدّمات الفعل في وقته، أو إبقاء المقدّمة الموجودة مما يعلم فوته في الوقت و لم يتمكّن منه، فهو من قبيل الأمر بضيافة زيد في المساء، المتوقّفة على تحصيل القرى أو إبقاءها في النهار، و اللّه العالم</w:t>
      </w:r>
      <w:r>
        <w:rPr>
          <w:rFonts w:eastAsia="Amiri" w:cs="Amiri" w:ascii="Amiri" w:hAnsi="Amiri"/>
          <w:color w:val="111111"/>
          <w:sz w:val="28"/>
          <w:szCs w:val="28"/>
          <w:rtl w:val="true"/>
          <w:lang w:bidi="ar-SA"/>
        </w:rPr>
        <w:t>.</w:t>
      </w:r>
      <w:bookmarkStart w:id="98" w:name="pg2497_11945"/>
    </w:p>
    <w:p>
      <w:pPr>
        <w:pStyle w:val="Heading2"/>
        <w:numPr>
          <w:ilvl w:val="1"/>
          <w:numId w:val="1"/>
        </w:numPr>
        <w:rPr/>
      </w:pPr>
      <w:bookmarkStart w:id="99" w:name="__RefHeading___Toc3861831_3804643083"/>
      <w:bookmarkStart w:id="100" w:name="_Toc38"/>
      <w:bookmarkEnd w:id="98"/>
      <w:bookmarkEnd w:id="99"/>
      <w:r>
        <w:rPr>
          <w:rtl w:val="true"/>
        </w:rPr>
        <w:t>[</w:t>
      </w:r>
      <w:r>
        <w:rPr>
          <w:rtl w:val="true"/>
        </w:rPr>
        <w:t>المشرق السادس</w:t>
      </w:r>
      <w:r>
        <w:rPr>
          <w:rtl w:val="true"/>
        </w:rPr>
        <w:t>] [</w:t>
      </w:r>
      <w:r>
        <w:rPr>
          <w:rtl w:val="true"/>
        </w:rPr>
        <w:t>في بيان حكم المال المجهول مالكه</w:t>
      </w:r>
      <w:r>
        <w:rPr>
          <w:rtl w:val="true"/>
        </w:rPr>
        <w:t>]</w:t>
      </w:r>
      <w:bookmarkEnd w:id="100"/>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المال المجهول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المال إن كان له مالك معروف فهو، و أسباب الملك كثيرة، كالإحياء و الحيازة، و الإرث، و العقود الناقلة و الاختلاس من أهل الحرب، و الاغتنام، و الاصطياد، و الوصية، و الوقف، و الصدقة، و النذر، و قبض الزكاة، و الخمس، و الدين، و تحليل الإمام عليه السّلام و إقطاعه،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التصرّف فيه إلّا بإذنه، إلّا فيما ورد الإذن فيه من الشرع قهرا، كالشفعة، و المقاصّة للمماطل، و بيع مال الممتنع عن الحقّ الواجب، و رجوع البائع في عين ماله للتفليس مقدّما على سائر الديان، و نحو ذلك، و إن لم يكن له مالك معروف فله أقسام كثيرة أكثرها مضبوطة في كتب الفقهاء بعنواناتها الخاصّة، لها أحكام مخصوصة، كاللقطة، و الكنز و المال المختلط بالحلال و الحرام و غيرها، و لا كلام لنا هنا فيها، بل المقصود هنا بيان ما ليس له عنوان خاصّ من تلك العنوانات، و هو الذي يعبّر عنه بالمجهول المالك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إمّا في من يملكه، أو في مصرفه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بقائه على ملك مالكه المجهول، أو كونه للفقراء، أو للإمام عليه السّلام</w:t>
      </w:r>
    </w:p>
    <w:p>
      <w:pPr>
        <w:pStyle w:val="BookText"/>
        <w:rPr/>
      </w:pPr>
      <w:r>
        <w:rPr>
          <w:rFonts w:ascii="Amiri" w:hAnsi="Amiri" w:eastAsia="Amiri" w:cs="Amiri"/>
          <w:color w:val="111111"/>
          <w:sz w:val="28"/>
          <w:sz w:val="28"/>
          <w:szCs w:val="28"/>
          <w:rtl w:val="true"/>
          <w:lang w:bidi="ar-SA"/>
        </w:rPr>
        <w:t xml:space="preserve">وجوه بل أقوال، أوجهها الأوّل؛ للاستصحاب و عدم الدليل المخرج، و الأخبار الآمرة بالتصدّق به غير منافية له، كما لا ينافيه في اللقطة مع بقاءها على ملك مالكها على المعروف بينهم، بل في رواية عليّ بن حمزة </w:t>
      </w:r>
      <w:r>
        <w:rPr>
          <w:rStyle w:val="FootnoteAnchor"/>
          <w:rtl w:val="true"/>
        </w:rPr>
        <w:footnoteReference w:id="256"/>
      </w:r>
      <w:r>
        <w:rPr>
          <w:rFonts w:ascii="Amiri" w:hAnsi="Amiri" w:eastAsia="Amiri" w:cs="Amiri"/>
          <w:color w:val="111111"/>
          <w:sz w:val="28"/>
          <w:sz w:val="28"/>
          <w:szCs w:val="28"/>
          <w:rtl w:val="true"/>
          <w:lang w:bidi="ar-SA"/>
        </w:rPr>
        <w:t>الآمرة بالتصدّق للمالك إشعار ببقائه على ملكه كأكثر كلمات القوم، و دلالة ظاهرة على عدم كونه للإمام عليه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الأمر بالتصدق لا يلزمه، لاحتمال كونه من باب التصرف بالمالكية، لأنّ له أن يضع ملكه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أن الاحتمال لا يرفع حكم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بأنّ الأصل في الأوامر و تصرّفات النبيّ صلّى اللّه عليه و آله و سلّم و الحجج في الخطابات الشرعية، سيما في أمثال أجوبة المستفتين كونها على سبيل التبليغ و الفتوى، دون الإمامة و الرئاسة أو القضاء و الحكومة، كما صرح به الشهيد في قواعده </w:t>
      </w:r>
      <w:r>
        <w:rPr>
          <w:rStyle w:val="FootnoteAnchor"/>
          <w:rtl w:val="true"/>
        </w:rPr>
        <w:footnoteReference w:id="257"/>
      </w:r>
      <w:r>
        <w:rPr>
          <w:rFonts w:ascii="Amiri" w:hAnsi="Amiri" w:eastAsia="Amiri" w:cs="Amiri"/>
          <w:color w:val="111111"/>
          <w:sz w:val="28"/>
          <w:sz w:val="28"/>
          <w:szCs w:val="28"/>
          <w:rtl w:val="true"/>
          <w:lang w:bidi="ar-SA"/>
        </w:rPr>
        <w:t>، لأنّه الأغلب في الخطابات، و قلّ ما يتّفق خلافه فيها، و هو المعهود من طريقة السلف من أصحابهم و تابعيهم و من لحقهم من العلماء في فهم مرادهم و بناء عملهم عليه فالأغلبية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طريقة الحاضرين و سيرة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ظاهرة على إرادة التبليغ، فحيث لا قرينة بالخصوص يحمل الخطاب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القرينة ظنّية لا ضير فيه، لصدق كونه ظنا مستفادا من كلام المعصوم عليه السّلام، و صلاحية الغلبة المذكورة لاستناده إليها في تفهيم مراده، و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القول بأنّ إرادة خلافه مع ظهوره في الفتوى إغراء 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لأمر ما أفرط بعضهم </w:t>
      </w:r>
      <w:r>
        <w:rPr>
          <w:rStyle w:val="FootnoteAnchor"/>
          <w:rtl w:val="true"/>
        </w:rPr>
        <w:footnoteReference w:id="2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تبليغ أو إفتاء، فيجوز الإحياء لكلّ أحد في زمان الحضور، أذن الإمام عليه السّلام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اشتراط الإذن يعلم من دليل خارج، لا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لهند بنت عتبة امرأة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 ولدي ما يكفيني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لك و لولدك ما يكفيك بالمعروف</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فيجوز المقاصّة للمماطل و لو بغير 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بل يدلّ على عدم كونه مال الإمام عليه السّلام عدم ذكره في كلماتهم في عداد الأنفال، المشعر باتفاقهم عليه، سيما مع عدم إشعارهم في الحكم بالتصدّق به لكونه له عليه السّلام، كما ذكروه في إرث من لا وارث له، و منه ينقدح ظهور النصوص الحاصرة للأنفال بغير المال المجهول في خروجه عنها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جملة منها من الأرض التي جلى أو باد أهلها، فالمراد به ما من الأرضين التي انقطعت عنها أيدي الكفار، كما يدلّ عليه سوق الأخبار، فإنّ منها ما يعمّ المسلمين، و هي المأخوذة عنهم قهرا و عنوة، و منها من الأنفال المختصّ بالنبيّ صلّى اللّه عليه و آله و سلّم و الإمام عليه السّلام، و هي ما لم يكن فيها هراقة دم و لم يوجف عليها بخيل و لا ركاب، بأن جلى أهلها أو صولحوا و أعطوا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النصوص أنّ تلك الأرض بهذا العنوان من الأنفال، لا من حيث كونه مجهول المالك، و لذا اختصّت</w:t>
      </w:r>
    </w:p>
    <w:p>
      <w:pPr>
        <w:pStyle w:val="BookText"/>
        <w:rPr/>
      </w:pPr>
      <w:r>
        <w:rPr>
          <w:rFonts w:ascii="Amiri" w:hAnsi="Amiri" w:eastAsia="Amiri" w:cs="Amiri"/>
          <w:color w:val="111111"/>
          <w:sz w:val="28"/>
          <w:sz w:val="28"/>
          <w:szCs w:val="28"/>
          <w:rtl w:val="true"/>
          <w:lang w:bidi="ar-SA"/>
        </w:rPr>
        <w:t>بالأرض، و يعمّ معروف المالك، و يومئ إليه تقييدها بعدم حمل خيل و لا ركاب عليها، أو بعدم هراقه دم فيها، و العطف عليها في أكثرها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قوم صولحوا و أعطوا بأيديهم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 ذلك مما هو ظاهر بل صريح في كون المقصود منها أرض الكفار، فلا يتمّ الاستدلال بتلك الأخبار على كون مال المجهول المالك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التمسّك عليه برواية داود بن أبي زيد </w:t>
      </w:r>
      <w:r>
        <w:rPr>
          <w:rStyle w:val="FootnoteAnchor"/>
          <w:rtl w:val="true"/>
        </w:rPr>
        <w:footnoteReference w:id="261"/>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إنّي قد خفت فيه على نفسي، فلو أصبت صاحبه دفعته إليه و تخلّصت منه،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أصبته كنت تدفعه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له صاحب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و قسّمه في إخوانك و لك الأمن مما خفت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بين إخوانه، نظرا إلى عمومه بترك الاستفصال الشامل لمجهول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بشموله اللقطة أيضا، و هي ليست للإمام عليه السّلام اتفاقا، فيحتمل قريبا أن يكون المراد منه ما هو العائد إليه من ديوان السلاطين و الولاة الذين كانوا في عصر الإمام عليه السّلام، أو كان ينتهي إليه على ما يقتضي الاعتبار من شيوعه في أزمنتهم، و هو غالبا للإمام عليه السّلام لكونه من الأخماس أو الأنفال أو مال الخراج الذي ولايته له عليه السّلام بل في عدّة من المعتبرة أنّ كلّما في يد الناصب مال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 الأصحاب أنّه يتصدّق به على فقراء الشيعة بعد الجهد في طلب المالك و اليأس عنه، للمستفيضة من الأخبار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يونس؛ كنّا مرافقين لقوم بمكّة و ارتحلنا عنهم و حملنا ببعض متاعهم بغير علم، و قد ذهب القوم و لا نعرفهم و لا نعرف أوطانهم و قد بقى المتاع</w:t>
      </w:r>
    </w:p>
    <w:p>
      <w:pPr>
        <w:pStyle w:val="BookText"/>
        <w:rPr/>
      </w:pPr>
      <w:r>
        <w:rPr>
          <w:rFonts w:ascii="Amiri" w:hAnsi="Amiri" w:eastAsia="Amiri" w:cs="Amiri"/>
          <w:color w:val="111111"/>
          <w:sz w:val="28"/>
          <w:sz w:val="28"/>
          <w:szCs w:val="28"/>
          <w:rtl w:val="true"/>
          <w:lang w:bidi="ar-SA"/>
        </w:rPr>
        <w:t>عندنا فما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يحملونه حتّى يلحقوهم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أعرفهم و لا ندري كيف نسأل عنهم،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أعط ثمنه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على بن حمزه </w:t>
      </w:r>
      <w:r>
        <w:rPr>
          <w:rStyle w:val="FootnoteAnchor"/>
          <w:rtl w:val="true"/>
        </w:rPr>
        <w:footnoteReference w:id="263"/>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ديوان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 من دنياهم مالا كثيرا، و أغمضت من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حيث اكتسبت من ديوانهم، فمن عرفت منهم رددت عليه ماله، و من لم تعرف تصدقت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جملة من الأخبار من الأمر بتركه على حاله، فهو ظاهر فيما لم يعلم له مالك، و هو للإمام عليه السّلام من باب ميراث من لا وارث له، يفعل به ما يشاء، أو فيما لم يحصل اليأس عن مالكه بعد عادة، و تلك الأخبار و إن اختصّت بغير الأرض و لكن يتمّ العموم بالإجماع المركّب في جواز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التصدّق في زمان الغيبة بإذن الحاكم و تعيينه المستحقّ؟</w:t>
      </w:r>
    </w:p>
    <w:p>
      <w:pPr>
        <w:pStyle w:val="BookText"/>
        <w:rPr/>
      </w:pPr>
      <w:r>
        <w:rPr>
          <w:rFonts w:ascii="Amiri" w:hAnsi="Amiri" w:eastAsia="Amiri" w:cs="Amiri"/>
          <w:color w:val="111111"/>
          <w:sz w:val="28"/>
          <w:sz w:val="28"/>
          <w:szCs w:val="28"/>
          <w:rtl w:val="true"/>
          <w:lang w:bidi="ar-SA"/>
        </w:rPr>
        <w:t>مقتضى الأصل و إطلاق الأمر في غير الأراضي عدمه، كما في اللقطة، و إن كان الأحوط كونه بتعيينه أو إذنه مطلقا، بل لا يبعد المصير إليه فيما ليس عليه يد أحد، لخروجه عن موارد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مستحقّه جنس الفقير، كما في الزكاة و الوقف العامّ، لا الكلّ على الإشاعة، فلا بدّ من تعيينه للدفع إليه، و لا دليل على جوازه للفقير نفسه، و لا لأحد آخر غير الفقيه المأمون، لكونه المتيقّن، فيقتصر عليه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قوّة احتمال اشتراط إذن الحاكم في الأراضي العامرة المجهول مالكها مطلقا، و إن كانت في تصرّف غيره، لخروجه عن موارد الأخبار، و عدم</w:t>
      </w:r>
    </w:p>
    <w:p>
      <w:pPr>
        <w:pStyle w:val="BookText"/>
        <w:rPr/>
      </w:pPr>
      <w:r>
        <w:rPr>
          <w:rFonts w:ascii="Amiri" w:hAnsi="Amiri" w:eastAsia="Amiri" w:cs="Amiri"/>
          <w:color w:val="111111"/>
          <w:sz w:val="28"/>
          <w:sz w:val="28"/>
          <w:szCs w:val="28"/>
          <w:rtl w:val="true"/>
          <w:lang w:bidi="ar-SA"/>
        </w:rPr>
        <w:t>ثبوت الإجماع المركّب هنا، فيقتصر على موضع اليقين، و هو التصدّق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للحاكم أو المتصرّف استرباح المال و إجارته و التصدّق بالمنفعة؟</w:t>
      </w:r>
    </w:p>
    <w:p>
      <w:pPr>
        <w:pStyle w:val="BookText"/>
        <w:rPr/>
      </w:pPr>
      <w:r>
        <w:rPr>
          <w:rFonts w:ascii="Amiri" w:hAnsi="Amiri" w:eastAsia="Amiri" w:cs="Amiri"/>
          <w:color w:val="111111"/>
          <w:sz w:val="28"/>
          <w:sz w:val="28"/>
          <w:szCs w:val="28"/>
          <w:rtl w:val="true"/>
          <w:lang w:bidi="ar-SA"/>
        </w:rPr>
        <w:t>مقتضى النظر عدم جوازه في غير الأراضي و العقار، بل يجب المبادرة بالتصدّق بالعين، بعد بذل الجهد في طلب المالك و حصول اليأس عنه، إلّا لضرورة، كعدم وجود المستحقّ و نحوه، لا للأمر بالتصدّق، لعدم اقتضائه الفور، بل لأنّ إبقاء اليد على مال الغير و التصرف فيه زائدا على قدر ما يتصدّق به من المدة يحتاج إلى إذن المالك أو الشارع، و الأوّل متعذّر، و الثاني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الأرض المجهول المالك فالأخبار خالية عن ذكرها، و الإجماع البسيط أو المركب لم يثبت إلّا على جواز التصدّق به دون وجوبه، فما لم يتصدّق به كان للحاكم، بل عليه حكومة أو ولاية إجارتها و نحوها من وجوه الاستنفاع و التصدق بالمنفعة، صونا عن فوتها، و حفظا عن ضياع المال المحترم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تصدّق بالعين و ظهر المالك، فإن رضي بما فعل فهو، و إلّا ففي الضمان و عدمه قولان، أحوطهما الأوّل، و أشبههما الثاني</w:t>
      </w:r>
      <w:r>
        <w:rPr>
          <w:rFonts w:eastAsia="Amiri" w:cs="Amiri" w:ascii="Amiri" w:hAnsi="Amiri"/>
          <w:color w:val="111111"/>
          <w:sz w:val="28"/>
          <w:szCs w:val="28"/>
          <w:rtl w:val="true"/>
          <w:lang w:bidi="ar-SA"/>
        </w:rPr>
        <w:t>.</w:t>
      </w:r>
      <w:bookmarkStart w:id="101" w:name="pg2497_11956"/>
    </w:p>
    <w:p>
      <w:pPr>
        <w:pStyle w:val="Heading2"/>
        <w:numPr>
          <w:ilvl w:val="1"/>
          <w:numId w:val="1"/>
        </w:numPr>
        <w:rPr/>
      </w:pPr>
      <w:bookmarkStart w:id="102" w:name="__RefHeading___Toc3861833_3804643083"/>
      <w:bookmarkStart w:id="103" w:name="_Toc39"/>
      <w:bookmarkEnd w:id="101"/>
      <w:bookmarkEnd w:id="102"/>
      <w:r>
        <w:rPr>
          <w:rtl w:val="true"/>
        </w:rPr>
        <w:t>[</w:t>
      </w:r>
      <w:r>
        <w:rPr>
          <w:rtl w:val="true"/>
        </w:rPr>
        <w:t>المشرق السابع</w:t>
      </w:r>
      <w:r>
        <w:rPr>
          <w:rtl w:val="true"/>
        </w:rPr>
        <w:t>] [</w:t>
      </w:r>
      <w:r>
        <w:rPr>
          <w:rtl w:val="true"/>
        </w:rPr>
        <w:t>في أحكام الأراضي الخراجية</w:t>
      </w:r>
      <w:r>
        <w:rPr>
          <w:rtl w:val="true"/>
        </w:rPr>
        <w:t>]</w:t>
      </w:r>
      <w:bookmarkEnd w:id="103"/>
    </w:p>
    <w:p>
      <w:pPr>
        <w:pStyle w:val="Heading3"/>
        <w:numPr>
          <w:ilvl w:val="2"/>
          <w:numId w:val="1"/>
        </w:numPr>
        <w:rPr/>
      </w:pPr>
      <w:bookmarkStart w:id="104" w:name="__RefHeading___Toc3861835_3804643083"/>
      <w:bookmarkStart w:id="105" w:name="_Toc40"/>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الأموال الخراجية، و هي من مهمّات المسائل و فروعها سيما بالنسبة إلى زمان الغيبة كثيرة، و الحاجة إليها شديدة، و وقع في كثير منها الخلاف بين أصحابنا، و قلّ منهم من استقصاها، فرأيت أن أبيّن جلية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بالخراج ارتفاع تلك الأراضي، و كثيرا ما يطلق و يراد به خصوص ما يضرب عليها من المال، كالطسق و القبالة، و بالمقاسمة الحصّة المعينة من الحاصل، كالعشر و نحوه، و هما بمنزلة الأجرة يضربان على الأرض الخراجية و أشجارها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أبحاث</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861837_3804643083"/>
      <w:bookmarkStart w:id="107" w:name="_Toc41"/>
      <w:bookmarkEnd w:id="106"/>
      <w:r>
        <w:rPr>
          <w:rtl w:val="true"/>
        </w:rPr>
        <w:t>البحث الأوّل</w:t>
      </w:r>
      <w:r>
        <w:rPr>
          <w:rtl w:val="true"/>
        </w:rPr>
        <w:t xml:space="preserve">: </w:t>
      </w:r>
      <w:r>
        <w:rPr>
          <w:rtl w:val="true"/>
        </w:rPr>
        <w:t>في بيان المعنى المقصود من الأرض الخراجية و شرائطها،</w:t>
      </w:r>
      <w:bookmarkEnd w:id="10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المفتوحة أي المأخوذة عنوة و قهرا عن الكفار، أو المأخوذة بالصلح من أيديهم، بأن يكون الأرض للمسلمين و لهم السكنى، و حكمها أنّها من المسلمين قاطبة، يصرف ارتفاعها في مصالحهم،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المفتوحة عنوة أمران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عامرة وقت الفتح، صرّح به أكثر الأصحاب، و لعلّ من أطلق أراد العامرة، تعويلا على بيان الباقين، أو تنزيلا على الغالب مما في اليد، و عن بعضهم نفى الخلاف عنه و وجه التخصيص أنّ البائرة من الموات، فلا هي قبل الفتح ملك الكفار، و لا بعده للمسلمين، بل هي من الأنفال المختصّة للإمام عليه السّلام مطلقا، حلّلها لمن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القتال و الاستغنام بإذن النبيّ صلّى اللّه عليه و آله و سلّم أو الإمام الحقّ، و إلّا فهي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المبسوط </w:t>
      </w:r>
      <w:r>
        <w:rPr>
          <w:rStyle w:val="FootnoteAnchor"/>
          <w:rtl w:val="true"/>
        </w:rPr>
        <w:footnoteReference w:id="264"/>
      </w:r>
      <w:r>
        <w:rPr>
          <w:rFonts w:ascii="Amiri" w:hAnsi="Amiri" w:eastAsia="Amiri" w:cs="Amiri"/>
          <w:color w:val="111111"/>
          <w:sz w:val="28"/>
          <w:sz w:val="28"/>
          <w:szCs w:val="28"/>
          <w:rtl w:val="true"/>
          <w:lang w:bidi="ar-SA"/>
        </w:rPr>
        <w:t xml:space="preserve">و الفاضل و نجله لرواية مرسلة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استشكله في الكفاية </w:t>
      </w:r>
      <w:r>
        <w:rPr>
          <w:rStyle w:val="FootnoteAnchor"/>
          <w:rtl w:val="true"/>
        </w:rPr>
        <w:footnoteReference w:id="266"/>
      </w:r>
      <w:r>
        <w:rPr>
          <w:rFonts w:ascii="Amiri" w:hAnsi="Amiri" w:eastAsia="Amiri" w:cs="Amiri"/>
          <w:color w:val="111111"/>
          <w:sz w:val="28"/>
          <w:sz w:val="28"/>
          <w:szCs w:val="28"/>
          <w:rtl w:val="true"/>
          <w:lang w:bidi="ar-SA"/>
        </w:rPr>
        <w:t>لضعف المستند، مع أنّه لو سلّم أنّ المفتوح بغير إذنه للإمام، فهو أباحه لشيعته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والدي العلّامة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فيما فتح بغير إذن الإمام، و إن كان كونه من الأنفال، إلّا أنّ الإمام عليه السّلام المالك للأنفال، أجرى على الأراضي المفتوحة عنوة بعد زمان رسول اللّه صلّى اللّه عليه و آله و سلّم بأجمعها حكم المفتوحة بإذنه، كما في الصحيح عن سيرة الإمام عليه السّلام </w:t>
      </w:r>
      <w:r>
        <w:rPr>
          <w:rStyle w:val="FootnoteAnchor"/>
          <w:rtl w:val="true"/>
        </w:rPr>
        <w:footnoteReference w:id="268"/>
      </w:r>
      <w:r>
        <w:rPr>
          <w:rFonts w:ascii="Amiri" w:hAnsi="Amiri" w:eastAsia="Amiri" w:cs="Amiri"/>
          <w:color w:val="111111"/>
          <w:sz w:val="28"/>
          <w:sz w:val="28"/>
          <w:szCs w:val="28"/>
          <w:rtl w:val="true"/>
          <w:lang w:bidi="ar-SA"/>
        </w:rPr>
        <w:t>في الأرض التي فتحت بعد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قد سار في أهل العراق بسيرة، فهي إمام لسائر الأرضين بضميمة ما في صحيح الحلبي عن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w:t>
      </w:r>
      <w:bookmarkStart w:id="108" w:name="pg2497_11960"/>
    </w:p>
    <w:p>
      <w:pPr>
        <w:pStyle w:val="BookText"/>
        <w:rPr/>
      </w:pPr>
      <w:bookmarkEnd w:id="108"/>
      <w:r>
        <w:rPr>
          <w:rFonts w:ascii="Amiri" w:hAnsi="Amiri" w:eastAsia="Amiri" w:cs="Amiri"/>
          <w:color w:val="111111"/>
          <w:sz w:val="28"/>
          <w:sz w:val="28"/>
          <w:szCs w:val="28"/>
          <w:rtl w:val="true"/>
          <w:lang w:bidi="ar-SA"/>
        </w:rPr>
        <w:t>دخل في الإسلام بعد اليوم، و لمن لم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ينزّل على هذا قولهم بأنّ أرض السواد مفتوحة عنوة، أي في حكمها بترخيص الإمام و إباحته، لا أنّها مفتوحة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في الكفاية كون الفتح بإذنه عليه السّلام، لأنّ الفتوح التي وقعت في زمن عمر، كان بإذن أمير المؤمنين عليه السّلام، فإنّ عمر كان يشاور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تدبير الحروب و غيرها، و كان لا يصدر </w:t>
      </w:r>
      <w:r>
        <w:rPr>
          <w:rStyle w:val="FootnoteAnchor"/>
          <w:rtl w:val="true"/>
        </w:rPr>
        <w:footnoteReference w:id="270"/>
      </w:r>
      <w:r>
        <w:rPr>
          <w:rFonts w:ascii="Amiri" w:hAnsi="Amiri" w:eastAsia="Amiri" w:cs="Amiri"/>
          <w:color w:val="111111"/>
          <w:sz w:val="28"/>
          <w:sz w:val="28"/>
          <w:szCs w:val="28"/>
          <w:rtl w:val="true"/>
          <w:lang w:bidi="ar-SA"/>
        </w:rPr>
        <w:t>عن رأي علي عليه السّلام، و نقل مصاحبة الحسنين عليهما السّلام للعسكر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بمقتضى النصّ الصحيح، أنّ حكم تلك الأراضي المفتوحة بغير إذن الإمام عليه السّلام حكم المفتوحة عنوة، سواء قلنا باشتراط إذنه في صدق العنوان أم لا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861839_3804643083"/>
      <w:bookmarkStart w:id="110" w:name="_Toc42"/>
      <w:bookmarkEnd w:id="109"/>
      <w:r>
        <w:rPr>
          <w:rtl w:val="true"/>
        </w:rPr>
        <w:t>البحث الثاني</w:t>
      </w:r>
      <w:r>
        <w:rPr>
          <w:rtl w:val="true"/>
        </w:rPr>
        <w:t xml:space="preserve">: </w:t>
      </w:r>
      <w:r>
        <w:rPr>
          <w:rtl w:val="true"/>
        </w:rPr>
        <w:t>لا خلاف في أنّ قبالة الأراضي الخراجية لعموم المسلمين، و لا يختصّ بها المقاتلين،</w:t>
      </w:r>
      <w:bookmarkEnd w:id="110"/>
    </w:p>
    <w:p>
      <w:pPr>
        <w:pStyle w:val="BookText"/>
        <w:rPr/>
      </w:pPr>
      <w:r>
        <w:rPr>
          <w:rFonts w:ascii="Amiri" w:hAnsi="Amiri" w:eastAsia="Amiri" w:cs="Amiri"/>
          <w:color w:val="111111"/>
          <w:sz w:val="28"/>
          <w:sz w:val="28"/>
          <w:szCs w:val="28"/>
          <w:rtl w:val="true"/>
          <w:lang w:bidi="ar-SA"/>
        </w:rPr>
        <w:t>بل يشاركهم غيرهم، يصرف في مصالحهم العامّة، أي الجهة الغير المقصورة على أحد أو طائفة منهم، و إن لم يستوفها الجميع، كسدّ الثغور و تقوية المجاهدين و بناء القناطر و المساجد و مئونة القضاء و تعمير المدارس و أمثال ذلك، مما لم يتعلّق الغرض فيه بمصلحة أعيان طائفة دون أخرى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صرّح مرسلة حماد </w:t>
      </w:r>
      <w:r>
        <w:rPr>
          <w:rStyle w:val="FootnoteAnchor"/>
          <w:rtl w:val="true"/>
        </w:rPr>
        <w:footnoteReference w:id="271"/>
      </w:r>
      <w:r>
        <w:rPr>
          <w:rFonts w:ascii="Amiri" w:hAnsi="Amiri" w:eastAsia="Amiri" w:cs="Amiri"/>
          <w:color w:val="111111"/>
          <w:sz w:val="28"/>
          <w:sz w:val="28"/>
          <w:szCs w:val="28"/>
          <w:rtl w:val="true"/>
          <w:lang w:bidi="ar-SA"/>
        </w:rPr>
        <w:t>الطويلة، و 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تلك الأراضي بالمسلمين في الأخبار المستفيضة و كلمات الطائفة، كما صرّح به بعضهم قائلا بأنّ المراد بكونها للمسلمين أنّ الإمام عليه السّلام يأخذ ارتفاعها و يصرفه في مصالحهم على حسب ما يراه، لا أنّها ملك الجميع بالإشاعة ضرورة بطلانها، و لا أنّها من قبيل</w:t>
      </w:r>
      <w:bookmarkStart w:id="111" w:name="pg2497_11962"/>
    </w:p>
    <w:p>
      <w:pPr>
        <w:pStyle w:val="BookText"/>
        <w:rPr/>
      </w:pPr>
      <w:bookmarkEnd w:id="111"/>
      <w:r>
        <w:rPr>
          <w:rFonts w:ascii="Amiri" w:hAnsi="Amiri" w:eastAsia="Amiri" w:cs="Amiri"/>
          <w:color w:val="111111"/>
          <w:sz w:val="28"/>
          <w:sz w:val="28"/>
          <w:szCs w:val="28"/>
          <w:rtl w:val="true"/>
          <w:lang w:bidi="ar-SA"/>
        </w:rPr>
        <w:t>ملك الزكاة للفقراء فيملكها من عيّنه الإمام عليه السّلام؛ لمنافاته لظاهر الإجماع و ظواهر الأخبار، و لا من قبيل الوقف على الفقراء الذي يملكها الجنس، فتعيينه للناظر في ضمن من شاء من الأفراد، لجواز تخصيصه المنفعة للبعض كيف شاء، و لا هكذا مورد البحث، بل يشبه أن يكون نظير الوقف على الجهة، كالوقف على المسجد و على المشاهد المقدّسة و نحوهما، على ما هو مختارنا فيه، من عدم كونه ملكا لأحد، بل هو محبوس على صرف منفعته على الجهة الموقوفة عليها العائدة لعامّة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الخمس في ارتفاع تلك الأراضي، كما في المحكي عن ظاهر جماعة و صريح الحلّي </w:t>
      </w:r>
      <w:r>
        <w:rPr>
          <w:rStyle w:val="FootnoteAnchor"/>
          <w:rtl w:val="true"/>
        </w:rPr>
        <w:footnoteReference w:id="272"/>
      </w:r>
      <w:r>
        <w:rPr>
          <w:rFonts w:ascii="IRNazanin" w:hAnsi="IRNazanin" w:eastAsia="IRNazanin"/>
          <w:color w:val="111111"/>
          <w:sz w:val="28"/>
          <w:sz w:val="28"/>
          <w:szCs w:val="28"/>
          <w:rtl w:val="true"/>
          <w:lang w:bidi="fa-IR"/>
        </w:rPr>
        <w:t xml:space="preserve">و خمس الشرائع </w:t>
      </w:r>
      <w:r>
        <w:rPr>
          <w:rStyle w:val="FootnoteAnchor"/>
          <w:rtl w:val="true"/>
        </w:rPr>
        <w:footnoteReference w:id="273"/>
      </w:r>
      <w:r>
        <w:rPr>
          <w:rFonts w:ascii="Amiri" w:hAnsi="Amiri" w:eastAsia="Amiri" w:cs="Amiri"/>
          <w:color w:val="111111"/>
          <w:sz w:val="28"/>
          <w:sz w:val="28"/>
          <w:szCs w:val="28"/>
          <w:rtl w:val="true"/>
          <w:lang w:bidi="ar-SA"/>
        </w:rPr>
        <w:t xml:space="preserve">و الفاضل في المنتهى </w:t>
      </w:r>
      <w:r>
        <w:rPr>
          <w:rStyle w:val="FootnoteAnchor"/>
          <w:rtl w:val="true"/>
        </w:rPr>
        <w:footnoteReference w:id="274"/>
      </w:r>
      <w:r>
        <w:rPr>
          <w:rFonts w:ascii="Amiri" w:hAnsi="Amiri" w:eastAsia="Amiri" w:cs="Amiri"/>
          <w:color w:val="111111"/>
          <w:sz w:val="28"/>
          <w:sz w:val="28"/>
          <w:szCs w:val="28"/>
          <w:rtl w:val="true"/>
          <w:lang w:bidi="ar-SA"/>
        </w:rPr>
        <w:t xml:space="preserve">و المحقق الأردبيلي </w:t>
      </w:r>
      <w:r>
        <w:rPr>
          <w:rStyle w:val="FootnoteAnchor"/>
          <w:rtl w:val="true"/>
        </w:rPr>
        <w:footnoteReference w:id="275"/>
      </w:r>
      <w:r>
        <w:rPr>
          <w:rFonts w:ascii="Amiri" w:hAnsi="Amiri" w:eastAsia="Amiri" w:cs="Amiri"/>
          <w:color w:val="111111"/>
          <w:sz w:val="28"/>
          <w:sz w:val="28"/>
          <w:szCs w:val="28"/>
          <w:rtl w:val="true"/>
          <w:lang w:bidi="ar-SA"/>
        </w:rPr>
        <w:t xml:space="preserve">و والدي العلّامة </w:t>
      </w:r>
      <w:r>
        <w:rPr>
          <w:rStyle w:val="FootnoteAnchor"/>
          <w:rtl w:val="true"/>
        </w:rPr>
        <w:footnoteReference w:id="276"/>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861841_3804643083"/>
      <w:bookmarkStart w:id="113" w:name="_Toc43"/>
      <w:bookmarkEnd w:id="112"/>
      <w:r>
        <w:rPr>
          <w:rtl w:val="true"/>
        </w:rPr>
        <w:t>البحث الثالث</w:t>
      </w:r>
      <w:r>
        <w:rPr>
          <w:rtl w:val="true"/>
        </w:rPr>
        <w:t xml:space="preserve">: </w:t>
      </w:r>
      <w:r>
        <w:rPr>
          <w:rtl w:val="true"/>
        </w:rPr>
        <w:t>تولية أرض الخراج و النظر فيها مع ظهور الإمام عليه السّلام و استقلاله،</w:t>
      </w:r>
      <w:bookmarkEnd w:id="1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عليه السّلام يصنع فيها على حسب ما يراه، و يقبلها من يريد بالإجماع و النصوص، كصحيحي البزنطي و محمد </w:t>
      </w:r>
      <w:r>
        <w:rPr>
          <w:rStyle w:val="FootnoteAnchor"/>
          <w:rtl w:val="true"/>
        </w:rPr>
        <w:footnoteReference w:id="277"/>
      </w:r>
      <w:r>
        <w:rPr>
          <w:rFonts w:ascii="Amiri" w:hAnsi="Amiri" w:eastAsia="Amiri" w:cs="Amiri"/>
          <w:color w:val="111111"/>
          <w:sz w:val="28"/>
          <w:sz w:val="28"/>
          <w:szCs w:val="28"/>
          <w:rtl w:val="true"/>
          <w:lang w:bidi="ar-SA"/>
        </w:rPr>
        <w:t xml:space="preserve">، و رواية صفوان </w:t>
      </w:r>
      <w:r>
        <w:rPr>
          <w:rStyle w:val="FootnoteAnchor"/>
          <w:rtl w:val="true"/>
        </w:rPr>
        <w:footnoteReference w:id="278"/>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زمان الغيبة أو عدم استقلال الإمام الحقّ عليه السّلام، ففي توقّف التصرف على إذن السلطان الجائر مطلقا، كما قيل، بل في الكفاية </w:t>
      </w:r>
      <w:r>
        <w:rPr>
          <w:rStyle w:val="FootnoteAnchor"/>
          <w:rtl w:val="true"/>
        </w:rPr>
        <w:footnoteReference w:id="279"/>
      </w:r>
      <w:r>
        <w:rPr>
          <w:rFonts w:ascii="Amiri" w:hAnsi="Amiri" w:eastAsia="Amiri" w:cs="Amiri"/>
          <w:color w:val="111111"/>
          <w:sz w:val="28"/>
          <w:sz w:val="28"/>
          <w:szCs w:val="28"/>
          <w:rtl w:val="true"/>
          <w:lang w:bidi="ar-SA"/>
        </w:rPr>
        <w:t xml:space="preserve">عن بعضهم اتّفاق الأصحاب عليه، و على تولّي الجائر لأخذ الخراج و المقاسمة و التصرف فيهما، أو عليه مع عدم الإمكان و التمكّن بدون إذنه كما في المسالك، أو جواز التقبيل بإذنه مطلقا كما هو ظاهر الأكثر، أو جوازه كذلك مع عدم الإمكان بدون إذنه، بحيث لا يمكن الاستنقاذ من أيديهم و التخلّص من ذمّتهم، و إلّا فيحرم، كما عن بعضهم، أو عدم جواز ذلك في حال، كما مال إليه مولانا الأردبيلي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القول بعدم التوقّف على إذنه أو عدم جوازه مطلقا، أو مع عدم الإمكان ففي توقّفه على إذن الحاكم نيابة عن الإمام عليه السّلام مطلقا أو مع تمكّنه في صرفها على وجهها، كما ذهب إليه الشهيد الثاني </w:t>
      </w:r>
      <w:r>
        <w:rPr>
          <w:rStyle w:val="FootnoteAnchor"/>
          <w:rtl w:val="true"/>
        </w:rPr>
        <w:footnoteReference w:id="281"/>
      </w:r>
      <w:r>
        <w:rPr>
          <w:rFonts w:ascii="Amiri" w:hAnsi="Amiri" w:eastAsia="Amiri" w:cs="Amiri"/>
          <w:color w:val="111111"/>
          <w:sz w:val="28"/>
          <w:sz w:val="28"/>
          <w:szCs w:val="28"/>
          <w:rtl w:val="true"/>
          <w:lang w:bidi="ar-SA"/>
        </w:rPr>
        <w:t xml:space="preserve">و غيره، أو عدم التوقّف عليه، و لكن جاز له و لكلّ من الشيعة خاصّة التصرف فيها و تقبيلها مع الإمكان و إلّا فللشيعة التقبيل من الجائر أيضا، كما اختاره والدي </w:t>
      </w:r>
      <w:r>
        <w:rPr>
          <w:rStyle w:val="FootnoteAnchor"/>
          <w:rtl w:val="true"/>
        </w:rPr>
        <w:footnoteReference w:id="282"/>
      </w:r>
      <w:r>
        <w:rPr>
          <w:rFonts w:ascii="Amiri" w:hAnsi="Amiri" w:eastAsia="Amiri" w:cs="Amiri"/>
          <w:color w:val="111111"/>
          <w:sz w:val="28"/>
          <w:sz w:val="28"/>
          <w:szCs w:val="28"/>
          <w:rtl w:val="true"/>
          <w:lang w:bidi="ar-SA"/>
        </w:rPr>
        <w:t xml:space="preserve">، و نقل جواز تصرّف الشيعة مطلقا عند استتار الإمام عليه السّلام عن ظاهر الشيخ في التهذيب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المقال في تحقيق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و لا خلاف في أنّ النظر و التولية لهذه الأملاك حقّ الإمام الحقّ عليه السّلام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المعتبرة، كصحيح البزنطي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بالسيف، فذلك للإمام عليه السّلام، يقبله بالذي يرى،</w:t>
      </w:r>
    </w:p>
    <w:p>
      <w:pPr>
        <w:pStyle w:val="BookText"/>
        <w:rPr/>
      </w:pPr>
      <w:r>
        <w:rPr>
          <w:rFonts w:ascii="Amiri" w:hAnsi="Amiri" w:eastAsia="Amiri" w:cs="Amiri"/>
          <w:color w:val="111111"/>
          <w:sz w:val="28"/>
          <w:sz w:val="28"/>
          <w:szCs w:val="28"/>
          <w:rtl w:val="true"/>
          <w:lang w:bidi="ar-SA"/>
        </w:rPr>
        <w:t>كما صنع رسول اللّه صلّى اللّه عليه و آله و سلّم بخيبر قبّل سوادها و بياضها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شك، بل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فيما فيه الولاية للإمام عليه السّلام إذا دعت الضرورة إلى مداخلة غيره في غيبته، كونها للفقيه العدل بحقّ النيابة، إلّا ما خرج بدليل، بل في تضاعيف كلمات أكثرهم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النيابة و لو بتراكمها و تعاضد بعضها بعضا، ككونه وارث الأنبياء </w:t>
      </w:r>
      <w:r>
        <w:rPr>
          <w:rStyle w:val="FootnoteAnchor"/>
          <w:rtl w:val="true"/>
        </w:rPr>
        <w:footnoteReference w:id="285"/>
      </w:r>
      <w:r>
        <w:rPr>
          <w:rFonts w:ascii="Amiri" w:hAnsi="Amiri" w:eastAsia="Amiri" w:cs="Amiri"/>
          <w:color w:val="111111"/>
          <w:sz w:val="28"/>
          <w:sz w:val="28"/>
          <w:szCs w:val="28"/>
          <w:rtl w:val="true"/>
          <w:lang w:bidi="ar-SA"/>
        </w:rPr>
        <w:t xml:space="preserve">و أمين الرسل </w:t>
      </w:r>
      <w:r>
        <w:rPr>
          <w:rStyle w:val="FootnoteAnchor"/>
          <w:rtl w:val="true"/>
        </w:rPr>
        <w:footnoteReference w:id="286"/>
      </w:r>
      <w:r>
        <w:rPr>
          <w:rFonts w:ascii="Amiri" w:hAnsi="Amiri" w:eastAsia="Amiri" w:cs="Amiri"/>
          <w:color w:val="111111"/>
          <w:sz w:val="28"/>
          <w:sz w:val="28"/>
          <w:szCs w:val="28"/>
          <w:rtl w:val="true"/>
          <w:lang w:bidi="ar-SA"/>
        </w:rPr>
        <w:t xml:space="preserve">و خليفة الرسول </w:t>
      </w:r>
      <w:r>
        <w:rPr>
          <w:rStyle w:val="FootnoteAnchor"/>
          <w:rtl w:val="true"/>
        </w:rPr>
        <w:footnoteReference w:id="287"/>
      </w:r>
      <w:r>
        <w:rPr>
          <w:rFonts w:ascii="IRNazanin" w:hAnsi="IRNazanin" w:eastAsia="IRNazanin"/>
          <w:color w:val="111111"/>
          <w:sz w:val="28"/>
          <w:sz w:val="28"/>
          <w:szCs w:val="28"/>
          <w:rtl w:val="true"/>
          <w:lang w:bidi="fa-IR"/>
        </w:rPr>
        <w:t xml:space="preserve">، و حصن الإسلام </w:t>
      </w:r>
      <w:r>
        <w:rPr>
          <w:rStyle w:val="FootnoteAnchor"/>
          <w:rtl w:val="true"/>
        </w:rPr>
        <w:footnoteReference w:id="288"/>
      </w:r>
      <w:r>
        <w:rPr>
          <w:rFonts w:ascii="Amiri" w:hAnsi="Amiri" w:eastAsia="Amiri" w:cs="Amiri"/>
          <w:color w:val="111111"/>
          <w:sz w:val="28"/>
          <w:sz w:val="28"/>
          <w:szCs w:val="28"/>
          <w:rtl w:val="true"/>
          <w:lang w:bidi="ar-SA"/>
        </w:rPr>
        <w:t xml:space="preserve">و مثل الأنبياء و بمنزلتهم </w:t>
      </w:r>
      <w:r>
        <w:rPr>
          <w:rStyle w:val="FootnoteAnchor"/>
          <w:rtl w:val="true"/>
        </w:rPr>
        <w:footnoteReference w:id="289"/>
      </w:r>
      <w:r>
        <w:rPr>
          <w:rFonts w:ascii="Amiri" w:hAnsi="Amiri" w:eastAsia="Amiri" w:cs="Amiri"/>
          <w:color w:val="111111"/>
          <w:sz w:val="28"/>
          <w:sz w:val="28"/>
          <w:szCs w:val="28"/>
          <w:rtl w:val="true"/>
          <w:lang w:bidi="ar-SA"/>
        </w:rPr>
        <w:t xml:space="preserve">و الحاكم </w:t>
      </w:r>
      <w:r>
        <w:rPr>
          <w:rStyle w:val="FootnoteAnchor"/>
          <w:rtl w:val="true"/>
        </w:rPr>
        <w:footnoteReference w:id="290"/>
      </w:r>
      <w:r>
        <w:rPr>
          <w:rFonts w:ascii="Amiri" w:hAnsi="Amiri" w:eastAsia="Amiri" w:cs="Amiri"/>
          <w:color w:val="111111"/>
          <w:sz w:val="28"/>
          <w:sz w:val="28"/>
          <w:szCs w:val="28"/>
          <w:rtl w:val="true"/>
          <w:lang w:bidi="ar-SA"/>
        </w:rPr>
        <w:t xml:space="preserve">و القاضي </w:t>
      </w:r>
      <w:r>
        <w:rPr>
          <w:rStyle w:val="FootnoteAnchor"/>
          <w:rtl w:val="true"/>
        </w:rPr>
        <w:footnoteReference w:id="291"/>
      </w:r>
      <w:r>
        <w:rPr>
          <w:rFonts w:ascii="Amiri" w:hAnsi="Amiri" w:eastAsia="Amiri" w:cs="Amiri"/>
          <w:color w:val="111111"/>
          <w:sz w:val="28"/>
          <w:sz w:val="28"/>
          <w:szCs w:val="28"/>
          <w:rtl w:val="true"/>
          <w:lang w:bidi="ar-SA"/>
        </w:rPr>
        <w:t xml:space="preserve">و الحجة من قبلهم </w:t>
      </w:r>
      <w:r>
        <w:rPr>
          <w:rStyle w:val="FootnoteAnchor"/>
          <w:rtl w:val="true"/>
        </w:rPr>
        <w:footnoteReference w:id="292"/>
      </w:r>
      <w:r>
        <w:rPr>
          <w:rFonts w:ascii="Amiri" w:hAnsi="Amiri" w:eastAsia="Amiri" w:cs="Amiri"/>
          <w:color w:val="111111"/>
          <w:sz w:val="28"/>
          <w:sz w:val="28"/>
          <w:szCs w:val="28"/>
          <w:rtl w:val="true"/>
          <w:lang w:bidi="ar-SA"/>
        </w:rPr>
        <w:t xml:space="preserve">، و أنّه المرجع في جميع الحوادث </w:t>
      </w:r>
      <w:r>
        <w:rPr>
          <w:rStyle w:val="FootnoteAnchor"/>
          <w:rtl w:val="true"/>
        </w:rPr>
        <w:footnoteReference w:id="293"/>
      </w:r>
      <w:r>
        <w:rPr>
          <w:rFonts w:ascii="Amiri" w:hAnsi="Amiri" w:eastAsia="Amiri" w:cs="Amiri"/>
          <w:color w:val="111111"/>
          <w:sz w:val="28"/>
          <w:sz w:val="28"/>
          <w:szCs w:val="28"/>
          <w:rtl w:val="true"/>
          <w:lang w:bidi="ar-SA"/>
        </w:rPr>
        <w:t xml:space="preserve">، و أنّ على يده مجاري الأمور و الأحكام </w:t>
      </w:r>
      <w:r>
        <w:rPr>
          <w:rStyle w:val="FootnoteAnchor"/>
          <w:rtl w:val="true"/>
        </w:rPr>
        <w:footnoteReference w:id="294"/>
      </w:r>
      <w:r>
        <w:rPr>
          <w:rFonts w:ascii="Amiri" w:hAnsi="Amiri" w:eastAsia="Amiri" w:cs="Amiri"/>
          <w:color w:val="111111"/>
          <w:sz w:val="28"/>
          <w:sz w:val="28"/>
          <w:szCs w:val="28"/>
          <w:rtl w:val="true"/>
          <w:lang w:bidi="ar-SA"/>
        </w:rPr>
        <w:t xml:space="preserve">، و أنّه الكافل لأيتامهم </w:t>
      </w:r>
      <w:r>
        <w:rPr>
          <w:rStyle w:val="FootnoteAnchor"/>
          <w:rtl w:val="true"/>
        </w:rPr>
        <w:footnoteReference w:id="295"/>
      </w:r>
      <w:r>
        <w:rPr>
          <w:rFonts w:ascii="Amiri" w:hAnsi="Amiri" w:eastAsia="Amiri" w:cs="Amiri"/>
          <w:color w:val="111111"/>
          <w:sz w:val="28"/>
          <w:sz w:val="28"/>
          <w:szCs w:val="28"/>
          <w:rtl w:val="true"/>
          <w:lang w:bidi="ar-SA"/>
        </w:rPr>
        <w:t>،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الروايات المتكثرة التي أكثرها معتبرة، و الباقي بالشهرة منجبرة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فينقدح من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كون التولية و التقبيل للنائب العامّ في غيبة</w:t>
      </w:r>
    </w:p>
    <w:p>
      <w:pPr>
        <w:pStyle w:val="BookText"/>
        <w:rPr/>
      </w:pPr>
      <w:r>
        <w:rPr>
          <w:rFonts w:ascii="Amiri" w:hAnsi="Amiri" w:eastAsia="Amiri" w:cs="Amiri"/>
          <w:color w:val="111111"/>
          <w:sz w:val="28"/>
          <w:sz w:val="28"/>
          <w:szCs w:val="28"/>
          <w:rtl w:val="true"/>
          <w:lang w:bidi="ar-SA"/>
        </w:rPr>
        <w:t>الإمام عليه السّلام، إلّا إذا ثبت الإذن لغيره بدليل، و من يحتمل له الإذن بملاحظة أقوال المسألة، إمّا آحاد الشيعة أو السلطان الجائر، و الأوّل غير ثابت لعدم دليل معتبر عليه، و إن قلنا بكون من في يده أحقّ من غيره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صرّح في المسالك </w:t>
      </w:r>
      <w:r>
        <w:rPr>
          <w:rStyle w:val="FootnoteAnchor"/>
          <w:rtl w:val="true"/>
        </w:rPr>
        <w:footnoteReference w:id="296"/>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الأنفال التي أذنوا لشيعتهم في التصرف فيها حال الغيبة، لأنّ ذلك حقّهم، فلهم الإذن فيه مطلقا، بخلاف المفتوحة عنوة، فإنّها للمسلمين قاطبة، و لم ينقل منهم الإذن في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الاعتراض عليه بأنّ ما للمسلمين هو منافع هذه الأرضيين أو مع رقبتها، و أمّا التصرف و التقبيل فحقّ الإمام عليه السّلام، و يكون له الإذن في هذا الحقّ للشيعة، و ثبت الإذن منهم بالعمومات الدالّة على أنّ ما كان لنا فهو لشيعتنا </w:t>
      </w:r>
      <w:r>
        <w:rPr>
          <w:rStyle w:val="FootnoteAnchor"/>
          <w:rtl w:val="true"/>
        </w:rPr>
        <w:footnoteReference w:id="297"/>
      </w:r>
      <w:r>
        <w:rPr>
          <w:rFonts w:ascii="Amiri" w:hAnsi="Amiri" w:eastAsia="Amiri" w:cs="Amiri"/>
          <w:color w:val="111111"/>
          <w:sz w:val="28"/>
          <w:sz w:val="28"/>
          <w:szCs w:val="28"/>
          <w:rtl w:val="true"/>
          <w:lang w:bidi="ar-SA"/>
        </w:rPr>
        <w:t xml:space="preserve">، و أنّ كلّ من والى آبائي فهم في حلّ ممّا في أيديهم من حقّنا، و أنّا أحللنا شيعتنا من مظلمتنا التي يعيش الناس في فضلها </w:t>
      </w:r>
      <w:r>
        <w:rPr>
          <w:rStyle w:val="FootnoteAnchor"/>
          <w:rtl w:val="true"/>
        </w:rPr>
        <w:footnoteReference w:id="298"/>
      </w:r>
      <w:r>
        <w:rPr>
          <w:rFonts w:ascii="Amiri" w:hAnsi="Amiri" w:eastAsia="Amiri" w:cs="Amiri"/>
          <w:color w:val="111111"/>
          <w:sz w:val="28"/>
          <w:sz w:val="28"/>
          <w:szCs w:val="28"/>
          <w:rtl w:val="true"/>
          <w:lang w:bidi="ar-SA"/>
        </w:rPr>
        <w:t>، و نحو ذلك، حيث إنّ التصرف في تلك الأراضي كان لهم و حقّ لهم، و تقبيل الناس بها مظالم للأئمة عليهم السّلام، فيكون حلالا للشيعة بمقتضى تلك النصوص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يندفع بأنّه لو سلّم جواز الإذن لهم لجميع آحاد الشيعة في مثل هذا الأمر الذي هو من باب الرئاسة و الولاية العامّة، فيما يتعلّق بمصلحة جميع المسلمين، فتلك العمومات قاصرة عن إفادة هذا الإذن، لظهورها بحكم التبادر في الحقوق المالية من الأعيان و المنافع، لا فيما يشمل حقّ الولاية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السلطان الجائر، فلا ينبغي الريب في حرمة تصرّفه و تقبيله، و لعلّه إجماعي، كما حكاه بعضهم، كيف و هو حقّ الإمام، و قد تولّاه غصبا و عدوانا، مانعا لمستحقّه و أهله عنه، فما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الحرمة بعدم ثبوتها إذا كان غرضه جمع حقوق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الحزازة، فإنّ أصل الجمع حقّ إمام المسلمين أيضا، لا يجوز لغيره التصدّي له إلّا بإذنه، بل لو سلّم الإذن، فالحكم بجواز عمل الجائر مشكل أيضا، لاختلاف وجوه العمل و أحكامه باختلاف النيّات، و من الظاهر أنّ عمل الجائر ليس من باب الوكالة و الرخصة من صاحب الحقّ، بل من جهة الاستحقاق و الاستخلاف، فهو متفرّع على الخلافة المغصوبة، و جواز التقبّل منه في غير صورة الاستنقاذ و تخليصه من يد الغاصب غير مسلّم، و لو سلّم فهو لا يستلزم جواز التقبيل له، كما في إطعام الغاصب الطعام المغصوب لمالكه مع جهله به، فهو خارج عن عموم حرمة المعاونة على الإثم، مع أنّ إبقاء الجائر يده عليه إثم أيضا، فالإثم واقع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التقبّل من الجائر مع إمكان التصرّف لمن له الحقّ أو لنائبه، فالحكم بجوازه مشكل أيضا، بل الظاهر عدمه، للأصل و عدم ثبوت المخرج، كما قاله جمع من الأجلّة، و في بعض الصحاح حرمة كسب غير الشيعة ممّا في يده من الأرض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عدّة من الروايات </w:t>
      </w:r>
      <w:r>
        <w:rPr>
          <w:rStyle w:val="FootnoteAnchor"/>
          <w:rtl w:val="true"/>
        </w:rPr>
        <w:footnoteReference w:id="300"/>
      </w:r>
      <w:r>
        <w:rPr>
          <w:rFonts w:ascii="Amiri" w:hAnsi="Amiri" w:eastAsia="Amiri" w:cs="Amiri"/>
          <w:color w:val="111111"/>
          <w:sz w:val="28"/>
          <w:sz w:val="28"/>
          <w:szCs w:val="28"/>
          <w:rtl w:val="true"/>
          <w:lang w:bidi="ar-SA"/>
        </w:rPr>
        <w:t>من جواز أخذ الخراج منه بالبيع و الشراء و الحوالة و غيرها، المشعر بجواز التقبّل منه، ظاهر الاختصاص بصورة عدم التمكّن، كما ستعرف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الأخبار المجوّزة المطلقة ظاهرا بشهادة الواقع في زمن الأئمة، بصورة عدم تمكّن الغير، مع أنّ في دلالة أكثرها على العموم تأمّل، لعدم كون الإطلاق فيها</w:t>
      </w:r>
      <w:bookmarkStart w:id="114" w:name="pg2497_11972"/>
    </w:p>
    <w:p>
      <w:pPr>
        <w:pStyle w:val="BookText"/>
        <w:rPr/>
      </w:pPr>
      <w:bookmarkEnd w:id="114"/>
      <w:r>
        <w:rPr>
          <w:rFonts w:ascii="Amiri" w:hAnsi="Amiri" w:eastAsia="Amiri" w:cs="Amiri"/>
          <w:color w:val="111111"/>
          <w:sz w:val="28"/>
          <w:sz w:val="28"/>
          <w:szCs w:val="28"/>
          <w:rtl w:val="true"/>
          <w:lang w:bidi="ar-SA"/>
        </w:rPr>
        <w:t>منساقا لبيان جواز التقبّل من السلطان، بل وقع في جواب السؤال عن حكم الإجارة بعد الاستيجار من السلطان و نحوه، فلا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دلّ على عموم التقبّل من الجائر و لو مع الإمكان عن أهله غير معلوم الثبوت، فلا يجوز المصير إليه، مع مخالفته للأصول القطعية، سيما مع ما فيه من المعاونة على المعصية و إعانة الظالم و قبح إقامة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إمكان التصرّف بدون التقبّل منه فالظاهر أنّه جائز، بل لعلّه معقد الإجماع، و في الأخبار المتكثرة عليه دلالة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دلّ عليه تقريرهم عليه المعلوم من الآثار، بل صحيح الحلبي </w:t>
      </w:r>
      <w:r>
        <w:rPr>
          <w:rStyle w:val="FootnoteAnchor"/>
          <w:rtl w:val="true"/>
        </w:rPr>
        <w:footnoteReference w:id="301"/>
      </w:r>
      <w:r>
        <w:rPr>
          <w:rFonts w:ascii="Amiri" w:hAnsi="Amiri" w:eastAsia="Amiri" w:cs="Amiri"/>
          <w:color w:val="111111"/>
          <w:sz w:val="28"/>
          <w:sz w:val="28"/>
          <w:szCs w:val="28"/>
          <w:rtl w:val="true"/>
          <w:lang w:bidi="ar-SA"/>
        </w:rPr>
        <w:t xml:space="preserve">و رواية عبد اللّه بن محمد </w:t>
      </w:r>
      <w:r>
        <w:rPr>
          <w:rStyle w:val="FootnoteAnchor"/>
          <w:rtl w:val="true"/>
        </w:rPr>
        <w:footnoteReference w:id="302"/>
      </w:r>
      <w:r>
        <w:rPr>
          <w:rFonts w:ascii="Amiri" w:hAnsi="Amiri" w:eastAsia="Amiri" w:cs="Amiri"/>
          <w:color w:val="111111"/>
          <w:sz w:val="28"/>
          <w:sz w:val="28"/>
          <w:szCs w:val="28"/>
          <w:rtl w:val="true"/>
          <w:lang w:bidi="ar-SA"/>
        </w:rPr>
        <w:t>تدلّان عليه بتقرير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بل يدلّ عليه أنّه لولاه لوقع الشيعة غالبا في الحرج و ضاع حقوقهم،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في المسألة أن تولية هذا الأراضي و النظر فيها حال الغيبة للنائب العامّ مع تمكّنه و إمكان التصرّف بدون إذن الجائر، فيتوقّف التصرّف على إذنه، و للجائر مع عدم التمكّن بدون إذنه فيمضى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 و حكم تصرّفه فيها حكم تصرّف الإمام العادل عليه السّلام بالنسبة إلى الرعية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3861843_3804643083"/>
      <w:bookmarkStart w:id="116" w:name="_Toc44"/>
      <w:bookmarkEnd w:id="115"/>
      <w:r>
        <w:rPr>
          <w:rtl w:val="true"/>
        </w:rPr>
        <w:t>البحث الرابع</w:t>
      </w:r>
      <w:r>
        <w:rPr>
          <w:rtl w:val="true"/>
        </w:rPr>
        <w:t xml:space="preserve">: </w:t>
      </w:r>
      <w:r>
        <w:rPr>
          <w:rtl w:val="true"/>
        </w:rPr>
        <w:t>المعروف بين الأصحاب أنّ ما يأخذه السلطان الجائر باسم الخراج و المقاسمة و الزكاة يحلّ أخذه</w:t>
      </w:r>
      <w:bookmarkEnd w:id="1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تناوله و شراؤه منه، و إن كان ظالما في أخذه و محرما عليه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الجملة لا خلاف فيه ظاهرا، كشفا و نقلا فاستشكال المحقّق</w:t>
      </w:r>
    </w:p>
    <w:p>
      <w:pPr>
        <w:pStyle w:val="BookText"/>
        <w:rPr/>
      </w:pPr>
      <w:r>
        <w:rPr>
          <w:rFonts w:ascii="Amiri" w:hAnsi="Amiri" w:eastAsia="Amiri" w:cs="Amiri"/>
          <w:color w:val="111111"/>
          <w:sz w:val="28"/>
          <w:sz w:val="28"/>
          <w:szCs w:val="28"/>
          <w:rtl w:val="true"/>
          <w:lang w:bidi="ar-SA"/>
        </w:rPr>
        <w:t xml:space="preserve">الأردبيلي </w:t>
      </w:r>
      <w:r>
        <w:rPr>
          <w:rStyle w:val="FootnoteAnchor"/>
          <w:rtl w:val="true"/>
        </w:rPr>
        <w:footnoteReference w:id="303"/>
      </w:r>
      <w:r>
        <w:rPr>
          <w:rFonts w:ascii="Amiri" w:hAnsi="Amiri" w:eastAsia="Amiri" w:cs="Amiri"/>
          <w:color w:val="111111"/>
          <w:sz w:val="28"/>
          <w:sz w:val="28"/>
          <w:szCs w:val="28"/>
          <w:rtl w:val="true"/>
          <w:lang w:bidi="ar-SA"/>
        </w:rPr>
        <w:t>مندفع به، مضافا إلى لزوم العسر و الحرج للشيعة لولاه، و ظهوره من فحاوي الأخبار و مطاوي الآثار و خصوص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الحذّاء </w:t>
      </w:r>
      <w:r>
        <w:rPr>
          <w:rStyle w:val="FootnoteAnchor"/>
          <w:rtl w:val="true"/>
        </w:rPr>
        <w:footnoteReference w:id="304"/>
      </w:r>
      <w:r>
        <w:rPr>
          <w:rFonts w:ascii="Amiri" w:hAnsi="Amiri" w:eastAsia="Amiri" w:cs="Amiri"/>
          <w:color w:val="111111"/>
          <w:sz w:val="28"/>
          <w:sz w:val="28"/>
          <w:szCs w:val="28"/>
          <w:rtl w:val="true"/>
          <w:lang w:bidi="ar-SA"/>
        </w:rPr>
        <w:t>عن الرجل منّا يشتري عن السلطان من إبل الصدقة و غنمها،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الإبل و الغنم إلّا مثل الحنطة و الشعير و غير ذلك، 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صدقات أغنامنا، فنقول بعناها فيبيعناها، فما ترى في شرائه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فيأخذ حظّه فيعزله بكيل، فما ترى في شراء ذلك الطعام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أقبضه بكيل و أنتم حضور ذلك فلا بأس به منه بغير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حتى تعرف الحرام بعينه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على جواز شراء الصدقة، بل غايته جواز شراء غير معلوم الحرمة فلا يفيد المطلوب، مدفوع؛ بظهور رجوع الضمير إلى شراء إبل الصدقة المسؤول عنه، مع أنّه لولاه لم يطابق الجواب السؤال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يناقش أيضا، باختصاصها بالزكاة، فلا يشمل الخراج، و منع ظهور لفظ القاسم في المقاسمة، سيما بقرينة المقابلة للمصدق، لتحقّق القسمة في صدقات الغلّات أيضا، و احتمال اختصاص لفظ المصدّق عندهم بمن أخذ صدقات الأنعام،</w:t>
      </w:r>
    </w:p>
    <w:p>
      <w:pPr>
        <w:pStyle w:val="BookText"/>
        <w:rPr/>
      </w:pPr>
      <w:r>
        <w:rPr>
          <w:rFonts w:ascii="Amiri" w:hAnsi="Amiri" w:eastAsia="Amiri" w:cs="Amiri"/>
          <w:color w:val="111111"/>
          <w:sz w:val="28"/>
          <w:sz w:val="28"/>
          <w:szCs w:val="28"/>
          <w:rtl w:val="true"/>
          <w:lang w:bidi="ar-SA"/>
        </w:rPr>
        <w:t>أو كون المأخوذ مال مقاسمة مالك الأرض، حيث قاسمها الزارع لا السلطان، و السؤال باعتبار البيع، اعتمادا على الكيل السابق، و باحتمال كون المصدّق من قبل الإمام العدل أو هو الفقير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نقل بتبادر القاسم سيما في أزمنة المعصومين عليهم السّلام، بحكم الحدس و الاعتبار في المنصوب من قبل السلطان لأخذ المقاسمة، فيشمله قطعا، فيعمّه الحكم بترك الاستفصال، مع أنّ الظاهر عدم القائل بالفصل بين الزكاة و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حال الأئمّة عليهم السّلام في زمان صدور الرواية، لاشتداد التقيّة، مع أنّ عموم اللفظ كاف في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ابن أبي سمان أن يخرج شباب الشيعة فيكفونهم ما يكفي الناس و يعطيهم ما يعطى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تركت عطاءك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سمان أن يبعث عليك بعطائك، أما علم أنّ لك في بيت المال نصيبا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دلّ على جواز أخذ الراوي من بيت المال الذي في أيديهم، الغالب فيه اجتماع وجوه الخراج و المقاسمة، و إنكاره على ابن أبي سمان من منعه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احتساب ما يأخذه السلطان من الزكاة الدال على حكم الخراج بعدم القول بالفصل، كصحيح يعقوب بن شعيب </w:t>
      </w:r>
      <w:r>
        <w:rPr>
          <w:rStyle w:val="FootnoteAnchor"/>
          <w:rtl w:val="true"/>
        </w:rPr>
        <w:footnoteReference w:id="308"/>
      </w:r>
      <w:r>
        <w:rPr>
          <w:rFonts w:ascii="Amiri" w:hAnsi="Amiri" w:eastAsia="Amiri" w:cs="Amiri"/>
          <w:color w:val="111111"/>
          <w:sz w:val="28"/>
          <w:sz w:val="28"/>
          <w:szCs w:val="28"/>
          <w:rtl w:val="true"/>
          <w:lang w:bidi="ar-SA"/>
        </w:rPr>
        <w:t>، عن العشور التي يؤخذ من الرجل أ يحتسب به من زكاته؟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يأخذه السلطان من صدقة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أمرك أن تعيد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مرسل محمد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يؤخذ منه هؤلاء زكاة ماله أو خمس غنيمته أو خمس ما يخرج له من المعادن، أ يحسب ذلك في زكاته و خمسه؟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w:t>
      </w:r>
      <w:r>
        <w:rPr>
          <w:rStyle w:val="FootnoteAnchor"/>
          <w:rtl w:val="true"/>
        </w:rPr>
        <w:footnoteReference w:id="311"/>
      </w:r>
      <w:r>
        <w:rPr>
          <w:rFonts w:ascii="Amiri" w:hAnsi="Amiri" w:eastAsia="Amiri" w:cs="Amiri"/>
          <w:color w:val="111111"/>
          <w:sz w:val="28"/>
          <w:sz w:val="28"/>
          <w:szCs w:val="28"/>
          <w:rtl w:val="true"/>
          <w:lang w:bidi="ar-SA"/>
        </w:rPr>
        <w:t>، عن شراء الخيانة و السرقة،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أنّه كذلك فلا، إلّا أن يكون شيئا تشتريه من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أفراد معلوم السرقه و الخيانة من العمل أيضا غير ضائر للباقي، بل الظاهر أنّ مفروض البحث هو الفارق الموجب للتفصيل، و إلّا كان الفصل خاليا عن التحصيل، و منع صدق الخيانة على المفروض سخيف، فإنّه لا خيانة أعظم من التصرّف في حقّ الإمام بغير حقّ و مال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و أبي بصير </w:t>
      </w:r>
      <w:r>
        <w:rPr>
          <w:rStyle w:val="FootnoteAnchor"/>
          <w:rtl w:val="true"/>
        </w:rPr>
        <w:footnoteReference w:id="312"/>
      </w:r>
      <w:r>
        <w:rPr>
          <w:rFonts w:ascii="Amiri" w:hAnsi="Amiri" w:eastAsia="Amiri" w:cs="Amiri"/>
          <w:color w:val="111111"/>
          <w:sz w:val="28"/>
          <w:sz w:val="28"/>
          <w:szCs w:val="28"/>
          <w:rtl w:val="true"/>
          <w:lang w:bidi="ar-SA"/>
        </w:rPr>
        <w:t>،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تزارع أهلها، ما ترى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سلطان فما حرثته لها، فعليك فيما أخرج اللّه تعالى منها الذي قاطعك عليه، و ليس على جميع ما أخرجه اللّه سبحانه فيها العشر، إنّما العشر عليك، فيما تحصل في يدك بعد مقاسمته 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w:t>
      </w:r>
      <w:r>
        <w:rPr>
          <w:rStyle w:val="FootnoteAnchor"/>
          <w:rtl w:val="true"/>
        </w:rPr>
        <w:footnoteReference w:id="313"/>
      </w:r>
      <w:r>
        <w:rPr>
          <w:rFonts w:ascii="Amiri" w:hAnsi="Amiri" w:eastAsia="Amiri" w:cs="Amiri"/>
          <w:color w:val="111111"/>
          <w:sz w:val="28"/>
          <w:sz w:val="28"/>
          <w:szCs w:val="28"/>
          <w:rtl w:val="true"/>
          <w:lang w:bidi="ar-SA"/>
        </w:rPr>
        <w:t>عن الرجل يتكاري الأرض من السلطان بالثلث أو</w:t>
      </w:r>
    </w:p>
    <w:p>
      <w:pPr>
        <w:pStyle w:val="BookText"/>
        <w:rPr/>
      </w:pPr>
      <w:r>
        <w:rPr>
          <w:rFonts w:ascii="Amiri" w:hAnsi="Amiri" w:eastAsia="Amiri" w:cs="Amiri"/>
          <w:color w:val="111111"/>
          <w:sz w:val="28"/>
          <w:sz w:val="28"/>
          <w:szCs w:val="28"/>
          <w:rtl w:val="true"/>
          <w:lang w:bidi="ar-SA"/>
        </w:rPr>
        <w:t>النصف، هل عليه في حصّته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 على خروج ما قاطعه عليه السلطان من ملكه، و إلّا كان عليه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يتقبّل الرجل الأرض و أهلها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رواه الثلاثة مسندا إلى إسماعيل بن فضيل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أيضا بإطلاق ما دلّ على جواز الشراء من الظلمة، و خصوص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من العامل و هو يظلم،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حملا للظلم على الزائد عن المتعارف عرفا، و إطلاق المستفيضة </w:t>
      </w:r>
      <w:r>
        <w:rPr>
          <w:rStyle w:val="FootnoteAnchor"/>
          <w:rtl w:val="true"/>
        </w:rPr>
        <w:footnoteReference w:id="316"/>
      </w:r>
      <w:r>
        <w:rPr>
          <w:rFonts w:ascii="Amiri" w:hAnsi="Amiri" w:eastAsia="Amiri" w:cs="Amiri"/>
          <w:color w:val="111111"/>
          <w:sz w:val="28"/>
          <w:sz w:val="28"/>
          <w:szCs w:val="28"/>
          <w:rtl w:val="true"/>
          <w:lang w:bidi="ar-SA"/>
        </w:rPr>
        <w:t>الدالّة على إباحة جوائز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 الحمل المذكور و الصرف عن الظاهر، مع ما فيه من الركاكة، لا وجه له، فهي ظاهرة في غير معلوم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تلك الأدلّة حلّية المأخوذ من الجائر من مال الخراج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الإشكال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رفع المالك مال الخراج إلى الجائر، هل هو مخصوص بصورة عدم التمكّن من المنع، أو يجب عليه مطلقا، فلا يجوز له جحد شي‌ء منه، و لا منعه و لا سرقته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المحقّق الثاني في الرسالة الخراجية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بالإطلاق عن كثير من معاصريه،</w:t>
      </w:r>
    </w:p>
    <w:p>
      <w:pPr>
        <w:pStyle w:val="BookText"/>
        <w:rPr/>
      </w:pPr>
      <w:r>
        <w:rPr>
          <w:rFonts w:ascii="IRNazanin" w:hAnsi="IRNazanin" w:eastAsia="IRNazanin"/>
          <w:color w:val="111111"/>
          <w:sz w:val="28"/>
          <w:sz w:val="28"/>
          <w:szCs w:val="28"/>
          <w:rtl w:val="true"/>
          <w:lang w:bidi="fa-IR"/>
        </w:rPr>
        <w:t>و هو ظاهر جمع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الكفاية </w:t>
      </w:r>
      <w:r>
        <w:rPr>
          <w:rStyle w:val="FootnoteAnchor"/>
          <w:rtl w:val="true"/>
        </w:rPr>
        <w:footnoteReference w:id="318"/>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و تأمّل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آخرين براءة الذمّة بالدفع إجبارا، و مقتضاه عدم جوازه مع التمكّن، و به صرّح الشيخ إبراهيم القطيفي فيما نقل عنه، و اختاره والدي العلّامة و المحقّق القمّي؛ اقتصارا فيما خالف الأصل و النقل على ما ثبت فيه الإجماع و النصّ، و هما في الفرض غير معلومين، بل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بل عن ظاهر الشيخ المتقدّم دعوى الضرورة الدينية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كثير من الفتاوى محمول على صورة عدم التمكّن بحكم الغلبة بل الاطّراد، و لا أقل من عدم ثبوت الاتفاق به، سيما مع مخالفة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الدلالة إلّا باعتبار ظاهر العموم المستفاد من ترك الاستفصال في بعضه، و إفادته في المقام بعد ظهور المسؤول عنه في صورة الخوف و عدم التمكّن، بل انحصار الواقع فيها ممنوعة، مع أنّ صحيح العيص </w:t>
      </w:r>
      <w:r>
        <w:rPr>
          <w:rStyle w:val="FootnoteAnchor"/>
          <w:rtl w:val="true"/>
        </w:rPr>
        <w:footnoteReference w:id="319"/>
      </w:r>
      <w:r>
        <w:rPr>
          <w:rFonts w:ascii="Amiri" w:hAnsi="Amiri" w:eastAsia="Amiri" w:cs="Amiri"/>
          <w:color w:val="111111"/>
          <w:sz w:val="28"/>
          <w:sz w:val="28"/>
          <w:szCs w:val="28"/>
          <w:rtl w:val="true"/>
          <w:lang w:bidi="ar-SA"/>
        </w:rPr>
        <w:t xml:space="preserve">في الزكاة الدالّة على حكم الخراج بعدم القول بالفصل على ما ذكره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منكم بنو أميّة فاحتسبوا به و لا تعطوهم شيئا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يخصّصه بها على فرض العموم، كما يخصّص به عموم صحيح الشحام </w:t>
      </w:r>
      <w:r>
        <w:rPr>
          <w:rStyle w:val="FootnoteAnchor"/>
          <w:rtl w:val="true"/>
        </w:rPr>
        <w:footnoteReference w:id="320"/>
      </w:r>
      <w:r>
        <w:rPr>
          <w:rFonts w:ascii="Amiri" w:hAnsi="Amiri" w:eastAsia="Amiri" w:cs="Amiri"/>
          <w:color w:val="111111"/>
          <w:sz w:val="28"/>
          <w:sz w:val="28"/>
          <w:szCs w:val="28"/>
          <w:rtl w:val="true"/>
          <w:lang w:bidi="ar-SA"/>
        </w:rPr>
        <w:t>المانع عن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التمكّن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الأخذ من الجائر بعد دفع المالك إليه اختيارا؟ فيه إشكال، و إن كان مقتضى ما ذكر عدمه ظاهرا، و لعلّه لا إشكال في جوازه إذا كان المالك متديّنا بدين</w:t>
      </w:r>
    </w:p>
    <w:p>
      <w:pPr>
        <w:pStyle w:val="BookText"/>
        <w:rPr/>
      </w:pPr>
      <w:r>
        <w:rPr>
          <w:rFonts w:ascii="Amiri" w:hAnsi="Amiri" w:eastAsia="Amiri" w:cs="Amiri"/>
          <w:color w:val="111111"/>
          <w:sz w:val="28"/>
          <w:sz w:val="28"/>
          <w:szCs w:val="28"/>
          <w:rtl w:val="true"/>
          <w:lang w:bidi="ar-SA"/>
        </w:rPr>
        <w:t>الجائر، أو لم يعلم حال المالك من الاختيار و الاضطرار و التمكّن من الجحد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يشترط رضى المالك و الاستيذان منه؟</w:t>
      </w:r>
    </w:p>
    <w:p>
      <w:pPr>
        <w:pStyle w:val="BookText"/>
        <w:rPr/>
      </w:pPr>
      <w:r>
        <w:rPr>
          <w:rFonts w:ascii="Amiri" w:hAnsi="Amiri" w:eastAsia="Amiri" w:cs="Amiri"/>
          <w:color w:val="111111"/>
          <w:sz w:val="28"/>
          <w:sz w:val="28"/>
          <w:szCs w:val="28"/>
          <w:rtl w:val="true"/>
          <w:lang w:bidi="ar-SA"/>
        </w:rPr>
        <w:t>الظاهر لا فيما يحتسب لخروجه عن ملكه في مال الخراج، و إلّا لم يحصل له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يختصّ جواز الأخذ و الحلّ بغير الشراء لمستحقّ الخراج، كما هو صريح الوالد و الفاضل المتقدّم و محتمل بعضهم، أو يعمّ غيره كما هو ظاهر جماعة؟ </w:t>
      </w:r>
      <w:r>
        <w:rPr>
          <w:rStyle w:val="FootnoteAnchor"/>
          <w:rtl w:val="true"/>
        </w:rPr>
        <w:footnoteReference w:id="321"/>
      </w:r>
      <w:r>
        <w:rPr>
          <w:rFonts w:ascii="Amiri" w:hAnsi="Amiri" w:eastAsia="Amiri" w:cs="Amiri"/>
          <w:color w:val="111111"/>
          <w:sz w:val="28"/>
          <w:sz w:val="28"/>
          <w:szCs w:val="28"/>
          <w:rtl w:val="true"/>
          <w:lang w:bidi="ar-SA"/>
        </w:rPr>
        <w:t>المعتمد الأوّل، للأصل و عدم الدليل، و الحسن المتقدم ليس بذلك الصريح، بل و لا الظاهر في العموم في مقابل ما دلّ على خصوص مصارفه، و أمّا بالشراء فيعمّ المستحقّ و غيره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يقتصر في الحكم بالصحّة بالشراء من الجائر الذي هو مورد النصوص و بما بعد قبضه أو قبض وكيله الذي اشترطه في صحيح الحذاء المخصّص لإطلاق غيره، و احتمله المولى الأردبيلي، و توقف فيه بعضهم، أو يعمّ غير الشراء من المعاوضات و ما قبل القبض، كما هو ظاهر جماعة؟</w:t>
      </w:r>
    </w:p>
    <w:p>
      <w:pPr>
        <w:pStyle w:val="BookText"/>
        <w:rPr/>
      </w:pPr>
      <w:r>
        <w:rPr>
          <w:rFonts w:ascii="Amiri" w:hAnsi="Amiri" w:eastAsia="Amiri" w:cs="Amiri"/>
          <w:color w:val="111111"/>
          <w:sz w:val="28"/>
          <w:sz w:val="28"/>
          <w:szCs w:val="28"/>
          <w:rtl w:val="true"/>
          <w:lang w:bidi="ar-SA"/>
        </w:rPr>
        <w:t>مقتضى الأصل الأوّل، إلّا إذا ثبت الإجماع على العموم، كما عزّاه بعضهم إلى الأصحاب من غير خلاف، و آخر إلى إجماع علمائنا و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فالأحوط الأوّل، نعم، في حكم القبض الحوالة و الدلالة على المالك في الإعطاء بغير معاوضة، لإطلاق الحسنة الأولى و غيرها، لكن بشرط استيلاء الجائر و عدم تمكّن المالك من منعه عنه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أخذ الزائد على القدر المعتاد في ذلك الزمان أو المعتبر في</w:t>
      </w:r>
      <w:bookmarkStart w:id="117" w:name="pg2497_11986"/>
    </w:p>
    <w:p>
      <w:pPr>
        <w:pStyle w:val="BookText"/>
        <w:rPr/>
      </w:pPr>
      <w:bookmarkEnd w:id="117"/>
      <w:r>
        <w:rPr>
          <w:rFonts w:ascii="Amiri" w:hAnsi="Amiri" w:eastAsia="Amiri" w:cs="Amiri"/>
          <w:color w:val="111111"/>
          <w:sz w:val="28"/>
          <w:sz w:val="28"/>
          <w:szCs w:val="28"/>
          <w:rtl w:val="true"/>
          <w:lang w:bidi="ar-SA"/>
        </w:rPr>
        <w:t>أصل الشرع أم لا، بمعنى حرمة الجميع، كما يظهر من جماعة، لخروجه بالزيادة عن المسمّى فيحرم الجميع أو يحرم القدر الزائد خاصة،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يشترط أن يكون الجائر مخالفا لمذهب الحق، كما مال إليه الشهيد الثاني </w:t>
      </w:r>
      <w:r>
        <w:rPr>
          <w:rStyle w:val="FootnoteAnchor"/>
          <w:rtl w:val="true"/>
        </w:rPr>
        <w:footnoteReference w:id="322"/>
      </w:r>
      <w:r>
        <w:rPr>
          <w:rFonts w:ascii="Amiri" w:hAnsi="Amiri" w:eastAsia="Amiri" w:cs="Amiri"/>
          <w:color w:val="111111"/>
          <w:sz w:val="28"/>
          <w:sz w:val="28"/>
          <w:szCs w:val="28"/>
          <w:rtl w:val="true"/>
          <w:lang w:bidi="ar-SA"/>
        </w:rPr>
        <w:t>و جماعة أو يعم الموافق كما للآخرين؟</w:t>
      </w:r>
    </w:p>
    <w:p>
      <w:pPr>
        <w:pStyle w:val="BookText"/>
        <w:rPr/>
      </w:pPr>
      <w:r>
        <w:rPr>
          <w:rFonts w:ascii="Amiri" w:hAnsi="Amiri" w:eastAsia="Amiri" w:cs="Amiri"/>
          <w:color w:val="111111"/>
          <w:sz w:val="28"/>
          <w:sz w:val="28"/>
          <w:szCs w:val="28"/>
          <w:rtl w:val="true"/>
          <w:lang w:bidi="ar-SA"/>
        </w:rPr>
        <w:t>الأصحّ الأوّل، اقتصارا فيما خالف الأصل على مورد النصوص، و هي مخصوصة بالمخالف، لأنّه المسؤول عنه و المدلول عليه بالقرائن التفاتا إلى ما وقع في الواقع أو الغالب</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861845_3804643083"/>
      <w:bookmarkStart w:id="119" w:name="_Toc45"/>
      <w:bookmarkEnd w:id="118"/>
      <w:r>
        <w:rPr>
          <w:rtl w:val="true"/>
        </w:rPr>
        <w:t>البحث الخامس</w:t>
      </w:r>
      <w:r>
        <w:rPr>
          <w:rtl w:val="true"/>
        </w:rPr>
        <w:t xml:space="preserve">: </w:t>
      </w:r>
      <w:r>
        <w:rPr>
          <w:rtl w:val="true"/>
        </w:rPr>
        <w:t>اختلفوا في جواز بيع الأراضي الخراجية على أقوال</w:t>
      </w:r>
      <w:r>
        <w:rPr>
          <w:rtl w:val="true"/>
        </w:rPr>
        <w:t>:</w:t>
      </w:r>
      <w:bookmarkEnd w:id="11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للمتصرّف مطلقا، حكي عن الشيخ في التهذيب </w:t>
      </w:r>
      <w:r>
        <w:rPr>
          <w:rStyle w:val="FootnoteAnchor"/>
          <w:rtl w:val="true"/>
        </w:rPr>
        <w:footnoteReference w:id="323"/>
      </w:r>
      <w:r>
        <w:rPr>
          <w:rFonts w:ascii="Amiri" w:hAnsi="Amiri" w:eastAsia="Amiri" w:cs="Amiri"/>
          <w:color w:val="111111"/>
          <w:sz w:val="28"/>
          <w:sz w:val="28"/>
          <w:szCs w:val="28"/>
          <w:rtl w:val="true"/>
          <w:lang w:bidi="ar-SA"/>
        </w:rPr>
        <w:t>، لتحقّق القسمة فيها للبائع، لأنّها أراضي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كذلك، نسب إليه في المبسوط </w:t>
      </w:r>
      <w:r>
        <w:rPr>
          <w:rStyle w:val="FootnoteAnchor"/>
          <w:rtl w:val="true"/>
        </w:rPr>
        <w:footnoteReference w:id="324"/>
      </w:r>
      <w:r>
        <w:rPr>
          <w:rFonts w:ascii="Amiri" w:hAnsi="Amiri" w:eastAsia="Amiri" w:cs="Amiri"/>
          <w:color w:val="111111"/>
          <w:sz w:val="28"/>
          <w:sz w:val="28"/>
          <w:szCs w:val="28"/>
          <w:rtl w:val="true"/>
          <w:lang w:bidi="ar-SA"/>
        </w:rPr>
        <w:t>قائلا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شي‌ء من هذه الأرضين و لا هبته و لا معاوضته و لا تمليكه و لا وقفه و لا رهنه و لا إجارته و لا إرثه و لا يصحّ أن يبنى عليها دور و منازل و مساجد و سقايات و غيرها من أنواع التصرف الذي يتّبع الملك، و متى فعل شي‌ء من ذلك كان التصرف باطلا و هو باقيا على الأصل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في بنيانها و حقّ تصرّفها لا في نفس رقبتها، لا مستقلة و لا تبعا لآثار المتصرف، اختاره الحلّي و يظهر من الفاضلين، و اعتمده والدي العلّامة </w:t>
      </w:r>
      <w:r>
        <w:rPr>
          <w:rStyle w:val="FootnoteAnchor"/>
          <w:rtl w:val="true"/>
        </w:rPr>
        <w:footnoteReference w:id="325"/>
      </w:r>
      <w:r>
        <w:rPr>
          <w:rFonts w:ascii="Amiri" w:hAnsi="Amiri" w:eastAsia="Amiri" w:cs="Amiri"/>
          <w:color w:val="111111"/>
          <w:sz w:val="28"/>
          <w:sz w:val="28"/>
          <w:szCs w:val="28"/>
          <w:rtl w:val="true"/>
          <w:lang w:bidi="ar-SA"/>
        </w:rPr>
        <w:t>، إلّا</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المشتري بتبعيّة بيع الآثار حقّ التصرف فيها إذا تبعت </w:t>
      </w:r>
      <w:r>
        <w:rPr>
          <w:rStyle w:val="FootnoteAnchor"/>
          <w:rtl w:val="true"/>
        </w:rPr>
        <w:footnoteReference w:id="326"/>
      </w:r>
      <w:r>
        <w:rPr>
          <w:rFonts w:ascii="Amiri" w:hAnsi="Amiri" w:eastAsia="Amiri" w:cs="Amiri"/>
          <w:color w:val="111111"/>
          <w:sz w:val="28"/>
          <w:sz w:val="28"/>
          <w:szCs w:val="28"/>
          <w:rtl w:val="true"/>
          <w:lang w:bidi="ar-SA"/>
        </w:rPr>
        <w:t>الآثار كائنة فيها، و كان مقصودهما بقاء الآثار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في نفس الرقبة تبعا لآثار المتصرّف من بناء أو غرس أو زرع و نحوها، لا مستقلة بل مستدامة بدوامها فإذا ذهبت انقطع حقّ المشتري في البيع و الموقوف عليه في الوقف و غيرهما، استقواه الشهيد الثاني </w:t>
      </w:r>
      <w:r>
        <w:rPr>
          <w:rStyle w:val="FootnoteAnchor"/>
          <w:rtl w:val="true"/>
        </w:rPr>
        <w:footnoteReference w:id="327"/>
      </w:r>
      <w:r>
        <w:rPr>
          <w:rFonts w:ascii="Amiri" w:hAnsi="Amiri" w:eastAsia="Amiri" w:cs="Amiri"/>
          <w:color w:val="111111"/>
          <w:sz w:val="28"/>
          <w:sz w:val="28"/>
          <w:szCs w:val="28"/>
          <w:rtl w:val="true"/>
          <w:lang w:bidi="ar-SA"/>
        </w:rPr>
        <w:t>و نسبه إلى جمع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البيع و الوقف و غيرهما فيها حال ظهور الإمام عليه السّلام و جوازها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الشهيد في الدروس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تلك الأقوال وقوع الخلاف في جواز وضع الآثار فيها أيضا، و منشأ اختلاف الأقوال اختلاف الروايات و إجمال كثير منها ظاهرا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لي من تضاعيف الأخبار أنّ تلك الأراضي و إن كانت للمسلمين كافة، إلّا أنّه يملكها المتصرف بالتعمير و القيام عليها و وضع الآثار فيها، نظير أرض الموات التي هي ملك الإمام عليه السّلام و يملكها المحيي، لكن ملكيتها للمتصرف ليست على حدّ ملكية سائر الأملاك، بل هي ممتدّة إلى زمان العمارة، فإذا زالت انقطع حقّه، و هو ما صرّح به شيخنا الشهيد، و عليه خراجها ما دام في يده و لو بعد التملك، فيجوز له بيعها و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الظاهرة في ذلك صحيح محمد </w:t>
      </w:r>
      <w:r>
        <w:rPr>
          <w:rStyle w:val="FootnoteAnchor"/>
          <w:rtl w:val="true"/>
        </w:rPr>
        <w:footnoteReference w:id="329"/>
      </w:r>
      <w:r>
        <w:rPr>
          <w:rFonts w:ascii="Amiri" w:hAnsi="Amiri" w:eastAsia="Amiri" w:cs="Amiri"/>
          <w:color w:val="111111"/>
          <w:sz w:val="28"/>
          <w:sz w:val="28"/>
          <w:szCs w:val="28"/>
          <w:rtl w:val="true"/>
          <w:lang w:bidi="ar-SA"/>
        </w:rPr>
        <w:t>عن الشراء من أرض اليهود و 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 قد ظهر رسول اللّه صلّى اللّه عليه و آله و سلّم على أرض أهل خيبر فخارجهم على أن يترك الأرض في أيديهم يعملونها و يعمرونها، و ما بها بأس إذا اشتريت شيئا منها، و أيّما قوم أحيوا شيئا و عملوها فهم أحقّ بها و هي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آخر </w:t>
      </w:r>
      <w:r>
        <w:rPr>
          <w:rStyle w:val="FootnoteAnchor"/>
          <w:rtl w:val="true"/>
        </w:rPr>
        <w:footnoteReference w:id="330"/>
      </w:r>
      <w:r>
        <w:rPr>
          <w:rFonts w:ascii="Amiri" w:hAnsi="Amiri" w:eastAsia="Amiri" w:cs="Amiri"/>
          <w:color w:val="111111"/>
          <w:sz w:val="28"/>
          <w:sz w:val="28"/>
          <w:szCs w:val="28"/>
          <w:rtl w:val="true"/>
          <w:lang w:bidi="ar-SA"/>
        </w:rPr>
        <w:t>عن شراء أرضهم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يشتريها، فيكون إذا كان ذلك بمنزلتهم يؤدّى منها كما يؤدّون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بصير </w:t>
      </w:r>
      <w:r>
        <w:rPr>
          <w:rStyle w:val="FootnoteAnchor"/>
          <w:rtl w:val="true"/>
        </w:rPr>
        <w:footnoteReference w:id="331"/>
      </w:r>
      <w:r>
        <w:rPr>
          <w:rFonts w:ascii="Amiri" w:hAnsi="Amiri" w:eastAsia="Amiri" w:cs="Amiri"/>
          <w:color w:val="111111"/>
          <w:sz w:val="28"/>
          <w:sz w:val="28"/>
          <w:szCs w:val="28"/>
          <w:rtl w:val="true"/>
          <w:lang w:bidi="ar-SA"/>
        </w:rPr>
        <w:t>في الصحيح عن شراء الأرضين من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يشتري منهم إذا عملوها و أحيوها فهي لهم، و قد كان رسول اللّه صلّى اللّه عليه و آله و سلّم حين ظهر على خيبر و فيها اليهود و خارجهم على ترك الأرض في أيديهم يعملونها و يعمّرونها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محمد بن شريح </w:t>
      </w:r>
      <w:r>
        <w:rPr>
          <w:rStyle w:val="FootnoteAnchor"/>
          <w:rtl w:val="true"/>
        </w:rPr>
        <w:footnoteReference w:id="332"/>
      </w:r>
      <w:r>
        <w:rPr>
          <w:rFonts w:ascii="Amiri" w:hAnsi="Amiri" w:eastAsia="Amiri" w:cs="Amiri"/>
          <w:color w:val="111111"/>
          <w:sz w:val="28"/>
          <w:sz w:val="28"/>
          <w:szCs w:val="28"/>
          <w:rtl w:val="true"/>
          <w:lang w:bidi="ar-SA"/>
        </w:rPr>
        <w:t>عن شراء الأرض من أرض الخراج فكرهه،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 يستحيي من عيب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مسلم و عن عمر بن حنظلة </w:t>
      </w:r>
      <w:r>
        <w:rPr>
          <w:rStyle w:val="FootnoteAnchor"/>
          <w:rtl w:val="true"/>
        </w:rPr>
        <w:footnoteReference w:id="3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بشرائها، فإنّها إذا كانت بمنزلتها في أيديهم يؤدّى عنها كما تؤدّى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حريز </w:t>
      </w:r>
      <w:r>
        <w:rPr>
          <w:rStyle w:val="FootnoteAnchor"/>
          <w:rtl w:val="true"/>
        </w:rPr>
        <w:footnoteReference w:id="334"/>
      </w:r>
      <w:r>
        <w:rPr>
          <w:rFonts w:ascii="Amiri" w:hAnsi="Amiri" w:eastAsia="Amiri" w:cs="Amiri"/>
          <w:color w:val="111111"/>
          <w:sz w:val="28"/>
          <w:sz w:val="28"/>
          <w:szCs w:val="28"/>
          <w:rtl w:val="true"/>
          <w:lang w:bidi="ar-SA"/>
        </w:rPr>
        <w:t>رفع إلى أمير المؤمنين عليه السّلام رجل مسلم اشترى أرضا من أراضى الخراج،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لنا و عليه ما علينا، مسلما كان أو كافرا، له ما لأهل اللّه سبحانه و 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بردة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يبيع ذلك و 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في 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يصنع بخراج المسلمين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يشتري حقّه منها و يحول حقّ المسلمين عليه، و لعلّه يكون أقوى عليها و أملى بخراجهم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الهاشمي </w:t>
      </w:r>
      <w:r>
        <w:rPr>
          <w:rStyle w:val="FootnoteAnchor"/>
          <w:rtl w:val="true"/>
        </w:rPr>
        <w:footnoteReference w:id="336"/>
      </w:r>
      <w:r>
        <w:rPr>
          <w:rFonts w:ascii="Amiri" w:hAnsi="Amiri" w:eastAsia="Amiri" w:cs="Amiri"/>
          <w:color w:val="111111"/>
          <w:sz w:val="28"/>
          <w:sz w:val="28"/>
          <w:szCs w:val="28"/>
          <w:rtl w:val="true"/>
          <w:lang w:bidi="ar-SA"/>
        </w:rPr>
        <w:t xml:space="preserve">المتضمّنة لتقرير الإمام عليه السّلام عن رجل اشترى أرضا من أراضي الخراج، فيبنى فيها أو لم يبن غير أنّ أناسا من أهل الذمّة نزلوها أله أن يأخذ منهم أجور </w:t>
      </w:r>
      <w:r>
        <w:rPr>
          <w:rStyle w:val="FootnoteAnchor"/>
          <w:rtl w:val="true"/>
        </w:rPr>
        <w:footnoteReference w:id="337"/>
      </w:r>
      <w:r>
        <w:rPr>
          <w:rFonts w:ascii="Amiri" w:hAnsi="Amiri" w:eastAsia="Amiri" w:cs="Amiri"/>
          <w:color w:val="111111"/>
          <w:sz w:val="28"/>
          <w:sz w:val="28"/>
          <w:szCs w:val="28"/>
          <w:rtl w:val="true"/>
          <w:lang w:bidi="ar-SA"/>
        </w:rPr>
        <w:t>البيوت إذا أدّوا جزية رءوسهم؟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يشارطهم فما أخذ بعد الشرط؛ فهو حلال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338"/>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يشترى منها على أن يجعلها للمسلمين، فإن شاء وليّ الأمر يأخذها 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رأس ماله و له ما أكل من ثمنها</w:t>
      </w:r>
      <w:r>
        <w:rPr>
          <w:rFonts w:eastAsia="Amiri" w:cs="Amiri" w:ascii="Amiri" w:hAnsi="Amiri"/>
          <w:color w:val="111111"/>
          <w:sz w:val="28"/>
          <w:szCs w:val="28"/>
          <w:rtl w:val="true"/>
          <w:lang w:bidi="ar-SA"/>
        </w:rPr>
        <w:t>».</w:t>
      </w:r>
      <w:bookmarkStart w:id="120" w:name="pg2497_11993"/>
    </w:p>
    <w:p>
      <w:pPr>
        <w:pStyle w:val="BookText"/>
        <w:rPr/>
      </w:pPr>
      <w:bookmarkEnd w:id="120"/>
      <w:r>
        <w:rPr>
          <w:rFonts w:ascii="Amiri" w:hAnsi="Amiri" w:eastAsia="Amiri" w:cs="Amiri"/>
          <w:color w:val="111111"/>
          <w:sz w:val="28"/>
          <w:sz w:val="28"/>
          <w:szCs w:val="28"/>
          <w:rtl w:val="true"/>
          <w:lang w:bidi="ar-SA"/>
        </w:rPr>
        <w:t>و المناقشة في الصحيح الأخير و أمثاله بل جعلها دليلا للمنع بأنّ المستثنى ليس شراء حقيقيا مملّكا للرقبة و إلّا لم يجز لوليّ الأمر أخذها منه، و لم يجب جعلها للمسلمين، فهما قرينتان على عدم إرادة الشراء الحقيقيّ؛ مخدوشة بأنّ الشراء الشرعيّ لا ينافي سلطنة الإمام عليه السّلام على أخذه منه و قطع ملكه عنه، فإنّ له السلطنة الكبرى يتصرّف كيف يشاء، و في النصوص ما له أعظم من ذلك من السلطنة و الاستيلاء على تمام الأرضين و خصوص الأرض المحياة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الأخبار أنّ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ظهوره أن يأخذ الأراضي التي أحياها الناس من أيديهم و يأخذها </w:t>
      </w:r>
      <w:r>
        <w:rPr>
          <w:rStyle w:val="FootnoteAnchor"/>
          <w:rtl w:val="true"/>
        </w:rPr>
        <w:footnoteReference w:id="339"/>
      </w:r>
      <w:r>
        <w:rPr>
          <w:rFonts w:ascii="Amiri" w:hAnsi="Amiri" w:eastAsia="Amiri" w:cs="Amiri"/>
          <w:color w:val="111111"/>
          <w:sz w:val="28"/>
          <w:sz w:val="28"/>
          <w:szCs w:val="28"/>
          <w:rtl w:val="true"/>
          <w:lang w:bidi="ar-SA"/>
        </w:rPr>
        <w:t>من أيدي المخالفين و يترك ما في أيدي الشيعة تفضلا عليهم، مع أنّها لهم بالإحياء، كما في النصوص و الفتاوى، فلا يصلح ذلك قرينة لصرف الشراء عن معناه الحقيقيّ،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يجعلها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بعد التصريح بجواز شراء الرقبة في كون المراد منه قصد أداء خراج المسلمين منها، سيما بملاحظة موافقته لروايات كثيرة أخرى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861847_3804643083"/>
      <w:bookmarkStart w:id="122" w:name="_Toc46"/>
      <w:bookmarkEnd w:id="121"/>
      <w:r>
        <w:rPr>
          <w:rtl w:val="true"/>
        </w:rPr>
        <w:t>البحث السادس</w:t>
      </w:r>
      <w:r>
        <w:rPr>
          <w:rtl w:val="true"/>
        </w:rPr>
        <w:t xml:space="preserve">: </w:t>
      </w:r>
      <w:r>
        <w:rPr>
          <w:rtl w:val="true"/>
        </w:rPr>
        <w:t>إذا علم أنّ الأرض مفتوحة عنوة حال عمارتها بخبر متواتر أو مقترن بقرينة علمية فهو،</w:t>
      </w:r>
      <w:bookmarkEnd w:id="122"/>
    </w:p>
    <w:p>
      <w:pPr>
        <w:pStyle w:val="BookText"/>
        <w:rPr/>
      </w:pPr>
      <w:r>
        <w:rPr>
          <w:rFonts w:ascii="Amiri" w:hAnsi="Amiri" w:eastAsia="Amiri" w:cs="Amiri"/>
          <w:color w:val="111111"/>
          <w:sz w:val="28"/>
          <w:sz w:val="28"/>
          <w:szCs w:val="28"/>
          <w:rtl w:val="true"/>
          <w:lang w:bidi="ar-SA"/>
        </w:rPr>
        <w:t>و إلّا فالطريق في إثباته منحصر في الخبر المعتبر أو 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إقرار ذي اليد نظرا إلى أنّ من أقرّ له في حكم ذي اليد عرفا و شرعا بمقتضى المستفيضة الدالّة على أنّ من أقرّ بعين لأحد فهو 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ذي اليد في دعواه الاختصاص لنفسه ملكا أو ولاية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من طرق الثبوت ضرب الخراج من الحاكم و إن كان جائرا، حملا لتصرّف المسلم على الصحّة، و ردّ بأنّ هذا يتمّ إذا كان الحكم بكونه خراجيا مصحّحا لتصرّفه و أخذه،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والدي العلّامة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 أفعال الشيعة خاصّة، و مع تسليم المطلق لا يثبت إلّا كون الأراضي خراجية عند من يأخذ الخراج أو مع من تقبّله عنه، و هذا غير كاف للثبوت عند مجتهد آخر أو معتقد طائفة غير معتدّ به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الأرض في يد السلطان يتقبّلها أو يوجرها لمن يشاء، فهذا من باب اعتراف ذي اليد بكونها خراجية، و هو كاف في الثبوت، و لا حاجة الى تحمل الحمل على الصحّة، و كذا إذا كانت في يد الرعية و يعطون الخراج معترفين بكونها حقّا، و أمّا إذا أعطوا كرها من غير اعتراف منهم بالحقّيّة، فالحمل على الصحّة في عمل السلطان يعارض حمل كراهة الرعية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أمر آخر غير حمل الفعل على الصحّة و إقرار ذي اليد، و هو استمرار العمل في ظاهر الحال و لو من السلطان المخالف في الأرض، على وجه كونها خراجية من تقبيلها لمن يشاء على هذا الوجه، و أخذ طسقها و إقدام الرعية على تقبّلها منه،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الأمر و استمراره على آثار الخراجية، فإنّه دليل للخراجية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يظهر من ذي اليد إقرار أصلا، بل هو نفس الخراجية الظاهرة كما في غيرها من الأوصاف الشرعية كالملكية و الزوجية و الوقفية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و هي الثابتة في نفس الأمر مسبّبة عن أسبابها الواقعية، و ظاهرية؛ و هي الحالة الظاهرة بحسب الآثار و الأعمال، و الجري عليها مع عدم</w:t>
      </w:r>
    </w:p>
    <w:p>
      <w:pPr>
        <w:pStyle w:val="BookText"/>
        <w:rPr/>
      </w:pPr>
      <w:r>
        <w:rPr>
          <w:rFonts w:ascii="Amiri" w:hAnsi="Amiri" w:eastAsia="Amiri" w:cs="Amiri"/>
          <w:color w:val="111111"/>
          <w:sz w:val="28"/>
          <w:sz w:val="28"/>
          <w:szCs w:val="28"/>
          <w:rtl w:val="true"/>
          <w:lang w:bidi="ar-SA"/>
        </w:rPr>
        <w:t>العلم بمخالفتها للواقع، و عدم كونها ناشئة عن أسبابها النفس الأمرية، نظير الحكم الظاهري في مقابل الحكم الواقعي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الظاهرية في أمثال ذلك متّبعة في ظاهر الشرع، بل هي مناط الشهادات غالبا في الأملاك و المناكح و الأنساب و الأوقاف و الولايات و غيرها، فيشهد بالزوجية بالاطّلاع على كونها في حبالة الزوج و توافقهما في آثار الزوجية مدة طويلة، و يقطع الدعوى و حقّ الحلف بمثل تلك الشهادة، و إلّا فكيف يمكن للشاهد غالبا الشهادة مع عدم علمه بأسبابها الواقعية، فضلا عن كونها منتهية إلى حسّه المشروط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هذا غير مجرّد اليد الموجبة، لتقدّم القول الغير المسقط للدعوى و حقّ الحلف، و إن علمها، بل و إن علم منه الجهل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يجعل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كالحاصل من كتب السير و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الثبوت أيضا؛ لدوران الأمر بين كونها مفتوحة عنوة أو صلحا على كونها للمسلمين أو لمن في أيديهم من الكفار، فإمّا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الخروج و كونها على سبيل الثاني فيما يخالف الظنّ، ففيه ترجيح حكم بلا مرجّح، أو يرجع الى الظنّ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هنا احتمالا ثالثا هو كونها مواتا أحياها المسلمون إذا أسلم </w:t>
      </w:r>
      <w:r>
        <w:rPr>
          <w:rStyle w:val="FootnoteAnchor"/>
          <w:rtl w:val="true"/>
        </w:rPr>
        <w:footnoteReference w:id="342"/>
      </w:r>
      <w:r>
        <w:rPr>
          <w:rFonts w:ascii="Amiri" w:hAnsi="Amiri" w:eastAsia="Amiri" w:cs="Amiri"/>
          <w:color w:val="111111"/>
          <w:sz w:val="28"/>
          <w:sz w:val="28"/>
          <w:szCs w:val="28"/>
          <w:rtl w:val="true"/>
          <w:lang w:bidi="ar-SA"/>
        </w:rPr>
        <w:t>أهلها طوعا و نحو ذلك، و أنّ الأصل فيما يقتضي عدم كونها خراجية دليل شرعيّ مقدّم على الظاهر في أمثال تلك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انتفى فيه الأصل و انحصر الأمر في الاحتمالين المزبورين أمكن الترجيح بالظن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انتفى الطريق المعتبر لإثباتها، فإن كان على الأرض يد تملّك من مسلم أو</w:t>
      </w:r>
    </w:p>
    <w:p>
      <w:pPr>
        <w:pStyle w:val="BookText"/>
        <w:rPr/>
      </w:pPr>
      <w:r>
        <w:rPr>
          <w:rFonts w:ascii="Amiri" w:hAnsi="Amiri" w:eastAsia="Amiri" w:cs="Amiri"/>
          <w:color w:val="111111"/>
          <w:sz w:val="28"/>
          <w:sz w:val="28"/>
          <w:szCs w:val="28"/>
          <w:rtl w:val="true"/>
          <w:lang w:bidi="ar-SA"/>
        </w:rPr>
        <w:t>مسالم يلزمها حكمها، و إن كان ذو اليد غير عالم بحقيقة الحال كما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Style w:val="FootnoteAnchor"/>
          <w:rtl w:val="true"/>
        </w:rPr>
        <w:footnoteReference w:id="343"/>
      </w:r>
      <w:r>
        <w:rPr>
          <w:rFonts w:ascii="Amiri" w:hAnsi="Amiri" w:eastAsia="Amiri" w:cs="Amiri"/>
          <w:color w:val="111111"/>
          <w:sz w:val="28"/>
          <w:sz w:val="28"/>
          <w:szCs w:val="28"/>
          <w:rtl w:val="true"/>
          <w:lang w:bidi="ar-SA"/>
        </w:rPr>
        <w:t>المنع من اقتضاءها الاختصاص الملكي في أمثال تلك الأراضي، حيث لا يعلمه المتصرّف و لا يدّعيه، بل لو ادّعى العلم، مع علمنا بعدم علمه لا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بأنّه إن أراد نفي الاقتضاء رأسا فعموم أدلّة اليد يدفعه، و إن أراد نفيه ملكا لكون اليد أعمّ منه، فمع فرض وقوع التصرّفات المالكية فيها كالمعاملات الاستقلالية لا وجه للمنع، و علم المتصرّف بالواقع غير لازم في الاقتضاء، و إلّا لما دلّت اليد على الملك إلّا في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عليها يد كذلك، فصور الشك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وقوع الفتح عليها مطلقا و حينئذ يعمل بالأصل و يلزمها حكم مجهول المالك أو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كون البلده مفتوحا عنوة و هذه الأرض منه، و شك في كونها عامرة حين الفتح، و يلزمه حكم ما تقدّم أيضا لأصالة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اشتبه العامر المعلوم وجوده إجمالا حين الفتح بين موضع هذه الأرض و غيره من الأراضي التابعة أو القرينة إلى البلد،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مجهول المالك مشكل؛ لتعارض أصل تأخّر الحادث مع أصالة بقاء العامر و عدم تغيّره بما عليه حال الفتح، 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 ظنّيّ فهو كما مرّ، و إلّا فالوجه التوقف و الاحتياط ببذل الخراج، و لعلّ كثيرا من الأراضي العامرة اليوم في البلاد المفتوحة عنوة من هذا القبيل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تعارض الأصلين فيه الجهل بمالكه، فيلزمه حكم مجهول المالك أيضا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مجهول المالك لا ينصرف إلى مثل هذا المتردّد بين كونه مفتوحا عنوة أو لمالك معيّن، لظهورها فيما له مالك مخصوص و لم يعلم به</w:t>
      </w:r>
      <w:r>
        <w:rPr>
          <w:rFonts w:eastAsia="Amiri" w:cs="Amiri" w:ascii="Amiri" w:hAnsi="Amiri"/>
          <w:color w:val="111111"/>
          <w:sz w:val="28"/>
          <w:szCs w:val="28"/>
          <w:rtl w:val="true"/>
          <w:lang w:bidi="ar-SA"/>
        </w:rPr>
        <w:t>.</w:t>
      </w:r>
      <w:bookmarkStart w:id="123" w:name="pg2497_12003"/>
    </w:p>
    <w:p>
      <w:pPr>
        <w:pStyle w:val="Heading2"/>
        <w:numPr>
          <w:ilvl w:val="1"/>
          <w:numId w:val="1"/>
        </w:numPr>
        <w:rPr/>
      </w:pPr>
      <w:bookmarkStart w:id="124" w:name="__RefHeading___Toc3861849_3804643083"/>
      <w:bookmarkStart w:id="125" w:name="_Toc47"/>
      <w:bookmarkEnd w:id="123"/>
      <w:bookmarkEnd w:id="124"/>
      <w:r>
        <w:rPr>
          <w:rtl w:val="true"/>
        </w:rPr>
        <w:t>[</w:t>
      </w:r>
      <w:r>
        <w:rPr>
          <w:rtl w:val="true"/>
        </w:rPr>
        <w:t>المشرق الثامن</w:t>
      </w:r>
      <w:r>
        <w:rPr>
          <w:rtl w:val="true"/>
        </w:rPr>
        <w:t>] [</w:t>
      </w:r>
      <w:r>
        <w:rPr>
          <w:rtl w:val="true"/>
        </w:rPr>
        <w:t>فيما يتعلّق بالعدالة الشرعية</w:t>
      </w:r>
      <w:r>
        <w:rPr>
          <w:rtl w:val="true"/>
        </w:rPr>
        <w:t>]</w:t>
      </w:r>
      <w:bookmarkEnd w:id="125"/>
    </w:p>
    <w:p>
      <w:pPr>
        <w:pStyle w:val="Heading3"/>
        <w:numPr>
          <w:ilvl w:val="2"/>
          <w:numId w:val="1"/>
        </w:numPr>
        <w:rPr/>
      </w:pPr>
      <w:bookmarkStart w:id="126" w:name="__RefHeading___Toc3861851_3804643083"/>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بالعدالة الشرعية التي اشترطها الشارع في الشهادة و الإمامة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النظر إمّا في معناها و حقيقتها و ما يتألف منه من الأجزاء و الشروط، أو في كيفية البحث عن ثبوتها و ما يكشف عن حصولها شرعا، فهنا مطلبان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3861853_3804643083"/>
      <w:bookmarkStart w:id="129" w:name="_Toc49"/>
      <w:bookmarkEnd w:id="128"/>
      <w:r>
        <w:rPr>
          <w:rtl w:val="true"/>
        </w:rPr>
        <w:t>المطلب الأوّل</w:t>
      </w:r>
      <w:r>
        <w:rPr>
          <w:rtl w:val="true"/>
        </w:rPr>
        <w:t xml:space="preserve">: </w:t>
      </w:r>
      <w:r>
        <w:rPr>
          <w:rtl w:val="true"/>
        </w:rPr>
        <w:t>في بيان حقيقتها و ما يعتبر فيها،</w:t>
      </w:r>
      <w:bookmarkEnd w:id="129"/>
    </w:p>
    <w:p>
      <w:pPr>
        <w:pStyle w:val="Heading4"/>
        <w:numPr>
          <w:ilvl w:val="3"/>
          <w:numId w:val="1"/>
        </w:numPr>
        <w:rPr/>
      </w:pPr>
      <w:bookmarkStart w:id="130" w:name="__RefHeading___Toc3861855_3804643083"/>
      <w:bookmarkStart w:id="131" w:name="_Toc50"/>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 فيه أبحاث</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861857_3804643083"/>
      <w:bookmarkStart w:id="133" w:name="_Toc51"/>
      <w:bookmarkEnd w:id="132"/>
      <w:r>
        <w:rPr>
          <w:rtl w:val="true"/>
        </w:rPr>
        <w:t>البحث الأوّل</w:t>
      </w:r>
      <w:r>
        <w:rPr>
          <w:rtl w:val="true"/>
        </w:rPr>
        <w:t xml:space="preserve">: </w:t>
      </w:r>
      <w:r>
        <w:rPr>
          <w:rtl w:val="true"/>
        </w:rPr>
        <w:t>اختلفت كلمات العلماء في بيان حقيقة العدالة،</w:t>
      </w:r>
      <w:bookmarkEnd w:id="133"/>
    </w:p>
    <w:p>
      <w:pPr>
        <w:pStyle w:val="Heading5"/>
        <w:numPr>
          <w:ilvl w:val="4"/>
          <w:numId w:val="1"/>
        </w:numPr>
        <w:rPr/>
      </w:pPr>
      <w:bookmarkStart w:id="134" w:name="__RefHeading___Toc3861859_3804643083"/>
      <w:bookmarkStart w:id="135" w:name="_Toc52"/>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أي فيما هو المقصود منه في الشرع في المقامات المذكورة، لا في أمر وضعيّ ضرورة أنّ ليس هو وضعا لغويا أو عرفيا فإنّه بمعزل عن مختلف الفقهاء في المقام و مطرح آرائهم و أقوالهم، و لا الوضع الشرعي، لأنّه فرع ثبوت الحقيقة الشرعية، و هي غير معلومة، و على الجملة فتفاسيرهم و تعاريفهم للعدالة الشرعية مختلفة الأجناس، و جملتها أربعة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الملكة الراسخة النفسانية الباعثة على ملازمة التقوى و المروّة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المختلف </w:t>
      </w:r>
      <w:r>
        <w:rPr>
          <w:rStyle w:val="FootnoteAnchor"/>
          <w:rtl w:val="true"/>
        </w:rPr>
        <w:footnoteReference w:id="344"/>
      </w:r>
      <w:r>
        <w:rPr>
          <w:rFonts w:ascii="IRNazanin" w:hAnsi="IRNazanin" w:eastAsia="IRNazanin"/>
          <w:color w:val="111111"/>
          <w:sz w:val="28"/>
          <w:sz w:val="28"/>
          <w:szCs w:val="28"/>
          <w:rtl w:val="true"/>
          <w:lang w:bidi="fa-IR"/>
        </w:rPr>
        <w:t xml:space="preserve">و القواعد </w:t>
      </w:r>
      <w:r>
        <w:rPr>
          <w:rStyle w:val="FootnoteAnchor"/>
          <w:rtl w:val="true"/>
        </w:rPr>
        <w:footnoteReference w:id="345"/>
      </w:r>
      <w:r>
        <w:rPr>
          <w:rFonts w:ascii="IRNazanin" w:hAnsi="IRNazanin" w:eastAsia="IRNazanin"/>
          <w:color w:val="111111"/>
          <w:sz w:val="28"/>
          <w:sz w:val="28"/>
          <w:szCs w:val="28"/>
          <w:rtl w:val="true"/>
          <w:lang w:bidi="fa-IR"/>
        </w:rPr>
        <w:t xml:space="preserve">و الإرشاد </w:t>
      </w:r>
      <w:r>
        <w:rPr>
          <w:rStyle w:val="FootnoteAnchor"/>
          <w:rtl w:val="true"/>
        </w:rPr>
        <w:footnoteReference w:id="346"/>
      </w:r>
      <w:r>
        <w:rPr>
          <w:rFonts w:ascii="Amiri" w:hAnsi="Amiri" w:eastAsia="Amiri" w:cs="Amiri"/>
          <w:color w:val="111111"/>
          <w:sz w:val="28"/>
          <w:sz w:val="28"/>
          <w:szCs w:val="28"/>
          <w:rtl w:val="true"/>
          <w:lang w:bidi="ar-SA"/>
        </w:rPr>
        <w:t xml:space="preserve">و التحرير </w:t>
      </w:r>
      <w:r>
        <w:rPr>
          <w:rStyle w:val="FootnoteAnchor"/>
          <w:rtl w:val="true"/>
        </w:rPr>
        <w:footnoteReference w:id="347"/>
      </w:r>
      <w:r>
        <w:rPr>
          <w:rFonts w:ascii="Amiri" w:hAnsi="Amiri" w:eastAsia="Amiri" w:cs="Amiri"/>
          <w:color w:val="111111"/>
          <w:sz w:val="28"/>
          <w:sz w:val="28"/>
          <w:szCs w:val="28"/>
          <w:rtl w:val="true"/>
          <w:lang w:bidi="ar-SA"/>
        </w:rPr>
        <w:t xml:space="preserve">و المهذّب </w:t>
      </w:r>
      <w:r>
        <w:rPr>
          <w:rStyle w:val="FootnoteAnchor"/>
          <w:rtl w:val="true"/>
        </w:rPr>
        <w:footnoteReference w:id="348"/>
      </w:r>
      <w:r>
        <w:rPr>
          <w:rFonts w:ascii="Amiri" w:hAnsi="Amiri" w:eastAsia="Amiri" w:cs="Amiri"/>
          <w:color w:val="111111"/>
          <w:sz w:val="28"/>
          <w:sz w:val="28"/>
          <w:szCs w:val="28"/>
          <w:rtl w:val="true"/>
          <w:lang w:bidi="ar-SA"/>
        </w:rPr>
        <w:t xml:space="preserve">و نهاية الأصول </w:t>
      </w:r>
      <w:r>
        <w:rPr>
          <w:rStyle w:val="FootnoteAnchor"/>
          <w:rtl w:val="true"/>
        </w:rPr>
        <w:footnoteReference w:id="349"/>
      </w:r>
      <w:r>
        <w:rPr>
          <w:rFonts w:ascii="Amiri" w:hAnsi="Amiri" w:eastAsia="Amiri" w:cs="Amiri"/>
          <w:color w:val="111111"/>
          <w:sz w:val="28"/>
          <w:sz w:val="28"/>
          <w:szCs w:val="28"/>
          <w:rtl w:val="true"/>
          <w:lang w:bidi="ar-SA"/>
        </w:rPr>
        <w:t xml:space="preserve">و المنية </w:t>
      </w:r>
      <w:r>
        <w:rPr>
          <w:rStyle w:val="FootnoteAnchor"/>
          <w:rtl w:val="true"/>
        </w:rPr>
        <w:footnoteReference w:id="350"/>
      </w:r>
      <w:r>
        <w:rPr>
          <w:rFonts w:ascii="IRNazanin" w:hAnsi="IRNazanin" w:eastAsia="IRNazanin"/>
          <w:color w:val="111111"/>
          <w:sz w:val="28"/>
          <w:sz w:val="28"/>
          <w:szCs w:val="28"/>
          <w:rtl w:val="true"/>
          <w:lang w:bidi="fa-IR"/>
        </w:rPr>
        <w:t xml:space="preserve">و الدروس </w:t>
      </w:r>
      <w:r>
        <w:rPr>
          <w:rStyle w:val="FootnoteAnchor"/>
          <w:rtl w:val="true"/>
        </w:rPr>
        <w:footnoteReference w:id="351"/>
      </w:r>
      <w:r>
        <w:rPr>
          <w:rFonts w:ascii="Amiri" w:hAnsi="Amiri" w:eastAsia="Amiri" w:cs="Amiri"/>
          <w:color w:val="111111"/>
          <w:sz w:val="28"/>
          <w:sz w:val="28"/>
          <w:szCs w:val="28"/>
          <w:rtl w:val="true"/>
          <w:lang w:bidi="ar-SA"/>
        </w:rPr>
        <w:t xml:space="preserve">و الذكرى </w:t>
      </w:r>
      <w:r>
        <w:rPr>
          <w:rStyle w:val="FootnoteAnchor"/>
          <w:rtl w:val="true"/>
        </w:rPr>
        <w:footnoteReference w:id="352"/>
      </w:r>
      <w:r>
        <w:rPr>
          <w:rFonts w:ascii="Amiri" w:hAnsi="Amiri" w:eastAsia="Amiri" w:cs="Amiri"/>
          <w:color w:val="111111"/>
          <w:sz w:val="28"/>
          <w:sz w:val="28"/>
          <w:szCs w:val="28"/>
          <w:rtl w:val="true"/>
          <w:lang w:bidi="ar-SA"/>
        </w:rPr>
        <w:t xml:space="preserve">و التنقيح </w:t>
      </w:r>
      <w:r>
        <w:rPr>
          <w:rStyle w:val="FootnoteAnchor"/>
          <w:rtl w:val="true"/>
        </w:rPr>
        <w:footnoteReference w:id="353"/>
      </w:r>
      <w:r>
        <w:rPr>
          <w:rFonts w:ascii="Amiri" w:hAnsi="Amiri" w:eastAsia="Amiri" w:cs="Amiri"/>
          <w:color w:val="111111"/>
          <w:sz w:val="28"/>
          <w:sz w:val="28"/>
          <w:szCs w:val="28"/>
          <w:rtl w:val="true"/>
          <w:lang w:bidi="ar-SA"/>
        </w:rPr>
        <w:t xml:space="preserve">و الروضة </w:t>
      </w:r>
      <w:r>
        <w:rPr>
          <w:rStyle w:val="FootnoteAnchor"/>
          <w:rtl w:val="true"/>
        </w:rPr>
        <w:footnoteReference w:id="354"/>
      </w:r>
      <w:r>
        <w:rPr>
          <w:rFonts w:ascii="IRNazanin" w:hAnsi="IRNazanin" w:eastAsia="IRNazanin"/>
          <w:color w:val="111111"/>
          <w:sz w:val="28"/>
          <w:sz w:val="28"/>
          <w:szCs w:val="28"/>
          <w:rtl w:val="true"/>
          <w:lang w:bidi="fa-IR"/>
        </w:rPr>
        <w:t xml:space="preserve">و الروض </w:t>
      </w:r>
      <w:r>
        <w:rPr>
          <w:rStyle w:val="FootnoteAnchor"/>
          <w:rtl w:val="true"/>
        </w:rPr>
        <w:footnoteReference w:id="355"/>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356"/>
      </w:r>
      <w:r>
        <w:rPr>
          <w:rFonts w:ascii="Amiri" w:hAnsi="Amiri" w:eastAsia="Amiri" w:cs="Amiri"/>
          <w:color w:val="111111"/>
          <w:sz w:val="28"/>
          <w:sz w:val="28"/>
          <w:szCs w:val="28"/>
          <w:rtl w:val="true"/>
          <w:lang w:bidi="ar-SA"/>
        </w:rPr>
        <w:t xml:space="preserve">و الرياض </w:t>
      </w:r>
      <w:r>
        <w:rPr>
          <w:rStyle w:val="FootnoteAnchor"/>
          <w:rtl w:val="true"/>
        </w:rPr>
        <w:footnoteReference w:id="357"/>
      </w:r>
      <w:r>
        <w:rPr>
          <w:rFonts w:ascii="Amiri" w:hAnsi="Amiri" w:eastAsia="Amiri" w:cs="Amiri"/>
          <w:color w:val="111111"/>
          <w:sz w:val="28"/>
          <w:sz w:val="28"/>
          <w:szCs w:val="28"/>
          <w:rtl w:val="true"/>
          <w:lang w:bidi="ar-SA"/>
        </w:rPr>
        <w:t xml:space="preserve">، و نسبه مولانا الأردبيلي إلى المشهور في الفروع و الأصول </w:t>
      </w:r>
      <w:r>
        <w:rPr>
          <w:rStyle w:val="FootnoteAnchor"/>
          <w:rtl w:val="true"/>
        </w:rPr>
        <w:footnoteReference w:id="358"/>
      </w:r>
      <w:r>
        <w:rPr>
          <w:rFonts w:ascii="Amiri" w:hAnsi="Amiri" w:eastAsia="Amiri" w:cs="Amiri"/>
          <w:color w:val="111111"/>
          <w:sz w:val="28"/>
          <w:sz w:val="28"/>
          <w:szCs w:val="28"/>
          <w:rtl w:val="true"/>
          <w:lang w:bidi="ar-SA"/>
        </w:rPr>
        <w:t xml:space="preserve">، و الفاضل الهندي </w:t>
      </w:r>
      <w:r>
        <w:rPr>
          <w:rStyle w:val="FootnoteAnchor"/>
          <w:rtl w:val="true"/>
        </w:rPr>
        <w:footnoteReference w:id="359"/>
      </w:r>
      <w:r>
        <w:rPr>
          <w:rFonts w:ascii="Amiri" w:hAnsi="Amiri" w:eastAsia="Amiri" w:cs="Amiri"/>
          <w:color w:val="111111"/>
          <w:sz w:val="28"/>
          <w:sz w:val="28"/>
          <w:szCs w:val="28"/>
          <w:rtl w:val="true"/>
          <w:lang w:bidi="ar-SA"/>
        </w:rPr>
        <w:t xml:space="preserve">إلى المشهور بين العامّة و الخاصّة، و الذخيرة </w:t>
      </w:r>
      <w:r>
        <w:rPr>
          <w:rStyle w:val="FootnoteAnchor"/>
          <w:rtl w:val="true"/>
        </w:rPr>
        <w:footnoteReference w:id="360"/>
      </w:r>
      <w:r>
        <w:rPr>
          <w:rFonts w:ascii="Amiri" w:hAnsi="Amiri" w:eastAsia="Amiri" w:cs="Amiri"/>
          <w:color w:val="111111"/>
          <w:sz w:val="28"/>
          <w:sz w:val="28"/>
          <w:szCs w:val="28"/>
          <w:rtl w:val="true"/>
          <w:lang w:bidi="ar-SA"/>
        </w:rPr>
        <w:t xml:space="preserve">إلى المتأخرين، و في التنقيح </w:t>
      </w:r>
      <w:r>
        <w:rPr>
          <w:rStyle w:val="FootnoteAnchor"/>
          <w:rtl w:val="true"/>
        </w:rPr>
        <w:footnoteReference w:id="361"/>
      </w:r>
      <w:r>
        <w:rPr>
          <w:rFonts w:ascii="Amiri" w:hAnsi="Amiri" w:eastAsia="Amiri" w:cs="Amiri"/>
          <w:color w:val="111111"/>
          <w:sz w:val="28"/>
          <w:sz w:val="28"/>
          <w:szCs w:val="28"/>
          <w:rtl w:val="true"/>
          <w:lang w:bidi="ar-SA"/>
        </w:rPr>
        <w:t>إلى الفقهاء، مشعرا بدعوى إجماعهم عليه و بها عرفها جماعة من محقّقي</w:t>
      </w:r>
    </w:p>
    <w:p>
      <w:pPr>
        <w:pStyle w:val="BookText"/>
        <w:rPr/>
      </w:pPr>
      <w:r>
        <w:rPr>
          <w:rFonts w:ascii="Amiri" w:hAnsi="Amiri" w:eastAsia="Amiri" w:cs="Amiri"/>
          <w:color w:val="111111"/>
          <w:sz w:val="28"/>
          <w:sz w:val="28"/>
          <w:szCs w:val="28"/>
          <w:rtl w:val="true"/>
          <w:lang w:bidi="ar-SA"/>
        </w:rPr>
        <w:t xml:space="preserve">العامّة كالغزالي و الحاجبي و العضدي و الآمدي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الأفعال و التروك، بأن لا يكون مرتكبا للكبائر و لا مصرّا على الصغائر، و هو ظاهر أكثر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أنّه الأشهر في معناها و هو ظاهر الكفاية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المعروفية بتلك الأوصاف و التروك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به الشيخ في النهاية </w:t>
      </w:r>
      <w:r>
        <w:rPr>
          <w:rStyle w:val="FootnoteAnchor"/>
          <w:rtl w:val="true"/>
        </w:rPr>
        <w:footnoteReference w:id="364"/>
      </w:r>
      <w:r>
        <w:rPr>
          <w:rFonts w:ascii="Amiri" w:hAnsi="Amiri" w:eastAsia="Amiri" w:cs="Amiri"/>
          <w:color w:val="111111"/>
          <w:sz w:val="28"/>
          <w:sz w:val="28"/>
          <w:szCs w:val="28"/>
          <w:rtl w:val="true"/>
          <w:lang w:bidi="ar-SA"/>
        </w:rPr>
        <w:t xml:space="preserve">، و الحلّي في السرائر </w:t>
      </w:r>
      <w:r>
        <w:rPr>
          <w:rStyle w:val="FootnoteAnchor"/>
          <w:rtl w:val="true"/>
        </w:rPr>
        <w:footnoteReference w:id="365"/>
      </w:r>
      <w:r>
        <w:rPr>
          <w:rFonts w:ascii="Amiri" w:hAnsi="Amiri" w:eastAsia="Amiri" w:cs="Amiri"/>
          <w:color w:val="111111"/>
          <w:sz w:val="28"/>
          <w:sz w:val="28"/>
          <w:szCs w:val="28"/>
          <w:rtl w:val="true"/>
          <w:lang w:bidi="ar-SA"/>
        </w:rPr>
        <w:t xml:space="preserve">، و عزّى إلى أكثر متأخري المتأخرين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فرقه مع سابقه اعتبار الواقع فيه، و المعروفية الظاهرية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هو المعروف بحسن الظاهر، على كون الظاهر في مقابل الواقع، فهو في مقابل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أريد به المحسوس في قبال الباطن، أي السريرة و الملكة النفسانية، يرجع إلى الثاني، و كان في مقابل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خلاف المذكورات مع ظهور الإسلام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المفيد في الإشراف </w:t>
      </w:r>
      <w:r>
        <w:rPr>
          <w:rStyle w:val="FootnoteAnchor"/>
          <w:rtl w:val="true"/>
        </w:rPr>
        <w:footnoteReference w:id="367"/>
      </w:r>
      <w:r>
        <w:rPr>
          <w:rFonts w:ascii="Amiri" w:hAnsi="Amiri" w:eastAsia="Amiri" w:cs="Amiri"/>
          <w:color w:val="111111"/>
          <w:sz w:val="28"/>
          <w:sz w:val="28"/>
          <w:szCs w:val="28"/>
          <w:rtl w:val="true"/>
          <w:lang w:bidi="ar-SA"/>
        </w:rPr>
        <w:t xml:space="preserve">و الإسكافي </w:t>
      </w:r>
      <w:r>
        <w:rPr>
          <w:rStyle w:val="FootnoteAnchor"/>
          <w:rtl w:val="true"/>
        </w:rPr>
        <w:footnoteReference w:id="368"/>
      </w:r>
      <w:r>
        <w:rPr>
          <w:rFonts w:ascii="Amiri" w:hAnsi="Amiri" w:eastAsia="Amiri" w:cs="Amiri"/>
          <w:color w:val="111111"/>
          <w:sz w:val="28"/>
          <w:sz w:val="28"/>
          <w:szCs w:val="28"/>
          <w:rtl w:val="true"/>
          <w:lang w:bidi="ar-SA"/>
        </w:rPr>
        <w:t xml:space="preserve">، و الشيخ في المبسوط </w:t>
      </w:r>
      <w:r>
        <w:rPr>
          <w:rStyle w:val="FootnoteAnchor"/>
          <w:rtl w:val="true"/>
        </w:rPr>
        <w:footnoteReference w:id="369"/>
      </w:r>
      <w:r>
        <w:rPr>
          <w:rFonts w:ascii="IRNazanin" w:hAnsi="IRNazanin" w:eastAsia="IRNazanin"/>
          <w:color w:val="111111"/>
          <w:sz w:val="28"/>
          <w:sz w:val="28"/>
          <w:szCs w:val="28"/>
          <w:rtl w:val="true"/>
          <w:lang w:bidi="fa-IR"/>
        </w:rPr>
        <w:t xml:space="preserve">و الخلاف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الظاهر أنّ مراد القائلين بالأخير الحكم بالعدالة من باب الأصل، لا أنّه نفس حقيقتها، كما نبّه عليه في البيان </w:t>
      </w:r>
      <w:r>
        <w:rPr>
          <w:rStyle w:val="FootnoteAnchor"/>
          <w:rtl w:val="true"/>
        </w:rPr>
        <w:footnoteReference w:id="371"/>
      </w:r>
      <w:r>
        <w:rPr>
          <w:rFonts w:ascii="IRNazanin" w:hAnsi="IRNazanin" w:eastAsia="IRNazanin"/>
          <w:color w:val="111111"/>
          <w:sz w:val="28"/>
          <w:sz w:val="28"/>
          <w:szCs w:val="28"/>
          <w:rtl w:val="true"/>
          <w:lang w:bidi="fa-IR"/>
        </w:rPr>
        <w:t xml:space="preserve">و الدروس </w:t>
      </w:r>
      <w:r>
        <w:rPr>
          <w:rStyle w:val="FootnoteAnchor"/>
          <w:rtl w:val="true"/>
        </w:rPr>
        <w:footnoteReference w:id="372"/>
      </w:r>
      <w:r>
        <w:rPr>
          <w:rFonts w:ascii="Amiri" w:hAnsi="Amiri" w:eastAsia="Amiri" w:cs="Amiri"/>
          <w:color w:val="111111"/>
          <w:sz w:val="28"/>
          <w:sz w:val="28"/>
          <w:szCs w:val="28"/>
          <w:rtl w:val="true"/>
          <w:lang w:bidi="ar-SA"/>
        </w:rPr>
        <w:t xml:space="preserve">و الذكرى </w:t>
      </w:r>
      <w:r>
        <w:rPr>
          <w:rStyle w:val="FootnoteAnchor"/>
          <w:rtl w:val="true"/>
        </w:rPr>
        <w:footnoteReference w:id="373"/>
      </w:r>
      <w:r>
        <w:rPr>
          <w:rFonts w:ascii="Amiri" w:hAnsi="Amiri" w:eastAsia="Amiri" w:cs="Amiri"/>
          <w:color w:val="111111"/>
          <w:sz w:val="28"/>
          <w:sz w:val="28"/>
          <w:szCs w:val="28"/>
          <w:rtl w:val="true"/>
          <w:lang w:bidi="ar-SA"/>
        </w:rPr>
        <w:t xml:space="preserve">و الجعفرية </w:t>
      </w:r>
      <w:r>
        <w:rPr>
          <w:rStyle w:val="FootnoteAnchor"/>
          <w:rtl w:val="true"/>
        </w:rPr>
        <w:footnoteReference w:id="374"/>
      </w:r>
      <w:r>
        <w:rPr>
          <w:rFonts w:ascii="Amiri" w:hAnsi="Amiri" w:eastAsia="Amiri" w:cs="Amiri"/>
          <w:color w:val="111111"/>
          <w:sz w:val="28"/>
          <w:sz w:val="28"/>
          <w:szCs w:val="28"/>
          <w:rtl w:val="true"/>
          <w:lang w:bidi="ar-SA"/>
        </w:rPr>
        <w:t xml:space="preserve">و المسالك </w:t>
      </w:r>
      <w:r>
        <w:rPr>
          <w:rStyle w:val="FootnoteAnchor"/>
          <w:rtl w:val="true"/>
        </w:rPr>
        <w:footnoteReference w:id="375"/>
      </w:r>
      <w:r>
        <w:rPr>
          <w:rFonts w:ascii="Amiri" w:hAnsi="Amiri" w:eastAsia="Amiri" w:cs="Amiri"/>
          <w:color w:val="111111"/>
          <w:sz w:val="28"/>
          <w:sz w:val="28"/>
          <w:szCs w:val="28"/>
          <w:rtl w:val="true"/>
          <w:lang w:bidi="ar-SA"/>
        </w:rPr>
        <w:t xml:space="preserve">و الكفاية </w:t>
      </w:r>
      <w:r>
        <w:rPr>
          <w:rStyle w:val="FootnoteAnchor"/>
          <w:rtl w:val="true"/>
        </w:rPr>
        <w:footnoteReference w:id="376"/>
      </w:r>
      <w:r>
        <w:rPr>
          <w:rFonts w:ascii="Amiri" w:hAnsi="Amiri" w:eastAsia="Amiri" w:cs="Amiri"/>
          <w:color w:val="111111"/>
          <w:sz w:val="28"/>
          <w:sz w:val="28"/>
          <w:szCs w:val="28"/>
          <w:rtl w:val="true"/>
          <w:lang w:bidi="ar-SA"/>
        </w:rPr>
        <w:t xml:space="preserve">، و جدّي الأمجد في المعتمد، و والدي العلّامة في المستند </w:t>
      </w:r>
      <w:r>
        <w:rPr>
          <w:rStyle w:val="FootnoteAnchor"/>
          <w:rtl w:val="true"/>
        </w:rPr>
        <w:footnoteReference w:id="377"/>
      </w:r>
      <w:r>
        <w:rPr>
          <w:rFonts w:ascii="Amiri" w:hAnsi="Amiri" w:eastAsia="Amiri" w:cs="Amiri"/>
          <w:color w:val="111111"/>
          <w:sz w:val="28"/>
          <w:sz w:val="28"/>
          <w:szCs w:val="28"/>
          <w:rtl w:val="true"/>
          <w:lang w:bidi="ar-SA"/>
        </w:rPr>
        <w:t xml:space="preserve">، و غيرهم </w:t>
      </w:r>
      <w:r>
        <w:rPr>
          <w:rStyle w:val="FootnoteAnchor"/>
          <w:rtl w:val="true"/>
        </w:rPr>
        <w:footnoteReference w:id="378"/>
      </w:r>
      <w:r>
        <w:rPr>
          <w:rFonts w:ascii="Amiri" w:hAnsi="Amiri" w:eastAsia="Amiri" w:cs="Amiri"/>
          <w:color w:val="111111"/>
          <w:sz w:val="28"/>
          <w:sz w:val="28"/>
          <w:szCs w:val="28"/>
          <w:rtl w:val="true"/>
          <w:lang w:bidi="ar-SA"/>
        </w:rPr>
        <w:t>، فإنّ كلمات القائلين به في غاية الظهور، بل الصراحة في مغايرة حقيقة العدالة لذلك، كقول الشيخ في المبسوط عند ذكره أقسام المعرفة و الجهل بالعدالة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إسلامهما دون عدالتهما، لم يحكم بشهادتهما حتى يبحث من عدالتهما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قوم إن كان في قصاص أو حدّ، و إن كان غير ذلك حكم بشهادتهما بظاهر الحال، و لم يبحث عن عدالتهما بعد أن تعرف إسلامهما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في الخلاف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المسلم العدالة، فإنها لو كانت نفس ظاهر الإسلام لم يصحّ جعلها أصلا فيه، بل كان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يؤمي إلى المغايرة أيضا كلام المفيد </w:t>
      </w:r>
      <w:r>
        <w:rPr>
          <w:rStyle w:val="FootnoteAnchor"/>
          <w:rtl w:val="true"/>
        </w:rPr>
        <w:footnoteReference w:id="380"/>
      </w:r>
      <w:r>
        <w:rPr>
          <w:rFonts w:ascii="Amiri" w:hAnsi="Amiri" w:eastAsia="Amiri" w:cs="Amiri"/>
          <w:color w:val="111111"/>
          <w:sz w:val="28"/>
          <w:sz w:val="28"/>
          <w:szCs w:val="28"/>
          <w:rtl w:val="true"/>
          <w:lang w:bidi="ar-SA"/>
        </w:rPr>
        <w:t xml:space="preserve">و الإسكافي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الظاهر أنّ القول الثالث أيضا مبنيّ على أنّ التعويل على حسن الظاهر و المعروفية بالستر و العفاف، من باب الكشف عن العدالة و الدلالة عليها، لا كونه نفسها تنزيلا لحسن ظاهر الحال في المعاشرات منزلة الواقع، أعني الاجتناب الواقعي عن القبائح الذي هو القول الثاني، كما لا يخفى على المتأمل في كلام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الاحتمال في أصل معنى العدالة و حقيقتها بين أحد الأوّلين، أعني الملكة النفسانية المشتهرة بين المتأخرين، و نفس تقوى الجوارح من الأفعال و التروك المعروفة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الظاهر أن ليس المراد من الثاني مجرّد الفعل و الترك من حيثهما، و لو لعدم المقتضي أو وجود المانع، كالعنين التارك للزنا و اللواط، و الأخرس و الأعمى و الأصمّ بالنسبة إلى معاصي تلك الجوارح، و غيرهم ممّن لم يتمكّن من آلات المعاصي، بل المراد كونه لتقوى اللّه عزّ و جلّ و غرض ديني، لا للرياء و السمعة أو الخوف من الناس أو مصلحة دنيوية أخرى، لعدم كونه ممدوحا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العدالة المأمور بها المثاب عليها إجماعا، 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تلك الوجوه بنفسه معصية يخالف العدالة، فلا بدّ أن يكون العمل المزبور منوطا بنيّة خالصة و فضيلة 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المراد مجرّد التلبس بهذه الأوصاف الصادق على مثل ساعة أو يوم أو على زمان الشهادة، بل مرادهم التلبّس بها دائما أو في زمان طويل، كشهر بل أكثر، من غير تخلّف عنه فيه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إجماعيّ أيضا، بل هو مدلول كلمات القائلين به، فإنّه لا يصدق عرفا تلك الأوصاف التي ذكروها على الإطلاق إلّا على المواظب المداوم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عبدا عفيفا ورعا مجتنبا عن مجالسة الأراذل، أو عابدا مصلّيا ساعيا إلى المساجد، و أمثال ذلك من التروك و الأفعال، لا يفهم منه عرفا إلّا المواظب الملازم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المواظبة على تلك الأوصاف في المدة الكثيرة بالنيّة الخالصة، لا بدّ و أن يكون لها مبدأ في النفس باعثة على النية و استعمال الجوارح أو كفّها، فلا ينفكّ عن صفة حسنة ثابتة نفسانية يمنع ما دام وجودها عن التخلف عن تلك الآثار، سواء بلغت تلك الصفة الكامنة حدّ الملكة بالمعنى المذكور في القول الأوّل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هذين القولين عموم من وجه؛ لاختصاص الأوّل بكون تلك الملكة مما يقتدر به على ترك المعاصي و ملازمة التقوى بسهولة، و لكن لا ينافيها التخلّف أحيانا بفعل معصية دفعة أو أكثر، فإنّ تلك الملكة مما لا يحصل إلّا بمجاهدة و تكرير و مزاولة، و بعد حصولها لا تزول بفعل خلافها مرّة أو مرّات عديدة، و اختصاص الثاني بكون الصفة النفسانية الباعثة على التقوى بحيث لم يتخلّف عنها الأثر، فينافيها المعصية، كأن يكون خوفا من اللّه عزّ و جلّ أو طمعا في ثوابه أو إجلالا له، فإنّها يزول عند المعصية، و إلّا لم يتخلّف عن أثرها الذي هو ترك المعصية، و إن عادت ثانيا، و لكن لا ينافيها كون ترك المعصية بمشقة و مجاهدة، حيث لم يحصل بعد التكرار للبالغ حدّا يوجب حصول الملكة و سهولة التقوى، نظير الخوض في الأحوال و المعارك المنبعث عن غيرة أو حميّة أو حبّ شخص أو بغضه، لا عن ملكة الشجاعة و الجراءة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فيشترك القولان في كون الآثار منبعثة عن صفة راسخة في النفس، و يختلفان في أنّ العدالة هل هي نفس تلك الآثار المنبعثة عن الهيئة النفسانية، فينقضها التخلّف في الآثار، أو هي نفس الملكة الباعثة على سهولة الآثار، فلا ينقضها</w:t>
      </w:r>
    </w:p>
    <w:p>
      <w:pPr>
        <w:pStyle w:val="BookText"/>
        <w:rPr/>
      </w:pPr>
      <w:r>
        <w:rPr>
          <w:rFonts w:ascii="Amiri" w:hAnsi="Amiri" w:eastAsia="Amiri" w:cs="Amiri"/>
          <w:color w:val="111111"/>
          <w:sz w:val="28"/>
          <w:sz w:val="28"/>
          <w:szCs w:val="28"/>
          <w:rtl w:val="true"/>
          <w:lang w:bidi="ar-SA"/>
        </w:rPr>
        <w:t>المخالفة أحيانا على حدّ لا تزول به الملكة بل ينقضها زوال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في القولين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الترجيح للأوّل أو الثاني؟</w:t>
      </w:r>
    </w:p>
    <w:p>
      <w:pPr>
        <w:pStyle w:val="BookText"/>
        <w:rPr/>
      </w:pPr>
      <w:r>
        <w:rPr>
          <w:rFonts w:ascii="Amiri" w:hAnsi="Amiri" w:eastAsia="Amiri" w:cs="Amiri"/>
          <w:color w:val="111111"/>
          <w:sz w:val="28"/>
          <w:sz w:val="28"/>
          <w:szCs w:val="28"/>
          <w:rtl w:val="true"/>
          <w:lang w:bidi="ar-SA"/>
        </w:rPr>
        <w:t>مقتضى عدّها في فنّ الأخلاق من الصفات و الملكات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عرفوها فيه بما يناسب الملكة المذكورة كقولهم إنّها ملكة لزوم الاقتصاد في كلّ شي‌ء من الأعمال و الصفات من غير ميل إلى طرفي الإفراط و التفريط، أو هي ملكة يقتدر بها العقل العمليّ على ضبط جميع القوى تحت إشارة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الأوّل، إلّا أنّ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ينافيها التخلّف مرّة في العمل أو مرّتين، و لا تزول به، و هو مناف للعدالة المعتبرة في الشرع إجماعا، و جعل عدم التخلّف شرطا زائدا عن نفس العدالة ينافيه ظاهر كلماتهم بل صريحها، من سقوط العدالة بفعل الكبيرة إلى أن يحصل العلم بعودها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يقوى كون الثاني عدالة، مع أنّه أيضا يرجع إلى صفة راسخة نفسانية هي منشأ ظهور الآثار في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يستبعد في العقول إسقاط من تحمل نفسه على ترك محارم اللّه تعالى بالجهد و المشقّة طول السنة خوفا من اللّه سبحانه بحيث لا يبادر إليها، عن حكم العدالة، و جعله من عداد الفسّاق، مع أن مثله قد يعدّ أعلى مرتبة و أكثر ثوابا و أعظم درجة من ذي الملكة المذكورة، على أنّ الأخبار الواردة في الباب مفسّرة بها بنفس الأفعال و التروك، ككلمات أكثر القدماء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في صحيح عبد اللّه بن أبي يعفور، في جواب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عدالة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العفات و كفّ البطن و الفرج و اليد و اللسان</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باجتناب الكبائر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لا ينافي كون حقيقة العدالة نفس</w:t>
      </w:r>
      <w:bookmarkStart w:id="136" w:name="pg2497_12018"/>
    </w:p>
    <w:p>
      <w:pPr>
        <w:pStyle w:val="BookText"/>
        <w:rPr/>
      </w:pPr>
      <w:bookmarkEnd w:id="136"/>
      <w:r>
        <w:rPr>
          <w:rFonts w:ascii="Amiri" w:hAnsi="Amiri" w:eastAsia="Amiri" w:cs="Amiri"/>
          <w:color w:val="111111"/>
          <w:sz w:val="28"/>
          <w:sz w:val="28"/>
          <w:szCs w:val="28"/>
          <w:rtl w:val="true"/>
          <w:lang w:bidi="ar-SA"/>
        </w:rPr>
        <w:t>العمل، بل دلالته على المطلوب أشبه، فإنّه من قبيل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الكتاب الفلانيّ بالمسائل الفلانية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بملاحظة الشواهد المذكورة تقوى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في المعنى التفسير بالصفة الراسخة في النفس المقرونة بتلك الأعمال و التروك، كما عرفت، فمعنى العدالة 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غير الملكة، و القول بها لا شاهد له من لغة أو حديث، و التبادر العرفيّ الذي ادّعاه جمع من القائلين 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سلّم كونها من الصفات في المتفاهم العرفيّ، فغايته كونها صفة راسخة باعثة على التقوى، و لو هي الخوف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يستلزم ذلك بعد تكرّر العمل حصول الملكة غالبا</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861861_3804643083"/>
      <w:bookmarkStart w:id="138" w:name="_Toc53"/>
      <w:bookmarkEnd w:id="137"/>
      <w:r>
        <w:rPr>
          <w:rtl w:val="true"/>
        </w:rPr>
        <w:t>تتميم</w:t>
      </w:r>
      <w:r>
        <w:rPr>
          <w:rtl w:val="true"/>
        </w:rPr>
        <w:t xml:space="preserve">: </w:t>
      </w:r>
      <w:r>
        <w:rPr>
          <w:rtl w:val="true"/>
        </w:rPr>
        <w:t>لا خلاف في أنّ الفسق ضدّ العدالة الشرعية،</w:t>
      </w:r>
      <w:bookmarkEnd w:id="138"/>
    </w:p>
    <w:p>
      <w:pPr>
        <w:pStyle w:val="BookText"/>
        <w:rPr/>
      </w:pPr>
      <w:r>
        <w:rPr>
          <w:rFonts w:ascii="Amiri" w:hAnsi="Amiri" w:eastAsia="Amiri" w:cs="Amiri"/>
          <w:color w:val="111111"/>
          <w:sz w:val="28"/>
          <w:sz w:val="28"/>
          <w:szCs w:val="28"/>
          <w:rtl w:val="true"/>
          <w:lang w:bidi="ar-SA"/>
        </w:rPr>
        <w:t>كما أنّ العدالة بالمعنى المصطلح عند أئمة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تعديل الملكات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ضدّها الجور بمعنى الميل إلى أحد طرفي الإفراط و التفريط،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بينهما واسطة؟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الفسق إن فسّر بما يخالف العدالة، فلا واسطة بينهما، لكون التقابل بالوجود و العدم، و إن فسّر بالخروج عن طاعة اللّه سبحانه و ارتكاب الكبيرة و الإصرار على الصغيرة، أو بملكة ذلك و إن لم يتّفق له المعصية لمانع، من تعذر أسباب المعصية أو خوف أو مرض و نحوها لا لورع دينيّ، فعلى القول بكون العدالة ملكة، ففاقد الملكتين المجتنب عن الذنوب و لو طاعة للّه واسطة بينهما</w:t>
      </w:r>
      <w:r>
        <w:rPr>
          <w:rFonts w:eastAsia="Amiri" w:cs="Amiri" w:ascii="Amiri" w:hAnsi="Amiri"/>
          <w:color w:val="111111"/>
          <w:sz w:val="28"/>
          <w:szCs w:val="28"/>
          <w:rtl w:val="true"/>
          <w:lang w:bidi="ar-SA"/>
        </w:rPr>
        <w:t>.</w:t>
      </w:r>
      <w:bookmarkStart w:id="139" w:name="pg2497_12020"/>
    </w:p>
    <w:p>
      <w:pPr>
        <w:pStyle w:val="BookText"/>
        <w:rPr/>
      </w:pPr>
      <w:bookmarkEnd w:id="139"/>
      <w:r>
        <w:rPr>
          <w:rFonts w:ascii="Amiri" w:hAnsi="Amiri" w:eastAsia="Amiri" w:cs="Amiri"/>
          <w:color w:val="111111"/>
          <w:sz w:val="28"/>
          <w:sz w:val="28"/>
          <w:szCs w:val="28"/>
          <w:rtl w:val="true"/>
          <w:lang w:bidi="ar-SA"/>
        </w:rPr>
        <w:t>و كذا على القول بحسن الظاهر يكون غير ذي ملكة الفسق، المجتنب عن الذنوب و المعاصي لعذر،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الظاهر المتبادر من الفسق أحد الأخيرين، بل الأوّل منهما، فالظاهر وجود الواسطة هذا بحسب الواقع، و أمّا بحسب الحكم في الظاهر فسيأتي الإشارة إلى ما يقتضيه الأصل منهما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861863_3804643083"/>
      <w:bookmarkStart w:id="141" w:name="_Toc54"/>
      <w:bookmarkEnd w:id="140"/>
      <w:r>
        <w:rPr>
          <w:rtl w:val="true"/>
        </w:rPr>
        <w:t>البحث الثاني</w:t>
      </w:r>
      <w:r>
        <w:rPr>
          <w:rtl w:val="true"/>
        </w:rPr>
        <w:t xml:space="preserve">: </w:t>
      </w:r>
      <w:r>
        <w:rPr>
          <w:rtl w:val="true"/>
        </w:rPr>
        <w:t>قد علمت أنّ اجتناب المعصية جزء العدالة أو لازمها</w:t>
      </w:r>
      <w:r>
        <w:rPr>
          <w:rtl w:val="true"/>
        </w:rPr>
        <w:t>.</w:t>
      </w:r>
      <w:bookmarkEnd w:id="141"/>
    </w:p>
    <w:p>
      <w:pPr>
        <w:pStyle w:val="Heading5"/>
        <w:numPr>
          <w:ilvl w:val="4"/>
          <w:numId w:val="1"/>
        </w:numPr>
        <w:rPr/>
      </w:pPr>
      <w:bookmarkStart w:id="142" w:name="__RefHeading___Toc3861865_3804643083"/>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 اختلفوا في أنّ المعتبر هو الاجتناب عن جميع المعاصي من الكبائر و الصغائر، أو من الكبائر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الخلاف بعد اختلافهم في تقسيم الذنوب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أكثر المتأخّرين بل عامتهم الانقسام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كثير ممّن تقدم، بل عن الصيمري و البهائي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جماعة من القدماء كالحلبي و القاضي و الشيخ في العدّة و الطبرسي أنّ الذنوب كلّها كبائر، بل عن الأخير نسبته إلى الأصحاب، مشعرا بدعوى الإجماع عليه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 هؤلاء أن ليس للذنوب معيارا معيّنا محدّدا يعدّ به الكبائر و الصغائر على الإطلاق و يختلف بهما الأحكام الشرعية، كالقدح في العدالة و نحوه، لا أن ليس لها اختلاف في الشدة و الضعف و زيادة العقاب و نقصانه، فإنّ من الضروريّ أن ليس عقاب ترك ردّ السلام كقتل النبي صلّى اللّه عليه و آله و سلّم و هدم الكعبة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يختلف الذنوب في الكبر و الصغر بإضافة بعضها إلى بعض، كما نبّه به</w:t>
      </w:r>
    </w:p>
    <w:p>
      <w:pPr>
        <w:pStyle w:val="BookText"/>
        <w:rPr/>
      </w:pPr>
      <w:r>
        <w:rPr>
          <w:rFonts w:ascii="Amiri" w:hAnsi="Amiri" w:eastAsia="Amiri" w:cs="Amiri"/>
          <w:color w:val="111111"/>
          <w:sz w:val="28"/>
          <w:sz w:val="28"/>
          <w:szCs w:val="28"/>
          <w:rtl w:val="true"/>
          <w:lang w:bidi="ar-SA"/>
        </w:rPr>
        <w:t xml:space="preserve">الحلّي </w:t>
      </w:r>
      <w:r>
        <w:rPr>
          <w:rStyle w:val="FootnoteAnchor"/>
          <w:rtl w:val="true"/>
        </w:rPr>
        <w:footnoteReference w:id="385"/>
      </w:r>
      <w:r>
        <w:rPr>
          <w:rFonts w:ascii="Amiri" w:hAnsi="Amiri" w:eastAsia="Amiri" w:cs="Amiri"/>
          <w:color w:val="111111"/>
          <w:sz w:val="28"/>
          <w:sz w:val="28"/>
          <w:szCs w:val="28"/>
          <w:rtl w:val="true"/>
          <w:lang w:bidi="ar-SA"/>
        </w:rPr>
        <w:t>بعد نفيه التقسيم و دعواه عدم الخلاف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صغائر عندنا في المعاصي إلّا بالإضافة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جعل الإضافة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الطاعة، فإن زاد عقابها على ثواب تلك الطاعة فهي كبيرة بالنسبة إليها، و إن نقص فهي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معصية أخرى، فهي كبيرة بالنسبة إلى ما هي أشدّ عذابا منه، و صغيرة بالنسبة إلى ما هي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فاعلها، فإن صدرت عن شريف عالم فهي كبيرة، و إن صدرت عمن دونه فهي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الصغيرة لا تطلق على الذنوب إلّا على القول بحبط الطاعة الكبيرة </w:t>
      </w:r>
      <w:r>
        <w:rPr>
          <w:rStyle w:val="FootnoteAnchor"/>
          <w:rtl w:val="true"/>
        </w:rPr>
        <w:footnoteReference w:id="386"/>
      </w:r>
      <w:r>
        <w:rPr>
          <w:rFonts w:ascii="Amiri" w:hAnsi="Amiri" w:eastAsia="Amiri" w:cs="Amiri"/>
          <w:color w:val="111111"/>
          <w:sz w:val="28"/>
          <w:sz w:val="28"/>
          <w:szCs w:val="28"/>
          <w:rtl w:val="true"/>
          <w:lang w:bidi="ar-SA"/>
        </w:rPr>
        <w:t>، و أنت خبير بأنّ القسمة معروفة بين أصحابنا، و القول بالإحباط خلاف المعروف بينهم، فكيف يناط به عند أرباب القسمة؟</w:t>
      </w:r>
    </w:p>
    <w:p>
      <w:pPr>
        <w:pStyle w:val="BookText"/>
        <w:rPr/>
      </w:pPr>
      <w:r>
        <w:rPr>
          <w:rFonts w:ascii="Amiri" w:hAnsi="Amiri" w:eastAsia="Amiri" w:cs="Amiri"/>
          <w:color w:val="111111"/>
          <w:sz w:val="28"/>
          <w:sz w:val="28"/>
          <w:szCs w:val="28"/>
          <w:rtl w:val="true"/>
          <w:lang w:bidi="ar-SA"/>
        </w:rPr>
        <w:t xml:space="preserve">و الحقّ في المسألة ما عليه المعظم، لظاهر الآيتين إِنْ تَجْتَنِبُوا كَبٰائِرَ مٰا تُنْهَوْنَ عَنْهُ نُكَفِّرْ عَنْكُمْ سَيِّئٰاتِكُمْ </w:t>
      </w:r>
      <w:r>
        <w:rPr>
          <w:rStyle w:val="FootnoteAnchor"/>
          <w:rtl w:val="true"/>
        </w:rPr>
        <w:footnoteReference w:id="387"/>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8"/>
      </w:r>
      <w:r>
        <w:rPr>
          <w:rFonts w:ascii="Amiri" w:hAnsi="Amiri" w:eastAsia="Amiri" w:cs="Amiri"/>
          <w:color w:val="111111"/>
          <w:sz w:val="28"/>
          <w:sz w:val="28"/>
          <w:szCs w:val="28"/>
          <w:rtl w:val="true"/>
          <w:lang w:bidi="ar-SA"/>
        </w:rPr>
        <w:t xml:space="preserve">و وَ الَّذِينَ يَجْتَنِبُونَ كَبٰائِرَ الْإِثْمِ وَ الْفَوٰاحِشَ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المستفيضة المتضمّنة للتقسيم بهما، و إيعاده للكبائر بطائفة من</w:t>
      </w:r>
    </w:p>
    <w:p>
      <w:pPr>
        <w:pStyle w:val="BookText"/>
        <w:rPr/>
      </w:pPr>
      <w:r>
        <w:rPr>
          <w:rFonts w:ascii="Amiri" w:hAnsi="Amiri" w:eastAsia="Amiri" w:cs="Amiri"/>
          <w:color w:val="111111"/>
          <w:sz w:val="28"/>
          <w:sz w:val="28"/>
          <w:szCs w:val="28"/>
          <w:rtl w:val="true"/>
          <w:lang w:bidi="ar-SA"/>
        </w:rPr>
        <w:t>المعاصي، و المصرّحة ببعض الأوصاف للكبائر، كمرسلة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اجتنب الكبائر كفّر اللّه عنه جميع ذنوبه</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الصالحة يكفّر الصغائر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ممّا دلّ على القسمة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النافون باشتراك الجميع في مخالفة أمره سبحانه و نهيه، و بالاستشهاد بظهور بعض الأخبار فيه، مثل ما دلّ على أنّ كلّ معصية شديدة، و ما دلّ على أنّ كلّ معصية قد توجب لصاحبها النار، و ما دلّ على التحذير من استحقار الذنب و استصغاره </w:t>
      </w:r>
      <w:r>
        <w:rPr>
          <w:rStyle w:val="FootnoteAnchor"/>
          <w:rtl w:val="true"/>
        </w:rPr>
        <w:footnoteReference w:id="393"/>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بأنّه مبنيّ على كون الكبر و الصغر باعتبار مجرّد المخالفة التي هي غير قابلة للشدّة و الضعف، و ليس كذلك، بل مناط الافتراق بهما المفسدة التي أوجب النهي، و هي قابلة للشدّة و الضعف بتفاوت العقاب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اشتركا 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يشاهد هذا الفرق في النواهي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بعدم دلالة شي‌ء من تلك الأخبار على الاشتراك فيما عنوا به من معنى الكبيرة، و هو كونه غير مكفّر بالأعمال الصالحة، أو ما يوعد عليه النار مطلقا، أو قادحا في العدالة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تبيّن أنّ الذنوب ينقسم إلى الكبائر و الصغائر، على ما سننبّه على تفصيل</w:t>
      </w:r>
    </w:p>
    <w:p>
      <w:pPr>
        <w:pStyle w:val="BookText"/>
        <w:rPr/>
      </w:pPr>
      <w:r>
        <w:rPr>
          <w:rFonts w:ascii="Amiri" w:hAnsi="Amiri" w:eastAsia="Amiri" w:cs="Amiri"/>
          <w:color w:val="111111"/>
          <w:sz w:val="28"/>
          <w:sz w:val="28"/>
          <w:szCs w:val="28"/>
          <w:rtl w:val="true"/>
          <w:lang w:bidi="ar-SA"/>
        </w:rPr>
        <w:t>كلّ منهما، فاعلم أنّه لا خلاف في توقّف العدالة على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توقّف اجتناب غيرها أيضا و 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المفيد </w:t>
      </w:r>
      <w:r>
        <w:rPr>
          <w:rStyle w:val="FootnoteAnchor"/>
          <w:rtl w:val="true"/>
        </w:rPr>
        <w:footnoteReference w:id="394"/>
      </w:r>
      <w:r>
        <w:rPr>
          <w:rFonts w:ascii="Amiri" w:hAnsi="Amiri" w:eastAsia="Amiri" w:cs="Amiri"/>
          <w:color w:val="111111"/>
          <w:sz w:val="28"/>
          <w:sz w:val="28"/>
          <w:szCs w:val="28"/>
          <w:rtl w:val="true"/>
          <w:lang w:bidi="ar-SA"/>
        </w:rPr>
        <w:t xml:space="preserve">و الحلّي </w:t>
      </w:r>
      <w:r>
        <w:rPr>
          <w:rStyle w:val="FootnoteAnchor"/>
          <w:rtl w:val="true"/>
        </w:rPr>
        <w:footnoteReference w:id="395"/>
      </w:r>
      <w:r>
        <w:rPr>
          <w:rFonts w:ascii="Amiri" w:hAnsi="Amiri" w:eastAsia="Amiri" w:cs="Amiri"/>
          <w:color w:val="111111"/>
          <w:sz w:val="28"/>
          <w:sz w:val="28"/>
          <w:szCs w:val="28"/>
          <w:rtl w:val="true"/>
          <w:lang w:bidi="ar-SA"/>
        </w:rPr>
        <w:t xml:space="preserve">و الحلبي </w:t>
      </w:r>
      <w:r>
        <w:rPr>
          <w:rStyle w:val="FootnoteAnchor"/>
          <w:rtl w:val="true"/>
        </w:rPr>
        <w:footnoteReference w:id="396"/>
      </w:r>
      <w:r>
        <w:rPr>
          <w:rFonts w:ascii="Amiri" w:hAnsi="Amiri" w:eastAsia="Amiri" w:cs="Amiri"/>
          <w:color w:val="111111"/>
          <w:sz w:val="28"/>
          <w:sz w:val="28"/>
          <w:szCs w:val="28"/>
          <w:rtl w:val="true"/>
          <w:lang w:bidi="ar-SA"/>
        </w:rPr>
        <w:t xml:space="preserve">و القاضي </w:t>
      </w:r>
      <w:r>
        <w:rPr>
          <w:rStyle w:val="FootnoteAnchor"/>
          <w:rtl w:val="true"/>
        </w:rPr>
        <w:footnoteReference w:id="397"/>
      </w:r>
      <w:r>
        <w:rPr>
          <w:rFonts w:ascii="Amiri" w:hAnsi="Amiri" w:eastAsia="Amiri" w:cs="Amiri"/>
          <w:color w:val="111111"/>
          <w:sz w:val="28"/>
          <w:sz w:val="28"/>
          <w:szCs w:val="28"/>
          <w:rtl w:val="true"/>
          <w:lang w:bidi="ar-SA"/>
        </w:rPr>
        <w:t xml:space="preserve">و الشيخ في العدّة </w:t>
      </w:r>
      <w:r>
        <w:rPr>
          <w:rStyle w:val="FootnoteAnchor"/>
          <w:rtl w:val="true"/>
        </w:rPr>
        <w:footnoteReference w:id="398"/>
      </w:r>
      <w:r>
        <w:rPr>
          <w:rFonts w:ascii="Amiri" w:hAnsi="Amiri" w:eastAsia="Amiri" w:cs="Amiri"/>
          <w:color w:val="111111"/>
          <w:sz w:val="28"/>
          <w:sz w:val="28"/>
          <w:szCs w:val="28"/>
          <w:rtl w:val="true"/>
          <w:lang w:bidi="ar-SA"/>
        </w:rPr>
        <w:t xml:space="preserve">و الطبرسي </w:t>
      </w:r>
      <w:r>
        <w:rPr>
          <w:rStyle w:val="FootnoteAnchor"/>
          <w:rtl w:val="true"/>
        </w:rPr>
        <w:footnoteReference w:id="399"/>
      </w:r>
      <w:r>
        <w:rPr>
          <w:rFonts w:ascii="Amiri" w:hAnsi="Amiri" w:eastAsia="Amiri" w:cs="Amiri"/>
          <w:color w:val="111111"/>
          <w:sz w:val="28"/>
          <w:sz w:val="28"/>
          <w:szCs w:val="28"/>
          <w:rtl w:val="true"/>
          <w:lang w:bidi="ar-SA"/>
        </w:rPr>
        <w:t>في المحكيّ عنهم، بل عن ظاهر الثاني و الأخيرين كونه مجمعا عليه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جمهور المتأخّرين، بل عامّتهم و أكثر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عليه اتفاق كلّ من قسّم الذنوب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قدح فعل الصغيرة فيها إلّا مع الإصرار الموجب لصيرورتها كبيرة، و هو الحقّ، لدلالة صحيح ابن أبي يعفور الآتي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باجتناب الكبائر التي أوعد اللّه سبحانه عليها النار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الظاهر في عدم توقفها على غيرها، باعتبار كونه في مقام التحديد و التعريف، بل لو لا الاختصاص كان التخصيص به إغراء قبيحا، مع أنّ مقتضى الأصل عدم تقييده بوصف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جواب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عدالة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تعرفوه بالستر و العفاف 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جميع الذنوب، و حصول القدح في العدالة، سيما الصادرة عن الجوارح الأربعة، و إن كانت صغائر، و نحوه قوله عليه السّلام بعده، و الدلالة على ذلك كلّه أن يكون ساترا لجميع عيوبه الشامل للصغير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عليه السّلام مقتض للمتعلّق، ضرورة أن ليس المراد ما صدق عليه الستر</w:t>
      </w:r>
    </w:p>
    <w:p>
      <w:pPr>
        <w:pStyle w:val="BookText"/>
        <w:rPr/>
      </w:pPr>
      <w:r>
        <w:rPr>
          <w:rFonts w:ascii="Amiri" w:hAnsi="Amiri" w:eastAsia="Amiri" w:cs="Amiri"/>
          <w:color w:val="111111"/>
          <w:sz w:val="28"/>
          <w:sz w:val="28"/>
          <w:szCs w:val="28"/>
          <w:rtl w:val="true"/>
          <w:lang w:bidi="ar-SA"/>
        </w:rPr>
        <w:t>و كفّ الأعضاء، فلا عموم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العموم عند حذف المتعلّق فيما يحمل عليه، إنّما هو لدليل الحكمة، من عدم المرجّح و لزوم الإغراء لولاه، و هي هنا منتفية، لأنّ قوله عليه السّلام عقيب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باجتناب الكبائر التي أوعد اللّه عليها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ظاهرة بل صريحة مبيّنة للمتعلّق، و إلّا لما صحّ التخصيص، خصوصا مع ما فيه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فعل الصغيرة مرّة أو مرتين لا ينافي صدق وصف المعروفية بالستر و العفاف و الكفّ على وجه الإطلاق،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وجه تخصيص اجتناب الكبائر بالذكر ثانيا، تنبيها على قدحها في العدالة مطلقا و لو مرّة، مع أنّه جعل في الصحيحة الستر و الكفّ معرفا لاجتناب الكبائر، و المعرّف يعتبر حيث لم ينكشف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العلم بالاجتناب عن الكبائر لم يكن المعرّف معتبرا، و لو مع صدور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اشتراط ستر العيب و لو كان صغيرة لا يستلزم قدح فعل الصغيرة، فإنّهم جعلوا من أسباب صيرورة الصغيرة كبيرة عدم المبالاة بإعلانها، و استدلّوا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 قدح الصغيرة في العدالة للحرج العظيم، و سقوط الشهادات، و تعطيل الأحكام المسبّبة لوجود العدل، و تضييع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الحلّي </w:t>
      </w:r>
      <w:r>
        <w:rPr>
          <w:rStyle w:val="FootnoteAnchor"/>
          <w:rtl w:val="true"/>
        </w:rPr>
        <w:footnoteReference w:id="401"/>
      </w:r>
      <w:r>
        <w:rPr>
          <w:rFonts w:ascii="Amiri" w:hAnsi="Amiri" w:eastAsia="Amiri" w:cs="Amiri"/>
          <w:color w:val="111111"/>
          <w:sz w:val="28"/>
          <w:sz w:val="28"/>
          <w:szCs w:val="28"/>
          <w:rtl w:val="true"/>
          <w:lang w:bidi="ar-SA"/>
        </w:rPr>
        <w:t>بإمكان الرفع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اعترض عليه في المختلف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شرط التوبة العزم على ترك المعاودة، و لا شكّ أنّ الإنسان لا ينفكّ عن الصغائر، فلا يصحّ هذا العزم منه غالبا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بأنّه ينافي وجوب التوبة عنها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العزم و صحّة التكليف به لا يرفع المحذور، فإنّ المعترض مستظهر بعدم وقوعه غالبا، و المحذور ناش عن عدم الوقوع في الغالب، لا عن عدم التكليف به، إلّا أن يمنع غلبة عدم وقوع العزم على الترك، و إن لم ينفكّ الإنسان غالبا عن الصغائر، فإنّ حالة حصول العزم المصحّح للتكليف بالتوبة ممكن الوقوع للإنسان كثيرا، و إن كان النقض له متكثر الوقوع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إلّا لم يقع التكليف بترك الصغائر، و بطلانه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فالاستدلال المذكور لا يخلو عن تأييد و اعتضاد للأوّلين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الخروج عنهما بما مرّ من الدليل، مع أنّ في جريان الأصل مطلقا،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اشتراط المروّة التي لا إثم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الأولوية، لعدم العلم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المعصية خروج عن طاعة اللّه سبحانه، و هو فسق، كما في مجمع البيان </w:t>
      </w:r>
      <w:r>
        <w:rPr>
          <w:rStyle w:val="FootnoteAnchor"/>
          <w:rtl w:val="true"/>
        </w:rPr>
        <w:footnoteReference w:id="403"/>
      </w:r>
      <w:r>
        <w:rPr>
          <w:rFonts w:ascii="Amiri" w:hAnsi="Amiri" w:eastAsia="Amiri" w:cs="Amiri"/>
          <w:color w:val="111111"/>
          <w:sz w:val="28"/>
          <w:sz w:val="28"/>
          <w:szCs w:val="28"/>
          <w:rtl w:val="true"/>
          <w:lang w:bidi="ar-SA"/>
        </w:rPr>
        <w:t xml:space="preserve">و كنز العرفان </w:t>
      </w:r>
      <w:r>
        <w:rPr>
          <w:rStyle w:val="FootnoteAnchor"/>
          <w:rtl w:val="true"/>
        </w:rPr>
        <w:footnoteReference w:id="404"/>
      </w:r>
      <w:r>
        <w:rPr>
          <w:rFonts w:ascii="IRNazanin" w:hAnsi="IRNazanin" w:eastAsia="IRNazanin"/>
          <w:color w:val="111111"/>
          <w:sz w:val="28"/>
          <w:sz w:val="28"/>
          <w:szCs w:val="28"/>
          <w:rtl w:val="true"/>
          <w:lang w:bidi="fa-IR"/>
        </w:rPr>
        <w:t xml:space="preserve">و القاموس </w:t>
      </w:r>
      <w:r>
        <w:rPr>
          <w:rStyle w:val="FootnoteAnchor"/>
          <w:rtl w:val="true"/>
        </w:rPr>
        <w:footnoteReference w:id="405"/>
      </w:r>
      <w:r>
        <w:rPr>
          <w:rFonts w:ascii="Amiri" w:hAnsi="Amiri" w:eastAsia="Amiri" w:cs="Amiri"/>
          <w:color w:val="111111"/>
          <w:sz w:val="28"/>
          <w:sz w:val="28"/>
          <w:szCs w:val="28"/>
          <w:rtl w:val="true"/>
          <w:lang w:bidi="ar-SA"/>
        </w:rPr>
        <w:t>، و الفاسق يضادّ العادل، للاتفاق على عدم صدقه على من صدق عليه العادل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منع كون الفسق مطلق الخروج عن الطاعة، و احتمال إرادة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المطلق، لا مطلق الخروج، بل لعلّه الظاهر، لظهور العبارة المطلقة في الاستمرار، كما أشرنا إليه في نحو الستر و الاجتناب، مع أنّ التعويل في المقام على ظاهر كلام من ذكر، مع معارضته بتخصيص غيره الفسق بفعل معصية مخصوصة</w:t>
      </w:r>
    </w:p>
    <w:p>
      <w:pPr>
        <w:pStyle w:val="BookText"/>
        <w:rPr/>
      </w:pPr>
      <w:r>
        <w:rPr>
          <w:rFonts w:ascii="Amiri" w:hAnsi="Amiri" w:eastAsia="Amiri" w:cs="Amiri"/>
          <w:color w:val="111111"/>
          <w:sz w:val="28"/>
          <w:sz w:val="28"/>
          <w:szCs w:val="28"/>
          <w:rtl w:val="true"/>
          <w:lang w:bidi="ar-SA"/>
        </w:rPr>
        <w:t>كظاهر السيوري و الشهيد الثاني غير مقبول، سيما بملاحظة مصير المعظم إلى عدم كون الصغيرة قادحة، مع كونها منافية عندهم للفسق، خصوصا بملاحظة تبادر الغير و صحّة سلب الفاسق عن المطيع الصالح الصادر عنه صغيرة في عرض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الصغيرة تعدّ عما حدّه اللّه تعالى، و المتعدّي عنها ظالم، و الظالم غير مقبول الشهادة، فهو غير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فلقوله تعالى وَ مَنْ يَتَعَدَّ حُدُودَ اللّٰهِ فَأُولٰئِكَ هُمُ الظّٰالِمُونَ </w:t>
      </w:r>
      <w:r>
        <w:rPr>
          <w:rStyle w:val="FootnoteAnchor"/>
          <w:rtl w:val="true"/>
        </w:rPr>
        <w:footnoteReference w:id="406"/>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فلقوله تعالى وَ لٰا تَرْكَنُوا إِلَى الَّذِينَ ظَلَمُوا </w:t>
      </w:r>
      <w:r>
        <w:rPr>
          <w:rStyle w:val="FootnoteAnchor"/>
          <w:rtl w:val="true"/>
        </w:rPr>
        <w:footnoteReference w:id="408"/>
      </w:r>
      <w:r>
        <w:rPr>
          <w:rFonts w:ascii="Amiri" w:hAnsi="Amiri" w:eastAsia="Amiri" w:cs="Amiri"/>
          <w:color w:val="111111"/>
          <w:sz w:val="28"/>
          <w:sz w:val="28"/>
          <w:szCs w:val="28"/>
          <w:rtl w:val="true"/>
          <w:lang w:bidi="ar-SA"/>
        </w:rPr>
        <w:t>، و الركون مطلق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فللاتفاق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كون كلّ متعدّ ظالما، و الآية تدلّ على صدق الظالم بالتعدّي عن جميع حدود اللّه سبحانه، فهو بالمفهوم دلّ على خلاف المدّعى، و منع صدق الركون على مجرّد قبول الشهادة ما لم يتضمّن الميل و الرضا بالفعل الغير المرضي، كما نصّ به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جعل العدالة شرطا ليس إلّا حصول الاطمئنان، و هو لا يحصل مع ظهور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اطّراد القضيتين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 روي في عرض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تره بعينك يرتكب ذنبا، و لم يشهد عليه بذلك شاهدان، فهو من أهل العدالة و الستر، و شهادته مقبولة، و إن كان</w:t>
      </w:r>
      <w:bookmarkStart w:id="144" w:name="pg2497_12034"/>
    </w:p>
    <w:p>
      <w:pPr>
        <w:pStyle w:val="BookText"/>
        <w:rPr/>
      </w:pPr>
      <w:bookmarkEnd w:id="144"/>
      <w:r>
        <w:rPr>
          <w:rFonts w:ascii="Amiri" w:hAnsi="Amiri" w:eastAsia="Amiri" w:cs="Amiri"/>
          <w:color w:val="111111"/>
          <w:sz w:val="28"/>
          <w:sz w:val="28"/>
          <w:szCs w:val="28"/>
          <w:rtl w:val="true"/>
          <w:lang w:bidi="ar-SA"/>
        </w:rPr>
        <w:t>في نفسه مذنبا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ضعفه سندا، مع خلوّه عن الجابر، سيما مع تضمّنه لما ليس له قائل، و دلالة، لأنّها بالمفهوم و هو نكرة مثبتة غايتها الإطلاق، و هو في المقام غير مفيد للعموم، لظهوره في بيان حكم آخر، و هو عدم العلم بالذنب،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التسليم فهو أعمّ مطلقا من الصحيح المتقدّم، فيخصّص به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861867_3804643083"/>
      <w:bookmarkStart w:id="146" w:name="_Toc56"/>
      <w:bookmarkEnd w:id="145"/>
      <w:r>
        <w:rPr>
          <w:rtl w:val="true"/>
        </w:rPr>
        <w:t>تتميمات</w:t>
      </w:r>
      <w:r>
        <w:rPr>
          <w:rtl w:val="true"/>
        </w:rPr>
        <w:t>:</w:t>
      </w:r>
      <w:bookmarkEnd w:id="146"/>
    </w:p>
    <w:p>
      <w:pPr>
        <w:pStyle w:val="Heading6"/>
        <w:numPr>
          <w:ilvl w:val="5"/>
          <w:numId w:val="1"/>
        </w:numPr>
        <w:rPr/>
      </w:pPr>
      <w:bookmarkStart w:id="147" w:name="__RefHeading___Toc3861869_3804643083"/>
      <w:bookmarkStart w:id="148" w:name="_Toc57"/>
      <w:bookmarkEnd w:id="147"/>
      <w:r>
        <w:rPr>
          <w:rtl w:val="true"/>
        </w:rPr>
        <w:t>الأوّل</w:t>
      </w:r>
      <w:r>
        <w:rPr>
          <w:rtl w:val="true"/>
        </w:rPr>
        <w:t xml:space="preserve">: </w:t>
      </w:r>
      <w:r>
        <w:rPr>
          <w:rtl w:val="true"/>
        </w:rPr>
        <w:t>اختلفوا في تفسير الكبائر تحديدا و تعديدا على مذاهب شتّى،</w:t>
      </w:r>
      <w:bookmarkEnd w:id="148"/>
    </w:p>
    <w:p>
      <w:pPr>
        <w:pStyle w:val="BookText"/>
        <w:rPr/>
      </w:pPr>
      <w:r>
        <w:rPr>
          <w:rFonts w:ascii="Amiri" w:hAnsi="Amiri" w:eastAsia="Amiri" w:cs="Amiri"/>
          <w:color w:val="111111"/>
          <w:sz w:val="28"/>
          <w:sz w:val="28"/>
          <w:szCs w:val="28"/>
          <w:rtl w:val="true"/>
          <w:lang w:bidi="ar-SA"/>
        </w:rPr>
        <w:t>أكثرها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توعّد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الواردة في المقام بين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بها بالوصف، و هو ما أوعد اللّه سبحانه عليه بالنار، كصحيح ابن أبي يعفور </w:t>
      </w:r>
      <w:r>
        <w:rPr>
          <w:rStyle w:val="FootnoteAnchor"/>
          <w:rtl w:val="true"/>
        </w:rPr>
        <w:footnoteReference w:id="410"/>
      </w:r>
      <w:r>
        <w:rPr>
          <w:rFonts w:ascii="Amiri" w:hAnsi="Amiri" w:eastAsia="Amiri" w:cs="Amiri"/>
          <w:color w:val="111111"/>
          <w:sz w:val="28"/>
          <w:sz w:val="28"/>
          <w:szCs w:val="28"/>
          <w:rtl w:val="true"/>
          <w:lang w:bidi="ar-SA"/>
        </w:rPr>
        <w:t>الآتي،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باجتناب الكبائر التي أوعد اللّه عزّ و جلّ عليها بالنار، من شرب الخمر و الزنا و عقوق الوالدين و الفرار من الزحف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الحلبي </w:t>
      </w:r>
      <w:r>
        <w:rPr>
          <w:rStyle w:val="FootnoteAnchor"/>
          <w:rtl w:val="true"/>
        </w:rPr>
        <w:footnoteReference w:id="411"/>
      </w:r>
      <w:r>
        <w:rPr>
          <w:rFonts w:ascii="Amiri" w:hAnsi="Amiri" w:eastAsia="Amiri" w:cs="Amiri"/>
          <w:color w:val="111111"/>
          <w:sz w:val="28"/>
          <w:sz w:val="28"/>
          <w:szCs w:val="28"/>
          <w:rtl w:val="true"/>
          <w:lang w:bidi="ar-SA"/>
        </w:rPr>
        <w:t>في قوله تعالى إِنْ تَجْتَنِبُوا كَبٰائِرَ مٰا تُنْهَوْنَ عَنْهُ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عليها النار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أبي بصير </w:t>
      </w:r>
      <w:r>
        <w:rPr>
          <w:rStyle w:val="FootnoteAnchor"/>
          <w:rtl w:val="true"/>
        </w:rPr>
        <w:footnoteReference w:id="412"/>
      </w:r>
      <w:r>
        <w:rPr>
          <w:rFonts w:ascii="Amiri" w:hAnsi="Amiri" w:eastAsia="Amiri" w:cs="Amiri"/>
          <w:color w:val="111111"/>
          <w:sz w:val="28"/>
          <w:sz w:val="28"/>
          <w:szCs w:val="28"/>
          <w:rtl w:val="true"/>
          <w:lang w:bidi="ar-SA"/>
        </w:rPr>
        <w:t>في بيان من يؤتي الحكمة،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الإمام عليه السّلام و اجتناب الكبائر التي أوعد اللّه سبحانه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السرّاد </w:t>
      </w:r>
      <w:r>
        <w:rPr>
          <w:rStyle w:val="FootnoteAnchor"/>
          <w:rtl w:val="true"/>
        </w:rPr>
        <w:footnoteReference w:id="413"/>
      </w:r>
      <w:r>
        <w:rPr>
          <w:rFonts w:ascii="Amiri" w:hAnsi="Amiri" w:eastAsia="Amiri" w:cs="Amiri"/>
          <w:color w:val="111111"/>
          <w:sz w:val="28"/>
          <w:sz w:val="28"/>
          <w:szCs w:val="28"/>
          <w:rtl w:val="true"/>
          <w:lang w:bidi="ar-SA"/>
        </w:rPr>
        <w:t>عن الكبائر كم هي و ما هي؟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ما أوعد اللّه عزّ و جلّ عليها النار، و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w:t>
      </w:r>
      <w:r>
        <w:rPr>
          <w:rStyle w:val="FootnoteAnchor"/>
          <w:rtl w:val="true"/>
        </w:rPr>
        <w:footnoteReference w:id="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 و قذف المحصنة، و الفرار من الزحف، و التعرّب بعد الهجرة، و أكل مال اليتيم ظلما، و أكل الربا بعد البيّنة، و كلّما أوجب اللّه سبحانه عليه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عباد </w:t>
      </w:r>
      <w:r>
        <w:rPr>
          <w:rStyle w:val="FootnoteAnchor"/>
          <w:rtl w:val="true"/>
        </w:rPr>
        <w:footnoteReference w:id="415"/>
      </w:r>
      <w:r>
        <w:rPr>
          <w:rFonts w:ascii="Amiri" w:hAnsi="Amiri" w:eastAsia="Amiri" w:cs="Amiri"/>
          <w:color w:val="111111"/>
          <w:sz w:val="28"/>
          <w:sz w:val="28"/>
          <w:szCs w:val="28"/>
          <w:rtl w:val="true"/>
          <w:lang w:bidi="ar-SA"/>
        </w:rPr>
        <w:t>عن الكبائر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أوعد اللّه تعالى عليه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عدّها من غير تحديد بوصف، كصحيح عبيد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الكفر و القتل و العقوق و أكل الربا و أكل مال اليتيم و الفرار من الزحف و التعرّب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أبي بصير </w:t>
      </w:r>
      <w:r>
        <w:rPr>
          <w:rStyle w:val="FootnoteAnchor"/>
          <w:rtl w:val="true"/>
        </w:rPr>
        <w:footnoteReference w:id="417"/>
      </w:r>
      <w:r>
        <w:rPr>
          <w:rFonts w:ascii="Amiri" w:hAnsi="Amiri" w:eastAsia="Amiri" w:cs="Amiri"/>
          <w:color w:val="111111"/>
          <w:sz w:val="28"/>
          <w:sz w:val="28"/>
          <w:szCs w:val="28"/>
          <w:rtl w:val="true"/>
          <w:lang w:bidi="ar-SA"/>
        </w:rPr>
        <w:t xml:space="preserve">و رواية عبد الرحمن </w:t>
      </w:r>
      <w:r>
        <w:rPr>
          <w:rStyle w:val="FootnoteAnchor"/>
          <w:rtl w:val="true"/>
        </w:rPr>
        <w:footnoteReference w:id="418"/>
      </w:r>
      <w:r>
        <w:rPr>
          <w:rFonts w:ascii="Amiri" w:hAnsi="Amiri" w:eastAsia="Amiri" w:cs="Amiri"/>
          <w:color w:val="111111"/>
          <w:sz w:val="28"/>
          <w:sz w:val="28"/>
          <w:szCs w:val="28"/>
          <w:rtl w:val="true"/>
          <w:lang w:bidi="ar-SA"/>
        </w:rPr>
        <w:t>، على اختلاف يسير في بعض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رواية مسعدة </w:t>
      </w:r>
      <w:r>
        <w:rPr>
          <w:rStyle w:val="FootnoteAnchor"/>
          <w:rtl w:val="true"/>
        </w:rPr>
        <w:footnoteReference w:id="419"/>
      </w:r>
      <w:r>
        <w:rPr>
          <w:rFonts w:ascii="Amiri" w:hAnsi="Amiri" w:eastAsia="Amiri" w:cs="Amiri"/>
          <w:color w:val="111111"/>
          <w:sz w:val="28"/>
          <w:sz w:val="28"/>
          <w:szCs w:val="28"/>
          <w:rtl w:val="true"/>
          <w:lang w:bidi="ar-SA"/>
        </w:rPr>
        <w:t>، إلّا بزيادة القنوط من رحمة اللّه تعالى و الأمن من 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رواه الصدوق في العيون </w:t>
      </w:r>
      <w:r>
        <w:rPr>
          <w:rStyle w:val="FootnoteAnchor"/>
          <w:rtl w:val="true"/>
        </w:rPr>
        <w:footnoteReference w:id="420"/>
      </w:r>
      <w:r>
        <w:rPr>
          <w:rFonts w:ascii="Amiri" w:hAnsi="Amiri" w:eastAsia="Amiri" w:cs="Amiri"/>
          <w:color w:val="111111"/>
          <w:sz w:val="28"/>
          <w:sz w:val="28"/>
          <w:szCs w:val="28"/>
          <w:rtl w:val="true"/>
          <w:lang w:bidi="ar-SA"/>
        </w:rPr>
        <w:t>عن الفضل بن شاذان، فيما كتب به مولانا الرضا عليه السّلام للمأمون في عدّ الكبائر ما يزيد عن ذلك إلى ما بلغ ثلاث و ثلاثين</w:t>
      </w:r>
    </w:p>
    <w:p>
      <w:pPr>
        <w:pStyle w:val="BookText"/>
        <w:rPr/>
      </w:pPr>
      <w:r>
        <w:rPr>
          <w:rFonts w:ascii="Amiri" w:hAnsi="Amiri" w:eastAsia="Amiri" w:cs="Amiri"/>
          <w:color w:val="111111"/>
          <w:sz w:val="28"/>
          <w:sz w:val="28"/>
          <w:szCs w:val="28"/>
          <w:rtl w:val="true"/>
          <w:lang w:bidi="ar-SA"/>
        </w:rPr>
        <w:t xml:space="preserve">آخرها الإصرار على الصغائر، و خبر عبد العظيم </w:t>
      </w:r>
      <w:r>
        <w:rPr>
          <w:rStyle w:val="FootnoteAnchor"/>
          <w:rtl w:val="true"/>
        </w:rPr>
        <w:footnoteReference w:id="421"/>
      </w:r>
      <w:r>
        <w:rPr>
          <w:rFonts w:ascii="Amiri" w:hAnsi="Amiri" w:eastAsia="Amiri" w:cs="Amiri"/>
          <w:color w:val="111111"/>
          <w:sz w:val="28"/>
          <w:sz w:val="28"/>
          <w:szCs w:val="28"/>
          <w:rtl w:val="true"/>
          <w:lang w:bidi="ar-SA"/>
        </w:rPr>
        <w:t>المشتمل على ما تجاوز العشرين،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القسم الأوّل و الأوّل من الثاني، بحمل الأخير على إرادة أعظم الكبائر، بشهادة الأخبار الأخيرة المعتضدة بصحيحي السرّاد و محمّد المتقدّمين المصرّحين للسبع بالخصوص، بعد ذكر تعريف الكبيرة أو قبله، بما أوعد اللّه سبحانه عليه النار، و صحيح عبيد المصرّح بأنّ هذا السبع أكبر المعاصي، نظرا إلى ظهوره في الأكبرية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صريحا رواية أبي الصامت </w:t>
      </w:r>
      <w:r>
        <w:rPr>
          <w:rStyle w:val="FootnoteAnchor"/>
          <w:rtl w:val="true"/>
        </w:rPr>
        <w:footnoteReference w:id="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العظيم، و قتل النفس التي حرّم اللّه عزّ و جلّ إلّا بالحقّ، و أكل مال اليتيم، و عقوق الوالدين، و قذف المحصنات، و الفرار من الزحف، و إنكار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يخصّص </w:t>
      </w:r>
      <w:r>
        <w:rPr>
          <w:rStyle w:val="FootnoteAnchor"/>
          <w:rtl w:val="true"/>
        </w:rPr>
        <w:footnoteReference w:id="423"/>
      </w:r>
      <w:r>
        <w:rPr>
          <w:rFonts w:ascii="Amiri" w:hAnsi="Amiri" w:eastAsia="Amiri" w:cs="Amiri"/>
          <w:color w:val="111111"/>
          <w:sz w:val="28"/>
          <w:sz w:val="28"/>
          <w:szCs w:val="28"/>
          <w:rtl w:val="true"/>
          <w:lang w:bidi="ar-SA"/>
        </w:rPr>
        <w:t>عموم النفي المستفاد من الحصر في تلك الأخبار بالأخبار المفسّرة بما أوعد اللّه، و بإيعاده لها بأزيد من ذلك، و بهذا يرتفع التعارض، و يكون المناط في الكبيرة ما عليه المعظم، من كونه ما أوعد اللّه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فيما هو المراد من هذه العبارة، و في شموله لجميع ما ذكر في رواية العيون و غيرها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كلماتهم مختلفة في بيان كيفية هذا الإيعاد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النهاية </w:t>
      </w:r>
      <w:r>
        <w:rPr>
          <w:rStyle w:val="FootnoteAnchor"/>
          <w:rtl w:val="true"/>
        </w:rPr>
        <w:footnoteReference w:id="424"/>
      </w:r>
      <w:r>
        <w:rPr>
          <w:rFonts w:ascii="IRNazanin" w:hAnsi="IRNazanin" w:eastAsia="IRNazanin"/>
          <w:color w:val="111111"/>
          <w:sz w:val="28"/>
          <w:sz w:val="28"/>
          <w:szCs w:val="28"/>
          <w:rtl w:val="true"/>
          <w:lang w:bidi="fa-IR"/>
        </w:rPr>
        <w:t xml:space="preserve">و القواعد </w:t>
      </w:r>
      <w:r>
        <w:rPr>
          <w:rStyle w:val="FootnoteAnchor"/>
          <w:rtl w:val="true"/>
        </w:rPr>
        <w:footnoteReference w:id="425"/>
      </w:r>
      <w:r>
        <w:rPr>
          <w:rFonts w:ascii="IRNazanin" w:hAnsi="IRNazanin" w:eastAsia="IRNazanin"/>
          <w:color w:val="111111"/>
          <w:sz w:val="28"/>
          <w:sz w:val="28"/>
          <w:szCs w:val="28"/>
          <w:rtl w:val="true"/>
          <w:lang w:bidi="fa-IR"/>
        </w:rPr>
        <w:t xml:space="preserve">و الإرشاد </w:t>
      </w:r>
      <w:r>
        <w:rPr>
          <w:rStyle w:val="FootnoteAnchor"/>
          <w:rtl w:val="true"/>
        </w:rPr>
        <w:footnoteReference w:id="426"/>
      </w:r>
      <w:r>
        <w:rPr>
          <w:rFonts w:ascii="Amiri" w:hAnsi="Amiri" w:eastAsia="Amiri" w:cs="Amiri"/>
          <w:color w:val="111111"/>
          <w:sz w:val="28"/>
          <w:sz w:val="28"/>
          <w:szCs w:val="28"/>
          <w:rtl w:val="true"/>
          <w:lang w:bidi="ar-SA"/>
        </w:rPr>
        <w:t xml:space="preserve">و المسالك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أوعد اللّه عليها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التنقيح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يوعد عليه بعينه و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يوعد عليه بخصوصه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قواعد الشهيد </w:t>
      </w:r>
      <w:r>
        <w:rPr>
          <w:rStyle w:val="FootnoteAnchor"/>
          <w:rtl w:val="true"/>
        </w:rPr>
        <w:footnoteReference w:id="430"/>
      </w:r>
      <w:r>
        <w:rPr>
          <w:rFonts w:ascii="Amiri" w:hAnsi="Amiri" w:eastAsia="Amiri" w:cs="Amiri"/>
          <w:color w:val="111111"/>
          <w:sz w:val="28"/>
          <w:sz w:val="28"/>
          <w:szCs w:val="28"/>
          <w:rtl w:val="true"/>
          <w:lang w:bidi="ar-SA"/>
        </w:rPr>
        <w:t>كلّما توعّد الشرع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ما في الروضة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 ذنب أوعد اللّه عزّ و جلّ عليه بالعقاب في الكتاب العزيز، و نسبه إلى المعروف بين أصحابنا، قائلا بعدم وجدان اختيار قول آخر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المحقّقين أنّ ما ذكره في الكفاية هو مراد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تلك الكلمات يشير إلى الاختلاف في اشتراط كون الإيعاد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يعمّ إيعاد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هل يعتبر إيعاده بما في كتابه العزيز خاصة، أو بما يعمّ كلامه مطلقا، أو به و بإخبار الحجج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أوعد كذا؟</w:t>
      </w:r>
    </w:p>
    <w:p>
      <w:pPr>
        <w:pStyle w:val="BookText"/>
        <w:rPr/>
      </w:pPr>
      <w:r>
        <w:rPr>
          <w:rFonts w:ascii="Amiri" w:hAnsi="Amiri" w:eastAsia="Amiri" w:cs="Amiri"/>
          <w:color w:val="111111"/>
          <w:sz w:val="28"/>
          <w:sz w:val="28"/>
          <w:szCs w:val="28"/>
          <w:rtl w:val="true"/>
          <w:lang w:bidi="ar-SA"/>
        </w:rPr>
        <w:t>و على الأوّل، هل يعتبر إيعاده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أو بما يعمّ العموم مثل قوله تعالى وَ مَنْ يَعْصِ اللّٰهَ وَ رَسُولَهُ فَإِنَّ لَهُ نٰارَ جَهَنَّمَ خٰالِدِينَ فِيهٰا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التقادير، هل يعتبر الإيعاد بالنار أو بمطلق العقاب أو مطلقا؟</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الأخبار المفسّرة بالإيعاد هو ما أوعد اللّه سبحانه عليه النار، فهو المناط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بيان ما يصدق عليه تلك العبارة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الإيعاد بالخصوص، كما هو المتبادر المتفاهم للأصحاب فلا</w:t>
      </w:r>
    </w:p>
    <w:p>
      <w:pPr>
        <w:pStyle w:val="BookText"/>
        <w:rPr/>
      </w:pPr>
      <w:r>
        <w:rPr>
          <w:rFonts w:ascii="Amiri" w:hAnsi="Amiri" w:eastAsia="Amiri" w:cs="Amiri"/>
          <w:color w:val="111111"/>
          <w:sz w:val="28"/>
          <w:sz w:val="28"/>
          <w:szCs w:val="28"/>
          <w:rtl w:val="true"/>
          <w:lang w:bidi="ar-SA"/>
        </w:rPr>
        <w:t>يشمل ما أوعد عليه عموما، كيف و جميع المعاصي من الكبائر و الصغائر داخل في عموم قوله تعالى وَ مَنْ يَعْصِ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الظاهر أنّ الإيعاد بالنار يعمّ الإيعاد بها صريحا أو التزاما و ضمنا، فيشمل ما دلّ عليه بالالتزام، كما جعل اللّه سبحانه و تعالى العاق جَبّٰاراً شَقِيًّا </w:t>
      </w:r>
      <w:r>
        <w:rPr>
          <w:rStyle w:val="FootnoteAnchor"/>
          <w:rtl w:val="true"/>
        </w:rPr>
        <w:footnoteReference w:id="433"/>
      </w:r>
      <w:r>
        <w:rPr>
          <w:rFonts w:ascii="Amiri" w:hAnsi="Amiri" w:eastAsia="Amiri" w:cs="Amiri"/>
          <w:color w:val="111111"/>
          <w:sz w:val="28"/>
          <w:sz w:val="28"/>
          <w:szCs w:val="28"/>
          <w:rtl w:val="true"/>
          <w:lang w:bidi="ar-SA"/>
        </w:rPr>
        <w:t xml:space="preserve">و أوعد الشقيّ بالنار في قوله عزّ و جلّ فَأَمَّا الَّذِينَ شَقُوا فَفِي النّٰارِ لَهُمْ فِيهٰا زَفِيرٌ وَ شَهِيقٌ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بالظهور الإطلاقيّ، كالعذاب و العقاب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جعل أكثر إيعادات الكتاب في الآخرة من هذا الباب، كاللعنة و سوء الدار و الخسران و بئس المصير و نحوها، إذ الغالب على ما يستفاد من مطاوي الأخبار كون الجزاء بالسوء في الآخرة بالنار، فينصرف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الاستشهاد في رواية عبد العظيم إيعاده للكبائر التي هي بالنار في حدّ الكبائر على ما في مستفيضة الأخبار بالآيات الدالّة على مطلق الذمّ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مثل قوله تعالى وَ مَنْ يَعْمَلْ مِثْقٰالَ ذَرَّةٍ شَرًّا يَرَهُ </w:t>
      </w:r>
      <w:r>
        <w:rPr>
          <w:rStyle w:val="FootnoteAnchor"/>
          <w:rtl w:val="true"/>
        </w:rPr>
        <w:footnoteReference w:id="435"/>
      </w:r>
      <w:r>
        <w:rPr>
          <w:rFonts w:ascii="Amiri" w:hAnsi="Amiri" w:eastAsia="Amiri" w:cs="Amiri"/>
          <w:color w:val="111111"/>
          <w:sz w:val="28"/>
          <w:sz w:val="28"/>
          <w:szCs w:val="28"/>
          <w:rtl w:val="true"/>
          <w:lang w:bidi="ar-SA"/>
        </w:rPr>
        <w:t>غير ظاهر في الإيعاد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الموعد هو اللّه تعالى، فالظاهر أنّه لا يصدق هذا على إيعاد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صلّى اللّه عليه و آله و سلّم أو الإمام عليه السّلام و لو بالإخبار عن اللّه عزّ و جلّ، أو في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الحديث الصحيح، كما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المتبادر من تخصيص ذلك به سبحانه، مع أنّ جميع الشرائع صدرت منه، كون الإيعاد بالنار مذكورا في كلامه، بل في كتابه فارقا بذلك بين الكبائر و الصغائر، كيف و الصغيرة كثيرا ما يوعد بالنار في كلام النبيّ صلّى اللّه عليه و آله و سلّم أو الإمام عليه السّلام، بل هو لازم العصيان، غاية الأمر كونها</w:t>
      </w:r>
    </w:p>
    <w:p>
      <w:pPr>
        <w:pStyle w:val="BookText"/>
        <w:rPr/>
      </w:pPr>
      <w:r>
        <w:rPr>
          <w:rFonts w:ascii="Amiri" w:hAnsi="Amiri" w:eastAsia="Amiri" w:cs="Amiri"/>
          <w:color w:val="111111"/>
          <w:sz w:val="28"/>
          <w:sz w:val="28"/>
          <w:szCs w:val="28"/>
          <w:rtl w:val="true"/>
          <w:lang w:bidi="ar-SA"/>
        </w:rPr>
        <w:t>مكفّرة بترك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صار المعظم إلى ذلك، و في الكفاية </w:t>
      </w:r>
      <w:r>
        <w:rPr>
          <w:rStyle w:val="FootnoteAnchor"/>
          <w:rtl w:val="true"/>
        </w:rPr>
        <w:footnoteReference w:id="436"/>
      </w:r>
      <w:r>
        <w:rPr>
          <w:rFonts w:ascii="Amiri" w:hAnsi="Amiri" w:eastAsia="Amiri" w:cs="Amiri"/>
          <w:color w:val="111111"/>
          <w:sz w:val="28"/>
          <w:sz w:val="28"/>
          <w:szCs w:val="28"/>
          <w:rtl w:val="true"/>
          <w:lang w:bidi="ar-SA"/>
        </w:rPr>
        <w:t>ظهور الاتّفاق عليه، و عرفت من بعضهم إرجاع الكلّ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كون الإيعاد بالنار يلزم أن يكون على الوجه الذي بيّناه من التصريح به في الكتاب أو التعريض، إنّما هو على التعويل على متفاهمنا منه، و إلّا فإذا استنبطه الإمام عليه السّلام منه على وجه لا نعلمه ظاهرا و دلّ عليه خبر معتبر فهو المتبع، و يعمل به، كشرب الخمر المعلّل في رواية عبد العظيم، لكونه كبيرة بأنّ اللّه سبحانه نهى عنها كما نهى عن عبادة الأوثان، استنباطا له من مقارنته لها في النهي موافقته لها في العقوبة، و حيث إنّها النار في الشرك في موضع آخر من الكتاب، فكانت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دلّ حديث معتبر على أنّ الذنب الفلاني كبيرة، من غير ذكر علّة، و لم نجد مصرّحا عليه بالإيعاد بالتدبّر في الكتاب، لزم اتّباعه تعويلا على ثبوت الوعيد بها فيه على وجه لا نعلم، للتوفيق بينه و بين الأخبار المتقدمة المعرّفة للكبائر بالتوعيد بالنار في الكتاب، أو تخصيصا به بعموم مفهوم حصر تلك الأخبار النافي للكبيرة عن غير ما أوعد اللّه تعالى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هذه الجملة، فالصواب جعل المتّبع في معرفة الكبائر ما عدّ في حديث الفضل الذي أشرنا إليه، المرويّ في عيون الأخبار بأسانيد متعدّدة، فيما كتب به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الكبائر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w:t>
      </w:r>
      <w:bookmarkStart w:id="149" w:name="pg2497_12046"/>
    </w:p>
    <w:p>
      <w:pPr>
        <w:pStyle w:val="BookText"/>
        <w:rPr/>
      </w:pPr>
      <w:bookmarkEnd w:id="149"/>
      <w:r>
        <w:rPr>
          <w:rFonts w:ascii="Amiri" w:hAnsi="Amiri" w:eastAsia="Amiri" w:cs="Amiri"/>
          <w:color w:val="111111"/>
          <w:sz w:val="28"/>
          <w:sz w:val="28"/>
          <w:szCs w:val="28"/>
          <w:rtl w:val="true"/>
          <w:lang w:bidi="ar-SA"/>
        </w:rPr>
        <w:t xml:space="preserve">البيّنة و السحت، و الميسر و هو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w:t>
      </w:r>
      <w:r>
        <w:rPr>
          <w:rStyle w:val="FootnoteAnchor"/>
          <w:rtl w:val="true"/>
        </w:rPr>
        <w:footnoteReference w:id="437"/>
      </w:r>
      <w:r>
        <w:rPr>
          <w:rFonts w:ascii="Amiri" w:hAnsi="Amiri" w:eastAsia="Amiri" w:cs="Amiri"/>
          <w:color w:val="111111"/>
          <w:sz w:val="28"/>
          <w:sz w:val="28"/>
          <w:szCs w:val="28"/>
          <w:rtl w:val="true"/>
          <w:lang w:bidi="ar-SA"/>
        </w:rPr>
        <w:t xml:space="preserve">، و حبس الحقوق من غير عسر، و الكذب، و الكبر، و الإسراف، و التبذير، و الخيانة، و الاستخفاف بالحجّ، و المحاربة لأولياء اللّه سبحانه، و الاشتغال بالملاهي، و الإصرار على الذنوب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الإصرار على الصغائر من الذنوب، فإنّ هذه الرواية أكثر جمعا من غيرها، فيخصّص بها عموم النفي المفهوم من الحصر في غيرها، أو يبنى على كون الجميع مما أوعد عليه بالنار في القرآن، و إن لم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خديجة </w:t>
      </w:r>
      <w:r>
        <w:rPr>
          <w:rStyle w:val="FootnoteAnchor"/>
          <w:rtl w:val="true"/>
        </w:rPr>
        <w:footnoteReference w:id="440"/>
      </w:r>
      <w:r>
        <w:rPr>
          <w:rFonts w:ascii="Amiri" w:hAnsi="Amiri" w:eastAsia="Amiri" w:cs="Amiri"/>
          <w:color w:val="111111"/>
          <w:sz w:val="28"/>
          <w:sz w:val="28"/>
          <w:szCs w:val="28"/>
          <w:rtl w:val="true"/>
          <w:lang w:bidi="ar-SA"/>
        </w:rPr>
        <w:t xml:space="preserve">المعلّلة للكبائر بذكر آيات التوعيد لها، بعض ما ليس في تلك الرواية، و هو السحر، معلّلا بقوله تعالى وَ لَقَدْ عَلِمُوا لَمَنِ اشْتَرٰاهُ مٰا لَهُ فِي الْآخِرَةِ مِنْ خَلٰاقٍ </w:t>
      </w:r>
      <w:r>
        <w:rPr>
          <w:rStyle w:val="FootnoteAnchor"/>
          <w:rtl w:val="true"/>
        </w:rPr>
        <w:footnoteReference w:id="441"/>
      </w:r>
      <w:r>
        <w:rPr>
          <w:rFonts w:ascii="Amiri" w:hAnsi="Amiri" w:eastAsia="Amiri" w:cs="Amiri"/>
          <w:color w:val="111111"/>
          <w:sz w:val="28"/>
          <w:sz w:val="28"/>
          <w:szCs w:val="28"/>
          <w:rtl w:val="true"/>
          <w:lang w:bidi="ar-SA"/>
        </w:rPr>
        <w:t>و ترك الصلاة متعمّدا، أو شيئا مما فرض اللّه سبحانه، و كتمان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مرسلة الفقيه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الحيف في الوصية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فيعتدّ </w:t>
      </w:r>
      <w:r>
        <w:rPr>
          <w:rStyle w:val="FootnoteAnchor"/>
          <w:rtl w:val="true"/>
        </w:rPr>
        <w:footnoteReference w:id="443"/>
      </w:r>
      <w:r>
        <w:rPr>
          <w:rFonts w:ascii="Amiri" w:hAnsi="Amiri" w:eastAsia="Amiri" w:cs="Amiri"/>
          <w:color w:val="111111"/>
          <w:sz w:val="28"/>
          <w:sz w:val="28"/>
          <w:szCs w:val="28"/>
          <w:rtl w:val="true"/>
          <w:lang w:bidi="ar-SA"/>
        </w:rPr>
        <w:t>بذلك كلّه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3861871_3804643083"/>
      <w:bookmarkStart w:id="151" w:name="_Toc58"/>
      <w:bookmarkEnd w:id="150"/>
      <w:r>
        <w:rPr>
          <w:rtl w:val="true"/>
        </w:rPr>
        <w:t>الثاني</w:t>
      </w:r>
      <w:r>
        <w:rPr>
          <w:rtl w:val="true"/>
        </w:rPr>
        <w:t xml:space="preserve">: </w:t>
      </w:r>
      <w:r>
        <w:rPr>
          <w:rtl w:val="true"/>
        </w:rPr>
        <w:t>قد علمت من خبر الفضل أنّ من الكبائر الإصرار على الصغائر</w:t>
      </w:r>
      <w:r>
        <w:rPr>
          <w:rtl w:val="true"/>
        </w:rPr>
        <w:t>.</w:t>
      </w:r>
      <w:bookmarkEnd w:id="1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الحسين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 لا صغيرة مع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به كثير من أعيان الطائفة، بل قال مولانا الأردبيلي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يجبر قصور سند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حدّ الإصرار، فعن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المداومة على نوع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الذخيرة </w:t>
      </w:r>
      <w:r>
        <w:rPr>
          <w:rStyle w:val="FootnoteAnchor"/>
          <w:rtl w:val="true"/>
        </w:rPr>
        <w:footnoteReference w:id="446"/>
      </w:r>
      <w:r>
        <w:rPr>
          <w:rFonts w:ascii="IRNazanin" w:hAnsi="IRNazanin" w:eastAsia="IRNazanin"/>
          <w:color w:val="111111"/>
          <w:sz w:val="28"/>
          <w:sz w:val="28"/>
          <w:szCs w:val="28"/>
          <w:rtl w:val="true"/>
          <w:lang w:bidi="fa-IR"/>
        </w:rPr>
        <w:t xml:space="preserve">و البحار </w:t>
      </w:r>
      <w:r>
        <w:rPr>
          <w:rStyle w:val="FootnoteAnchor"/>
          <w:rtl w:val="true"/>
        </w:rPr>
        <w:footnoteReference w:id="447"/>
      </w:r>
      <w:r>
        <w:rPr>
          <w:rFonts w:ascii="Amiri" w:hAnsi="Amiri" w:eastAsia="Amiri" w:cs="Amiri"/>
          <w:color w:val="111111"/>
          <w:sz w:val="28"/>
          <w:sz w:val="28"/>
          <w:szCs w:val="28"/>
          <w:rtl w:val="true"/>
          <w:lang w:bidi="ar-SA"/>
        </w:rPr>
        <w:t xml:space="preserve">و الرياض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المناسب للمعنى المفهوم من الإصرار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الإكثار من جنس الصغائر بلا توبة، سواء كان من نوع واحد أو أنواع مختلفة، و به صرّح في المسالك </w:t>
      </w:r>
      <w:r>
        <w:rPr>
          <w:rStyle w:val="FootnoteAnchor"/>
          <w:rtl w:val="true"/>
        </w:rPr>
        <w:footnoteReference w:id="449"/>
      </w:r>
      <w:r>
        <w:rPr>
          <w:rFonts w:ascii="Amiri" w:hAnsi="Amiri" w:eastAsia="Amiri" w:cs="Amiri"/>
          <w:color w:val="111111"/>
          <w:sz w:val="28"/>
          <w:sz w:val="28"/>
          <w:szCs w:val="28"/>
          <w:rtl w:val="true"/>
          <w:lang w:bidi="ar-SA"/>
        </w:rPr>
        <w:t xml:space="preserve">و الروضة </w:t>
      </w:r>
      <w:r>
        <w:rPr>
          <w:rStyle w:val="FootnoteAnchor"/>
          <w:rtl w:val="true"/>
        </w:rPr>
        <w:footnoteReference w:id="450"/>
      </w:r>
      <w:r>
        <w:rPr>
          <w:rFonts w:ascii="Amiri" w:hAnsi="Amiri" w:eastAsia="Amiri" w:cs="Amiri"/>
          <w:color w:val="111111"/>
          <w:sz w:val="28"/>
          <w:sz w:val="28"/>
          <w:szCs w:val="28"/>
          <w:rtl w:val="true"/>
          <w:lang w:bidi="ar-SA"/>
        </w:rPr>
        <w:t xml:space="preserve">و كشف الرموز </w:t>
      </w:r>
      <w:r>
        <w:rPr>
          <w:rStyle w:val="FootnoteAnchor"/>
          <w:rtl w:val="true"/>
        </w:rPr>
        <w:footnoteReference w:id="451"/>
      </w:r>
      <w:r>
        <w:rPr>
          <w:rFonts w:ascii="Amiri" w:hAnsi="Amiri" w:eastAsia="Amiri" w:cs="Amiri"/>
          <w:color w:val="111111"/>
          <w:sz w:val="28"/>
          <w:sz w:val="28"/>
          <w:szCs w:val="28"/>
          <w:rtl w:val="true"/>
          <w:lang w:bidi="ar-SA"/>
        </w:rPr>
        <w:t>، قائلين بتحقق الإصرار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Style w:val="FootnoteAnchor"/>
          <w:rtl w:val="true"/>
        </w:rPr>
        <w:footnoteReference w:id="452"/>
      </w:r>
      <w:r>
        <w:rPr>
          <w:rFonts w:ascii="IRNazanin" w:hAnsi="IRNazanin" w:eastAsia="IRNazanin"/>
          <w:color w:val="111111"/>
          <w:sz w:val="28"/>
          <w:sz w:val="28"/>
          <w:szCs w:val="28"/>
          <w:rtl w:val="true"/>
          <w:lang w:bidi="fa-IR"/>
        </w:rPr>
        <w:t xml:space="preserve">و الروض </w:t>
      </w:r>
      <w:r>
        <w:rPr>
          <w:rStyle w:val="FootnoteAnchor"/>
          <w:rtl w:val="true"/>
        </w:rPr>
        <w:footnoteReference w:id="453"/>
      </w:r>
      <w:r>
        <w:rPr>
          <w:rFonts w:ascii="Amiri" w:hAnsi="Amiri" w:eastAsia="Amiri" w:cs="Amiri"/>
          <w:color w:val="111111"/>
          <w:sz w:val="28"/>
          <w:sz w:val="28"/>
          <w:szCs w:val="28"/>
          <w:rtl w:val="true"/>
          <w:lang w:bidi="ar-SA"/>
        </w:rPr>
        <w:t xml:space="preserve">، و عن الذخيرة </w:t>
      </w:r>
      <w:r>
        <w:rPr>
          <w:rStyle w:val="FootnoteAnchor"/>
          <w:rtl w:val="true"/>
        </w:rPr>
        <w:footnoteReference w:id="454"/>
      </w:r>
      <w:r>
        <w:rPr>
          <w:rFonts w:ascii="IRNazanin" w:hAnsi="IRNazanin" w:eastAsia="IRNazanin"/>
          <w:color w:val="111111"/>
          <w:sz w:val="28"/>
          <w:sz w:val="28"/>
          <w:szCs w:val="28"/>
          <w:rtl w:val="true"/>
          <w:lang w:bidi="fa-IR"/>
        </w:rPr>
        <w:t xml:space="preserve">و البحار </w:t>
      </w:r>
      <w:r>
        <w:rPr>
          <w:rStyle w:val="FootnoteAnchor"/>
          <w:rtl w:val="true"/>
        </w:rPr>
        <w:footnoteReference w:id="455"/>
      </w:r>
      <w:r>
        <w:rPr>
          <w:rFonts w:ascii="Amiri" w:hAnsi="Amiri" w:eastAsia="Amiri" w:cs="Amiri"/>
          <w:color w:val="111111"/>
          <w:sz w:val="28"/>
          <w:sz w:val="28"/>
          <w:szCs w:val="28"/>
          <w:rtl w:val="true"/>
          <w:lang w:bidi="ar-SA"/>
        </w:rPr>
        <w:t>، و كونه قادحا في العدالة، بل في المحكيّ عن الأوّل، الإجماع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كلام هؤلاء لا يدلّ على كونه داخلا في معنى الإصرار، بل في التحرير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التغاير و اشتراكهما في القدح،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الإصرار على الصغائر و الإكثار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بالعزم على فعل الصغيرة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بتحقّق الإصرار به المحقق الأردبيلي </w:t>
      </w:r>
      <w:r>
        <w:rPr>
          <w:rStyle w:val="FootnoteAnchor"/>
          <w:rtl w:val="true"/>
        </w:rPr>
        <w:footnoteReference w:id="457"/>
      </w:r>
      <w:r>
        <w:rPr>
          <w:rFonts w:ascii="Amiri" w:hAnsi="Amiri" w:eastAsia="Amiri" w:cs="Amiri"/>
          <w:color w:val="111111"/>
          <w:sz w:val="28"/>
          <w:sz w:val="28"/>
          <w:szCs w:val="28"/>
          <w:rtl w:val="true"/>
          <w:lang w:bidi="ar-SA"/>
        </w:rPr>
        <w:t>حاكيا إياه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بدخوله فيه في المسالك </w:t>
      </w:r>
      <w:r>
        <w:rPr>
          <w:rStyle w:val="FootnoteAnchor"/>
          <w:rtl w:val="true"/>
        </w:rPr>
        <w:footnoteReference w:id="458"/>
      </w:r>
      <w:r>
        <w:rPr>
          <w:rFonts w:ascii="Amiri" w:hAnsi="Amiri" w:eastAsia="Amiri" w:cs="Amiri"/>
          <w:color w:val="111111"/>
          <w:sz w:val="28"/>
          <w:sz w:val="28"/>
          <w:szCs w:val="28"/>
          <w:rtl w:val="true"/>
          <w:lang w:bidi="ar-SA"/>
        </w:rPr>
        <w:t xml:space="preserve">و الروضة </w:t>
      </w:r>
      <w:r>
        <w:rPr>
          <w:rStyle w:val="FootnoteAnchor"/>
          <w:rtl w:val="true"/>
        </w:rPr>
        <w:footnoteReference w:id="459"/>
      </w:r>
      <w:r>
        <w:rPr>
          <w:rFonts w:ascii="Amiri" w:hAnsi="Amiri" w:eastAsia="Amiri" w:cs="Amiri"/>
          <w:color w:val="111111"/>
          <w:sz w:val="28"/>
          <w:sz w:val="28"/>
          <w:szCs w:val="28"/>
          <w:rtl w:val="true"/>
          <w:lang w:bidi="ar-SA"/>
        </w:rPr>
        <w:t xml:space="preserve">و الكشف </w:t>
      </w:r>
      <w:r>
        <w:rPr>
          <w:rStyle w:val="FootnoteAnchor"/>
          <w:rtl w:val="true"/>
        </w:rPr>
        <w:footnoteReference w:id="460"/>
      </w:r>
      <w:r>
        <w:rPr>
          <w:rFonts w:ascii="Amiri" w:hAnsi="Amiri" w:eastAsia="Amiri" w:cs="Amiri"/>
          <w:color w:val="111111"/>
          <w:sz w:val="28"/>
          <w:sz w:val="28"/>
          <w:szCs w:val="28"/>
          <w:rtl w:val="true"/>
          <w:lang w:bidi="ar-SA"/>
        </w:rPr>
        <w:t xml:space="preserve">، و قواه في البحار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الإصرار بالثلاثة، ذهب إليه الشهيد في قواعده </w:t>
      </w:r>
      <w:r>
        <w:rPr>
          <w:rStyle w:val="FootnoteAnchor"/>
          <w:rtl w:val="true"/>
        </w:rPr>
        <w:footnoteReference w:id="462"/>
      </w:r>
      <w:r>
        <w:rPr>
          <w:rFonts w:ascii="Amiri" w:hAnsi="Amiri" w:eastAsia="Amiri" w:cs="Amiri"/>
          <w:color w:val="111111"/>
          <w:sz w:val="28"/>
          <w:sz w:val="28"/>
          <w:szCs w:val="28"/>
          <w:rtl w:val="true"/>
          <w:lang w:bidi="ar-SA"/>
        </w:rPr>
        <w:t>، جاعلا للأوّلين إصرارا فعليا، و الأخير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بالإصرار عدم التوبة، نقله في الذخيرة </w:t>
      </w:r>
      <w:r>
        <w:rPr>
          <w:rStyle w:val="FootnoteAnchor"/>
          <w:rtl w:val="true"/>
        </w:rPr>
        <w:footnoteReference w:id="463"/>
      </w:r>
      <w:r>
        <w:rPr>
          <w:rFonts w:ascii="Amiri" w:hAnsi="Amiri" w:eastAsia="Amiri" w:cs="Amiri"/>
          <w:color w:val="111111"/>
          <w:sz w:val="28"/>
          <w:sz w:val="28"/>
          <w:szCs w:val="28"/>
          <w:rtl w:val="true"/>
          <w:lang w:bidi="ar-SA"/>
        </w:rPr>
        <w:t>و غيره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للأوّل، تصريح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صررت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أقمت و دمت عليه، نحوه ما في النهاية الأثيرية </w:t>
      </w:r>
      <w:r>
        <w:rPr>
          <w:rStyle w:val="FootnoteAnchor"/>
          <w:rtl w:val="true"/>
        </w:rPr>
        <w:footnoteReference w:id="464"/>
      </w:r>
      <w:r>
        <w:rPr>
          <w:rFonts w:ascii="IRNazanin" w:hAnsi="IRNazanin" w:eastAsia="IRNazanin"/>
          <w:color w:val="111111"/>
          <w:sz w:val="28"/>
          <w:sz w:val="28"/>
          <w:szCs w:val="28"/>
          <w:rtl w:val="true"/>
          <w:lang w:bidi="fa-IR"/>
        </w:rPr>
        <w:t>و القاموس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للثاني صدق الإصرار عليه عرفا، بل صدق المداومة على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 تبادره من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مصرّ على هذا الأمر، إذا كان عازما على العود إليه، مضافا إلى فحوى خبر الجابر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للرابع ما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للخامس رواية جابر عن الباقر عليه السّلام في قول اللّه عزّ و جلّ وَ لَمْ يُصِرُّوا عَلىٰ مٰا فَعَلُوا </w:t>
      </w:r>
      <w:r>
        <w:rPr>
          <w:rStyle w:val="FootnoteAnchor"/>
          <w:rtl w:val="true"/>
        </w:rPr>
        <w:footnoteReference w:id="465"/>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و لا يستغفر و لا يحدث نفسه بالتوبة</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مضافا إلى أنّ ترك التوبة معصية أيضا، فيتحقق به الإصرار بعد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للنظر في الكلّ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انحصار الإصرار به، و منع لزوم كون متعلّق الإصرار نوعا واحدا، حيث لا يساعده عرف و لا لغة، بل مقتضى كون المتعلق جنسا، أي مطلق الصغيرة حصول الإصرار على الجنس بأفراده، و لو من أنواع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صدق الإصرار على مطلق ما يصدق عليه الإكثار، و لذا جعله في التحرير </w:t>
      </w:r>
      <w:r>
        <w:rPr>
          <w:rStyle w:val="FootnoteAnchor"/>
          <w:rtl w:val="true"/>
        </w:rPr>
        <w:footnoteReference w:id="468"/>
      </w:r>
      <w:r>
        <w:rPr>
          <w:rFonts w:ascii="Amiri" w:hAnsi="Amiri" w:eastAsia="Amiri" w:cs="Amiri"/>
          <w:color w:val="111111"/>
          <w:sz w:val="28"/>
          <w:sz w:val="28"/>
          <w:szCs w:val="28"/>
          <w:rtl w:val="true"/>
          <w:lang w:bidi="ar-SA"/>
        </w:rPr>
        <w:t>مغايرا للإصرار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أريد من الإكثار حدّا كاملا من الكثرة، كما لعلّه الظاهر من ظاهر لفظ الإكثار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تحديده في الذخيرة </w:t>
      </w:r>
      <w:r>
        <w:rPr>
          <w:rStyle w:val="FootnoteAnchor"/>
          <w:rtl w:val="true"/>
        </w:rPr>
        <w:footnoteReference w:id="469"/>
      </w:r>
      <w:r>
        <w:rPr>
          <w:rFonts w:ascii="Amiri" w:hAnsi="Amiri" w:eastAsia="Amiri" w:cs="Amiri"/>
          <w:color w:val="111111"/>
          <w:sz w:val="28"/>
          <w:sz w:val="28"/>
          <w:szCs w:val="28"/>
          <w:rtl w:val="true"/>
          <w:lang w:bidi="ar-SA"/>
        </w:rPr>
        <w:t xml:space="preserve">و الكفاية </w:t>
      </w:r>
      <w:r>
        <w:rPr>
          <w:rStyle w:val="FootnoteAnchor"/>
          <w:rtl w:val="true"/>
        </w:rPr>
        <w:footnoteReference w:id="470"/>
      </w:r>
      <w:r>
        <w:rPr>
          <w:rFonts w:ascii="IRNazanin" w:hAnsi="IRNazanin" w:eastAsia="IRNazanin"/>
          <w:color w:val="111111"/>
          <w:sz w:val="28"/>
          <w:sz w:val="28"/>
          <w:szCs w:val="28"/>
          <w:rtl w:val="true"/>
          <w:lang w:bidi="fa-IR"/>
        </w:rPr>
        <w:t xml:space="preserve">و البحار </w:t>
      </w:r>
      <w:r>
        <w:rPr>
          <w:rStyle w:val="FootnoteAnchor"/>
          <w:rtl w:val="true"/>
        </w:rPr>
        <w:footnoteReference w:id="471"/>
      </w:r>
      <w:r>
        <w:rPr>
          <w:rFonts w:ascii="Amiri" w:hAnsi="Amiri" w:eastAsia="Amiri" w:cs="Amiri"/>
          <w:color w:val="111111"/>
          <w:sz w:val="28"/>
          <w:sz w:val="28"/>
          <w:szCs w:val="28"/>
          <w:rtl w:val="true"/>
          <w:lang w:bidi="ar-SA"/>
        </w:rPr>
        <w:t xml:space="preserve">و الرياض </w:t>
      </w:r>
      <w:r>
        <w:rPr>
          <w:rStyle w:val="FootnoteAnchor"/>
          <w:rtl w:val="true"/>
        </w:rPr>
        <w:footnoteReference w:id="4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لم يكن من نوع واحد، بكون ارتكابه للذنب أغلب من اجتنابه عنه من غير توبة، لم يكن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صدق الإصرار عليه عرفا غير معلوم، كما يظهر التأمّل فيه من الذخيرة و الرياض و المستند، و لو قلنا بقدحه في العدالة، فليس من جهة صدق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ما في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 الحجة الأولى من مخالفة الرواية للشهرة العظيمة و ندرة القول به، بل قيل بعدم معلومية القائل به، فيسقط به عن الحجيّة، و مع ذلك مخالف للعرف و العادة، بل في الحديث المشهور </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بأنّ الإصرار لا يحصل بعدم الاستغفار، و بقرينة المقابلة، فلعلّ الخبر في تفسير الآية و الإشارة باللّام إلى خصوص الإصرار المذكور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فإن ترك التوبة بنفسه معصية أخرى، لا دخل له بفعل الصغيرة، و صيرورتها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المتبادر من الإصرار على الذنوب أو الصغائر المذكور في الرواية تكرّر فعلها و تجدّده، فلا يصدق على الاستمرار على ترك التوبة عن ذنب، لعدم صدق تعدّد الترك على الترك المستمرّ، كما لا تعدّ ترك إزالة النجاسة عن المسجد في كلّ آن ذنبا على حدّة، فكان استمراره في نصف يوم مثلا كبيرة باعتبار كونه إصرارا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تعدّد متعلّق ترك التوبة من الذنوب المتعدّدة في صدق التعدّد و التكرّر على الترك، لا مجرّد الاستمرار على ترك واحد، و هذا هو المستفاد من كلمات القوم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القول به في الأفعال الوجودية، كلبس الرجل الحرير المحض طول</w:t>
      </w:r>
    </w:p>
    <w:p>
      <w:pPr>
        <w:pStyle w:val="BookText"/>
        <w:rPr/>
      </w:pPr>
      <w:r>
        <w:rPr>
          <w:rFonts w:ascii="Amiri" w:hAnsi="Amiri" w:eastAsia="Amiri" w:cs="Amiri"/>
          <w:color w:val="111111"/>
          <w:sz w:val="28"/>
          <w:sz w:val="28"/>
          <w:szCs w:val="28"/>
          <w:rtl w:val="true"/>
          <w:lang w:bidi="ar-SA"/>
        </w:rPr>
        <w:t>النهار، و إدامة النظر على أجنبية في ساعة أو أكثر، و إن كان فيه تأمّل أيضا، لاحتمال عدّه في العرف فعلا واحدا، إلّا إذا انقطع ثم فعل ثانيا، و لذا لو ورد أن عقاب لبس الحرير كذا، أو النظر إلى الأجنبية كذا، فالظاهر عدم تعدّد الجزاء بفعل أحدهما ممتدا في زمان، فلا يجعل فعله في كل آن معصية مستقلة، بخلاف ما إذا انقطع و 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الأمر الشرعي بأمثال تلك الاعتبارات غير مستبعد، كما في غسل الثوب مرّتين، فإنّه لا يعدّ امتداد وقوعه في الماء بقدر المرّتين غسلتان، و لا يحصل به التطهير فيما يشترط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يحصل الإصرار بامتداد فعل صغيرة واحدة، فلا يصير لأجل الإصرار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قادحا للعدالة و صيرورتها كبيرة، إذا كان البقاء عليه ناشئا عن عدم المبالاة، و استصغار الذنب، و العزم على بقائه، كما عسى أن يظهر دعوى الاتفاق من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الذخيرة </w:t>
      </w:r>
      <w:r>
        <w:rPr>
          <w:rStyle w:val="FootnoteAnchor"/>
          <w:rtl w:val="true"/>
        </w:rPr>
        <w:footnoteReference w:id="474"/>
      </w:r>
      <w:r>
        <w:rPr>
          <w:rFonts w:ascii="Amiri" w:hAnsi="Amiri" w:eastAsia="Amiri" w:cs="Amiri"/>
          <w:color w:val="111111"/>
          <w:sz w:val="28"/>
          <w:sz w:val="28"/>
          <w:szCs w:val="28"/>
          <w:rtl w:val="true"/>
          <w:lang w:bidi="ar-SA"/>
        </w:rPr>
        <w:t xml:space="preserve">و الرياض </w:t>
      </w:r>
      <w:r>
        <w:rPr>
          <w:rStyle w:val="FootnoteAnchor"/>
          <w:rtl w:val="true"/>
        </w:rPr>
        <w:footnoteReference w:id="475"/>
      </w:r>
      <w:r>
        <w:rPr>
          <w:rFonts w:ascii="Amiri" w:hAnsi="Amiri" w:eastAsia="Amiri" w:cs="Amiri"/>
          <w:color w:val="111111"/>
          <w:sz w:val="28"/>
          <w:sz w:val="28"/>
          <w:szCs w:val="28"/>
          <w:rtl w:val="true"/>
          <w:lang w:bidi="ar-SA"/>
        </w:rPr>
        <w:t>، بعد منع كون العزم على العود إلى فعل الصغيرة إصرارا،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قادحا تأمّل، إن لم يكن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جماعة حصول القدح ببعض ما لا يصدق عليه الإصرار حقيقة، و يستفاد من بعضهم دعوى الإجماع عليه، انتهى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معرفة معنى الإصرار العرف و اللغة، و الظاهر منهما أنّ مطلق الإكثار غير كاف في صدقه، فلا يكتفي بمجرّد فعلها مرات عديدة كثلاثة، بل</w:t>
      </w:r>
      <w:bookmarkStart w:id="152" w:name="pg2497_12058"/>
    </w:p>
    <w:p>
      <w:pPr>
        <w:pStyle w:val="BookText"/>
        <w:rPr/>
      </w:pPr>
      <w:bookmarkEnd w:id="152"/>
      <w:r>
        <w:rPr>
          <w:rFonts w:ascii="Amiri" w:hAnsi="Amiri" w:eastAsia="Amiri" w:cs="Amiri"/>
          <w:color w:val="111111"/>
          <w:sz w:val="28"/>
          <w:sz w:val="28"/>
          <w:szCs w:val="28"/>
          <w:rtl w:val="true"/>
          <w:lang w:bidi="ar-SA"/>
        </w:rPr>
        <w:t>يشترط فيه الملازمة و المداومة العرفية في الإكثار، بل الظاهر اعتبار بقاء الحالة الباعثة على الملازمة له في النفس أيضا، أي النيّة الحكمية الكائنة فيها، و إن لم نقل باشتراط العزم الفعليّ على العود إليه، فلا يصدق ظاهرا مع العزم على الترك، و إن لم يكن توبة شرعية، كما إذا كان لمصلحة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الظاهر عدم اشتراط كون الإصرار على نوع واحد على ما أشرنا إليه من صدق الإصرار على الصغار أو الصغيرة على المداومة على جنسها، و مراعاة الاحتياط في مطلق الإكثار، بل في المرّة مع العزم على العود أولى، بل جعل الشهيد في قواعده </w:t>
      </w:r>
      <w:r>
        <w:rPr>
          <w:rStyle w:val="FootnoteAnchor"/>
          <w:rtl w:val="true"/>
        </w:rPr>
        <w:footnoteReference w:id="476"/>
      </w:r>
      <w:r>
        <w:rPr>
          <w:rFonts w:ascii="Amiri" w:hAnsi="Amiri" w:eastAsia="Amiri" w:cs="Amiri"/>
          <w:color w:val="111111"/>
          <w:sz w:val="28"/>
          <w:sz w:val="28"/>
          <w:szCs w:val="28"/>
          <w:rtl w:val="true"/>
          <w:lang w:bidi="ar-SA"/>
        </w:rPr>
        <w:t>الثاني إصرارا، و إن كان فيه تأمّل</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861873_3804643083"/>
      <w:bookmarkStart w:id="154" w:name="_Toc59"/>
      <w:bookmarkEnd w:id="153"/>
      <w:r>
        <w:rPr>
          <w:rtl w:val="true"/>
        </w:rPr>
        <w:t>البحث الثالث</w:t>
      </w:r>
      <w:r>
        <w:rPr>
          <w:rtl w:val="true"/>
        </w:rPr>
        <w:t xml:space="preserve">: </w:t>
      </w:r>
      <w:r>
        <w:rPr>
          <w:rtl w:val="true"/>
        </w:rPr>
        <w:t>اختلفوا في توقّف العدالة الشرعية على المروة على قولين</w:t>
      </w:r>
      <w:r>
        <w:rPr>
          <w:rtl w:val="true"/>
        </w:rPr>
        <w:t>.</w:t>
      </w:r>
      <w:bookmarkEnd w:id="154"/>
    </w:p>
    <w:p>
      <w:pPr>
        <w:pStyle w:val="Heading5"/>
        <w:numPr>
          <w:ilvl w:val="4"/>
          <w:numId w:val="1"/>
        </w:numPr>
        <w:rPr/>
      </w:pPr>
      <w:bookmarkStart w:id="155" w:name="__RefHeading___Toc3861875_3804643083"/>
      <w:bookmarkStart w:id="156" w:name="_Toc6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 مرادهم من التوقف عليها، يحتمل كونه على وجه الجزئية و دخولها في الماهيّة، كالمعاصي، أو على الشرطية، لا بمعنى كونها شرطا لمشروط العدالة، فكانت شرطا آخر لقبول الشهادة في قبال العدالة، كما ربما يحكى عن بعضهم، بل شرطا لمقبولية العدالة، و ترتّب الأثر عليها في مشروط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 الفسق في مقابل العدالة، و اتفاقهم على عدم كون التخلّف عن المروّة فسقا يوافق الثاني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الجملة، فالقول الأوّل للشيخ في المبسوط </w:t>
      </w:r>
      <w:r>
        <w:rPr>
          <w:rStyle w:val="FootnoteAnchor"/>
          <w:rtl w:val="true"/>
        </w:rPr>
        <w:footnoteReference w:id="477"/>
      </w:r>
      <w:r>
        <w:rPr>
          <w:rFonts w:ascii="Amiri" w:hAnsi="Amiri" w:eastAsia="Amiri" w:cs="Amiri"/>
          <w:color w:val="111111"/>
          <w:sz w:val="28"/>
          <w:sz w:val="28"/>
          <w:szCs w:val="28"/>
          <w:rtl w:val="true"/>
          <w:lang w:bidi="ar-SA"/>
        </w:rPr>
        <w:t xml:space="preserve">، و الحلّي </w:t>
      </w:r>
      <w:r>
        <w:rPr>
          <w:rStyle w:val="FootnoteAnchor"/>
          <w:rtl w:val="true"/>
        </w:rPr>
        <w:footnoteReference w:id="478"/>
      </w:r>
      <w:r>
        <w:rPr>
          <w:rFonts w:ascii="IRNazanin" w:hAnsi="IRNazanin" w:eastAsia="IRNazanin"/>
          <w:color w:val="111111"/>
          <w:sz w:val="28"/>
          <w:sz w:val="28"/>
          <w:szCs w:val="28"/>
          <w:rtl w:val="true"/>
          <w:lang w:bidi="fa-IR"/>
        </w:rPr>
        <w:t xml:space="preserve">و الفاضل </w:t>
      </w:r>
      <w:r>
        <w:rPr>
          <w:rStyle w:val="FootnoteAnchor"/>
          <w:rtl w:val="true"/>
        </w:rPr>
        <w:footnoteReference w:id="479"/>
      </w:r>
      <w:r>
        <w:rPr>
          <w:rFonts w:ascii="Amiri" w:hAnsi="Amiri" w:eastAsia="Amiri" w:cs="Amiri"/>
          <w:color w:val="111111"/>
          <w:sz w:val="28"/>
          <w:sz w:val="28"/>
          <w:szCs w:val="28"/>
          <w:rtl w:val="true"/>
          <w:lang w:bidi="ar-SA"/>
        </w:rPr>
        <w:t>في كتبه</w:t>
      </w:r>
    </w:p>
    <w:p>
      <w:pPr>
        <w:pStyle w:val="BookText"/>
        <w:rPr/>
      </w:pPr>
      <w:r>
        <w:rPr>
          <w:rFonts w:ascii="Amiri" w:hAnsi="Amiri" w:eastAsia="Amiri" w:cs="Amiri"/>
          <w:color w:val="111111"/>
          <w:sz w:val="28"/>
          <w:sz w:val="28"/>
          <w:szCs w:val="28"/>
          <w:rtl w:val="true"/>
          <w:lang w:bidi="ar-SA"/>
        </w:rPr>
        <w:t xml:space="preserve">في الفروع و الأصول، و الشهيد الأوّل </w:t>
      </w:r>
      <w:r>
        <w:rPr>
          <w:rStyle w:val="FootnoteAnchor"/>
          <w:rtl w:val="true"/>
        </w:rPr>
        <w:footnoteReference w:id="480"/>
      </w:r>
      <w:r>
        <w:rPr>
          <w:rFonts w:ascii="Amiri" w:hAnsi="Amiri" w:eastAsia="Amiri" w:cs="Amiri"/>
          <w:color w:val="111111"/>
          <w:sz w:val="28"/>
          <w:sz w:val="28"/>
          <w:szCs w:val="28"/>
          <w:rtl w:val="true"/>
          <w:lang w:bidi="ar-SA"/>
        </w:rPr>
        <w:t xml:space="preserve">، و المحقّق الثاني </w:t>
      </w:r>
      <w:r>
        <w:rPr>
          <w:rStyle w:val="FootnoteAnchor"/>
          <w:rtl w:val="true"/>
        </w:rPr>
        <w:footnoteReference w:id="481"/>
      </w:r>
      <w:r>
        <w:rPr>
          <w:rFonts w:ascii="IRNazanin" w:hAnsi="IRNazanin" w:eastAsia="IRNazanin"/>
          <w:color w:val="111111"/>
          <w:sz w:val="28"/>
          <w:sz w:val="28"/>
          <w:szCs w:val="28"/>
          <w:rtl w:val="true"/>
          <w:lang w:bidi="fa-IR"/>
        </w:rPr>
        <w:t xml:space="preserve">، و صاحب المعالم </w:t>
      </w:r>
      <w:r>
        <w:rPr>
          <w:rStyle w:val="FootnoteAnchor"/>
          <w:rtl w:val="true"/>
        </w:rPr>
        <w:footnoteReference w:id="482"/>
      </w:r>
      <w:r>
        <w:rPr>
          <w:rFonts w:ascii="IRNazanin" w:hAnsi="IRNazanin" w:eastAsia="IRNazanin"/>
          <w:color w:val="111111"/>
          <w:sz w:val="28"/>
          <w:sz w:val="28"/>
          <w:szCs w:val="28"/>
          <w:rtl w:val="true"/>
          <w:lang w:bidi="fa-IR"/>
        </w:rPr>
        <w:t xml:space="preserve">، و عن البحار </w:t>
      </w:r>
      <w:r>
        <w:rPr>
          <w:rStyle w:val="FootnoteAnchor"/>
          <w:rtl w:val="true"/>
        </w:rPr>
        <w:footnoteReference w:id="483"/>
      </w:r>
      <w:r>
        <w:rPr>
          <w:rFonts w:ascii="Amiri" w:hAnsi="Amiri" w:eastAsia="Amiri" w:cs="Amiri"/>
          <w:color w:val="111111"/>
          <w:sz w:val="28"/>
          <w:sz w:val="28"/>
          <w:szCs w:val="28"/>
          <w:rtl w:val="true"/>
          <w:lang w:bidi="ar-SA"/>
        </w:rPr>
        <w:t xml:space="preserve">و الرياض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عن الكشف </w:t>
      </w:r>
      <w:r>
        <w:rPr>
          <w:rStyle w:val="FootnoteAnchor"/>
          <w:rtl w:val="true"/>
        </w:rPr>
        <w:footnoteReference w:id="485"/>
      </w:r>
      <w:r>
        <w:rPr>
          <w:rFonts w:ascii="Amiri" w:hAnsi="Amiri" w:eastAsia="Amiri" w:cs="Amiri"/>
          <w:color w:val="111111"/>
          <w:sz w:val="28"/>
          <w:sz w:val="28"/>
          <w:szCs w:val="28"/>
          <w:rtl w:val="true"/>
          <w:lang w:bidi="ar-SA"/>
        </w:rPr>
        <w:t xml:space="preserve">أنّه المشهور بين الفريقين، و عن الذخيرة </w:t>
      </w:r>
      <w:r>
        <w:rPr>
          <w:rStyle w:val="FootnoteAnchor"/>
          <w:rtl w:val="true"/>
        </w:rPr>
        <w:footnoteReference w:id="486"/>
      </w:r>
      <w:r>
        <w:rPr>
          <w:rFonts w:ascii="Amiri" w:hAnsi="Amiri" w:eastAsia="Amiri" w:cs="Amiri"/>
          <w:color w:val="111111"/>
          <w:sz w:val="28"/>
          <w:sz w:val="28"/>
          <w:szCs w:val="28"/>
          <w:rtl w:val="true"/>
          <w:lang w:bidi="ar-SA"/>
        </w:rPr>
        <w:t xml:space="preserve">و المدارك </w:t>
      </w:r>
      <w:r>
        <w:rPr>
          <w:rStyle w:val="FootnoteAnchor"/>
          <w:rtl w:val="true"/>
        </w:rPr>
        <w:footnoteReference w:id="487"/>
      </w:r>
      <w:r>
        <w:rPr>
          <w:rFonts w:ascii="Amiri" w:hAnsi="Amiri" w:eastAsia="Amiri" w:cs="Amiri"/>
          <w:color w:val="111111"/>
          <w:sz w:val="28"/>
          <w:sz w:val="28"/>
          <w:szCs w:val="28"/>
          <w:rtl w:val="true"/>
          <w:lang w:bidi="ar-SA"/>
        </w:rPr>
        <w:t xml:space="preserve">نسبته إلى المتأخرين، مشعرة باتفاقهم عليه، و عن كنز العرفان </w:t>
      </w:r>
      <w:r>
        <w:rPr>
          <w:rStyle w:val="FootnoteAnchor"/>
          <w:rtl w:val="true"/>
        </w:rPr>
        <w:footnoteReference w:id="488"/>
      </w:r>
      <w:r>
        <w:rPr>
          <w:rFonts w:ascii="IRNazanin" w:hAnsi="IRNazanin" w:eastAsia="IRNazanin"/>
          <w:color w:val="111111"/>
          <w:sz w:val="28"/>
          <w:sz w:val="28"/>
          <w:szCs w:val="28"/>
          <w:rtl w:val="true"/>
          <w:lang w:bidi="fa-IR"/>
        </w:rPr>
        <w:t>إلى الفقهاء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الثاني للمحكيّ عن المفيد </w:t>
      </w:r>
      <w:r>
        <w:rPr>
          <w:rStyle w:val="FootnoteAnchor"/>
          <w:rtl w:val="true"/>
        </w:rPr>
        <w:footnoteReference w:id="489"/>
      </w:r>
      <w:r>
        <w:rPr>
          <w:rFonts w:ascii="Amiri" w:hAnsi="Amiri" w:eastAsia="Amiri" w:cs="Amiri"/>
          <w:color w:val="111111"/>
          <w:sz w:val="28"/>
          <w:sz w:val="28"/>
          <w:szCs w:val="28"/>
          <w:rtl w:val="true"/>
          <w:lang w:bidi="ar-SA"/>
        </w:rPr>
        <w:t xml:space="preserve">، و الشيخ في العدّة </w:t>
      </w:r>
      <w:r>
        <w:rPr>
          <w:rStyle w:val="FootnoteAnchor"/>
          <w:rtl w:val="true"/>
        </w:rPr>
        <w:footnoteReference w:id="490"/>
      </w:r>
      <w:r>
        <w:rPr>
          <w:rFonts w:ascii="IRNazanin" w:hAnsi="IRNazanin" w:eastAsia="IRNazanin"/>
          <w:color w:val="111111"/>
          <w:sz w:val="28"/>
          <w:sz w:val="28"/>
          <w:szCs w:val="28"/>
          <w:rtl w:val="true"/>
          <w:lang w:bidi="fa-IR"/>
        </w:rPr>
        <w:t xml:space="preserve">، و الروض </w:t>
      </w:r>
      <w:r>
        <w:rPr>
          <w:rStyle w:val="FootnoteAnchor"/>
          <w:rtl w:val="true"/>
        </w:rPr>
        <w:footnoteReference w:id="491"/>
      </w:r>
      <w:r>
        <w:rPr>
          <w:rFonts w:ascii="Amiri" w:hAnsi="Amiri" w:eastAsia="Amiri" w:cs="Amiri"/>
          <w:color w:val="111111"/>
          <w:sz w:val="28"/>
          <w:sz w:val="28"/>
          <w:szCs w:val="28"/>
          <w:rtl w:val="true"/>
          <w:lang w:bidi="ar-SA"/>
        </w:rPr>
        <w:t xml:space="preserve">، و المحقّق الأردبيلي </w:t>
      </w:r>
      <w:r>
        <w:rPr>
          <w:rStyle w:val="FootnoteAnchor"/>
          <w:rtl w:val="true"/>
        </w:rPr>
        <w:footnoteReference w:id="492"/>
      </w:r>
      <w:r>
        <w:rPr>
          <w:rFonts w:ascii="Amiri" w:hAnsi="Amiri" w:eastAsia="Amiri" w:cs="Amiri"/>
          <w:color w:val="111111"/>
          <w:sz w:val="28"/>
          <w:sz w:val="28"/>
          <w:szCs w:val="28"/>
          <w:rtl w:val="true"/>
          <w:lang w:bidi="ar-SA"/>
        </w:rPr>
        <w:t xml:space="preserve">، و الذخيرة </w:t>
      </w:r>
      <w:r>
        <w:rPr>
          <w:rStyle w:val="FootnoteAnchor"/>
          <w:rtl w:val="true"/>
        </w:rPr>
        <w:footnoteReference w:id="493"/>
      </w:r>
      <w:r>
        <w:rPr>
          <w:rFonts w:ascii="Amiri" w:hAnsi="Amiri" w:eastAsia="Amiri" w:cs="Amiri"/>
          <w:color w:val="111111"/>
          <w:sz w:val="28"/>
          <w:sz w:val="28"/>
          <w:szCs w:val="28"/>
          <w:rtl w:val="true"/>
          <w:lang w:bidi="ar-SA"/>
        </w:rPr>
        <w:t xml:space="preserve">، و المدارك </w:t>
      </w:r>
      <w:r>
        <w:rPr>
          <w:rStyle w:val="FootnoteAnchor"/>
          <w:rtl w:val="true"/>
        </w:rPr>
        <w:footnoteReference w:id="494"/>
      </w:r>
      <w:r>
        <w:rPr>
          <w:rFonts w:ascii="IRNazanin" w:hAnsi="IRNazanin" w:eastAsia="IRNazanin"/>
          <w:color w:val="111111"/>
          <w:sz w:val="28"/>
          <w:sz w:val="28"/>
          <w:szCs w:val="28"/>
          <w:rtl w:val="true"/>
          <w:lang w:bidi="fa-IR"/>
        </w:rPr>
        <w:t xml:space="preserve">، و البحار </w:t>
      </w:r>
      <w:r>
        <w:rPr>
          <w:rStyle w:val="FootnoteAnchor"/>
          <w:rtl w:val="true"/>
        </w:rPr>
        <w:footnoteReference w:id="495"/>
      </w:r>
      <w:r>
        <w:rPr>
          <w:rFonts w:ascii="Amiri" w:hAnsi="Amiri" w:eastAsia="Amiri" w:cs="Amiri"/>
          <w:color w:val="111111"/>
          <w:sz w:val="28"/>
          <w:sz w:val="28"/>
          <w:szCs w:val="28"/>
          <w:rtl w:val="true"/>
          <w:lang w:bidi="ar-SA"/>
        </w:rPr>
        <w:t xml:space="preserve">، و الرياض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قوّاه والدي العلّامة </w:t>
      </w:r>
      <w:r>
        <w:rPr>
          <w:rStyle w:val="FootnoteAnchor"/>
          <w:rtl w:val="true"/>
        </w:rPr>
        <w:footnoteReference w:id="497"/>
      </w:r>
      <w:r>
        <w:rPr>
          <w:rFonts w:ascii="Amiri" w:hAnsi="Amiri" w:eastAsia="Amiri" w:cs="Amiri"/>
          <w:color w:val="111111"/>
          <w:sz w:val="28"/>
          <w:sz w:val="28"/>
          <w:szCs w:val="28"/>
          <w:rtl w:val="true"/>
          <w:lang w:bidi="ar-SA"/>
        </w:rPr>
        <w:t>و بعض من عاصره،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استفادته من نهاية الشيخ </w:t>
      </w:r>
      <w:r>
        <w:rPr>
          <w:rStyle w:val="FootnoteAnchor"/>
          <w:rtl w:val="true"/>
        </w:rPr>
        <w:footnoteReference w:id="498"/>
      </w:r>
      <w:r>
        <w:rPr>
          <w:rFonts w:ascii="Amiri" w:hAnsi="Amiri" w:eastAsia="Amiri" w:cs="Amiri"/>
          <w:color w:val="111111"/>
          <w:sz w:val="28"/>
          <w:sz w:val="28"/>
          <w:szCs w:val="28"/>
          <w:rtl w:val="true"/>
          <w:lang w:bidi="ar-SA"/>
        </w:rPr>
        <w:t xml:space="preserve">و الحلّي </w:t>
      </w:r>
      <w:r>
        <w:rPr>
          <w:rStyle w:val="FootnoteAnchor"/>
          <w:rtl w:val="true"/>
        </w:rPr>
        <w:footnoteReference w:id="499"/>
      </w:r>
      <w:r>
        <w:rPr>
          <w:rFonts w:ascii="Amiri" w:hAnsi="Amiri" w:eastAsia="Amiri" w:cs="Amiri"/>
          <w:color w:val="111111"/>
          <w:sz w:val="28"/>
          <w:sz w:val="28"/>
          <w:szCs w:val="28"/>
          <w:rtl w:val="true"/>
          <w:lang w:bidi="ar-SA"/>
        </w:rPr>
        <w:t xml:space="preserve">و القاضي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المراد بالمروّة على ما هو المتحصّل من عباراتهم المختلفة المتقاربة في تفسيرها، كونه مجتنبا عمّا لا يليق بأمثاله، مما يؤذن بخسة النفس و الدناءة، من المباحات و الصغار من المحرّمات التي لا يبلغ حدّ الإصرار المسقطة للعزّة من القلوب، و منه ما يستهزء و يستسخر به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الأوّلون بالأصل و الشهرة و توقف المقصود من اشتراط العدالة عليها، إذ عدمها إمّا لخبل أو ضعف عقل أو لقلّة حياء، و عدم الوثوق مع الأوّل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الثاني، فلأنّ من لا حياء له يصنع ما يشاء، كما في الخبر المرويّ </w:t>
      </w:r>
      <w:r>
        <w:rPr>
          <w:rStyle w:val="FootnoteAnchor"/>
          <w:rtl w:val="true"/>
        </w:rPr>
        <w:footnoteReference w:id="501"/>
      </w: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مروّة له، و لا مروّة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بإطلاق ما مرّ من إطلاق الأخبار المفسّرة للعدالة بما ليس فيه إشعار بمدخلية المروة فيها، لا شطرا و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بعدم الحجّية، سيما مع خلو الأخبار عنه، مع وجود الداعي، و قبح تأخير البيان الموجب لقوة الظن بعدم الاشتراط المنافي للظنّ الحاصل من الشهرة الذي هو مناط الحجّية عند القائل بها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بمنع كلّية المقدّمة الأولى، و منع الثانية، إذ المفروض وجود ما يقتضي</w:t>
      </w:r>
    </w:p>
    <w:p>
      <w:pPr>
        <w:pStyle w:val="BookText"/>
        <w:rPr/>
      </w:pPr>
      <w:r>
        <w:rPr>
          <w:rFonts w:ascii="Amiri" w:hAnsi="Amiri" w:eastAsia="Amiri" w:cs="Amiri"/>
          <w:color w:val="111111"/>
          <w:sz w:val="28"/>
          <w:sz w:val="28"/>
          <w:szCs w:val="28"/>
          <w:rtl w:val="true"/>
          <w:lang w:bidi="ar-SA"/>
        </w:rPr>
        <w:t>التكليف من العقل و الورع عن المعصية المانع عن الكذب، و إلّا فأصل العدالة كان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بضعفه سندا و دلالة، لعدم العلم بما هو المراد من المروّة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المروّة بالمعنى الذي ذكره الأصحاب غير معروف في كلامهم، و حينئذ فالأظهر حمله على بعض المعاني المرويّة عنهم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والدي العلّامة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تفسيرها في الأخبار بغير هذا المعنى، ففي مرسلة الفقيه </w:t>
      </w:r>
      <w:r>
        <w:rPr>
          <w:rStyle w:val="FootnoteAnchor"/>
          <w:rtl w:val="true"/>
        </w:rPr>
        <w:footnoteReference w:id="503"/>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المروّة استصلاح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أخبار أخر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إصلاح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ثالث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ستّة، ثلاثة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و عمارة المساجد، و اتّخاذ الإخوان، و مثلها في السفر،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الزاد، و حسن الخلق، و المزاح في غير معاصي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رابع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أن يضع الرجل خوانه بفناء داره،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 هذه المعاني المروية ما يوافق ما ذكره الأصحاب في معنى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روي في الموثّق </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غايته الدلالة على توافق العدالة و كمال المروة في حصولهما باجتناب تلك المعاصي الثلاث</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جميعا من الكبائر، فهي من تلك الجهة قادحة في العدالة، و أين</w:t>
      </w:r>
    </w:p>
    <w:p>
      <w:pPr>
        <w:pStyle w:val="BookText"/>
        <w:rPr/>
      </w:pPr>
      <w:r>
        <w:rPr>
          <w:rFonts w:ascii="Amiri" w:hAnsi="Amiri" w:eastAsia="Amiri" w:cs="Amiri"/>
          <w:color w:val="111111"/>
          <w:sz w:val="28"/>
          <w:sz w:val="28"/>
          <w:szCs w:val="28"/>
          <w:rtl w:val="true"/>
          <w:lang w:bidi="ar-SA"/>
        </w:rPr>
        <w:t>هو من معنى المروّة الذي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به فمقتضى مفهومه أنّ من لم يجمع الثلاثة لا يجمع الأربعة و منها كمال المروّة، و أين هو من اشتراطها في العدالة؟</w:t>
      </w:r>
    </w:p>
    <w:p>
      <w:pPr>
        <w:pStyle w:val="BookText"/>
        <w:rPr/>
      </w:pPr>
      <w:r>
        <w:rPr>
          <w:rFonts w:ascii="IRNazanin" w:hAnsi="IRNazanin" w:eastAsia="IRNazanin"/>
          <w:color w:val="111111"/>
          <w:sz w:val="28"/>
          <w:sz w:val="28"/>
          <w:szCs w:val="28"/>
          <w:rtl w:val="true"/>
          <w:lang w:bidi="fa-IR"/>
        </w:rPr>
        <w:t>و استدلّ الآخرون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مجمع الفائدة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المروة في العدالة غير بيّن؛ للأصل، و لعدم ثبوتها معها، لا شرعا و لا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الأخبار عن بيان توقّف العدالة على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اليه في مجمع الفائدة </w:t>
      </w:r>
      <w:r>
        <w:rPr>
          <w:rStyle w:val="FootnoteAnchor"/>
          <w:rtl w:val="true"/>
        </w:rPr>
        <w:footnoteReference w:id="509"/>
      </w:r>
      <w:r>
        <w:rPr>
          <w:rFonts w:ascii="Amiri" w:hAnsi="Amiri" w:eastAsia="Amiri" w:cs="Amiri"/>
          <w:color w:val="111111"/>
          <w:sz w:val="28"/>
          <w:sz w:val="28"/>
          <w:szCs w:val="28"/>
          <w:rtl w:val="true"/>
          <w:lang w:bidi="ar-SA"/>
        </w:rPr>
        <w:t xml:space="preserve">، و المدارك </w:t>
      </w:r>
      <w:r>
        <w:rPr>
          <w:rStyle w:val="FootnoteAnchor"/>
          <w:rtl w:val="true"/>
        </w:rPr>
        <w:footnoteReference w:id="510"/>
      </w:r>
      <w:r>
        <w:rPr>
          <w:rFonts w:ascii="Amiri" w:hAnsi="Amiri" w:eastAsia="Amiri" w:cs="Amiri"/>
          <w:color w:val="111111"/>
          <w:sz w:val="28"/>
          <w:sz w:val="28"/>
          <w:szCs w:val="28"/>
          <w:rtl w:val="true"/>
          <w:lang w:bidi="ar-SA"/>
        </w:rPr>
        <w:t xml:space="preserve">، و الذخيرة </w:t>
      </w:r>
      <w:r>
        <w:rPr>
          <w:rStyle w:val="FootnoteAnchor"/>
          <w:rtl w:val="true"/>
        </w:rPr>
        <w:footnoteReference w:id="511"/>
      </w:r>
      <w:r>
        <w:rPr>
          <w:rFonts w:ascii="Amiri" w:hAnsi="Amiri" w:eastAsia="Amiri" w:cs="Amiri"/>
          <w:color w:val="111111"/>
          <w:sz w:val="28"/>
          <w:sz w:val="28"/>
          <w:szCs w:val="28"/>
          <w:rtl w:val="true"/>
          <w:lang w:bidi="ar-SA"/>
        </w:rPr>
        <w:t xml:space="preserve">، و الكفاية </w:t>
      </w:r>
      <w:r>
        <w:rPr>
          <w:rStyle w:val="FootnoteAnchor"/>
          <w:rtl w:val="true"/>
        </w:rPr>
        <w:footnoteReference w:id="512"/>
      </w:r>
      <w:r>
        <w:rPr>
          <w:rFonts w:ascii="Amiri" w:hAnsi="Amiri" w:eastAsia="Amiri" w:cs="Amiri"/>
          <w:color w:val="111111"/>
          <w:sz w:val="28"/>
          <w:sz w:val="28"/>
          <w:szCs w:val="28"/>
          <w:rtl w:val="true"/>
          <w:lang w:bidi="ar-SA"/>
        </w:rPr>
        <w:t xml:space="preserve">، و الرياض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قدح ارتكاب الصغائر في العدالة يستلزم عدم قدح ارتكاب خلاف المروّة فيها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المقام أنّ مراد القائلين بتوقّف العدالة على المروّة، إن كان بحسب نفس الأمر، فهو مجرّد دعوى لا دليل عليها، و إطلاق الأدلّة حجّة عليها، بل عدم الدليل مع توفر الدواعي و قبح ترك البيان في الأخبار المفسّرة مع تكثر الحاجة يؤمي إلى عدمه واقعا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الفحوى المشار إليها في الدليل الأخير، في أقل ما يصدق عليه خلاف المروّة بالمعنى الذي ذكروه، الذي يتعدّى عنه إلى غيره بعدم القول بالفصل</w:t>
      </w:r>
      <w:r>
        <w:rPr>
          <w:rFonts w:eastAsia="Amiri" w:cs="Amiri" w:ascii="Amiri" w:hAnsi="Amiri"/>
          <w:color w:val="111111"/>
          <w:sz w:val="28"/>
          <w:szCs w:val="28"/>
          <w:rtl w:val="true"/>
          <w:lang w:bidi="ar-SA"/>
        </w:rPr>
        <w:t>.</w:t>
      </w:r>
      <w:bookmarkStart w:id="157" w:name="pg2497_12068"/>
    </w:p>
    <w:p>
      <w:pPr>
        <w:pStyle w:val="BookText"/>
        <w:rPr/>
      </w:pPr>
      <w:bookmarkEnd w:id="157"/>
      <w:r>
        <w:rPr>
          <w:rFonts w:ascii="Amiri" w:hAnsi="Amiri" w:eastAsia="Amiri" w:cs="Amiri"/>
          <w:color w:val="111111"/>
          <w:sz w:val="28"/>
          <w:sz w:val="28"/>
          <w:szCs w:val="28"/>
          <w:rtl w:val="true"/>
          <w:lang w:bidi="ar-SA"/>
        </w:rPr>
        <w:t>و إن كان مرادهم كون المروّة متوقّفا عليها في طريق معرفة العدالة، فعلى القول بحصول الكشف بحسن الظاهر أو عدم ظهور الفسق، فعدم التوقف ظاهر، و على القول بالاختبار الباطني العلمي عن الملكة، فاطراد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التوقف في بعض الموارد باعتبار عدم حصول العلم بملكة الاجتناب عن المعاصي مع عدم المبالاة، فلأنّ المروّة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القبائح العرفية المنافية للحياء ممدوح في الشريعة، كما أنّه يقدح خلافها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حدّا يوجب ارتكاب ما هو مخالف للشرع أو ينبئ عن جنون، أو يقدح في معرفة صفة الستر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فالتوقّف ليس كليا، فلا يناط العدالة بها، بل بعدم العلم بالفسق، أو بما ينافي حسن الظاهر على الأوّلين، و بما يزول معه العلم بالملكة على الأخير، فإذن فالمعتمد عدم اشتراط المروّة في العدالة، و مراعاة الاحتياط أولى</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3861877_3804643083"/>
      <w:bookmarkStart w:id="159" w:name="_Toc61"/>
      <w:bookmarkEnd w:id="158"/>
      <w:r>
        <w:rPr>
          <w:rtl w:val="true"/>
        </w:rPr>
        <w:t>تتميمات</w:t>
      </w:r>
      <w:r>
        <w:rPr>
          <w:rtl w:val="true"/>
        </w:rPr>
        <w:t>:</w:t>
      </w:r>
      <w:bookmarkEnd w:id="159"/>
    </w:p>
    <w:p>
      <w:pPr>
        <w:pStyle w:val="Heading6"/>
        <w:numPr>
          <w:ilvl w:val="5"/>
          <w:numId w:val="1"/>
        </w:numPr>
        <w:rPr/>
      </w:pPr>
      <w:bookmarkStart w:id="160" w:name="__RefHeading___Toc3861879_3804643083"/>
      <w:bookmarkStart w:id="161" w:name="_Toc62"/>
      <w:bookmarkEnd w:id="160"/>
      <w:r>
        <w:rPr>
          <w:rtl w:val="true"/>
        </w:rPr>
        <w:t>الأوّل</w:t>
      </w:r>
      <w:r>
        <w:rPr>
          <w:rtl w:val="true"/>
        </w:rPr>
        <w:t xml:space="preserve">: </w:t>
      </w:r>
      <w:r>
        <w:rPr>
          <w:rtl w:val="true"/>
        </w:rPr>
        <w:t>عدّوا من منافيات المروّة الموجبة لسقوطها أمورا كثيرة،</w:t>
      </w:r>
      <w:bookmarkEnd w:id="161"/>
    </w:p>
    <w:p>
      <w:pPr>
        <w:pStyle w:val="BookText"/>
        <w:rPr/>
      </w:pPr>
      <w:r>
        <w:rPr>
          <w:rFonts w:ascii="Amiri" w:hAnsi="Amiri" w:eastAsia="Amiri" w:cs="Amiri"/>
          <w:color w:val="111111"/>
          <w:sz w:val="28"/>
          <w:sz w:val="28"/>
          <w:szCs w:val="28"/>
          <w:rtl w:val="true"/>
          <w:lang w:bidi="ar-SA"/>
        </w:rPr>
        <w:t xml:space="preserve">كالأكل في الطرقات، و مدّ الرجلين في مجالس الناس، كما عن المبسوط </w:t>
      </w:r>
      <w:r>
        <w:rPr>
          <w:rStyle w:val="FootnoteAnchor"/>
          <w:rtl w:val="true"/>
        </w:rPr>
        <w:footnoteReference w:id="514"/>
      </w:r>
      <w:r>
        <w:rPr>
          <w:rFonts w:ascii="Amiri" w:hAnsi="Amiri" w:eastAsia="Amiri" w:cs="Amiri"/>
          <w:color w:val="111111"/>
          <w:sz w:val="28"/>
          <w:sz w:val="28"/>
          <w:szCs w:val="28"/>
          <w:rtl w:val="true"/>
          <w:lang w:bidi="ar-SA"/>
        </w:rPr>
        <w:t xml:space="preserve">و المدارك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لبس الثياب المصنعات للنساء، كما عن الأوّل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الأكل في السوق، كما عن الفاضل في القواعد </w:t>
      </w:r>
      <w:r>
        <w:rPr>
          <w:rStyle w:val="FootnoteAnchor"/>
          <w:rtl w:val="true"/>
        </w:rPr>
        <w:footnoteReference w:id="516"/>
      </w:r>
      <w:r>
        <w:rPr>
          <w:rFonts w:ascii="IRNazanin" w:hAnsi="IRNazanin" w:eastAsia="IRNazanin"/>
          <w:color w:val="111111"/>
          <w:sz w:val="28"/>
          <w:sz w:val="28"/>
          <w:szCs w:val="28"/>
          <w:rtl w:val="true"/>
          <w:lang w:bidi="fa-IR"/>
        </w:rPr>
        <w:t xml:space="preserve">و فخر الإسلام </w:t>
      </w:r>
      <w:r>
        <w:rPr>
          <w:rStyle w:val="FootnoteAnchor"/>
          <w:rtl w:val="true"/>
        </w:rPr>
        <w:footnoteReference w:id="517"/>
      </w:r>
      <w:r>
        <w:rPr>
          <w:rFonts w:ascii="Amiri" w:hAnsi="Amiri" w:eastAsia="Amiri" w:cs="Amiri"/>
          <w:color w:val="111111"/>
          <w:sz w:val="28"/>
          <w:sz w:val="28"/>
          <w:szCs w:val="28"/>
          <w:rtl w:val="true"/>
          <w:lang w:bidi="ar-SA"/>
        </w:rPr>
        <w:t xml:space="preserve">و الشهيدين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 الكركي </w:t>
      </w:r>
      <w:r>
        <w:rPr>
          <w:rStyle w:val="FootnoteAnchor"/>
          <w:rtl w:val="true"/>
        </w:rPr>
        <w:footnoteReference w:id="519"/>
      </w:r>
      <w:r>
        <w:rPr>
          <w:rFonts w:ascii="Amiri" w:hAnsi="Amiri" w:eastAsia="Amiri" w:cs="Amiri"/>
          <w:color w:val="111111"/>
          <w:sz w:val="28"/>
          <w:sz w:val="28"/>
          <w:szCs w:val="28"/>
          <w:rtl w:val="true"/>
          <w:lang w:bidi="ar-SA"/>
        </w:rPr>
        <w:t xml:space="preserve">و الأردبيلي </w:t>
      </w:r>
      <w:r>
        <w:rPr>
          <w:rStyle w:val="FootnoteAnchor"/>
          <w:rtl w:val="true"/>
        </w:rPr>
        <w:footnoteReference w:id="520"/>
      </w:r>
      <w:r>
        <w:rPr>
          <w:rFonts w:ascii="Amiri" w:hAnsi="Amiri" w:eastAsia="Amiri" w:cs="Amiri"/>
          <w:color w:val="111111"/>
          <w:sz w:val="28"/>
          <w:sz w:val="28"/>
          <w:szCs w:val="28"/>
          <w:rtl w:val="true"/>
          <w:lang w:bidi="ar-SA"/>
        </w:rPr>
        <w:t xml:space="preserve">و الخراساني </w:t>
      </w:r>
      <w:r>
        <w:rPr>
          <w:rStyle w:val="FootnoteAnchor"/>
          <w:rtl w:val="true"/>
        </w:rPr>
        <w:footnoteReference w:id="521"/>
      </w:r>
      <w:r>
        <w:rPr>
          <w:rFonts w:ascii="Amiri" w:hAnsi="Amiri" w:eastAsia="Amiri" w:cs="Amiri"/>
          <w:color w:val="111111"/>
          <w:sz w:val="28"/>
          <w:sz w:val="28"/>
          <w:szCs w:val="28"/>
          <w:rtl w:val="true"/>
          <w:lang w:bidi="ar-SA"/>
        </w:rPr>
        <w:t xml:space="preserve">و المجلسي </w:t>
      </w:r>
      <w:r>
        <w:rPr>
          <w:rStyle w:val="FootnoteAnchor"/>
          <w:rtl w:val="true"/>
        </w:rPr>
        <w:footnoteReference w:id="522"/>
      </w:r>
      <w:r>
        <w:rPr>
          <w:rFonts w:ascii="Amiri" w:hAnsi="Amiri" w:eastAsia="Amiri" w:cs="Amiri"/>
          <w:color w:val="111111"/>
          <w:sz w:val="28"/>
          <w:sz w:val="28"/>
          <w:szCs w:val="28"/>
          <w:rtl w:val="true"/>
          <w:lang w:bidi="ar-SA"/>
        </w:rPr>
        <w:t>على اختلاف في التقييد له بالغالب، أو في أكثر البلاد، أو بغير سوقي أو بدوي، إلّا إذا غلبه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الأكل في المجامع، كما عن الروض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اللعب بالحمام، كما في القواعد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لبس الفقيه لباس الجندي أو بالعكس مطلقا، أو بحيث يستسخر منه، أو في البلاد التي لم تجر عادة الفقهاء لبس هذا النوع من الثياب، كما في الدروس </w:t>
      </w:r>
      <w:r>
        <w:rPr>
          <w:rStyle w:val="FootnoteAnchor"/>
          <w:rtl w:val="true"/>
        </w:rPr>
        <w:footnoteReference w:id="525"/>
      </w:r>
      <w:r>
        <w:rPr>
          <w:rFonts w:ascii="Amiri" w:hAnsi="Amiri" w:eastAsia="Amiri" w:cs="Amiri"/>
          <w:color w:val="111111"/>
          <w:sz w:val="28"/>
          <w:sz w:val="28"/>
          <w:szCs w:val="28"/>
          <w:rtl w:val="true"/>
          <w:lang w:bidi="ar-SA"/>
        </w:rPr>
        <w:t xml:space="preserve">و المسالك </w:t>
      </w:r>
      <w:r>
        <w:rPr>
          <w:rStyle w:val="FootnoteAnchor"/>
          <w:rtl w:val="true"/>
        </w:rPr>
        <w:footnoteReference w:id="526"/>
      </w:r>
      <w:r>
        <w:rPr>
          <w:rFonts w:ascii="Amiri" w:hAnsi="Amiri" w:eastAsia="Amiri" w:cs="Amiri"/>
          <w:color w:val="111111"/>
          <w:sz w:val="28"/>
          <w:sz w:val="28"/>
          <w:szCs w:val="28"/>
          <w:rtl w:val="true"/>
          <w:lang w:bidi="ar-SA"/>
        </w:rPr>
        <w:t xml:space="preserve">و الذخيرة </w:t>
      </w:r>
      <w:r>
        <w:rPr>
          <w:rStyle w:val="FootnoteAnchor"/>
          <w:rtl w:val="true"/>
        </w:rPr>
        <w:footnoteReference w:id="527"/>
      </w:r>
      <w:r>
        <w:rPr>
          <w:rFonts w:ascii="IRNazanin" w:hAnsi="IRNazanin" w:eastAsia="IRNazanin"/>
          <w:color w:val="111111"/>
          <w:sz w:val="28"/>
          <w:sz w:val="28"/>
          <w:szCs w:val="28"/>
          <w:rtl w:val="true"/>
          <w:lang w:bidi="fa-IR"/>
        </w:rPr>
        <w:t xml:space="preserve">و البحار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لبس التاجر لباس الحمالين و نحوهم، بحيث يصير مضحكة، كما في المسالك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الفقيه من القباء </w:t>
      </w:r>
      <w:r>
        <w:rPr>
          <w:rStyle w:val="FootnoteAnchor"/>
          <w:rtl w:val="true"/>
        </w:rPr>
        <w:footnoteReference w:id="531"/>
      </w:r>
      <w:r>
        <w:rPr>
          <w:rFonts w:ascii="Amiri" w:hAnsi="Amiri" w:eastAsia="Amiri" w:cs="Amiri"/>
          <w:color w:val="111111"/>
          <w:sz w:val="28"/>
          <w:sz w:val="28"/>
          <w:szCs w:val="28"/>
          <w:rtl w:val="true"/>
          <w:lang w:bidi="ar-SA"/>
        </w:rPr>
        <w:t>و القلنسوة غالبا في غير محلّ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كشف الرأس بين جمهور الناس، أو عند من ليس كذلك، كما في الإيضاح </w:t>
      </w:r>
      <w:r>
        <w:rPr>
          <w:rStyle w:val="FootnoteAnchor"/>
          <w:rtl w:val="true"/>
        </w:rPr>
        <w:footnoteReference w:id="532"/>
      </w:r>
      <w:r>
        <w:rPr>
          <w:rFonts w:ascii="IRNazanin" w:hAnsi="IRNazanin" w:eastAsia="IRNazanin"/>
          <w:color w:val="111111"/>
          <w:sz w:val="28"/>
          <w:sz w:val="28"/>
          <w:szCs w:val="28"/>
          <w:rtl w:val="true"/>
          <w:lang w:bidi="fa-IR"/>
        </w:rPr>
        <w:t xml:space="preserve">و الروض </w:t>
      </w:r>
      <w:r>
        <w:rPr>
          <w:rStyle w:val="FootnoteAnchor"/>
          <w:rtl w:val="true"/>
        </w:rPr>
        <w:footnoteReference w:id="533"/>
      </w:r>
      <w:r>
        <w:rPr>
          <w:rFonts w:ascii="Amiri" w:hAnsi="Amiri" w:eastAsia="Amiri" w:cs="Amiri"/>
          <w:color w:val="111111"/>
          <w:sz w:val="28"/>
          <w:sz w:val="28"/>
          <w:szCs w:val="28"/>
          <w:rtl w:val="true"/>
          <w:lang w:bidi="ar-SA"/>
        </w:rPr>
        <w:t xml:space="preserve">و المسالك </w:t>
      </w:r>
      <w:r>
        <w:rPr>
          <w:rStyle w:val="FootnoteAnchor"/>
          <w:rtl w:val="true"/>
        </w:rPr>
        <w:footnoteReference w:id="534"/>
      </w:r>
      <w:r>
        <w:rPr>
          <w:rFonts w:ascii="Amiri" w:hAnsi="Amiri" w:eastAsia="Amiri" w:cs="Amiri"/>
          <w:color w:val="111111"/>
          <w:sz w:val="28"/>
          <w:sz w:val="28"/>
          <w:szCs w:val="28"/>
          <w:rtl w:val="true"/>
          <w:lang w:bidi="ar-SA"/>
        </w:rPr>
        <w:t xml:space="preserve">و الروضة </w:t>
      </w:r>
      <w:r>
        <w:rPr>
          <w:rStyle w:val="FootnoteAnchor"/>
          <w:rtl w:val="true"/>
        </w:rPr>
        <w:footnoteReference w:id="535"/>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السخرية أو كثرتها، كما في الدروس </w:t>
      </w:r>
      <w:r>
        <w:rPr>
          <w:rStyle w:val="FootnoteAnchor"/>
          <w:rtl w:val="true"/>
        </w:rPr>
        <w:footnoteReference w:id="537"/>
      </w:r>
      <w:r>
        <w:rPr>
          <w:rFonts w:ascii="Amiri" w:hAnsi="Amiri" w:eastAsia="Amiri" w:cs="Amiri"/>
          <w:color w:val="111111"/>
          <w:sz w:val="28"/>
          <w:sz w:val="28"/>
          <w:szCs w:val="28"/>
          <w:rtl w:val="true"/>
          <w:lang w:bidi="ar-SA"/>
        </w:rPr>
        <w:t xml:space="preserve">و التنقيح </w:t>
      </w:r>
      <w:r>
        <w:rPr>
          <w:rStyle w:val="FootnoteAnchor"/>
          <w:rtl w:val="true"/>
        </w:rPr>
        <w:footnoteReference w:id="538"/>
      </w:r>
      <w:r>
        <w:rPr>
          <w:rFonts w:ascii="Amiri" w:hAnsi="Amiri" w:eastAsia="Amiri" w:cs="Amiri"/>
          <w:color w:val="111111"/>
          <w:sz w:val="28"/>
          <w:sz w:val="28"/>
          <w:szCs w:val="28"/>
          <w:rtl w:val="true"/>
          <w:lang w:bidi="ar-SA"/>
        </w:rPr>
        <w:t xml:space="preserve">و الروضة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كشف العورة التي يتأكّد استحباب سترها في الصلاة، كما في الدروس </w:t>
      </w:r>
      <w:r>
        <w:rPr>
          <w:rStyle w:val="FootnoteAnchor"/>
          <w:rtl w:val="true"/>
        </w:rPr>
        <w:footnoteReference w:id="540"/>
      </w:r>
      <w:r>
        <w:rPr>
          <w:rFonts w:ascii="Amiri" w:hAnsi="Amiri" w:eastAsia="Amiri" w:cs="Amiri"/>
          <w:color w:val="111111"/>
          <w:sz w:val="28"/>
          <w:sz w:val="28"/>
          <w:szCs w:val="28"/>
          <w:rtl w:val="true"/>
          <w:lang w:bidi="ar-SA"/>
        </w:rPr>
        <w:t>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البول في الشوارع وقت سلوك الناس، كما في جامع المقاصد </w:t>
      </w:r>
      <w:r>
        <w:rPr>
          <w:rStyle w:val="FootnoteAnchor"/>
          <w:rtl w:val="true"/>
        </w:rPr>
        <w:footnoteReference w:id="541"/>
      </w:r>
      <w:r>
        <w:rPr>
          <w:rFonts w:ascii="IRNazanin" w:hAnsi="IRNazanin" w:eastAsia="IRNazanin"/>
          <w:color w:val="111111"/>
          <w:sz w:val="28"/>
          <w:sz w:val="28"/>
          <w:szCs w:val="28"/>
          <w:rtl w:val="true"/>
          <w:lang w:bidi="fa-IR"/>
        </w:rPr>
        <w:t xml:space="preserve">و الروض </w:t>
      </w:r>
      <w:r>
        <w:rPr>
          <w:rStyle w:val="FootnoteAnchor"/>
          <w:rtl w:val="true"/>
        </w:rPr>
        <w:footnoteReference w:id="542"/>
      </w:r>
      <w:r>
        <w:rPr>
          <w:rFonts w:ascii="Amiri" w:hAnsi="Amiri" w:eastAsia="Amiri" w:cs="Amiri"/>
          <w:color w:val="111111"/>
          <w:sz w:val="28"/>
          <w:sz w:val="28"/>
          <w:szCs w:val="28"/>
          <w:rtl w:val="true"/>
          <w:lang w:bidi="ar-SA"/>
        </w:rPr>
        <w:t xml:space="preserve">و الذخيرة </w:t>
      </w:r>
      <w:r>
        <w:rPr>
          <w:rStyle w:val="FootnoteAnchor"/>
          <w:rtl w:val="true"/>
        </w:rPr>
        <w:footnoteReference w:id="543"/>
      </w:r>
      <w:r>
        <w:rPr>
          <w:rFonts w:ascii="IRNazanin" w:hAnsi="IRNazanin" w:eastAsia="IRNazanin"/>
          <w:color w:val="111111"/>
          <w:sz w:val="28"/>
          <w:sz w:val="28"/>
          <w:szCs w:val="28"/>
          <w:rtl w:val="true"/>
          <w:lang w:bidi="fa-IR"/>
        </w:rPr>
        <w:t xml:space="preserve">و البحار </w:t>
      </w:r>
      <w:r>
        <w:rPr>
          <w:rStyle w:val="FootnoteAnchor"/>
          <w:rtl w:val="true"/>
        </w:rPr>
        <w:footnoteReference w:id="544"/>
      </w:r>
      <w:r>
        <w:rPr>
          <w:rFonts w:ascii="Amiri" w:hAnsi="Amiri" w:eastAsia="Amiri" w:cs="Amiri"/>
          <w:color w:val="111111"/>
          <w:sz w:val="28"/>
          <w:sz w:val="28"/>
          <w:szCs w:val="28"/>
          <w:rtl w:val="true"/>
          <w:lang w:bidi="ar-SA"/>
        </w:rPr>
        <w:t>مطلقا، أو فيمن يوجب انحطاط مرتبته عادة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كثرة الحكايات المضحكة، كما في المسالك </w:t>
      </w:r>
      <w:r>
        <w:rPr>
          <w:rStyle w:val="FootnoteAnchor"/>
          <w:rtl w:val="true"/>
        </w:rPr>
        <w:footnoteReference w:id="545"/>
      </w:r>
      <w:r>
        <w:rPr>
          <w:rFonts w:ascii="Amiri" w:hAnsi="Amiri" w:eastAsia="Amiri" w:cs="Amiri"/>
          <w:color w:val="111111"/>
          <w:sz w:val="28"/>
          <w:sz w:val="28"/>
          <w:szCs w:val="28"/>
          <w:rtl w:val="true"/>
          <w:lang w:bidi="ar-SA"/>
        </w:rPr>
        <w:t xml:space="preserve">و الروضة </w:t>
      </w:r>
      <w:r>
        <w:rPr>
          <w:rStyle w:val="FootnoteAnchor"/>
          <w:rtl w:val="true"/>
        </w:rPr>
        <w:footnoteReference w:id="546"/>
      </w:r>
      <w:r>
        <w:rPr>
          <w:rFonts w:ascii="Amiri" w:hAnsi="Amiri" w:eastAsia="Amiri" w:cs="Amiri"/>
          <w:color w:val="111111"/>
          <w:sz w:val="28"/>
          <w:sz w:val="28"/>
          <w:szCs w:val="28"/>
          <w:rtl w:val="true"/>
          <w:lang w:bidi="ar-SA"/>
        </w:rPr>
        <w:t xml:space="preserve">و الذخيرة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تقبيل أمته و زوجته في المحاضر و بين الناس أو حكاية ما يجري بينه و بينها في الخلوة للناس، كما في أكثر الكتب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المضايقة في اليسير الذي لا يناسب حاله، كما في الذخيرة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يخرج من حسن العشرة مع الأهل و الجيران و المعاملين، كما في المسالك </w:t>
      </w:r>
      <w:r>
        <w:rPr>
          <w:rStyle w:val="FootnoteAnchor"/>
          <w:rtl w:val="true"/>
        </w:rPr>
        <w:footnoteReference w:id="550"/>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51"/>
      </w:r>
      <w:r>
        <w:rPr>
          <w:rFonts w:ascii="Amiri" w:hAnsi="Amiri" w:eastAsia="Amiri" w:cs="Amiri"/>
          <w:color w:val="111111"/>
          <w:sz w:val="28"/>
          <w:sz w:val="28"/>
          <w:szCs w:val="28"/>
          <w:rtl w:val="true"/>
          <w:lang w:bidi="ar-SA"/>
        </w:rPr>
        <w:t>، و في الثاني مثل ذلك مع مخالطيه و معامليه، بأن يضايق معهم في الطعم القليل، و يأكل وحده أطعمة طيّبة يطعمهم أقلّ ما يجزي شرعا و له مال كثير و لا يلتفت إلى الجيران بإطعام و ماء و نار و يضايقهم في الأمور المشتركة، و يضايق معامليه في الشي‌ء الدون الذي لا ينبغي المسامحة عن مثله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أن يفعل مالا يليق بأمثاله بالنسبة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يبتذل الرجل المعزّ بنقل الماء و الأطعمة إلى بيته، إذا كان ذلك عن شحّ و ظنّة، و لو كان عن استكانة أو اقتداء بالسلف لم يقدح ذلك في المروّة، كما في المسالك </w:t>
      </w:r>
      <w:r>
        <w:rPr>
          <w:rStyle w:val="FootnoteAnchor"/>
          <w:rtl w:val="true"/>
        </w:rPr>
        <w:footnoteReference w:id="552"/>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سقوط المروّة بأمثال ذلك على ما صرّح به جماعة و يشير إليه كلام جمع من هؤلاء الأجلّة يختلف باختلاف الناس، و تفاوت مراتبهم و أزمنتهم و أمكنتهم، و عادات البلاد و الأعصار، فقد يكون شي‌ء مطلوبا في وقت، مرغوبا عنه في وقت</w:t>
      </w:r>
    </w:p>
    <w:p>
      <w:pPr>
        <w:pStyle w:val="BookText"/>
        <w:rPr/>
      </w:pPr>
      <w:r>
        <w:rPr>
          <w:rFonts w:ascii="Amiri" w:hAnsi="Amiri" w:eastAsia="Amiri" w:cs="Amiri"/>
          <w:color w:val="111111"/>
          <w:sz w:val="28"/>
          <w:sz w:val="28"/>
          <w:szCs w:val="28"/>
          <w:rtl w:val="true"/>
          <w:lang w:bidi="ar-SA"/>
        </w:rPr>
        <w:t>آخر، و كذا بالنسبة إلى شخص دون غيره و في بلد دون غيره فالمناط هو استهجان الفعل في نظر أهل الشرف و الديانة و ذوي العقول الصافية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ما ذكروه مما اتفقت عليه العادات في جميع الأحوال، فيسقط به المروة مطلقا، إلّا إذا كان لعذر، كتقبيل الزوجة في المحاضر، و حكاية الخلوة فيها،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يختلف به الحال، اختلاف القصد و النية، كما سمعت في بعض ما ذكر، مثل نقل الماء و الأطعمة إلى بيته إذا كان ذلك عن شحّ دون الاستكانة و الاقتداء بالسلف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المقدّس الأردبيليّ بعد ذكر عدم منافات قصد الاستكانة فيه للمروة، فذلك ليس من ترك المروّة في شي‌ء، بل من الطاعات و القربات و الامتياز بالقصد، و يعرف ذلك من أفعال الناس و أعمالهم و أخلاقهم، مثل أن يكون عادته أن يأكل ما يجد و يلبس كذلك، و يفعل ما تيسّر، و يجلس على الأرض و التراب، و يأكل عليها من غير سفرة، و يجلس جلسة العبيد، و يأكل أكلهم، كما نقل عن فعل النبيّ </w:t>
      </w:r>
      <w:r>
        <w:rPr>
          <w:rStyle w:val="FootnoteAnchor"/>
          <w:rtl w:val="true"/>
        </w:rPr>
        <w:footnoteReference w:id="554"/>
      </w:r>
      <w:r>
        <w:rPr>
          <w:rFonts w:ascii="Amiri" w:hAnsi="Amiri" w:eastAsia="Amiri" w:cs="Amiri"/>
          <w:color w:val="111111"/>
          <w:sz w:val="28"/>
          <w:sz w:val="28"/>
          <w:szCs w:val="28"/>
          <w:rtl w:val="true"/>
          <w:lang w:bidi="ar-SA"/>
        </w:rPr>
        <w:t>و قوله صلّى اللّه عليه و آله و سلّم في جواب من سأل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من أولى منّي بالعبودية حتّى لا أفعل أنا فعل العبيد، و لا أجلس جلستهم، و لا آكل أكلهم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يظهر ما في تعليل المحدّث المجلسي لنفي اشتراط المروة مطلقا، بظهور خلافه من الأخبار،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أشرف من رسول اللّه صلّى اللّه عليه و آله و سلّم و كان يركب الحمار العاري، و يردف من خلفه، و يأكل ماشيا إلى الصلاة، كما روي </w:t>
      </w:r>
      <w:r>
        <w:rPr>
          <w:rStyle w:val="FootnoteAnchor"/>
          <w:rtl w:val="true"/>
        </w:rPr>
        <w:footnoteReference w:id="5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فعله المنزّه عن القبائح لا يقاس عليه فعل غيره، مع إمكان الاختلاف في الحسن و القبح عن مثله مطلقا</w:t>
      </w:r>
      <w:r>
        <w:rPr>
          <w:rFonts w:eastAsia="Amiri" w:cs="Amiri" w:ascii="Amiri" w:hAnsi="Amiri"/>
          <w:color w:val="111111"/>
          <w:sz w:val="28"/>
          <w:szCs w:val="28"/>
          <w:rtl w:val="true"/>
          <w:lang w:bidi="ar-SA"/>
        </w:rPr>
        <w:t>.</w:t>
      </w:r>
      <w:bookmarkStart w:id="162" w:name="pg2497_12078"/>
    </w:p>
    <w:p>
      <w:pPr>
        <w:pStyle w:val="Heading6"/>
        <w:numPr>
          <w:ilvl w:val="5"/>
          <w:numId w:val="1"/>
        </w:numPr>
        <w:rPr/>
      </w:pPr>
      <w:bookmarkStart w:id="163" w:name="__RefHeading___Toc3861881_3804643083"/>
      <w:bookmarkStart w:id="164" w:name="_Toc63"/>
      <w:bookmarkEnd w:id="162"/>
      <w:bookmarkEnd w:id="163"/>
      <w:r>
        <w:rPr>
          <w:rtl w:val="true"/>
        </w:rPr>
        <w:t>الثاني</w:t>
      </w:r>
      <w:r>
        <w:rPr>
          <w:rtl w:val="true"/>
        </w:rPr>
        <w:t xml:space="preserve">: </w:t>
      </w:r>
      <w:r>
        <w:rPr>
          <w:rtl w:val="true"/>
        </w:rPr>
        <w:t xml:space="preserve">قال في الروضة ، و الروض ، و الذخيرة </w:t>
      </w:r>
      <w:r>
        <w:rPr>
          <w:rtl w:val="true"/>
        </w:rPr>
        <w:t xml:space="preserve">: </w:t>
      </w:r>
      <w:r>
        <w:rPr>
          <w:rtl w:val="true"/>
        </w:rPr>
        <w:t>لا يقدح في المروة فعل السنن و إن استهجنها الناس،</w:t>
      </w:r>
      <w:bookmarkEnd w:id="1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الروضة </w:t>
      </w:r>
      <w:r>
        <w:rPr>
          <w:rStyle w:val="FootnoteAnchor"/>
          <w:rtl w:val="true"/>
        </w:rPr>
        <w:footnoteReference w:id="557"/>
      </w:r>
      <w:r>
        <w:rPr>
          <w:rFonts w:ascii="IRNazanin" w:hAnsi="IRNazanin" w:eastAsia="IRNazanin"/>
          <w:color w:val="111111"/>
          <w:sz w:val="28"/>
          <w:sz w:val="28"/>
          <w:szCs w:val="28"/>
          <w:rtl w:val="true"/>
          <w:lang w:bidi="fa-IR"/>
        </w:rPr>
        <w:t xml:space="preserve">، و الروض </w:t>
      </w:r>
      <w:r>
        <w:rPr>
          <w:rStyle w:val="FootnoteAnchor"/>
          <w:rtl w:val="true"/>
        </w:rPr>
        <w:footnoteReference w:id="558"/>
      </w:r>
      <w:r>
        <w:rPr>
          <w:rFonts w:ascii="Amiri" w:hAnsi="Amiri" w:eastAsia="Amiri" w:cs="Amiri"/>
          <w:color w:val="111111"/>
          <w:sz w:val="28"/>
          <w:sz w:val="28"/>
          <w:szCs w:val="28"/>
          <w:rtl w:val="true"/>
          <w:lang w:bidi="ar-SA"/>
        </w:rPr>
        <w:t xml:space="preserve">، و الذخيرة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المروة فعل السنن و إن استهجنها الناس،</w:t>
      </w:r>
    </w:p>
    <w:p>
      <w:pPr>
        <w:pStyle w:val="BookText"/>
        <w:rPr/>
      </w:pPr>
      <w:r>
        <w:rPr>
          <w:rFonts w:ascii="Amiri" w:hAnsi="Amiri" w:eastAsia="Amiri" w:cs="Amiri"/>
          <w:color w:val="111111"/>
          <w:sz w:val="28"/>
          <w:sz w:val="28"/>
          <w:szCs w:val="28"/>
          <w:rtl w:val="true"/>
          <w:lang w:bidi="ar-SA"/>
        </w:rPr>
        <w:t>كالكحل و الحناء و الحنك في بعض البلاد، و إنّما العبرة بغير الراجح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قصد الامتثال و القربة، كما لعلّه ظاهر كلامهم لا شبهة فيه و أمّا إذا قصد بها غيره، فالظاهر أنّه كذلك أيضا، لوجوب اشتمالها للحسن الخالي عن القبح و المهانة قبل تعلّق الأمر و حصول القربة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الحسن و القبح باختلاف النيّات في غير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 السنن، لوجوب ثبوت الحسن فيها قبل النية، بل قبل الأمر، و 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معه نية زائدة قبيحة ظاهرة يستهجن معها، كالرياء في الحنك مثلا، أمكن القول بكونه معها خلاف المروّة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3861883_3804643083"/>
      <w:bookmarkStart w:id="166" w:name="_Toc64"/>
      <w:bookmarkEnd w:id="165"/>
      <w:r>
        <w:rPr>
          <w:rtl w:val="true"/>
        </w:rPr>
        <w:t>الثالث</w:t>
      </w:r>
      <w:r>
        <w:rPr>
          <w:rtl w:val="true"/>
        </w:rPr>
        <w:t xml:space="preserve">: </w:t>
      </w:r>
      <w:r>
        <w:rPr>
          <w:rtl w:val="true"/>
        </w:rPr>
        <w:t>ترك جميع المستحبّات ما لم يبلغ حدّ التهاون ليس منافيا للمروّة من حيث ترك الاستحباب،</w:t>
      </w:r>
      <w:bookmarkEnd w:id="1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يسقط بها العدالة عند مشترطها، كما نصّ به جماعة، بل عليه ظاهر الإجماع، كما في الكفاية و غيره له </w:t>
      </w:r>
      <w:r>
        <w:rPr>
          <w:rStyle w:val="FootnoteAnchor"/>
          <w:rtl w:val="true"/>
        </w:rPr>
        <w:footnoteReference w:id="560"/>
      </w:r>
      <w:r>
        <w:rPr>
          <w:rFonts w:ascii="Amiri" w:hAnsi="Amiri" w:eastAsia="Amiri" w:cs="Amiri"/>
          <w:color w:val="111111"/>
          <w:sz w:val="28"/>
          <w:sz w:val="28"/>
          <w:szCs w:val="28"/>
          <w:rtl w:val="true"/>
          <w:lang w:bidi="ar-SA"/>
        </w:rPr>
        <w:t xml:space="preserve">، و لإطلاق الأدلّة و فحوى ما دلّ على أنّ الصغيرة ليست قادحة و عموم أدلّة قبول الشهادة و إن بلغ حدّ التهاون، فعن صريح الشرائع </w:t>
      </w:r>
      <w:r>
        <w:rPr>
          <w:rStyle w:val="FootnoteAnchor"/>
          <w:rtl w:val="true"/>
        </w:rPr>
        <w:footnoteReference w:id="561"/>
      </w:r>
      <w:r>
        <w:rPr>
          <w:rFonts w:ascii="Amiri" w:hAnsi="Amiri" w:eastAsia="Amiri" w:cs="Amiri"/>
          <w:color w:val="111111"/>
          <w:sz w:val="28"/>
          <w:sz w:val="28"/>
          <w:szCs w:val="28"/>
          <w:rtl w:val="true"/>
          <w:lang w:bidi="ar-SA"/>
        </w:rPr>
        <w:t xml:space="preserve">و التحرير </w:t>
      </w:r>
      <w:r>
        <w:rPr>
          <w:rStyle w:val="FootnoteAnchor"/>
          <w:rtl w:val="true"/>
        </w:rPr>
        <w:footnoteReference w:id="562"/>
      </w:r>
      <w:r>
        <w:rPr>
          <w:rFonts w:ascii="IRNazanin" w:hAnsi="IRNazanin" w:eastAsia="IRNazanin"/>
          <w:color w:val="111111"/>
          <w:sz w:val="28"/>
          <w:sz w:val="28"/>
          <w:szCs w:val="28"/>
          <w:rtl w:val="true"/>
          <w:lang w:bidi="fa-IR"/>
        </w:rPr>
        <w:t xml:space="preserve">و الدروس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الروضة </w:t>
      </w:r>
      <w:r>
        <w:rPr>
          <w:rStyle w:val="FootnoteAnchor"/>
          <w:rtl w:val="true"/>
        </w:rPr>
        <w:footnoteReference w:id="564"/>
      </w:r>
      <w:r>
        <w:rPr>
          <w:rFonts w:ascii="Amiri" w:hAnsi="Amiri" w:eastAsia="Amiri" w:cs="Amiri"/>
          <w:color w:val="111111"/>
          <w:sz w:val="28"/>
          <w:sz w:val="28"/>
          <w:szCs w:val="28"/>
          <w:rtl w:val="true"/>
          <w:lang w:bidi="ar-SA"/>
        </w:rPr>
        <w:t xml:space="preserve">و الكشفين </w:t>
      </w:r>
      <w:r>
        <w:rPr>
          <w:rStyle w:val="FootnoteAnchor"/>
          <w:rtl w:val="true"/>
        </w:rPr>
        <w:footnoteReference w:id="565"/>
      </w:r>
      <w:r>
        <w:rPr>
          <w:rFonts w:ascii="Amiri" w:hAnsi="Amiri" w:eastAsia="Amiri" w:cs="Amiri"/>
          <w:color w:val="111111"/>
          <w:sz w:val="28"/>
          <w:sz w:val="28"/>
          <w:szCs w:val="28"/>
          <w:rtl w:val="true"/>
          <w:lang w:bidi="ar-SA"/>
        </w:rPr>
        <w:t xml:space="preserve">قدحه فيها، بل عن المسالك </w:t>
      </w:r>
      <w:r>
        <w:rPr>
          <w:rStyle w:val="FootnoteAnchor"/>
          <w:rtl w:val="true"/>
        </w:rPr>
        <w:footnoteReference w:id="566"/>
      </w:r>
      <w:r>
        <w:rPr>
          <w:rFonts w:ascii="Amiri" w:hAnsi="Amiri" w:eastAsia="Amiri" w:cs="Amiri"/>
          <w:color w:val="111111"/>
          <w:sz w:val="28"/>
          <w:sz w:val="28"/>
          <w:szCs w:val="28"/>
          <w:rtl w:val="true"/>
          <w:lang w:bidi="ar-SA"/>
        </w:rPr>
        <w:t xml:space="preserve">قدح ترك صنف منها كالنوافل منها أيضا، استنادا إلى كونه خلاف المروّة، كما في الروضة </w:t>
      </w:r>
      <w:r>
        <w:rPr>
          <w:rStyle w:val="FootnoteAnchor"/>
          <w:rtl w:val="true"/>
        </w:rPr>
        <w:footnoteReference w:id="567"/>
      </w:r>
      <w:r>
        <w:rPr>
          <w:rFonts w:ascii="Amiri" w:hAnsi="Amiri" w:eastAsia="Amiri" w:cs="Amiri"/>
          <w:color w:val="111111"/>
          <w:sz w:val="28"/>
          <w:sz w:val="28"/>
          <w:szCs w:val="28"/>
          <w:rtl w:val="true"/>
          <w:lang w:bidi="ar-SA"/>
        </w:rPr>
        <w:t>، بل ربما يحتمل كونه معصية، لدلالته على قلة المبالاة بأمر الدين، فيكون قادحا، 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إذ لا يتّفق عادة ترك جميع المستحبّات، كما نبّه عليه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عدم قدح ترك خصوص الجماعة في العدالة أيضا، إلّا إذا بلغ حدّ الاستهانة و الاحتقار و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السبزواري و الأردبيلي و المجلسي قدحه فيها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يعفور </w:t>
      </w:r>
      <w:r>
        <w:rPr>
          <w:rStyle w:val="FootnoteAnchor"/>
          <w:rtl w:val="true"/>
        </w:rPr>
        <w:footnoteReference w:id="568"/>
      </w:r>
      <w:r>
        <w:rPr>
          <w:rFonts w:ascii="Amiri" w:hAnsi="Amiri" w:eastAsia="Amiri" w:cs="Amiri"/>
          <w:color w:val="111111"/>
          <w:sz w:val="28"/>
          <w:sz w:val="28"/>
          <w:szCs w:val="28"/>
          <w:rtl w:val="true"/>
          <w:lang w:bidi="ar-SA"/>
        </w:rPr>
        <w:t>عن الصادق عليه السّلام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لمن صلّى في بيته و رغب عن جماعتنا، و من رغب عن جماعة المسلمين وجب على المسلمين غيبته، و سقط عندهم عدالته، و وجب هجرانه، و إذا رفع إلى إمام المسلمين أنذره و حذره، فإن حضر جماعة المسلمين، و إلّا أحرق عليه بيته، و من لزم جماعتهم حرمت عليهم غيبته، و ثبتت عدالته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 المرويّ في البحار </w:t>
      </w:r>
      <w:r>
        <w:rPr>
          <w:rStyle w:val="FootnoteAnchor"/>
          <w:rtl w:val="true"/>
        </w:rPr>
        <w:footnoteReference w:id="569"/>
      </w:r>
      <w:r>
        <w:rPr>
          <w:rFonts w:ascii="Amiri" w:hAnsi="Amiri" w:eastAsia="Amiri" w:cs="Amiri"/>
          <w:color w:val="111111"/>
          <w:sz w:val="28"/>
          <w:sz w:val="28"/>
          <w:szCs w:val="28"/>
          <w:rtl w:val="true"/>
          <w:lang w:bidi="ar-SA"/>
        </w:rPr>
        <w:t>عن الشهيد الثاني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 و لا</w:t>
      </w:r>
    </w:p>
    <w:p>
      <w:pPr>
        <w:pStyle w:val="BookText"/>
        <w:rPr/>
      </w:pPr>
      <w:r>
        <w:rPr>
          <w:rFonts w:ascii="Amiri" w:hAnsi="Amiri" w:eastAsia="Amiri" w:cs="Amiri"/>
          <w:color w:val="111111"/>
          <w:sz w:val="28"/>
          <w:sz w:val="28"/>
          <w:szCs w:val="28"/>
          <w:rtl w:val="true"/>
          <w:lang w:bidi="ar-SA"/>
        </w:rPr>
        <w:t xml:space="preserve">غيبة إلّا لمن صلّى في بيته، و رغب من جماعتنا و من رغب عن جماعة المسلمين سقطت عدالته، و وجب هجرانه، و إن رفع إلى إمام المسلمين أنذره </w:t>
      </w:r>
      <w:r>
        <w:rPr>
          <w:rStyle w:val="FootnoteAnchor"/>
          <w:rtl w:val="true"/>
        </w:rPr>
        <w:footnoteReference w:id="57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مدفوعان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بضعف السند، مع عدم الجابر، سيما مع ندرة القائل، و اشتمالها على 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بضعف الدلالة، ضرورة أنّهما ليسا على ظاهرهما، للإجماع على عدم كون ترك الجماعة فسقا و مجوّزا للغيبة و سببا يوجب الهجران، مضافا إلى ما في الأوّل من التعذيب و الحرق في جوف بيته المنافي للاستحباب، و في الثاني من نفي الصلاة عن من لم يجب النداء و لم يصلّ في المسجد مع المسلمين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تنزيلهما، إما على الاستهانة و الإعراض و الاحتقار، كما أشار إليه الشهيد في الذكرى </w:t>
      </w:r>
      <w:r>
        <w:rPr>
          <w:rStyle w:val="FootnoteAnchor"/>
          <w:rtl w:val="true"/>
        </w:rPr>
        <w:footnoteReference w:id="572"/>
      </w:r>
      <w:r>
        <w:rPr>
          <w:rFonts w:ascii="Amiri" w:hAnsi="Amiri" w:eastAsia="Amiri" w:cs="Amiri"/>
          <w:color w:val="111111"/>
          <w:sz w:val="28"/>
          <w:sz w:val="28"/>
          <w:szCs w:val="28"/>
          <w:rtl w:val="true"/>
          <w:lang w:bidi="ar-SA"/>
        </w:rPr>
        <w:t>، و يشعر به سياق الخبرين،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 عن جماعتنا و عن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ذيلهما سيما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المداومة على الترك الناشئة غالبا عن الاستهانة و التبغّض، أو تقييدهما بترك الجماعة الواجبة، كالجمعة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الأخير على مجرّد المداومة على الترك، و حمل نفي الصلاة على نفي الكمال، و وجوب الهجران و الإنذار على مجرد المبالغة، لا يخرجه عن الإجمال المنافي للاستدلال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ثالثا بمعارضتهما لبعض ما تقدّم، كموثق سماعة </w:t>
      </w:r>
      <w:r>
        <w:rPr>
          <w:rStyle w:val="FootnoteAnchor"/>
          <w:rtl w:val="true"/>
        </w:rPr>
        <w:footnoteReference w:id="5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بالعموم من وجه، و الترجيح للأخير بوجوه شتّى</w:t>
      </w:r>
      <w:r>
        <w:rPr>
          <w:rFonts w:eastAsia="Amiri" w:cs="Amiri" w:ascii="Amiri" w:hAnsi="Amiri"/>
          <w:color w:val="111111"/>
          <w:sz w:val="28"/>
          <w:szCs w:val="28"/>
          <w:rtl w:val="true"/>
          <w:lang w:bidi="ar-SA"/>
        </w:rPr>
        <w:t>.</w:t>
      </w:r>
      <w:bookmarkStart w:id="167" w:name="pg2497_12084"/>
    </w:p>
    <w:p>
      <w:pPr>
        <w:pStyle w:val="Heading4"/>
        <w:numPr>
          <w:ilvl w:val="3"/>
          <w:numId w:val="1"/>
        </w:numPr>
        <w:rPr/>
      </w:pPr>
      <w:bookmarkStart w:id="168" w:name="__RefHeading___Toc3861885_3804643083"/>
      <w:bookmarkStart w:id="169" w:name="_Toc65"/>
      <w:bookmarkEnd w:id="167"/>
      <w:bookmarkEnd w:id="168"/>
      <w:r>
        <w:rPr>
          <w:rtl w:val="true"/>
        </w:rPr>
        <w:t>البحث الرابع</w:t>
      </w:r>
      <w:r>
        <w:rPr>
          <w:rtl w:val="true"/>
        </w:rPr>
        <w:t xml:space="preserve">: </w:t>
      </w:r>
      <w:r>
        <w:rPr>
          <w:rtl w:val="true"/>
        </w:rPr>
        <w:t>يتوقّف العدالة الشرعية على صحّة المذهب، فيشترط فيها الإسلام و الإيمان،</w:t>
      </w:r>
      <w:bookmarkEnd w:id="169"/>
    </w:p>
    <w:p>
      <w:pPr>
        <w:pStyle w:val="BookText"/>
        <w:rPr/>
      </w:pPr>
      <w:r>
        <w:rPr>
          <w:rFonts w:ascii="Amiri" w:hAnsi="Amiri" w:eastAsia="Amiri" w:cs="Amiri"/>
          <w:color w:val="111111"/>
          <w:sz w:val="28"/>
          <w:sz w:val="28"/>
          <w:szCs w:val="28"/>
          <w:rtl w:val="true"/>
          <w:lang w:bidi="ar-SA"/>
        </w:rPr>
        <w:t xml:space="preserve">كما صرّح به العلّامة </w:t>
      </w:r>
      <w:r>
        <w:rPr>
          <w:rStyle w:val="FootnoteAnchor"/>
          <w:rtl w:val="true"/>
        </w:rPr>
        <w:footnoteReference w:id="574"/>
      </w:r>
      <w:r>
        <w:rPr>
          <w:rFonts w:ascii="Amiri" w:hAnsi="Amiri" w:eastAsia="Amiri" w:cs="Amiri"/>
          <w:color w:val="111111"/>
          <w:sz w:val="28"/>
          <w:sz w:val="28"/>
          <w:szCs w:val="28"/>
          <w:rtl w:val="true"/>
          <w:lang w:bidi="ar-SA"/>
        </w:rPr>
        <w:t xml:space="preserve">، و صاحب المعالم في المنتقى </w:t>
      </w:r>
      <w:r>
        <w:rPr>
          <w:rStyle w:val="FootnoteAnchor"/>
          <w:rtl w:val="true"/>
        </w:rPr>
        <w:footnoteReference w:id="575"/>
      </w:r>
      <w:r>
        <w:rPr>
          <w:rFonts w:ascii="Amiri" w:hAnsi="Amiri" w:eastAsia="Amiri" w:cs="Amiri"/>
          <w:color w:val="111111"/>
          <w:sz w:val="28"/>
          <w:sz w:val="28"/>
          <w:szCs w:val="28"/>
          <w:rtl w:val="true"/>
          <w:lang w:bidi="ar-SA"/>
        </w:rPr>
        <w:t xml:space="preserve">، و والدي العلّامة </w:t>
      </w:r>
      <w:r>
        <w:rPr>
          <w:rStyle w:val="FootnoteAnchor"/>
          <w:rtl w:val="true"/>
        </w:rPr>
        <w:footnoteReference w:id="576"/>
      </w:r>
      <w:r>
        <w:rPr>
          <w:rFonts w:ascii="Amiri" w:hAnsi="Amiri" w:eastAsia="Amiri" w:cs="Amiri"/>
          <w:color w:val="111111"/>
          <w:sz w:val="28"/>
          <w:sz w:val="28"/>
          <w:szCs w:val="28"/>
          <w:rtl w:val="true"/>
          <w:lang w:bidi="ar-SA"/>
        </w:rPr>
        <w:t>و غيرهم، و إن لم نقل بتوقّف معناها المعروف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تعديل القوى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أنّ فيه كلاما أيضا، إذ من القوى القوّة العاقلة، و تعديلها بحصول ملكة العلم الذي هو الاعتقاد المطابق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 العدالة بهذا المعنى أمر توقيفيّ يقتصر فيه على موضع الاتفاق و النصّ، و الأوّل ظاهر الاختصاص بالمسلم و المؤمن، و كذا الثاني، لاختصاص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تضمّنها لوجوب الأخوة و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البصيرة في الدين، و يمكن إجراء الأصل في المشروط له أيضا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الكبيرة قادح في العدالة، و أيّ كبيرة أعظم من الكفر، أو متابعة الإمام الجائر، و الردّ على المنصوب من قبل اللّه سبحانه، مع تواتر الكتاب و السنة في خلود المتّصف بهما في النار، بل يدلّ عليه خصوص ما في جملة من الأخبار من عدّ الشرك و الكفر باللّه سبحانه من الكبائر التي أوعد اللّه تعالى عليها النار، بل من أكبر الكبائر، و ما في روايتي أبي الصامت المروية في التهذيب </w:t>
      </w:r>
      <w:r>
        <w:rPr>
          <w:rStyle w:val="FootnoteAnchor"/>
          <w:rtl w:val="true"/>
        </w:rPr>
        <w:footnoteReference w:id="577"/>
      </w:r>
      <w:r>
        <w:rPr>
          <w:rFonts w:ascii="Amiri" w:hAnsi="Amiri" w:eastAsia="Amiri" w:cs="Amiri"/>
          <w:color w:val="111111"/>
          <w:sz w:val="28"/>
          <w:sz w:val="28"/>
          <w:szCs w:val="28"/>
          <w:rtl w:val="true"/>
          <w:lang w:bidi="ar-SA"/>
        </w:rPr>
        <w:t xml:space="preserve">، و عبد الرحمن بن كثير المروية في الفقيه </w:t>
      </w:r>
      <w:r>
        <w:rPr>
          <w:rStyle w:val="FootnoteAnchor"/>
          <w:rtl w:val="true"/>
        </w:rPr>
        <w:footnoteReference w:id="578"/>
      </w:r>
      <w:r>
        <w:rPr>
          <w:rFonts w:ascii="Amiri" w:hAnsi="Amiri" w:eastAsia="Amiri" w:cs="Amiri"/>
          <w:color w:val="111111"/>
          <w:sz w:val="28"/>
          <w:sz w:val="28"/>
          <w:szCs w:val="28"/>
          <w:rtl w:val="true"/>
          <w:lang w:bidi="ar-SA"/>
        </w:rPr>
        <w:t>، من عدّ إنكار حقوقهم، من الكبائر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معصية كبيرة، إنما هو على فرض التقصير في التحقيق و عدم حصول العلم، و إلّا فلا يكلّف اللّه نفسا فوق معلومها، مدفوع، بأنّ قول الإمام عليه السّلام بكونها على الإطلاق كبيرة أوعد اللّه سبحانه عليها النار، و استفاضة الآيات و الأخبار على عقوبة المتّصف بهما و خلوده في النار، مع ضرورة العقل بعدمه عند عدم التقصير و العلم بالخلاف، منبئ عن عدم تخلف البصيرة في الإيمان و حصول الاعتقاد الصحيح عن بذل المجهود في تحقيق الدين، و لا ينبّئك مثل خبير، سيما مع اعتضاد ذلك بمثل قوله تعالى وَ الَّذِينَ جٰاهَدُوا فِينٰا لَنَهْدِيَنَّهُمْ سُبُلَنٰا </w:t>
      </w:r>
      <w:r>
        <w:rPr>
          <w:rStyle w:val="FootnoteAnchor"/>
          <w:rtl w:val="true"/>
        </w:rPr>
        <w:footnoteReference w:id="579"/>
      </w:r>
      <w:r>
        <w:rPr>
          <w:rFonts w:ascii="Amiri" w:hAnsi="Amiri" w:eastAsia="Amiri" w:cs="Amiri"/>
          <w:color w:val="111111"/>
          <w:sz w:val="28"/>
          <w:sz w:val="28"/>
          <w:szCs w:val="28"/>
          <w:rtl w:val="true"/>
          <w:lang w:bidi="ar-SA"/>
        </w:rPr>
        <w:t>و سائر الاعتبارات العقلية و الشواهد الذوقية، فليس لتعرض عدم التقصير و حصول الجزم بالخلاف الخالي عن شبهة الترديد، مع تذكر الخلاف مورد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بما ذكره والدي العلّامة </w:t>
      </w:r>
      <w:r>
        <w:rPr>
          <w:rStyle w:val="FootnoteAnchor"/>
          <w:rtl w:val="true"/>
        </w:rPr>
        <w:footnoteReference w:id="580"/>
      </w:r>
      <w:r>
        <w:rPr>
          <w:rFonts w:ascii="Amiri" w:hAnsi="Amiri" w:eastAsia="Amiri" w:cs="Amiri"/>
          <w:color w:val="111111"/>
          <w:sz w:val="28"/>
          <w:sz w:val="28"/>
          <w:szCs w:val="28"/>
          <w:rtl w:val="true"/>
          <w:lang w:bidi="ar-SA"/>
        </w:rPr>
        <w:t>بأنّه لا يقول أحد بعدالة غير المؤمن أو الكافر الذي لم يعلم في حقّه بذل الجهد في تحقيق الدين، بحيث لم يمكن فوق ذلك، و حصول العلم لنا في حقّ المخالف أو الكافر أنّه باذل جهده و سعيه، و حصل له العلم بحقّية دينه، إمّا غير ممكن، أو نادر جدّا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كثير مما تقدّم من الأخبار، سيما صحيح ابن أبي يعفور، في قوله عليه السّلام </w:t>
      </w:r>
      <w:r>
        <w:rPr>
          <w:rStyle w:val="FootnoteAnchor"/>
          <w:rtl w:val="true"/>
        </w:rPr>
        <w:footnoteReference w:id="5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باجتناب الكبائر التي أوعد اللّه تعالى، عليها النار و كفّ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الكفّ عن محرّمات دين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بتعاهد الصلوات الخمس و حفظ مواقيتها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الإسلام، لعدم شموله للكافر و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سئل عنه في قبيلته و محلّته قالوا ما رأينا منه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و اشتراط الإيمان أيضا</w:t>
      </w:r>
      <w:bookmarkStart w:id="170" w:name="pg2497_12088"/>
    </w:p>
    <w:p>
      <w:pPr>
        <w:pStyle w:val="BookText"/>
        <w:rPr/>
      </w:pPr>
      <w:bookmarkEnd w:id="170"/>
      <w:r>
        <w:rPr>
          <w:rFonts w:ascii="Amiri" w:hAnsi="Amiri" w:eastAsia="Amiri" w:cs="Amiri"/>
          <w:color w:val="111111"/>
          <w:sz w:val="28"/>
          <w:sz w:val="28"/>
          <w:szCs w:val="28"/>
          <w:rtl w:val="true"/>
          <w:lang w:bidi="ar-SA"/>
        </w:rPr>
        <w:t>ضرورة أن ليس الكفر و الردّ على الإمام و متابعة الإمام الغاصب خيرا قطعا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861887_3804643083"/>
      <w:bookmarkStart w:id="172" w:name="_Toc66"/>
      <w:bookmarkEnd w:id="171"/>
      <w:r>
        <w:rPr>
          <w:rtl w:val="true"/>
        </w:rPr>
        <w:t>البحث الخامس</w:t>
      </w:r>
      <w:r>
        <w:rPr>
          <w:rtl w:val="true"/>
        </w:rPr>
        <w:t xml:space="preserve">: </w:t>
      </w:r>
      <w:r>
        <w:rPr>
          <w:rtl w:val="true"/>
        </w:rPr>
        <w:t>قالوا</w:t>
      </w:r>
      <w:r>
        <w:rPr>
          <w:rtl w:val="true"/>
        </w:rPr>
        <w:t xml:space="preserve">: </w:t>
      </w:r>
      <w:r>
        <w:rPr>
          <w:rtl w:val="true"/>
        </w:rPr>
        <w:t>لا يقدح الذنب إذا تاب عنه، و هذا في قبول الشهادة لعلّه لا خلاف فيه،</w:t>
      </w:r>
      <w:bookmarkEnd w:id="172"/>
    </w:p>
    <w:p>
      <w:pPr>
        <w:pStyle w:val="BookText"/>
        <w:rPr/>
      </w:pPr>
      <w:r>
        <w:rPr>
          <w:rFonts w:ascii="Amiri" w:hAnsi="Amiri" w:eastAsia="Amiri" w:cs="Amiri"/>
          <w:color w:val="111111"/>
          <w:sz w:val="28"/>
          <w:sz w:val="28"/>
          <w:szCs w:val="28"/>
          <w:rtl w:val="true"/>
          <w:lang w:bidi="ar-SA"/>
        </w:rPr>
        <w:t>بل عليه الإجماع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المعتبرة المستفيضة المصرحة بقبول شهادة القاذف و السارق و المحدود بعد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المطلوب بعدم القول بالفصل، بل قال المولى الأردبيلي </w:t>
      </w:r>
      <w:r>
        <w:rPr>
          <w:rStyle w:val="FootnoteAnchor"/>
          <w:rtl w:val="true"/>
        </w:rPr>
        <w:footnoteReference w:id="582"/>
      </w:r>
      <w:r>
        <w:rPr>
          <w:rFonts w:ascii="Amiri" w:hAnsi="Amiri" w:eastAsia="Amiri" w:cs="Amiri"/>
          <w:color w:val="111111"/>
          <w:sz w:val="28"/>
          <w:sz w:val="28"/>
          <w:szCs w:val="28"/>
          <w:rtl w:val="true"/>
          <w:lang w:bidi="ar-SA"/>
        </w:rPr>
        <w:t>بإمكان التعميم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بالصحيح المزبور و نحوه مطلقا، حتّى في الساعة التي تاب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لما أشرنا إليه من توقّف صدق الاجتناب عن الكبائر و الستر و العفاف و نحوها على الإطلاق على تمادي زمان و استمرار مدّة عليه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حصول العدالة فصرّح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بل في مجمع الفائدة </w:t>
      </w:r>
      <w:r>
        <w:rPr>
          <w:rStyle w:val="FootnoteAnchor"/>
          <w:rtl w:val="true"/>
        </w:rPr>
        <w:footnoteReference w:id="583"/>
      </w:r>
      <w:r>
        <w:rPr>
          <w:rFonts w:ascii="Amiri" w:hAnsi="Amiri" w:eastAsia="Amiri" w:cs="Amiri"/>
          <w:color w:val="111111"/>
          <w:sz w:val="28"/>
          <w:sz w:val="28"/>
          <w:szCs w:val="28"/>
          <w:rtl w:val="true"/>
          <w:lang w:bidi="ar-SA"/>
        </w:rPr>
        <w:t>لا يبعد أن يكون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إطلاقه على القول بكون العدالة ملكة راسخة إشكال، لأنّ التائب إن كان مسبوقا بالملكة، فإن لم يزل ملكته بالذنب لا يسقط عدالته، إلّا بجعل عدم المفارقة للذنب شرطا زائدا، كما أنّ الظاهر كونه إجماعيا، و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يسبق بالملكة، أو سبق و زالت بالتمادي في الذنب، فلا يحكم بمجرّد التوبة بعود العدالة مطلقا، إلّا بعد مزاولة الآثار و تكريرها إلى أن تمدّدت و عادت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إنّ ظاهر كلماتهم الاتفاق على عود العدالة بمجرّد التوبة، فهذا حجّة أخرى على القائل بالملكة، كما أشار إليه في مجمع الفائدة </w:t>
      </w:r>
      <w:r>
        <w:rPr>
          <w:rStyle w:val="FootnoteAnchor"/>
          <w:rtl w:val="true"/>
        </w:rPr>
        <w:footnoteReference w:id="584"/>
      </w:r>
      <w:r>
        <w:rPr>
          <w:rFonts w:ascii="IRNazanin" w:hAnsi="IRNazanin" w:eastAsia="IRNazanin"/>
          <w:color w:val="111111"/>
          <w:sz w:val="28"/>
          <w:sz w:val="28"/>
          <w:szCs w:val="28"/>
          <w:rtl w:val="true"/>
          <w:lang w:bidi="fa-IR"/>
        </w:rPr>
        <w:t xml:space="preserve">و المستند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w:t>
      </w:r>
      <w:bookmarkStart w:id="173" w:name="pg2497_12090"/>
    </w:p>
    <w:p>
      <w:pPr>
        <w:pStyle w:val="BookText"/>
        <w:rPr/>
      </w:pPr>
      <w:bookmarkEnd w:id="173"/>
      <w:r>
        <w:rPr>
          <w:rFonts w:ascii="Amiri" w:hAnsi="Amiri" w:eastAsia="Amiri" w:cs="Amiri"/>
          <w:color w:val="111111"/>
          <w:sz w:val="28"/>
          <w:sz w:val="28"/>
          <w:szCs w:val="28"/>
          <w:rtl w:val="true"/>
          <w:lang w:bidi="ar-SA"/>
        </w:rPr>
        <w:t>يقال باختصاص الاتفاق المذكور بصورة سبق الملكة، كما يشعر به قولهم في المقام بعود العدالة و قضاء العادة بعدم زوالها بمجرّد الذنب، و لكن يتّجه عليه ظهور الإجماع على قبول الشهادة بعد التوبة مطلقا، و تفكيكه عن أصل العدالة ينافي إطلاق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بحسن الظاهر، فيصحّ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 صدق الأوصاف المذكورة في الصحيحة على وجه الإطلاق، كالاجتناب عن الكبائر و الستر و العفاف على الاستمرار، حسب ما ذكر و سنذكر، فلا يصدق بمجرّد التوبة، غير متّجه هنا، إذ الظاهر صدقه عرفا، مع العلم بالتوبة الصحيحة، و حصول الهيئة الصالحة في النفس الباعثة على العزم على الاستمرار على تلك الأوصاف، كما نبّه عليه المقدّس الأردبيلي، و والدي العلّامة و هذا هو الدليل على ثبوت العدالة بالتوبة، على القول بحسن الظاهر، المختار عندنا فيما سيأتي، لكونه المعيار لها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يكتفى في ثبوت التوبة بمجرّد إظهاره، كقول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أو أستغفر اللّه و أتوب إليه، أم يشترط العلم بتحقّق شرائطها القلبية، من الندامة عن المعاصي </w:t>
      </w:r>
      <w:r>
        <w:rPr>
          <w:rStyle w:val="FootnoteAnchor"/>
          <w:rtl w:val="true"/>
        </w:rPr>
        <w:footnoteReference w:id="586"/>
      </w:r>
      <w:r>
        <w:rPr>
          <w:rFonts w:ascii="Amiri" w:hAnsi="Amiri" w:eastAsia="Amiri" w:cs="Amiri"/>
          <w:color w:val="111111"/>
          <w:sz w:val="28"/>
          <w:sz w:val="28"/>
          <w:szCs w:val="28"/>
          <w:rtl w:val="true"/>
          <w:lang w:bidi="ar-SA"/>
        </w:rPr>
        <w:t>و العزم على الآتي و غيرهما بظهور آثارها في الخارج في مدّة أمكن العلم بها و الاجتناب عنها؟</w:t>
      </w:r>
    </w:p>
    <w:p>
      <w:pPr>
        <w:pStyle w:val="BookText"/>
        <w:rPr/>
      </w:pPr>
      <w:r>
        <w:rPr>
          <w:rFonts w:ascii="Amiri" w:hAnsi="Amiri" w:eastAsia="Amiri" w:cs="Amiri"/>
          <w:color w:val="111111"/>
          <w:sz w:val="28"/>
          <w:sz w:val="28"/>
          <w:szCs w:val="28"/>
          <w:rtl w:val="true"/>
          <w:lang w:bidi="ar-SA"/>
        </w:rPr>
        <w:t>الظاهر الثاني، و حمل فعل المسلم على الصحة لا يكتفي به في مثل المقام، و إلّا اكتفى في الشاهد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عادل، بل لم أجد مصرّحا به، فإنّ السبب المتوقّف عليه العدالة هو التوبة، و هي الندامة و العزم القلبيان، فيجب العلم بهما،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أو أستغفر اللّه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861889_3804643083"/>
      <w:bookmarkStart w:id="175" w:name="_Toc67"/>
      <w:bookmarkEnd w:id="174"/>
      <w:r>
        <w:rPr>
          <w:rtl w:val="true"/>
        </w:rPr>
        <w:t>المطلب الثاني</w:t>
      </w:r>
      <w:r>
        <w:rPr>
          <w:rtl w:val="true"/>
        </w:rPr>
        <w:t xml:space="preserve">: </w:t>
      </w:r>
      <w:r>
        <w:rPr>
          <w:rtl w:val="true"/>
        </w:rPr>
        <w:t>في بيان ما يكشف عن العدالة و كيفية البحث عن ثبوتها</w:t>
      </w:r>
      <w:r>
        <w:rPr>
          <w:rtl w:val="true"/>
        </w:rPr>
        <w:t>.</w:t>
      </w:r>
      <w:bookmarkEnd w:id="17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علمت اختلافهم في حقيقة العدالة في أنّها الملكة أو نفس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أشرنا إلى أنّه على الأوّل يشترط مقارنة الملكة لعدم التخلّف في العمل عن الاجتناب عن الكبيرة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ثانيا فيما يكشف شرعا عن ثبوت هذا المعنى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البحث عن الباطن و المعاشرة التامّة، و الصحبة المتأكّدة الموجبة لمعرفة الحقيقة، حتّى أنّه على القول بالملكة يلزم الاختبار العلمي عنها المميّز بين الخلق و التخلّق، و الطبع و التكلّف، أو ثبوتها بالشياع العلمي أو شهادة العدلين، اختار ذلك أكثر المتأخّرين، بل نسبه في المسالك </w:t>
      </w:r>
      <w:r>
        <w:rPr>
          <w:rStyle w:val="FootnoteAnchor"/>
          <w:rtl w:val="true"/>
        </w:rPr>
        <w:footnoteReference w:id="587"/>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ذلك بحسن الظاهر؛ ذهب إليه جمع من المتأخرين، و في الذكرى </w:t>
      </w:r>
      <w:r>
        <w:rPr>
          <w:rStyle w:val="FootnoteAnchor"/>
          <w:rtl w:val="true"/>
        </w:rPr>
        <w:footnoteReference w:id="588"/>
      </w:r>
      <w:r>
        <w:rPr>
          <w:rFonts w:ascii="Amiri" w:hAnsi="Amiri" w:eastAsia="Amiri" w:cs="Amiri"/>
          <w:color w:val="111111"/>
          <w:sz w:val="28"/>
          <w:sz w:val="28"/>
          <w:szCs w:val="28"/>
          <w:rtl w:val="true"/>
          <w:lang w:bidi="ar-SA"/>
        </w:rPr>
        <w:t xml:space="preserve">عن بعض الأصحاب، و حكي عن الشيخ </w:t>
      </w:r>
      <w:r>
        <w:rPr>
          <w:rStyle w:val="FootnoteAnchor"/>
          <w:rtl w:val="true"/>
        </w:rPr>
        <w:footnoteReference w:id="5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كما عرفت ما هو في قبال الواقع، فلا يلزم البحث عن الباطن، كما على الأوّل، بل يكتفي بمعرفة الظاهر المشهود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فيه على ظهور الإسلام، و عدم ظهور الفسق؛ حكي عن الإسكافي </w:t>
      </w:r>
      <w:r>
        <w:rPr>
          <w:rStyle w:val="FootnoteAnchor"/>
          <w:rtl w:val="true"/>
        </w:rPr>
        <w:footnoteReference w:id="590"/>
      </w:r>
      <w:r>
        <w:rPr>
          <w:rFonts w:ascii="Amiri" w:hAnsi="Amiri" w:eastAsia="Amiri" w:cs="Amiri"/>
          <w:color w:val="111111"/>
          <w:sz w:val="28"/>
          <w:sz w:val="28"/>
          <w:szCs w:val="28"/>
          <w:rtl w:val="true"/>
          <w:lang w:bidi="ar-SA"/>
        </w:rPr>
        <w:t xml:space="preserve">و المفيد في الإشراف </w:t>
      </w:r>
      <w:r>
        <w:rPr>
          <w:rStyle w:val="FootnoteAnchor"/>
          <w:rtl w:val="true"/>
        </w:rPr>
        <w:footnoteReference w:id="591"/>
      </w:r>
      <w:r>
        <w:rPr>
          <w:rFonts w:ascii="Amiri" w:hAnsi="Amiri" w:eastAsia="Amiri" w:cs="Amiri"/>
          <w:color w:val="111111"/>
          <w:sz w:val="28"/>
          <w:sz w:val="28"/>
          <w:szCs w:val="28"/>
          <w:rtl w:val="true"/>
          <w:lang w:bidi="ar-SA"/>
        </w:rPr>
        <w:t xml:space="preserve">و الشيخ في الخلاف </w:t>
      </w:r>
      <w:r>
        <w:rPr>
          <w:rStyle w:val="FootnoteAnchor"/>
          <w:rtl w:val="true"/>
        </w:rPr>
        <w:footnoteReference w:id="592"/>
      </w:r>
      <w:r>
        <w:rPr>
          <w:rFonts w:ascii="IRNazanin" w:hAnsi="IRNazanin" w:eastAsia="IRNazanin"/>
          <w:color w:val="111111"/>
          <w:sz w:val="28"/>
          <w:sz w:val="28"/>
          <w:szCs w:val="28"/>
          <w:rtl w:val="true"/>
          <w:lang w:bidi="fa-IR"/>
        </w:rPr>
        <w:t xml:space="preserve">و المبسوط </w:t>
      </w:r>
      <w:r>
        <w:rPr>
          <w:rStyle w:val="FootnoteAnchor"/>
          <w:rtl w:val="true"/>
        </w:rPr>
        <w:footnoteReference w:id="593"/>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 هؤلاء أن ظهور الإسلام و عدم ظهور الفسق من الأمارات التعبّدية</w:t>
      </w:r>
    </w:p>
    <w:p>
      <w:pPr>
        <w:pStyle w:val="BookText"/>
        <w:rPr/>
      </w:pPr>
      <w:r>
        <w:rPr>
          <w:rFonts w:ascii="Amiri" w:hAnsi="Amiri" w:eastAsia="Amiri" w:cs="Amiri"/>
          <w:color w:val="111111"/>
          <w:sz w:val="28"/>
          <w:sz w:val="28"/>
          <w:szCs w:val="28"/>
          <w:rtl w:val="true"/>
          <w:lang w:bidi="ar-SA"/>
        </w:rPr>
        <w:t xml:space="preserve">التي جعلها الشارع دليلا للعدالة، من قبيل اليد للملك، لا من باب الأصل و الاستصحاب، كما اشتبه الأمر على بعضهم من نسبة أصالة العدالة إلى الشيخ في الخلاف </w:t>
      </w:r>
      <w:r>
        <w:rPr>
          <w:rStyle w:val="FootnoteAnchor"/>
          <w:rtl w:val="true"/>
        </w:rPr>
        <w:footnoteReference w:id="595"/>
      </w:r>
      <w:r>
        <w:rPr>
          <w:rFonts w:ascii="Amiri" w:hAnsi="Amiri" w:eastAsia="Amiri" w:cs="Amiri"/>
          <w:color w:val="111111"/>
          <w:sz w:val="28"/>
          <w:sz w:val="28"/>
          <w:szCs w:val="28"/>
          <w:rtl w:val="true"/>
          <w:lang w:bidi="ar-SA"/>
        </w:rPr>
        <w:t>، لأنّ الكلام فيما يقتضيه الأصل من العدالة أو الفسق بحث آخر، و مقتضى النظر فيه كونهما على خلافه، لتوقّف كلّ منهما على صفة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فالأوسط القول الوسط، لا لما استدلّ عليه من النصوص الدالّة على ثبوت العدالة بوجود الأوصاف العملية ككونه خيرا و معلوما بخير و عفيفا أو عدم الخلف عن الوعد و عدم الكذب، أو عدم الظلم في المعاملة، كما في الموثّق المصرّح بأنّ من له تلك الأوصاف الثلاثة كان ممّن حرمت غيبته و ظهر عدله و وجبت أخوّته، لأنها ظاهرة في الأوصاف و الأعمال النفس الأمرية، و إن كانت من أعمال الجوارح، فيجب العلم بها، و لا يحصل العلم إلّا باختبارها الواقعيّ، مضافا إلى عدم انحصار الوصف المعتبر في العدالة بما وصف في أكثرها إجماعا، و عدم دلالة الموثّق على توقّف العدالة خاصّة عليها، بل هي مع وجوب الأخوة، بل للمعتبرة المصرّحة بالاكتفاء في ثبوت العدالة بمأمونية الظاهر، كمرسلة يونس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يجب على الناس أن يأخذوا فيها 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المواريث، و الذبائح، و الشهادات، فإذا كان ظاهره مأمونا جازت شهادته، و لا 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بالمعروفية بالصلاح في نفسه، كصحيحة ابن المغيرة </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الفطرة و عرف بصلاح في نفسه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بالمعروفية بالستر</w:t>
      </w:r>
    </w:p>
    <w:p>
      <w:pPr>
        <w:pStyle w:val="BookText"/>
        <w:rPr/>
      </w:pPr>
      <w:r>
        <w:rPr>
          <w:rFonts w:ascii="Amiri" w:hAnsi="Amiri" w:eastAsia="Amiri" w:cs="Amiri"/>
          <w:color w:val="111111"/>
          <w:sz w:val="28"/>
          <w:sz w:val="28"/>
          <w:szCs w:val="28"/>
          <w:rtl w:val="true"/>
          <w:lang w:bidi="ar-SA"/>
        </w:rPr>
        <w:t>و العفاف، و كفّ الأعضاء، و الساترية للعيوب، و التعاهد لأوقات الصلاة، كصحيحة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بل يدلّ على المطلوب ما رواه مولانا العسكري عليه السّلام </w:t>
      </w:r>
      <w:r>
        <w:rPr>
          <w:rStyle w:val="FootnoteAnchor"/>
          <w:rtl w:val="true"/>
        </w:rPr>
        <w:footnoteReference w:id="598"/>
      </w:r>
      <w:r>
        <w:rPr>
          <w:rFonts w:ascii="Amiri" w:hAnsi="Amiri" w:eastAsia="Amiri" w:cs="Amiri"/>
          <w:color w:val="111111"/>
          <w:sz w:val="28"/>
          <w:sz w:val="28"/>
          <w:szCs w:val="28"/>
          <w:rtl w:val="true"/>
          <w:lang w:bidi="ar-SA"/>
        </w:rPr>
        <w:t>، عن آبائه، عن أمير المؤمنين عليه السّلام، في كيفية قضاء رسول اللّه صلّى اللّه عليه و آله و سلّم، و اكتفائه في استركاء الشاهدين إذا لم يعرفهما بالرجوع إلى قبائلهما، فإن أثنوا عليهما بجميل ذكر صالح، قضي بشهادتهما، فلم يكتف بمجرّد الإسلام، و لم يبالغ في معرفة الحقيقة الواقعية و الاختبار الباطني، لظهور أنّ مجرّد هذا النبأ لا يوجب العلم بالواقع و وجود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الأوّلون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أمر واقعيّ، و وصف نفس أمري، و مقتضى تعلّق الحكم عليه لزوم مراعاته، و البحث عن ثبوته و عدمه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خلاف الأصل، و كذا المشروط بها، فلا يكتفي فيها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الاتّكال على شهادة من لا يفيد قوله العلم، للعمومات المانعة عن العمل بغير علم، خرج معلوم العدالة بالإجماع، و لا دليل على خروج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هارون </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لا يحلّ لأحد أن يظنّ بأحد خيرا حتّى يعرف ذلك منه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يصحّ، لو لا الدليل على الاكتفاء في المعرفة بالصلاح</w:t>
      </w:r>
    </w:p>
    <w:p>
      <w:pPr>
        <w:pStyle w:val="BookText"/>
        <w:rPr/>
      </w:pPr>
      <w:r>
        <w:rPr>
          <w:rFonts w:ascii="Amiri" w:hAnsi="Amiri" w:eastAsia="Amiri" w:cs="Amiri"/>
          <w:color w:val="111111"/>
          <w:sz w:val="28"/>
          <w:sz w:val="28"/>
          <w:szCs w:val="28"/>
          <w:rtl w:val="true"/>
          <w:lang w:bidi="ar-SA"/>
        </w:rPr>
        <w:t>الظاهري، و قد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الحكم على العدالة النفس الأمرية لا ينافيه، إذ الاكتفاء بالظاهر فيما دلّ عليه ليس من حيث هو، حتّى ينافيه التعليق بالواقع، بل من حيث كونه طريقا له، كما لا ينافي الاكتفاء في معرفة العدالة بشهادة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الأوّل يقتضي التعليق على نفس الأمر مطلقا، و الثاني بما إذا أصاب الطريق المذكور، و يطابقه الصلاح الظاهري، فيقيّد به للزوم تقديم المقيّد على المطلق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الأصل بما مرّ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بعض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ظاهرة في عدم حصول العلم بما يكتفي به فيها من دليل العدالة، بل بعضها صريحة فيه، كمرسلة يونس، فيخصّص بها العمومات المانعة عن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الظنّ في مثل مورد الرواية، إنّما هو للإرشاد و التنبيه على عدم الاغترار بموجب الظنّ في بدو النظر عند غلبة الجور، حملا لفعل المسلم على الصحّة، و إلّا فليس متعلق الاختبار عند موجبه، و لزم الانتقال من سبب الشك إلى سبب العلم، و هو كما ترى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 الآخرون بالإجماع المحكيّ في الخلاف </w:t>
      </w:r>
      <w:r>
        <w:rPr>
          <w:rStyle w:val="FootnoteAnchor"/>
          <w:rtl w:val="true"/>
        </w:rPr>
        <w:footnoteReference w:id="600"/>
      </w:r>
      <w:r>
        <w:rPr>
          <w:rFonts w:ascii="Amiri" w:hAnsi="Amiri" w:eastAsia="Amiri" w:cs="Amiri"/>
          <w:color w:val="111111"/>
          <w:sz w:val="28"/>
          <w:sz w:val="28"/>
          <w:szCs w:val="28"/>
          <w:rtl w:val="true"/>
          <w:lang w:bidi="ar-SA"/>
        </w:rPr>
        <w:t>، و المستفيضة من الأخبار المكتفية في معرفتها بظاهر الإسلام، كصحيحة حريز،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الوالى أن يجيز شهادتهم، أي المسلمين، إلّا أن يكونوا معروفين بالفسق</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 حسنة العلاء،</w:t>
      </w:r>
      <w:bookmarkStart w:id="176" w:name="pg2497_12101"/>
    </w:p>
    <w:p>
      <w:pPr>
        <w:pStyle w:val="BookText"/>
        <w:rPr/>
      </w:pPr>
      <w:bookmarkEnd w:id="176"/>
      <w:r>
        <w:rPr>
          <w:rFonts w:ascii="Amiri" w:hAnsi="Amiri" w:eastAsia="Amiri" w:cs="Amiri"/>
          <w:color w:val="111111"/>
          <w:sz w:val="28"/>
          <w:sz w:val="28"/>
          <w:szCs w:val="28"/>
          <w:rtl w:val="true"/>
          <w:lang w:bidi="ar-SA"/>
        </w:rPr>
        <w:t>من شهادة من يلعب بالحمام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لا 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سلمة </w:t>
      </w:r>
      <w:r>
        <w:rPr>
          <w:rStyle w:val="FootnoteAnchor"/>
          <w:rtl w:val="true"/>
        </w:rPr>
        <w:footnoteReference w:id="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المسلمين عدول بعضهم على بعض، إلّا مجلودا في حدّ لم يتب عنه، أو معروفا بشهادة زور، أو ظنينا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عرض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لم يشهد عليه بذلك شاهدان، فهو من أهل العدالة و الستر، و شهادته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الأخبار المتكثرة من الأمر بوضع أمر أخيك على أحسنه، و عدم اتّهام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الإجماع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موهونا بمصير المعظم على خلافه، بل يظهر من أكثر من نسب هذا القول إليهم ما يوافق المشهور، بحيث يمكن دعوى 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 ضعف أكثرها سندا، و عدم الجابر، و دلالة بوجوه لا يخفى على المتدبّر، يعارضها ما تقدّم من المعتبرة المستفيضة المشترطة لأوصاف صالحة وجودية في تعريف العدالة، و هي أخصّ مطلقا منها، فيخصّص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تساوي النسبة، فهي أرجح بكونها أكثر عددا، و أصحّ سندا، و أظهر دلالة و أشهر فتوى، و لأهل الخلاف خلافا، و للأصل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فرض التكافؤ و عدم الترجيح، فلموافقته الأصل يتعيّن العمل به أيضا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861891_3804643083"/>
      <w:bookmarkStart w:id="178" w:name="_Toc68"/>
      <w:bookmarkEnd w:id="177"/>
      <w:r>
        <w:rPr>
          <w:rtl w:val="true"/>
        </w:rPr>
        <w:t>تلخيص و تتميم</w:t>
      </w:r>
      <w:r>
        <w:rPr>
          <w:rtl w:val="true"/>
        </w:rPr>
        <w:t>:</w:t>
      </w:r>
      <w:bookmarkEnd w:id="17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الدالّة على الاكتفاء في معرفة العدالة بحسن الظاهر على ما تراه مختلفة في الأوصاف المعتبرة فيه زيادة و نقصانا، و المشتمل على الأكثر لما كان أخصّ من المكتفى بالأقلّ، يقدّم الأوّل، و يخصّص غيره به، و حيث إنّه صحيح عبد اللّه بن أبي يعفور المشتمل على قيود ليست في غيره، و اشتهر الاعتماد عليه في الباب عند</w:t>
      </w:r>
    </w:p>
    <w:p>
      <w:pPr>
        <w:pStyle w:val="BookText"/>
        <w:rPr/>
      </w:pPr>
      <w:r>
        <w:rPr>
          <w:rFonts w:ascii="Amiri" w:hAnsi="Amiri" w:eastAsia="Amiri" w:cs="Amiri"/>
          <w:color w:val="111111"/>
          <w:sz w:val="28"/>
          <w:sz w:val="28"/>
          <w:szCs w:val="28"/>
          <w:rtl w:val="true"/>
          <w:lang w:bidi="ar-SA"/>
        </w:rPr>
        <w:t>الأصحاب، فهو المعوّل عليه، و المناط في معرفة العدالة و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منهم الاختلاف في فهم الضابط المستفاد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على ما هو ظاهر سياق الحديث و ذيله، أنّه لمّا سأله الراوي عن طريق معرفة عدالة الرجل التي هي هيئة راسخة نفسانية غير محسوسة، و 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بمعرفته بالستر و العفاف، و كفّ الجوارح الأربع، و اجتناب الكبائر، تعويلا على لازمها في الأعمال الحسنة، ثم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أمورا واقعية نفس أمرية يصعب العلم بها، و إن كان طريق دركها الحسّ، فأخذ في بيان الاكتفاء في معرفة هذا اللازم بظاهر الحال، و عدم لزوم البحث عن العلم بها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ساترا لجميع عيوبه، على حدّ يحرم التفتيش لما ورائه على المسلمين، و كونه بحيث إذا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فيه إلّا خيرا، فلم يطّلعوا على ظاهر معاشرتهم له على فسق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تعاهده و مواظبته للصلوات و حفظ مواقيتها، تعليلا له بأنّها ستر و كفارة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السبيل إلى معرفة التعاهد لها كذلك الحضور إلى جماعة المسلمين، و عدم التخلّف عنها إلّا من علّة، مشيرا إلى وجهه، بأنّ تشريع الجماعة و الاجتماع للصلاة لمعرفة من يصلّي ممّن لا يصلّي، و من يحفظ مواقيتها ممّن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مدلول الصحيح في دليل عدالة مجهول الحال بحسب الواقع اجتماع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الساترية للعيوب على حدّ يحرم التفتيش لما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إذا سئل عن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إلّا خيرا، أي كان معروفا بالصلاح و التقوى في المعاشرة الظاهرية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للصلوات الخمس و المواظبة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العلم بتلك الثلاثة في معرفة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التخلّف عن الجماعة، فالظاهر من سياق الخبر الموافق لظاهر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لزومه إنّما هو عند توقّف العلم بالمواظبة على الصلاة و حفظ المواقيت عليه، لا لدرك فضيلة الجماعة من حيث هي، فلو علم بها من حال شخص لا من جهته، يكتفى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الجماعة على حدّ ينبئ عن الإعراض و الاستخفاف، فهو كما أشرنا إليه فيما تقدّم معصية 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الساترية لجميع العيوب أو الكبائر؟ الظاهر الأوّل، وفاقا لصريح والدي العلّامة في المستند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عدم رضاه بظهور معصية منه، و اتصافه بصفة الحياء، و هو أمر غير ترك المعصية في الواقع، فلا يوجب نقض الصغيرة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الرياض </w:t>
      </w:r>
      <w:r>
        <w:rPr>
          <w:rStyle w:val="FootnoteAnchor"/>
          <w:rtl w:val="true"/>
        </w:rPr>
        <w:footnoteReference w:id="604"/>
      </w:r>
      <w:r>
        <w:rPr>
          <w:rFonts w:ascii="Amiri" w:hAnsi="Amiri" w:eastAsia="Amiri" w:cs="Amiri"/>
          <w:color w:val="111111"/>
          <w:sz w:val="28"/>
          <w:sz w:val="28"/>
          <w:szCs w:val="28"/>
          <w:rtl w:val="true"/>
          <w:lang w:bidi="ar-SA"/>
        </w:rPr>
        <w:t>عدم التنافي بين القول باشتراط المعرفة بالمعاشرة الباطنية، و القول بالإناطة بحسن الظاهر، لعدم حصول المعرفة بكونه ساترا مواظبا إلّا بعد نوع معاشرة و اختبار يطلع على باطن الأحوال، و هو كذلك إن أراد الغالب، و إلّا فهو غير مطرد، و يمكن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ينكشف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الظنّ بالهيئة النفسانية الباعثة على استمرار التقوى بحسن الظاهر بالمعنى المتقدّم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عن خصوص المعاصي القادحة في العدالة لما كان خارجا عن مقصودنا من الكتاب، فلنطوه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كان الغناء كثيرا ما مما يشتبه حقيقة الأمر فيه حدّا و حكما، و زلّت فيه أقدام أقوام، و لم أر من الأعلام من استوفي فيه المرام، رأيت البحث عنه في مشرق، لكشف الحجاب عن مشكلاته، مع ما له من عموم البلوى أهمّ و أحرى</w:t>
      </w:r>
      <w:r>
        <w:rPr>
          <w:rFonts w:eastAsia="Amiri" w:cs="Amiri" w:ascii="Amiri" w:hAnsi="Amiri"/>
          <w:color w:val="111111"/>
          <w:sz w:val="28"/>
          <w:szCs w:val="28"/>
          <w:rtl w:val="true"/>
          <w:lang w:bidi="ar-SA"/>
        </w:rPr>
        <w:t>.</w:t>
      </w:r>
      <w:bookmarkStart w:id="179" w:name="pg2497_12108"/>
    </w:p>
    <w:p>
      <w:pPr>
        <w:pStyle w:val="Heading2"/>
        <w:numPr>
          <w:ilvl w:val="1"/>
          <w:numId w:val="1"/>
        </w:numPr>
        <w:rPr/>
      </w:pPr>
      <w:bookmarkStart w:id="180" w:name="__RefHeading___Toc3861893_3804643083"/>
      <w:bookmarkStart w:id="181" w:name="_Toc69"/>
      <w:bookmarkEnd w:id="179"/>
      <w:bookmarkEnd w:id="180"/>
      <w:r>
        <w:rPr>
          <w:rtl w:val="true"/>
        </w:rPr>
        <w:t>[</w:t>
      </w:r>
      <w:r>
        <w:rPr>
          <w:rtl w:val="true"/>
        </w:rPr>
        <w:t>المشرق التاسع</w:t>
      </w:r>
      <w:r>
        <w:rPr>
          <w:rtl w:val="true"/>
        </w:rPr>
        <w:t>] [</w:t>
      </w:r>
      <w:r>
        <w:rPr>
          <w:rtl w:val="true"/>
        </w:rPr>
        <w:t>في أحكام الغناء</w:t>
      </w:r>
      <w:r>
        <w:rPr>
          <w:rtl w:val="true"/>
        </w:rPr>
        <w:t>]</w:t>
      </w:r>
      <w:bookmarkEnd w:id="181"/>
    </w:p>
    <w:p>
      <w:pPr>
        <w:pStyle w:val="Heading3"/>
        <w:numPr>
          <w:ilvl w:val="2"/>
          <w:numId w:val="1"/>
        </w:numPr>
        <w:rPr/>
      </w:pPr>
      <w:bookmarkStart w:id="182" w:name="__RefHeading___Toc3861895_3804643083"/>
      <w:bookmarkStart w:id="183" w:name="_Toc70"/>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الغناء، و الكلام إمّا في ماهيته، أو في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بحثان</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861897_3804643083"/>
      <w:bookmarkStart w:id="185" w:name="_Toc71"/>
      <w:bookmarkEnd w:id="184"/>
      <w:r>
        <w:rPr>
          <w:rtl w:val="true"/>
        </w:rPr>
        <w:t>البحث الأوّل</w:t>
      </w:r>
      <w:r>
        <w:rPr>
          <w:rtl w:val="true"/>
        </w:rPr>
        <w:t xml:space="preserve">: </w:t>
      </w:r>
      <w:r>
        <w:rPr>
          <w:rtl w:val="true"/>
        </w:rPr>
        <w:t>في بيان حقيقته و موارده</w:t>
      </w:r>
      <w:r>
        <w:rPr>
          <w:rtl w:val="true"/>
        </w:rPr>
        <w:t>.</w:t>
      </w:r>
      <w:bookmarkEnd w:id="185"/>
    </w:p>
    <w:p>
      <w:pPr>
        <w:pStyle w:val="BookText"/>
        <w:rPr/>
      </w:pPr>
      <w:r>
        <w:rPr>
          <w:rFonts w:ascii="Amiri" w:hAnsi="Amiri" w:eastAsia="Amiri" w:cs="Amiri"/>
          <w:color w:val="111111"/>
          <w:sz w:val="28"/>
          <w:sz w:val="28"/>
          <w:szCs w:val="28"/>
          <w:rtl w:val="true"/>
          <w:lang w:bidi="ar-SA"/>
        </w:rPr>
        <w:t>اختلفت كلمات الفقهاء و اللغويين في تفسير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بالكسر و المدّ، ككساء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بعضهم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مدّ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النهاية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رفع صوتا و والاه، فصوته عند العرب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تحسين الصوت، و في معناه 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تزيين الصوت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شهادات القواعد </w:t>
      </w:r>
      <w:r>
        <w:rPr>
          <w:rStyle w:val="FootnoteAnchor"/>
          <w:rtl w:val="true"/>
        </w:rPr>
        <w:footnoteReference w:id="607"/>
      </w:r>
      <w:r>
        <w:rPr>
          <w:rFonts w:ascii="Amiri" w:hAnsi="Amiri" w:eastAsia="Amiri" w:cs="Amiri"/>
          <w:color w:val="111111"/>
          <w:sz w:val="28"/>
          <w:sz w:val="28"/>
          <w:szCs w:val="28"/>
          <w:rtl w:val="true"/>
          <w:lang w:bidi="ar-SA"/>
        </w:rPr>
        <w:t>، و بعض كتب اللغة، أنه ترجيع الصوت و مدّه، و قريب منه ما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التحرير </w:t>
      </w:r>
      <w:r>
        <w:rPr>
          <w:rStyle w:val="FootnoteAnchor"/>
          <w:rtl w:val="true"/>
        </w:rPr>
        <w:footnoteReference w:id="608"/>
      </w:r>
      <w:r>
        <w:rPr>
          <w:rFonts w:ascii="Amiri" w:hAnsi="Amiri" w:eastAsia="Amiri" w:cs="Amiri"/>
          <w:color w:val="111111"/>
          <w:sz w:val="28"/>
          <w:sz w:val="28"/>
          <w:szCs w:val="28"/>
          <w:rtl w:val="true"/>
          <w:lang w:bidi="ar-SA"/>
        </w:rPr>
        <w:t xml:space="preserve">و الإيضاح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في القاموس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الصوت ما طرب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جماعة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الصوت المشتمل على الترجيع المطرب، أو مدّه المشتمل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عزاه مولانا الأردبيلي </w:t>
      </w:r>
      <w:r>
        <w:rPr>
          <w:rStyle w:val="FootnoteAnchor"/>
          <w:rtl w:val="true"/>
        </w:rPr>
        <w:footnoteReference w:id="612"/>
      </w:r>
      <w:r>
        <w:rPr>
          <w:rFonts w:ascii="Amiri" w:hAnsi="Amiri" w:eastAsia="Amiri" w:cs="Amiri"/>
          <w:color w:val="111111"/>
          <w:sz w:val="28"/>
          <w:sz w:val="28"/>
          <w:szCs w:val="28"/>
          <w:rtl w:val="true"/>
          <w:lang w:bidi="ar-SA"/>
        </w:rPr>
        <w:t>إلى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ما يسمّى في العرف غناء، و اختاره الشهيد الثاني </w:t>
      </w:r>
      <w:r>
        <w:rPr>
          <w:rStyle w:val="FootnoteAnchor"/>
          <w:rtl w:val="true"/>
        </w:rPr>
        <w:footnoteReference w:id="613"/>
      </w:r>
      <w:r>
        <w:rPr>
          <w:rFonts w:ascii="Amiri" w:hAnsi="Amiri" w:eastAsia="Amiri" w:cs="Amiri"/>
          <w:color w:val="111111"/>
          <w:sz w:val="28"/>
          <w:sz w:val="28"/>
          <w:szCs w:val="28"/>
          <w:rtl w:val="true"/>
          <w:lang w:bidi="ar-SA"/>
        </w:rPr>
        <w:t>، و استحسنه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اعتبر في صدق الغناء لهو الكلام،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يقرء القرآن أو المرثية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يغنّي،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يقرء القرآن، أو يقرء المرثية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التفاسير غير واف لحقيقة المعنى، بل لا يخلو عن إيراد و إشكال أو إجمال، لظهور أنّ مجرد مدّ الصوت و رفعه ليس غناء، فضلا عن كونه محرّما، و كذا مطلق تحسين الصوت المتناول لمثل حسن الجوهر و الرعونة و حسن اللحن و طيب اللهجة، كيف و كان الأئمة أحسن الناس صوتا بالقرآن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النوفلي </w:t>
      </w:r>
      <w:r>
        <w:rPr>
          <w:rStyle w:val="FootnoteAnchor"/>
          <w:rtl w:val="true"/>
        </w:rPr>
        <w:footnoteReference w:id="614"/>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عليهما السّلام كان يقرء القرآن، فربما يمرّ به المارّ، فصعق من حسن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عليه السّلام </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أحسن الناس صوتا بالقرآن، و كان</w:t>
      </w:r>
    </w:p>
    <w:p>
      <w:pPr>
        <w:pStyle w:val="BookText"/>
        <w:rPr/>
      </w:pPr>
      <w:r>
        <w:rPr>
          <w:rFonts w:ascii="Amiri" w:hAnsi="Amiri" w:eastAsia="Amiri" w:cs="Amiri"/>
          <w:color w:val="111111"/>
          <w:sz w:val="28"/>
          <w:sz w:val="28"/>
          <w:szCs w:val="28"/>
          <w:rtl w:val="true"/>
          <w:lang w:bidi="ar-SA"/>
        </w:rPr>
        <w:t>السقّاؤون يمرّون، فيقومون ببابه يسمعون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عنه في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الأخبار مدح الصوت الحسن و الترغيب فيه في قراءة القرآن، كما في رواية عبد اللّه بن سنان </w:t>
      </w:r>
      <w:r>
        <w:rPr>
          <w:rStyle w:val="FootnoteAnchor"/>
          <w:rtl w:val="true"/>
        </w:rPr>
        <w:footnoteReference w:id="616"/>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أجلّ الجمال الشعر الحسن، و نغمة الصوت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حسن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Style w:val="FootnoteAnchor"/>
          <w:rtl w:val="true"/>
        </w:rPr>
        <w:footnoteReference w:id="619"/>
      </w:r>
      <w:r>
        <w:rPr>
          <w:rFonts w:ascii="Amiri" w:hAnsi="Amiri" w:eastAsia="Amiri" w:cs="Amiri"/>
          <w:color w:val="111111"/>
          <w:sz w:val="28"/>
          <w:sz w:val="28"/>
          <w:szCs w:val="28"/>
          <w:rtl w:val="true"/>
          <w:lang w:bidi="ar-SA"/>
        </w:rPr>
        <w:t xml:space="preserve">عن أبي بصير عن أبي عبد اللّه عليه السّلام في قوله سبحانه وَ رَتِّلِ الْقُرْآنَ تَرْتِيلًا </w:t>
      </w:r>
      <w:r>
        <w:rPr>
          <w:rStyle w:val="FootnoteAnchor"/>
          <w:rtl w:val="true"/>
        </w:rPr>
        <w:footnoteReference w:id="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تمكث فيه، و تحسن به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تعريف الغناء المشتهر حرمته مطلقا بتحسين الصوت و تزيينه، إلّا أن يراد به تحسينا خاصّا موكولا إلى ما هو المعهود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مطلق الترجيع الحسن، فإنّ الحكم بكونه غناء مما لا شاهد له، و لا دليل يساعده من لغة أو عرف أو حديث، بل في قوله عليه السّلام في رواية ابن سنان </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بألحان العرب و أصواتها، و إياكم و لحون أهل الفسق و الكبائر، فإنه سيجي‌ء بعدي أقوام يرجّعون القرآن 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ظاهرة على أنّ مطلق الترجيع ليس غناء، بل هو كيفية خاصة من الترجيع و الألحان يستعملها أهل الفسوق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قد اشتهر حرمة مطلق الغناء عند العلماء، بل ربما ادّعى عليه الإجماع،</w:t>
      </w:r>
    </w:p>
    <w:p>
      <w:pPr>
        <w:pStyle w:val="BookText"/>
        <w:rPr/>
      </w:pPr>
      <w:r>
        <w:rPr>
          <w:rFonts w:ascii="Amiri" w:hAnsi="Amiri" w:eastAsia="Amiri" w:cs="Amiri"/>
          <w:color w:val="111111"/>
          <w:sz w:val="28"/>
          <w:sz w:val="28"/>
          <w:szCs w:val="28"/>
          <w:rtl w:val="true"/>
          <w:lang w:bidi="ar-SA"/>
        </w:rPr>
        <w:t>مع عدم خلوّ غالب الأصوات في قراءة القرآن و الخطب و المناجاة و تعزية الحسين عليه السّلام، في جميع الأعصار و الأمصار، من العلماء و غيرهم، عن تحسين و ترجيع في الجملة، بل هو من المهيّج غالبا لما يقصد منها من الشوق إلى العالم الأعلى، و الاستشعار لعظمة ربّه و توحيده، و الرغبة إلى الخيرات و الجنّة و الحزن و البكاء، فيظهر من ذلك أنّه ليس كلّ ترجيع و تحسين صوت عندهم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الترجيع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به مطلق التلذّذ و الملائمة للطبع، فهو لازم مطلق حسن الصوت، و قد سمعت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ترجيع خاصّ و طرب مخصوص، فلا بدّ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التفسير بما يسمّى في العرف غناء، فلا يفيد معنى محصّلا، إذ لا عرف للعجم فيه، و مرادفه في لغة الفرس غير معلوم، و لو كان كالتعبير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الصحاح </w:t>
      </w:r>
      <w:r>
        <w:rPr>
          <w:rStyle w:val="FootnoteAnchor"/>
          <w:rtl w:val="true"/>
        </w:rPr>
        <w:footnoteReference w:id="622"/>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خوانندگى و آوازه و دو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ذلك، فهو كعرف العرب فيه غير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حصول القطع بالصدق العرفي في بعض الموارد، كبعض الألحان الذي يستعمله أهل الفسوق غالبا في المعازف و الملاهي</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قيل أخيرا من اختلاف صدق ماهيّة الغناء باختلاف الكلام، كالقرآن و غيره، فلا محصّل له، فإنّ الغناء من مقولة الأصوات باعتبار كيفياتها من الألحان، لا متعلّقاتها من الألفاظ و أنواع الكلام، كما يشهد به كلام أهل اللغة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شاهدا ما مرّ من الأمر بقراءة القرآن بألحان العرب، دون ترجيع الغناء الذي هو من لحون أهل الفسق 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مدخل لخصوص الألفاظ الباطلة في ماهيّة الغناء، و إن قلنا بإباحته في بعض الكلمات، كما لا مدخل لخصوص مجالس الملاهي و اقترانه بمحرّم خارجي، كضرب العود و التكلّم بالباطل فيه، و إن احتمله كلام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المقام، أنّه لا شكّ و لا خلاف ظاهرا في مدخلية الترجيع المطرب في حقيقة الغناء و دخوله فيها، كما سمعت، بل لا ينفكّ حسن الصوت عنهما غالبا، كما ذكره في الكفاية، و كذا الظاهر، بل لا ينبغي الشك فيه، أنّ كلّ ترجيع حسن ليس غناء، كما أشرنا إليه أيضا، بل هو كما نبّه عليه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خاصّة من التراجيع و الألحان، مثيرة لسرور و وجد و انشراح أو حزن و انقباض، و هي غالبا متداولة بين أهل الطرب في العصيان، يستعملونها في الملاهي و العيدان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الأثر الحاصل منها في القلوب يختلف غالبا، صلاحا و فسادا، خيرا و شرا، باختلاف الكلمات و النيّات و المقامات، فإذا كان متعلّقها من غير الفضائل سيما من الأباطيل، و مثل ذكر القدود </w:t>
      </w:r>
      <w:r>
        <w:rPr>
          <w:rStyle w:val="FootnoteAnchor"/>
          <w:rtl w:val="true"/>
        </w:rPr>
        <w:footnoteReference w:id="623"/>
      </w:r>
      <w:r>
        <w:rPr>
          <w:rFonts w:ascii="Amiri" w:hAnsi="Amiri" w:eastAsia="Amiri" w:cs="Amiri"/>
          <w:color w:val="111111"/>
          <w:sz w:val="28"/>
          <w:sz w:val="28"/>
          <w:szCs w:val="28"/>
          <w:rtl w:val="true"/>
          <w:lang w:bidi="ar-SA"/>
        </w:rPr>
        <w:t xml:space="preserve">و الخدود و وصف النساء يهيّج القوى الحيوانية، و يثير وجدا شهوانيا، و يفسد القلب، و ينبت النفاق، و ينجذب النفوس إلى الميل إلى اللهو و العشرة </w:t>
      </w:r>
      <w:r>
        <w:rPr>
          <w:rStyle w:val="FootnoteAnchor"/>
          <w:rtl w:val="true"/>
        </w:rPr>
        <w:footnoteReference w:id="624"/>
      </w:r>
      <w:r>
        <w:rPr>
          <w:rFonts w:ascii="Amiri" w:hAnsi="Amiri" w:eastAsia="Amiri" w:cs="Amiri"/>
          <w:color w:val="111111"/>
          <w:sz w:val="28"/>
          <w:sz w:val="28"/>
          <w:szCs w:val="28"/>
          <w:rtl w:val="true"/>
          <w:lang w:bidi="ar-SA"/>
        </w:rPr>
        <w:t>، و يضمر خواطر السوء، سيما بالنسبة إلى البواطن المملوّة بالهوى، من قبيل حالة السكر الذي يفعله المسكر، و يشتدّ تلك الحالة إذا كان مقترنا بمحرّم خارجيّ من الخمور و الفجور و ضرب الدفّ و القصب و المزامير، بل لاختلاف أوزان الكلام، و بحور العروض من قبيل التصانيف المتداولة بين أهل الطرب، و الأوزان التي يستعملها الناس في المعازف مدخل تامّ فيها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متعلقه من الفضائل، كذكر توحيده سبحانه، و نعوت جلاله و جماله، و تذكير قربه و حبّه و أنسه، و وصف الجنة و النار و الكلمات المشوقة إلى دار القرار، و توصيف نعم الملك الجبار، و الترغيب بالخيرات و العبادات، يثير غالبا ما لم يبلغ هذا الترجيع حدّ الإفراط بحيث يستهلك فيه المقروّ حزنا دينيا و شوقا إلهيا و فرحا</w:t>
      </w:r>
      <w:bookmarkStart w:id="186" w:name="pg2497_12118"/>
    </w:p>
    <w:p>
      <w:pPr>
        <w:pStyle w:val="BookText"/>
        <w:rPr/>
      </w:pPr>
      <w:bookmarkEnd w:id="186"/>
      <w:r>
        <w:rPr>
          <w:rFonts w:ascii="Amiri" w:hAnsi="Amiri" w:eastAsia="Amiri" w:cs="Amiri"/>
          <w:color w:val="111111"/>
          <w:sz w:val="28"/>
          <w:sz w:val="28"/>
          <w:szCs w:val="28"/>
          <w:rtl w:val="true"/>
          <w:lang w:bidi="ar-SA"/>
        </w:rPr>
        <w:t>روحانيا لأهل الإيمان و أرباب القلوب و الإيقان، فإذا أثار هذه الصفات و أصاب حرارتها برد اليقين، فتارة يظهر أثره في الجسد و يقشعرّ منه الجلد،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تَقْشَعِرُّ مِنْهُ جُلُودُ الَّذِينَ يَخْشَوْنَ رَبَّهُمْ </w:t>
      </w:r>
      <w:r>
        <w:rPr>
          <w:rStyle w:val="FootnoteAnchor"/>
          <w:rtl w:val="true"/>
        </w:rPr>
        <w:footnoteReference w:id="625"/>
      </w:r>
      <w:r>
        <w:rPr>
          <w:rFonts w:ascii="Amiri" w:hAnsi="Amiri" w:eastAsia="Amiri" w:cs="Amiri"/>
          <w:color w:val="111111"/>
          <w:sz w:val="28"/>
          <w:sz w:val="28"/>
          <w:szCs w:val="28"/>
          <w:rtl w:val="true"/>
          <w:lang w:bidi="ar-SA"/>
        </w:rPr>
        <w:t>و تارة يعظم وقعه، و يتصوّب أثره إلى الدماغ، فيندفق منه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يتصوّب أثره إلى الروح، فيتموّج منه الروح موجا يكاد يضيق عنه يطاق </w:t>
      </w:r>
      <w:r>
        <w:rPr>
          <w:rStyle w:val="FootnoteAnchor"/>
          <w:rtl w:val="true"/>
        </w:rPr>
        <w:footnoteReference w:id="626"/>
      </w:r>
      <w:r>
        <w:rPr>
          <w:rFonts w:ascii="Amiri" w:hAnsi="Amiri" w:eastAsia="Amiri" w:cs="Amiri"/>
          <w:color w:val="111111"/>
          <w:sz w:val="28"/>
          <w:sz w:val="28"/>
          <w:szCs w:val="28"/>
          <w:rtl w:val="true"/>
          <w:lang w:bidi="ar-SA"/>
        </w:rPr>
        <w:t>القلب، فيكون من ذلك الصياح و الاضطراب، و يختلف هذه الأحوال شدة و ضعفا باختلاف مراتب الإيمان و صلاح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الألحان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أنّه من تلك الكيفية الخاصّة من الترجيع، فيعلم كونه غناء و يصدق عليه عرفا، فلا كلام في حرمته في غير ما اختلف فيه من المستثنيات من الفضائل أو غيرها،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عدمه، فلا بحث في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يضطرب فيه متفاهم العرف، فيشكّ في كونه من الكيفية المخصوصة، لاشتباه بينه و بين غيره من الصوت الحسن، و هو يلحق بالثاني أيضا، فيكون مباحا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861899_3804643083"/>
      <w:bookmarkStart w:id="188" w:name="_Toc72"/>
      <w:bookmarkEnd w:id="187"/>
      <w:r>
        <w:rPr>
          <w:rtl w:val="true"/>
        </w:rPr>
        <w:t>البحث الثاني</w:t>
      </w:r>
      <w:r>
        <w:rPr>
          <w:rtl w:val="true"/>
        </w:rPr>
        <w:t xml:space="preserve">: </w:t>
      </w:r>
      <w:r>
        <w:rPr>
          <w:rtl w:val="true"/>
        </w:rPr>
        <w:t>في بيان حكمه</w:t>
      </w:r>
      <w:r>
        <w:rPr>
          <w:rtl w:val="true"/>
        </w:rPr>
        <w:t>.</w:t>
      </w:r>
      <w:bookmarkEnd w:id="188"/>
    </w:p>
    <w:p>
      <w:pPr>
        <w:pStyle w:val="Heading4"/>
        <w:numPr>
          <w:ilvl w:val="3"/>
          <w:numId w:val="1"/>
        </w:numPr>
        <w:rPr/>
      </w:pPr>
      <w:bookmarkStart w:id="189" w:name="__RefHeading___Toc3861901_3804643083"/>
      <w:bookmarkStart w:id="190" w:name="_Toc73"/>
      <w:bookmarkEnd w:id="189"/>
      <w:r>
        <w:rPr>
          <w:rtl w:val="true"/>
        </w:rPr>
        <w:t>اشارة</w:t>
      </w:r>
      <w:bookmarkEnd w:id="1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بين أصحابنا، بل بين المسلمين، في حرمته في الجملة، بل عدّ من ضروريّ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الآيات و الأخبار المستفيضة التي سننبّه على جملة منها، بل عليه الإجماع ظاهرا، تحقيقا و نقلا مستفيضا، فيما عدا المستثنيات الخلافية، و هي الحداء للإبل، و غناء المغنية لزفّ العرائس، و التغنّي بالفضائل، سواء اقترن باللعب بالملاهي و ضرب العيدان و نحو ذلك من المحرّمات،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الحرمة بالأوّل، كما يظهر من المحدّث الكاشاني في الوافي </w:t>
      </w:r>
      <w:r>
        <w:rPr>
          <w:rStyle w:val="FootnoteAnchor"/>
          <w:rtl w:val="true"/>
        </w:rPr>
        <w:footnoteReference w:id="627"/>
      </w:r>
      <w:r>
        <w:rPr>
          <w:rFonts w:ascii="Amiri" w:hAnsi="Amiri" w:eastAsia="Amiri" w:cs="Amiri"/>
          <w:color w:val="111111"/>
          <w:sz w:val="28"/>
          <w:sz w:val="28"/>
          <w:szCs w:val="28"/>
          <w:rtl w:val="true"/>
          <w:lang w:bidi="ar-SA"/>
        </w:rPr>
        <w:t xml:space="preserve">، بل فيه استفادة ذلك من عبارة الاستبصار </w:t>
      </w:r>
      <w:r>
        <w:rPr>
          <w:rStyle w:val="FootnoteAnchor"/>
          <w:rtl w:val="true"/>
        </w:rPr>
        <w:footnoteReference w:id="628"/>
      </w:r>
      <w:r>
        <w:rPr>
          <w:rFonts w:ascii="Amiri" w:hAnsi="Amiri" w:eastAsia="Amiri" w:cs="Amiri"/>
          <w:color w:val="111111"/>
          <w:sz w:val="28"/>
          <w:sz w:val="28"/>
          <w:szCs w:val="28"/>
          <w:rtl w:val="true"/>
          <w:lang w:bidi="ar-SA"/>
        </w:rPr>
        <w:t>، شاذّ جدّا، و الإجماع منعقد قبله، و كلام الاستبصار غير دال عليه، بل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حرمة الغناء بالمقترن بالملاهي في خصوص زفّ العرائس، لا مطلقا، فإنّه قال بعد نقل أخبار حرمة الغناء و كسب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الأخبار، الرخصة فيمن لم يتكلّم بالأباطيل، و لا يلعب بالملاهي و العيدان أو أشباهها، و لا بالقصب و غيره، بل كان ممن يزفّ بالعروس، و يتكلّم عندها بإنشاد الشعر و القول البعيد عن الفحش و الأباطيل، و أمّا ما عدا هؤلاء ممن يتغنى بسائر أنواع الملاهي، فلا يجوز في حال، سواء كان في العرائس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المستثنيات المذكورة فظاهر جماعة كالمفيد </w:t>
      </w:r>
      <w:r>
        <w:rPr>
          <w:rStyle w:val="FootnoteAnchor"/>
          <w:rtl w:val="true"/>
        </w:rPr>
        <w:footnoteReference w:id="629"/>
      </w:r>
      <w:r>
        <w:rPr>
          <w:rFonts w:ascii="Amiri" w:hAnsi="Amiri" w:eastAsia="Amiri" w:cs="Amiri"/>
          <w:color w:val="111111"/>
          <w:sz w:val="28"/>
          <w:sz w:val="28"/>
          <w:szCs w:val="28"/>
          <w:rtl w:val="true"/>
          <w:lang w:bidi="ar-SA"/>
        </w:rPr>
        <w:t xml:space="preserve">و الحلبي </w:t>
      </w:r>
      <w:r>
        <w:rPr>
          <w:rStyle w:val="FootnoteAnchor"/>
          <w:rtl w:val="true"/>
        </w:rPr>
        <w:footnoteReference w:id="630"/>
      </w:r>
      <w:r>
        <w:rPr>
          <w:rFonts w:ascii="Amiri" w:hAnsi="Amiri" w:eastAsia="Amiri" w:cs="Amiri"/>
          <w:color w:val="111111"/>
          <w:sz w:val="28"/>
          <w:sz w:val="28"/>
          <w:szCs w:val="28"/>
          <w:rtl w:val="true"/>
          <w:lang w:bidi="ar-SA"/>
        </w:rPr>
        <w:t xml:space="preserve">و الديلمي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 مطلقا، من غير استثناء، بل عن 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 المشهور سيما بين من تأخر ذلك فيما عدا الأوّلين، خلافا فيهما لجماعة، بل في الكفاية نسبة الخلاف في الحداء إلى المشهور، و عن غيره في زفّ العرائس</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صرّح بالإباحة في الثاني، ما سمعت من كلام الشيخ في الاستبصار، و نحوه ما في النهاية </w:t>
      </w:r>
      <w:r>
        <w:rPr>
          <w:rStyle w:val="FootnoteAnchor"/>
          <w:rtl w:val="true"/>
        </w:rPr>
        <w:footnoteReference w:id="632"/>
      </w:r>
      <w:r>
        <w:rPr>
          <w:rFonts w:ascii="Amiri" w:hAnsi="Amiri" w:eastAsia="Amiri" w:cs="Amiri"/>
          <w:color w:val="111111"/>
          <w:sz w:val="28"/>
          <w:sz w:val="28"/>
          <w:szCs w:val="28"/>
          <w:rtl w:val="true"/>
          <w:lang w:bidi="ar-SA"/>
        </w:rPr>
        <w:t>، و أحلّ فيه أجرة المغنّية فيه، اذا لم يقرء فيه بالباطل، و لا</w:t>
      </w:r>
    </w:p>
    <w:p>
      <w:pPr>
        <w:pStyle w:val="BookText"/>
        <w:rPr/>
      </w:pPr>
      <w:r>
        <w:rPr>
          <w:rFonts w:ascii="Amiri" w:hAnsi="Amiri" w:eastAsia="Amiri" w:cs="Amiri"/>
          <w:color w:val="111111"/>
          <w:sz w:val="28"/>
          <w:sz w:val="28"/>
          <w:szCs w:val="28"/>
          <w:rtl w:val="true"/>
          <w:lang w:bidi="ar-SA"/>
        </w:rPr>
        <w:t>يدخلن على الرجال، و لا الرجال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في النكت </w:t>
      </w:r>
      <w:r>
        <w:rPr>
          <w:rStyle w:val="FootnoteAnchor"/>
          <w:rtl w:val="true"/>
        </w:rPr>
        <w:footnoteReference w:id="633"/>
      </w:r>
      <w:r>
        <w:rPr>
          <w:rFonts w:ascii="Amiri" w:hAnsi="Amiri" w:eastAsia="Amiri" w:cs="Amiri"/>
          <w:color w:val="111111"/>
          <w:sz w:val="28"/>
          <w:sz w:val="28"/>
          <w:szCs w:val="28"/>
          <w:rtl w:val="true"/>
          <w:lang w:bidi="ar-SA"/>
        </w:rPr>
        <w:t xml:space="preserve">، و الفاضل في المختلف </w:t>
      </w:r>
      <w:r>
        <w:rPr>
          <w:rStyle w:val="FootnoteAnchor"/>
          <w:rtl w:val="true"/>
        </w:rPr>
        <w:footnoteReference w:id="634"/>
      </w:r>
      <w:r>
        <w:rPr>
          <w:rFonts w:ascii="Amiri" w:hAnsi="Amiri" w:eastAsia="Amiri" w:cs="Amiri"/>
          <w:color w:val="111111"/>
          <w:sz w:val="28"/>
          <w:sz w:val="28"/>
          <w:szCs w:val="28"/>
          <w:rtl w:val="true"/>
          <w:lang w:bidi="ar-SA"/>
        </w:rPr>
        <w:t>و كرهه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إدريس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المغنّيات في الأعراس، إذا كان لم يتغنّ بالباطل، على ما روى، و هو مختار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غيرهما مما استثنى، فيظهر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الحرمة، و من آخر وقوع الخلاف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الكفاية </w:t>
      </w:r>
      <w:r>
        <w:rPr>
          <w:rStyle w:val="FootnoteAnchor"/>
          <w:rtl w:val="true"/>
        </w:rPr>
        <w:footnoteReference w:id="636"/>
      </w:r>
      <w:r>
        <w:rPr>
          <w:rFonts w:ascii="Amiri" w:hAnsi="Amiri" w:eastAsia="Amiri" w:cs="Amiri"/>
          <w:color w:val="111111"/>
          <w:sz w:val="28"/>
          <w:sz w:val="28"/>
          <w:szCs w:val="28"/>
          <w:rtl w:val="true"/>
          <w:lang w:bidi="ar-SA"/>
        </w:rPr>
        <w:t>بعد نقل كلام عن الشيخ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يدلّ على أنّ تحسين الصوت بالقرآن و التغنّي به مستحبّ عنده، و أنّ خلاف ذلك لم يكن معروفا عند القدماء،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سيّد المرتضى في الغرر و الدرر لا يخلو عن إشعار واضح بذلك، و يظهر منه نسبة عدم التحريم في القرآن إلى الكليني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الفائدة </w:t>
      </w:r>
      <w:r>
        <w:rPr>
          <w:rStyle w:val="FootnoteAnchor"/>
          <w:rtl w:val="true"/>
        </w:rPr>
        <w:footnoteReference w:id="637"/>
      </w:r>
      <w:r>
        <w:rPr>
          <w:rFonts w:ascii="Amiri" w:hAnsi="Amiri" w:eastAsia="Amiri" w:cs="Amiri"/>
          <w:color w:val="111111"/>
          <w:sz w:val="28"/>
          <w:sz w:val="28"/>
          <w:szCs w:val="28"/>
          <w:rtl w:val="true"/>
          <w:lang w:bidi="ar-SA"/>
        </w:rPr>
        <w:t>، جعل ترك الغناء في مراثي الحسين عليه السّلام أحوط، مشعرا بميله إلى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عدّة من الأخبار الدالّة على حرمة الغناء </w:t>
      </w:r>
      <w:r>
        <w:rPr>
          <w:rStyle w:val="FootnoteAnchor"/>
          <w:rtl w:val="true"/>
        </w:rPr>
        <w:footnoteReference w:id="638"/>
      </w:r>
      <w:r>
        <w:rPr>
          <w:rFonts w:ascii="Amiri" w:hAnsi="Amiri" w:eastAsia="Amiri" w:cs="Amiri"/>
          <w:color w:val="111111"/>
          <w:sz w:val="28"/>
          <w:sz w:val="28"/>
          <w:szCs w:val="28"/>
          <w:rtl w:val="true"/>
          <w:lang w:bidi="ar-SA"/>
        </w:rPr>
        <w:t>إشعار بكونه لهوا باطلا، و صدق ذلك في القرآن و الدعوات و الأذكار المقروءة بالأصوات الطيبة المذكرة للآخرة المجتمعة للأشواق إلى العالم الأعلى،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ريب في تحريم الغناء على سبيل اللهو و الاقتران بالملاهي و نحوها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ثبت الإجماع في غيره، كان متبعا، و إلّا ففي حكمه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استثنى بعضهم مراثي الحسين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الوافي </w:t>
      </w:r>
      <w:r>
        <w:rPr>
          <w:rStyle w:val="FootnoteAnchor"/>
          <w:rtl w:val="true"/>
        </w:rPr>
        <w:footnoteReference w:id="639"/>
      </w:r>
      <w:r>
        <w:rPr>
          <w:rFonts w:ascii="Amiri" w:hAnsi="Amiri" w:eastAsia="Amiri" w:cs="Amiri"/>
          <w:color w:val="111111"/>
          <w:sz w:val="28"/>
          <w:sz w:val="28"/>
          <w:szCs w:val="28"/>
          <w:rtl w:val="true"/>
          <w:lang w:bidi="ar-SA"/>
        </w:rPr>
        <w:t>في باب كسب المغنّية و شراءها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بسماع التغنّي بالأشعار المتضمّنة ذكر الجنّة و النار، و التشويق إلى دار القرار، و وصف نعم اللّه الملك الجبار، و ذكر العبادات، و الترغيب في الخيرات، و الزهد في الفانيات،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يظهر منه اختصاص الحرمة بما اقترن على فعل محرّم، دون ما سوى ذلك،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والدي العلّامة </w:t>
      </w:r>
      <w:r>
        <w:rPr>
          <w:rStyle w:val="FootnoteAnchor"/>
          <w:rtl w:val="true"/>
        </w:rPr>
        <w:footnoteReference w:id="640"/>
      </w:r>
      <w:r>
        <w:rPr>
          <w:rFonts w:ascii="Amiri" w:hAnsi="Amiri" w:eastAsia="Amiri" w:cs="Amiri"/>
          <w:color w:val="111111"/>
          <w:sz w:val="28"/>
          <w:sz w:val="28"/>
          <w:szCs w:val="28"/>
          <w:rtl w:val="true"/>
          <w:lang w:bidi="ar-SA"/>
        </w:rPr>
        <w:t>إباحته في جميع ما ذكر من المستثنيات، من القرآن و الذكر و المناجاة و الدعاء و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نبحث أوّلا عما استدلّوا به على حرمة مطلق الغناء، ثمّ عما هو حقّ القول في المستثنيات، فقد استدلّوا على حرمة الغناء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عن المفيد </w:t>
      </w:r>
      <w:r>
        <w:rPr>
          <w:rStyle w:val="FootnoteAnchor"/>
          <w:rtl w:val="true"/>
        </w:rPr>
        <w:footnoteReference w:id="64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مِنَ النّٰاسِ مَنْ يَشْتَرِي لَهْوَ الْحَدِيثِ لِيُضِلَّ عَنْ سَبِيلِ اللّٰهِ بِغَيْرِ عِلْمٍ وَ يَتَّخِذَهٰا هُزُواً أُولٰئِكَ لَهُمْ عَذٰابٌ مُهِينٌ </w:t>
      </w:r>
      <w:r>
        <w:rPr>
          <w:rStyle w:val="FootnoteAnchor"/>
          <w:rtl w:val="true"/>
        </w:rPr>
        <w:footnoteReference w:id="642"/>
      </w:r>
      <w:r>
        <w:rPr>
          <w:rFonts w:ascii="Amiri" w:hAnsi="Amiri" w:eastAsia="Amiri" w:cs="Amiri"/>
          <w:color w:val="111111"/>
          <w:sz w:val="28"/>
          <w:sz w:val="28"/>
          <w:szCs w:val="28"/>
          <w:rtl w:val="true"/>
          <w:lang w:bidi="ar-SA"/>
        </w:rPr>
        <w:t xml:space="preserve">بضميمة ما ورد في تفسير القمي </w:t>
      </w:r>
      <w:r>
        <w:rPr>
          <w:rStyle w:val="FootnoteAnchor"/>
          <w:rtl w:val="true"/>
        </w:rPr>
        <w:footnoteReference w:id="643"/>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الغناء، و شرب الخمر، و جميع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معاني الأخبار </w:t>
      </w:r>
      <w:r>
        <w:rPr>
          <w:rStyle w:val="FootnoteAnchor"/>
          <w:rtl w:val="true"/>
        </w:rPr>
        <w:footnoteReference w:id="644"/>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 وَ مِنَ النّٰاسِ مَنْ يَشْتَرِي لَهْوَ الْحَدِيثِ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 محمّد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قال اللّه تعالى 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رواية مهران بن محمد </w:t>
      </w:r>
      <w:r>
        <w:rPr>
          <w:rStyle w:val="FootnoteAnchor"/>
          <w:rtl w:val="true"/>
        </w:rPr>
        <w:footnoteReference w:id="646"/>
      </w:r>
      <w:r>
        <w:rPr>
          <w:rFonts w:ascii="Amiri" w:hAnsi="Amiri" w:eastAsia="Amiri" w:cs="Amiri"/>
          <w:color w:val="111111"/>
          <w:sz w:val="28"/>
          <w:sz w:val="28"/>
          <w:szCs w:val="28"/>
          <w:rtl w:val="true"/>
          <w:lang w:bidi="ar-SA"/>
        </w:rPr>
        <w:t xml:space="preserve">، و رواية الوشاء </w:t>
      </w:r>
      <w:r>
        <w:rPr>
          <w:rStyle w:val="FootnoteAnchor"/>
          <w:rtl w:val="true"/>
        </w:rPr>
        <w:footnoteReference w:id="647"/>
      </w:r>
      <w:r>
        <w:rPr>
          <w:rFonts w:ascii="Amiri" w:hAnsi="Amiri" w:eastAsia="Amiri" w:cs="Amiri"/>
          <w:color w:val="111111"/>
          <w:sz w:val="28"/>
          <w:sz w:val="28"/>
          <w:szCs w:val="28"/>
          <w:rtl w:val="true"/>
          <w:lang w:bidi="ar-SA"/>
        </w:rPr>
        <w:t>، عن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 و جلّ وَ مِنَ النّٰاسِ مَنْ يَشْتَرِي و رواية الحسن بن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مجلس لا ينظر اللّه تعالى إلى أهله، و هو ممّا قال اللّه وَ مِنَ النّٰاسِ مَنْ يَشْتَرِي الآية و في الكافي </w:t>
      </w:r>
      <w:r>
        <w:rPr>
          <w:rStyle w:val="FootnoteAnchor"/>
          <w:rtl w:val="true"/>
        </w:rPr>
        <w:footnoteReference w:id="648"/>
      </w:r>
      <w:r>
        <w:rPr>
          <w:rFonts w:ascii="Amiri" w:hAnsi="Amiri" w:eastAsia="Amiri" w:cs="Amiri"/>
          <w:color w:val="111111"/>
          <w:sz w:val="28"/>
          <w:sz w:val="28"/>
          <w:szCs w:val="28"/>
          <w:rtl w:val="true"/>
          <w:lang w:bidi="ar-SA"/>
        </w:rPr>
        <w:t>،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أوعد اللّه سبحانه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الرضوي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اجْتَنِبُوا قَوْلَ الزُّورِ </w:t>
      </w:r>
      <w:r>
        <w:rPr>
          <w:rStyle w:val="FootnoteAnchor"/>
          <w:rtl w:val="true"/>
        </w:rPr>
        <w:footnoteReference w:id="650"/>
      </w:r>
      <w:r>
        <w:rPr>
          <w:rFonts w:ascii="Amiri" w:hAnsi="Amiri" w:eastAsia="Amiri" w:cs="Amiri"/>
          <w:color w:val="111111"/>
          <w:sz w:val="28"/>
          <w:sz w:val="28"/>
          <w:szCs w:val="28"/>
          <w:rtl w:val="true"/>
          <w:lang w:bidi="ar-SA"/>
        </w:rPr>
        <w:t xml:space="preserve">و المراد به الغناء، كما في رواية أبي بصير </w:t>
      </w:r>
      <w:r>
        <w:rPr>
          <w:rStyle w:val="FootnoteAnchor"/>
          <w:rtl w:val="true"/>
        </w:rPr>
        <w:footnoteReference w:id="651"/>
      </w:r>
      <w:r>
        <w:rPr>
          <w:rFonts w:ascii="IRNazanin" w:hAnsi="IRNazanin" w:eastAsia="IRNazanin"/>
          <w:color w:val="111111"/>
          <w:sz w:val="28"/>
          <w:sz w:val="28"/>
          <w:szCs w:val="28"/>
          <w:rtl w:val="true"/>
          <w:lang w:bidi="fa-IR"/>
        </w:rPr>
        <w:t xml:space="preserve">و الشحام </w:t>
      </w:r>
      <w:r>
        <w:rPr>
          <w:rStyle w:val="FootnoteAnchor"/>
          <w:rtl w:val="true"/>
        </w:rPr>
        <w:footnoteReference w:id="652"/>
      </w:r>
      <w:r>
        <w:rPr>
          <w:rFonts w:ascii="Amiri" w:hAnsi="Amiri" w:eastAsia="Amiri" w:cs="Amiri"/>
          <w:color w:val="111111"/>
          <w:sz w:val="28"/>
          <w:sz w:val="28"/>
          <w:szCs w:val="28"/>
          <w:rtl w:val="true"/>
          <w:lang w:bidi="ar-SA"/>
        </w:rPr>
        <w:t xml:space="preserve">، و ابن أبي عمير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الَّذِينَ لٰا يَشْهَدُونَ الزُّورَ </w:t>
      </w:r>
      <w:r>
        <w:rPr>
          <w:rStyle w:val="FootnoteAnchor"/>
          <w:rtl w:val="true"/>
        </w:rPr>
        <w:footnoteReference w:id="654"/>
      </w:r>
      <w:r>
        <w:rPr>
          <w:rFonts w:ascii="Amiri" w:hAnsi="Amiri" w:eastAsia="Amiri" w:cs="Amiri"/>
          <w:color w:val="111111"/>
          <w:sz w:val="28"/>
          <w:sz w:val="28"/>
          <w:szCs w:val="28"/>
          <w:rtl w:val="true"/>
          <w:lang w:bidi="ar-SA"/>
        </w:rPr>
        <w:t xml:space="preserve">و فسّر بالغناء في صحيح محمد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المانعة عن بيع المغنّيات و شرائهنّ و تعليمهنّ، كرواية</w:t>
      </w:r>
    </w:p>
    <w:p>
      <w:pPr>
        <w:pStyle w:val="BookText"/>
        <w:rPr/>
      </w:pPr>
      <w:r>
        <w:rPr>
          <w:rFonts w:ascii="Amiri" w:hAnsi="Amiri" w:eastAsia="Amiri" w:cs="Amiri"/>
          <w:color w:val="111111"/>
          <w:sz w:val="28"/>
          <w:sz w:val="28"/>
          <w:szCs w:val="28"/>
          <w:rtl w:val="true"/>
          <w:lang w:bidi="ar-SA"/>
        </w:rPr>
        <w:t xml:space="preserve">الطاطري </w:t>
      </w:r>
      <w:r>
        <w:rPr>
          <w:rStyle w:val="FootnoteAnchor"/>
          <w:rtl w:val="true"/>
        </w:rPr>
        <w:footnoteReference w:id="656"/>
      </w:r>
      <w:r>
        <w:rPr>
          <w:rFonts w:ascii="Amiri" w:hAnsi="Amiri" w:eastAsia="Amiri" w:cs="Amiri"/>
          <w:color w:val="111111"/>
          <w:sz w:val="28"/>
          <w:sz w:val="28"/>
          <w:szCs w:val="28"/>
          <w:rtl w:val="true"/>
          <w:lang w:bidi="ar-SA"/>
        </w:rPr>
        <w:t>، عن بيع الجوار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بيعهنّ و شراؤهنّ حرام، و تعليمهنّ كفر، و استماعهنّ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منها خبر ابن أبي البلاد </w:t>
      </w:r>
      <w:r>
        <w:rPr>
          <w:rStyle w:val="FootnoteAnchor"/>
          <w:rtl w:val="true"/>
        </w:rPr>
        <w:footnoteReference w:id="657"/>
      </w:r>
      <w:r>
        <w:rPr>
          <w:rFonts w:ascii="Amiri" w:hAnsi="Amiri" w:eastAsia="Amiri" w:cs="Amiri"/>
          <w:color w:val="111111"/>
          <w:sz w:val="28"/>
          <w:sz w:val="28"/>
          <w:szCs w:val="28"/>
          <w:rtl w:val="true"/>
          <w:lang w:bidi="ar-SA"/>
        </w:rPr>
        <w:t xml:space="preserve">، و في معناه ما ورد من اللعن على المغنّية، و على من أكل من كسبها أو ثمنها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ذمّ فاعل الغناء و مستمعه و بيته و مجلسه، كصحيح الشحام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 يؤمن فيه الفجيعة، و لا يجاب فيه الدعوة، فلا يدخله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المدني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الشحام </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مثير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w:t>
      </w:r>
      <w:r>
        <w:rPr>
          <w:rStyle w:val="FootnoteAnchor"/>
          <w:rtl w:val="true"/>
        </w:rPr>
        <w:footnoteReference w:id="6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الغناء ينبت النفاق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الخصال </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الأخبار،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صاحب الغناء من قبره أعمى و أخرس و 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أحد صوته بغناء إلّا بعث اللّه سبحانه شيطانين على منكبه، يضربون بأعقابهما على صدره حتّى 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يونس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العياشي</w:t>
      </w:r>
    </w:p>
    <w:p>
      <w:pPr>
        <w:pStyle w:val="BookText"/>
        <w:rPr/>
      </w:pPr>
      <w:r>
        <w:rPr>
          <w:rFonts w:ascii="Amiri" w:hAnsi="Amiri" w:eastAsia="Amiri" w:cs="Amiri"/>
          <w:color w:val="111111"/>
          <w:sz w:val="28"/>
          <w:sz w:val="28"/>
          <w:szCs w:val="28"/>
          <w:rtl w:val="true"/>
          <w:lang w:bidi="ar-SA"/>
        </w:rPr>
        <w:t>ذكر أنّك ترخّص 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الزنديق، ما هكذا قلت له، سألني عن الغناء،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فسأله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ميّز اللّه تعالى الحقّ من الباطل، فأين يكون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الفقيه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الحسين عليهما السّلام عن شراء جارية لها صوت،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لو اشتريتها، فذكرت الجنة، يعنى بقراءة القرآن و الزهد و الفضائل التي ليست بغناء، و أمّا الغناء فمحظور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ابن سنان </w:t>
      </w:r>
      <w:r>
        <w:rPr>
          <w:rStyle w:val="FootnoteAnchor"/>
          <w:rtl w:val="true"/>
        </w:rPr>
        <w:footnoteReference w:id="6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بألحان العرب و أصواتها، و إيّاكم و لحون أهل الفسق و الكبائر، فإنّه سيجي‌ء بعدي أقوام يرجّعون القرآن ترجيع الغناء و النوح و الرهبانية لا يجوز تراقيهم قلوبهم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تلك الأدلّة على حرمة الغناء مطلقا نظر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الإجماع، فالمحقّق منه غير ثابت في المستثنيات المذكورة، بل كلام المقدّس الأردبيليّ </w:t>
      </w:r>
      <w:r>
        <w:rPr>
          <w:rStyle w:val="FootnoteAnchor"/>
          <w:rtl w:val="true"/>
        </w:rPr>
        <w:footnoteReference w:id="667"/>
      </w:r>
      <w:r>
        <w:rPr>
          <w:rFonts w:ascii="Amiri" w:hAnsi="Amiri" w:eastAsia="Amiri" w:cs="Amiri"/>
          <w:color w:val="111111"/>
          <w:sz w:val="28"/>
          <w:sz w:val="28"/>
          <w:szCs w:val="28"/>
          <w:rtl w:val="true"/>
          <w:lang w:bidi="ar-SA"/>
        </w:rPr>
        <w:t xml:space="preserve">، و المحقق الخراساني </w:t>
      </w:r>
      <w:r>
        <w:rPr>
          <w:rStyle w:val="FootnoteAnchor"/>
          <w:rtl w:val="true"/>
        </w:rPr>
        <w:footnoteReference w:id="668"/>
      </w:r>
      <w:r>
        <w:rPr>
          <w:rFonts w:ascii="Amiri" w:hAnsi="Amiri" w:eastAsia="Amiri" w:cs="Amiri"/>
          <w:color w:val="111111"/>
          <w:sz w:val="28"/>
          <w:sz w:val="28"/>
          <w:szCs w:val="28"/>
          <w:rtl w:val="true"/>
          <w:lang w:bidi="ar-SA"/>
        </w:rPr>
        <w:t xml:space="preserve">، و والدي العلّامة </w:t>
      </w:r>
      <w:r>
        <w:rPr>
          <w:rStyle w:val="FootnoteAnchor"/>
          <w:rtl w:val="true"/>
        </w:rPr>
        <w:footnoteReference w:id="669"/>
      </w:r>
      <w:r>
        <w:rPr>
          <w:rFonts w:ascii="Amiri" w:hAnsi="Amiri" w:eastAsia="Amiri" w:cs="Amiri"/>
          <w:color w:val="111111"/>
          <w:sz w:val="28"/>
          <w:sz w:val="28"/>
          <w:szCs w:val="28"/>
          <w:rtl w:val="true"/>
          <w:lang w:bidi="ar-SA"/>
        </w:rPr>
        <w:t>كما عرفت، يشعر بل يدلّ على وقوع الخلاف فيها، بل سمعت نقل الشهرة في إباحته في الحداء، و مخالفة جمع من أعيان الطائفة في زفّ العرائس، و اشتهار فعله في مراثي سيّد الشهداء، في جميع الأعصار و الأمصار من غير نكير غالبا، حدّا يحصل الجزم بعدم وقوع مثل ذلك الاشتهار، مع عدم الاستنكار في خلاف الإجماعيات، بل كان ينبغي أن يكون في الاستنكار مثل ضرب العيدان و القصب و المزامير في مجالس المؤمنين</w:t>
      </w:r>
    </w:p>
    <w:p>
      <w:pPr>
        <w:pStyle w:val="BookText"/>
        <w:rPr/>
      </w:pPr>
      <w:r>
        <w:rPr>
          <w:rFonts w:ascii="IRNazanin" w:hAnsi="IRNazanin" w:eastAsia="IRNazanin"/>
          <w:color w:val="111111"/>
          <w:sz w:val="28"/>
          <w:sz w:val="28"/>
          <w:szCs w:val="28"/>
          <w:rtl w:val="true"/>
          <w:lang w:bidi="fa-IR"/>
        </w:rPr>
        <w:t>و المساجد و المنابر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بالاتّفاق على حرمته في مثل المراثي و الفضائل و غيرهما، إلّا إذا بلغ حدّا خرج عن هذا العنوان، و صدق عليه اللهو المستعمل عند أهل الفسوق و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المنقول من الإجماع، على تسليم حجيته أيضا، مع أنّ نقله غير معلوم، و على ثبوته فمع ما عرفت من وقوع الإجمال و الخلاف في معنى الغناء، لا يعلم مراد القائل الناقل منه، بحيث يشمل جميع موارد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الآية الأولى، فمع تعارض الأخبار المفسّرة لها بالغناء، مع ما روي في مجمع البيان </w:t>
      </w:r>
      <w:r>
        <w:rPr>
          <w:rStyle w:val="FootnoteAnchor"/>
          <w:rtl w:val="true"/>
        </w:rPr>
        <w:footnoteReference w:id="670"/>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لهو الحديث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بالحقّ، و الاستهزاء به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لِيُضِلَّ عَنْ سَبِيلِ اللّٰهِ بِغَيْرِ عِلْمٍ وَ يَتَّخِذَهٰا هُزُواً </w:t>
      </w:r>
      <w:r>
        <w:rPr>
          <w:rStyle w:val="FootnoteAnchor"/>
          <w:rtl w:val="true"/>
        </w:rPr>
        <w:footnoteReference w:id="671"/>
      </w:r>
      <w:r>
        <w:rPr>
          <w:rFonts w:ascii="Amiri" w:hAnsi="Amiri" w:eastAsia="Amiri" w:cs="Amiri"/>
          <w:color w:val="111111"/>
          <w:sz w:val="28"/>
          <w:sz w:val="28"/>
          <w:szCs w:val="28"/>
          <w:rtl w:val="true"/>
          <w:lang w:bidi="ar-SA"/>
        </w:rPr>
        <w:t>يدلّ على كون الفعل بقصد الإضلال و الاتخاذ هزوا، فلا يدلّ على حرمة ما يتّخذ لترقيق القلب، لتذكر الجنة، و تهييج الشوق إلى العالم الأعلى، و تأثير الدعاء و القرآن و المناجاة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التفسير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المتقدّمة، لأنّه إمّا تفسير للمقيّد، فلا ينافيه التقييد في الحكم أو للمجموع، فالتقييد إمّا مأخوذ في أصل المعنى، فيكون مطلق الغناء ما استعمل في مقام اللهو، كما عسى يلوح من بعض الأقوال أو في المعنى المراد في الآية، فيكون مأخوذا في الغناء المحرّم، و يكون التفسير مخصوصا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لهو الحديث لا يصدق لغة و عرفا على التغنّي بالقرآن و الدعاء و مراثي سيّد الشهداء عليه السّلام و أمثالها، إذا اتّخذ للتشويق إلى اللّه سبحانه، و الترغيب</w:t>
      </w:r>
    </w:p>
    <w:p>
      <w:pPr>
        <w:pStyle w:val="BookText"/>
        <w:rPr/>
      </w:pPr>
      <w:r>
        <w:rPr>
          <w:rFonts w:ascii="Amiri" w:hAnsi="Amiri" w:eastAsia="Amiri" w:cs="Amiri"/>
          <w:color w:val="111111"/>
          <w:sz w:val="28"/>
          <w:sz w:val="28"/>
          <w:szCs w:val="28"/>
          <w:rtl w:val="true"/>
          <w:lang w:bidi="ar-SA"/>
        </w:rPr>
        <w:t>للخيرات، و الإبكاء، لأنّ الإضافة إن كانت بمعنى من، كما 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الحديث، و ما يلهى عن ذكر اللّه تعالى، فظاهر أن القرآن و نحوه ليس منه مطلقا، أو بمعنى 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الواقع فيه، أعني الغناء، فإطلاق اللهو الذي هو بمعنى الغفلة و التشاغل عن اللّه سبحانه و الآخرة، على ما يوجب التذكر لهما، مجاز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ما إذا أريد بلهو الحديث مطلق الأفعال الملهية، كما في تفسيره فيما رواه القمّي </w:t>
      </w:r>
      <w:r>
        <w:rPr>
          <w:rStyle w:val="FootnoteAnchor"/>
          <w:rtl w:val="true"/>
        </w:rPr>
        <w:footnoteReference w:id="672"/>
      </w:r>
      <w:r>
        <w:rPr>
          <w:rFonts w:ascii="Amiri" w:hAnsi="Amiri" w:eastAsia="Amiri" w:cs="Amiri"/>
          <w:color w:val="111111"/>
          <w:sz w:val="28"/>
          <w:sz w:val="28"/>
          <w:szCs w:val="28"/>
          <w:rtl w:val="true"/>
          <w:lang w:bidi="ar-SA"/>
        </w:rPr>
        <w:t>بالغناء و شرب الخمر و جميع 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التجوّز ليس بأدنى من تخصيص الغناء في الأخبار المفسرة ببعض أفراد، و هو المستعمل في الباطل، بل الترجيح للثاني، لشيوع استعماله في زمن المعصومين، فيما استعمله بنو أميّة و بنو العبّاس و أتباعهم و أذنابهم في مجالس الخمور و الفجور، حتى أنّ المغنّي و المغنّية كانا ظاهر الاختصاص في من اتّخذ شغله و حرفته التغنّي في أمثال تلك المحافل، من الجواري و الغلمان، و لأنّ مدلول أكثر الأخبار المفسّرة كون الغناء فردا من لهو الحديث، و أنّه بعض المراد ممّا قال سبحانه، كروايات القمّي، و محمّد، و مهران، و الحسن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إشعار بأنّ المراد من لهو الحديث معناه اللغوي و العرفيّ الذي فرد منه الغناء المستعمل فيه، بل في الأخيرة زيادة إيماء به، لظهوره في أنّ الغناء الذي أريد من لهو الحديث مجلس، و هو ظاهر في محافل المغنّيات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الأوّل المفسّر بالغناء و شرب الخمر و جميع الملاهي، الظاهر في كون الأخير من باب عطف العام على الخاصّ، و كون الأوّلين من أفراده مع ما في رواية الوشّاء من احتمال كونها تفسيرا لمعنى الغناء، لا بيانا لحكمه، فلا يتناول ما لا يصدق عليه لهو الحديث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 رواية أبي بصير، في كسب المغنّيات،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دخل عليهنّ الرجال حرام و التي تدعى إلى الأعراس ليس به بأس و هو قول اللّه عزّ و جلّ وَ مِنَ النّٰاسِ مَنْ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قرينة مرجّحة للثاني، فإنّها ظاهرة في أنّ لهو الحديث هو غناء المغنّيات التي يدخل عليهنّ الرجال</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يظهر ضعف التمثّل بإطلاق ما في المرويّ في الكافي، المذكور أخيرا، على حرمة مطلق الغناء، لكونه منزلا على ما فيه من التعليل بالآية، حسب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قوة احتمال نفي إطلاقه بظهوره في بيان حكم كون المحرّم من الغناء كبيرة أوعد اللّه سبحانه عليها النار، لا في بيان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الكلام في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لا يبعد كون الغناء المقصود من قول الزور على التفسير به هو الغناء بالباطل أيضا، كما يشعر به لفظ الزور الذي هو بمعنى الكذب و الباطل، يعارض المفسّرة لها بالغناء، مع ما تفسيرها بشهادة الزور المعتضد باشتهاره بين المفسرين، و مع ما رواه الصدوق في معاني الأخبار </w:t>
      </w:r>
      <w:r>
        <w:rPr>
          <w:rStyle w:val="FootnoteAnchor"/>
          <w:rtl w:val="true"/>
        </w:rPr>
        <w:footnoteReference w:id="674"/>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للّذي يغنّي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ينافي ما دلّ على اختصاصه بالغناء، بل فيه إشعار بكون المراد منه معناه اللغوي،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و الباطل الغير الصادقين على مثل القرآن و الخطب و الدعاء و الرثاء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المانعة عن بيع المغنّيات و شرائهنّ غير دالة على حرمة مطلق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ليس مطلق بيع من يقدر على التغنّي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وقوع التغنّي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إلّا بتقييد البيع بقصد التغنّي، استظهارا بإشعار وصف الموضوع بالغلبة، و هو ليس دلالة وضعية، بل مجرّد ظهور عرفيّ، و هو ليس بأكثر من ظهور</w:t>
      </w:r>
    </w:p>
    <w:p>
      <w:pPr>
        <w:pStyle w:val="BookText"/>
        <w:rPr/>
      </w:pPr>
      <w:r>
        <w:rPr>
          <w:rFonts w:ascii="Amiri" w:hAnsi="Amiri" w:eastAsia="Amiri" w:cs="Amiri"/>
          <w:color w:val="111111"/>
          <w:sz w:val="28"/>
          <w:sz w:val="28"/>
          <w:szCs w:val="28"/>
          <w:rtl w:val="true"/>
          <w:lang w:bidi="ar-SA"/>
        </w:rPr>
        <w:t>المغنّي و المغنّية بحكم الغلبة في أزمنة الخطاب، على ما سمعت في من يعدّ للتغنّي بالباطل من الجواري و الغلمان في مجالس اللهو من الأعراس و غيرها، بل كان تداول فيها دخول الرجال على النساء، و تعارف فيها التكسب بها، كما يظهر من الآثار و الأخبار، و 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ليست بالتي تدخل عليها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بمعهودية دخول الرجال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ظاهر في بيع من ذكر، بقصد تغنّيه بالباطل في مجالس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الأخبار الذامّة للغناء، فغير الثلاثة الأخيرة بكثرتها، خالية عما دلّ على الحرمة، و أمثال ما فيها من الذم يذكر كثيرا ما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رواية يونس، فوجه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تكذيب الإمام عليه السّلام نسبة الرخصة في الغناء إليه، أو جعله الغناء من قسم الباطل، و الأوّل لا يستلزم المنع، لاحتماله عدم الإذن، و الإجمال في الجواب لمصلحة، و لو سلّم، فغايته الدلالة على المنع في الجملة، فإنّ نقيض الإيجاب الكلّي السالبة الجزئية، و الثاني غير صريح في الحرمة، لصحّة إطلاق الباطل على مطلق الهزل، بل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مرسلة الفقيه، فمدلول ذيله و إن كان حرمة المطلق، إلّا أنّ قوله عليه السّلام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الفضائل التي ليست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الوصف سيما باعتبار تعبيره بلفظ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توضيحيا، خصوصا مع عدم وجه لتخصيص التجويز بالفضائل لولاه، قرينة على أن المراد بالغناء الذي في مقابله هو الغناء بالباطل، لا مطلقا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ما في رواية ابن سنان </w:t>
      </w:r>
      <w:r>
        <w:rPr>
          <w:rStyle w:val="FootnoteAnchor"/>
          <w:rtl w:val="true"/>
        </w:rPr>
        <w:footnoteReference w:id="675"/>
      </w:r>
      <w:r>
        <w:rPr>
          <w:rFonts w:ascii="Amiri" w:hAnsi="Amiri" w:eastAsia="Amiri" w:cs="Amiri"/>
          <w:color w:val="111111"/>
          <w:sz w:val="28"/>
          <w:sz w:val="28"/>
          <w:szCs w:val="28"/>
          <w:rtl w:val="true"/>
          <w:lang w:bidi="ar-SA"/>
        </w:rPr>
        <w:t>، فإنّها ظاهرة في أنّ المراد بالغناء المنهيّ عنه في القرآن، بعض أفراده، و هو لحون أهل الفسق و الكبائر، المتداولة في الملاهي الغير المذكّرة للآخرة، بل المخرجة لها عن صدق التلاوة، و يشعر به آخر الحديث،</w:t>
      </w:r>
    </w:p>
    <w:p>
      <w:pPr>
        <w:pStyle w:val="BookText"/>
        <w:rPr/>
      </w:pPr>
      <w:r>
        <w:rPr>
          <w:rFonts w:ascii="Amiri" w:hAnsi="Amiri" w:eastAsia="Amiri" w:cs="Amiri"/>
          <w:color w:val="111111"/>
          <w:sz w:val="28"/>
          <w:sz w:val="28"/>
          <w:szCs w:val="28"/>
          <w:rtl w:val="true"/>
          <w:lang w:bidi="ar-SA"/>
        </w:rPr>
        <w:t>سيما بملاحظة ما ورد من استحباب الترجيع بالقرآن، بل يدلّ عليه الأمر بالقراءة بألحان العرب، فإنّ اللحن كما في اللغة هو التطريب و الترجيع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اللحون و الألحان جمع اللحن، و هو التطريب و ترجيع الصوت، و تحسين القراءة و الشعر، و الغناء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القرآن بلحون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لحن في القراءة، إذا طرب و 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ألحن الناس، إذا كان أحسنهم قراءة و غناء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 بالتحريك، التطريب في الصوت و الغناء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فالنهي في الرواية عن لحون أهل الفسق، و ذمّ أقوام يرجعون القرآن ترجيع الغناء و الرهبانية، تحذير عن الغناء المتداول بين أهل الطرب و الفسق 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أشبه بخلاف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من جميع ما ذكرناه، أنّ القدر الثابت من تلك الأدلّة حرمة الغناء في الجملة، و أنّه لو سلّم إطلاق بعضها، فشيوع استعمال الغناء في الأخبار، فيما يستعمله الفسّاق في أزمنتهم في الملاهي و التغنّي بالباطل في مجالس الفجور، كما نبّهنا عليه، و قال في الكفاية </w:t>
      </w:r>
      <w:r>
        <w:rPr>
          <w:rStyle w:val="FootnoteAnchor"/>
          <w:rtl w:val="true"/>
        </w:rPr>
        <w:footnoteReference w:id="679"/>
      </w:r>
      <w:r>
        <w:rPr>
          <w:rFonts w:ascii="Amiri" w:hAnsi="Amiri" w:eastAsia="Amiri" w:cs="Amiri"/>
          <w:color w:val="111111"/>
          <w:sz w:val="28"/>
          <w:sz w:val="28"/>
          <w:szCs w:val="28"/>
          <w:rtl w:val="true"/>
          <w:lang w:bidi="ar-SA"/>
        </w:rPr>
        <w:t>و المفاتيح و يشعر به بعض الصحاح، حسب ما أشرنا إليه، و أمثال ذلك مما يمنع التمسّك بإطلاقه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لو لم يكن قرينة لحمل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يستعمل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المستعمل في الملاهي، فهي مانعة لا محالة عن جريان أصل الحقيقة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ثبوت الحرمة من تراكم الجميع في غير الفضائل، و القرآن، و المراثي، و نحوها، مما يذكّر الآخرة، و يرغّب في الخيرات مطلقا، و إن لم يقترن بمحرّم خارجي، و لم يكن تكلّما بالأكاذيب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فلا، سيما مع معارضة أدلّة الحرمة، مع ما رواه الحميري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نفى البعد في الكفاية عن إلحاقه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 هل يصلح بالفطر و الأضحى و النوح؟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يعص به</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و ما دلّ على جوازه في بعض المستثنيات،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حرمة ما استثنى من الغناء، فتفصيله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وقع الخلاف في استثنائه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المرأة في زفّ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جوازه للأصل، و الصحيح المتقدّم في حلّية أجر المغنية التي تزفّ العرائس، و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عن كسب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عليهنّ الرجال حرام، و التي تدعى إلى الأعراس، ليس به بأس</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الإيراد عليها بالمعارضة بإطلاق أدلّة الحرمة، و نفي الملازمة بين الإباحة و ثبوت الأجرة، مدفوع، بتخصيص الإطلاق بتلك الأخبار المشتملة على الصحيح و غيره، و الملازمة ثابتة بعدم القول بالفرق مع أنّ المنفيّ عنه البأس في الأخيرين، نفس الكسب، و هو عين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يتعدّى الحكم إلى المغنّي؟ الظاهر لا، كما هو ظاهر كلمات المجوزين، لاختصاص أدلّة الاستثناء بالمغنّية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التمسّك بعموم العلّة في الصحيح مخدوش، باختصاصها بالمرأة المسؤول عنها و إلّا جاء </w:t>
      </w:r>
      <w:r>
        <w:rPr>
          <w:rStyle w:val="FootnoteAnchor"/>
          <w:rtl w:val="true"/>
        </w:rPr>
        <w:footnoteReference w:id="683"/>
      </w:r>
      <w:r>
        <w:rPr>
          <w:rFonts w:ascii="Amiri" w:hAnsi="Amiri" w:eastAsia="Amiri" w:cs="Amiri"/>
          <w:color w:val="111111"/>
          <w:sz w:val="28"/>
          <w:sz w:val="28"/>
          <w:szCs w:val="28"/>
          <w:rtl w:val="true"/>
          <w:lang w:bidi="ar-SA"/>
        </w:rPr>
        <w:t xml:space="preserve">تفصيل الحلّ و الحرمة في الرجل أيضا في عدم دخوله على الرجال </w:t>
      </w:r>
      <w:r>
        <w:rPr>
          <w:rStyle w:val="FootnoteAnchor"/>
          <w:rtl w:val="true"/>
        </w:rPr>
        <w:footnoteReference w:id="684"/>
      </w:r>
      <w:r>
        <w:rPr>
          <w:rFonts w:ascii="IRNazanin" w:hAnsi="IRNazanin" w:eastAsia="IRNazanin"/>
          <w:color w:val="111111"/>
          <w:sz w:val="28"/>
          <w:sz w:val="28"/>
          <w:szCs w:val="28"/>
          <w:rtl w:val="true"/>
          <w:lang w:bidi="fa-IR"/>
        </w:rPr>
        <w:t xml:space="preserve">دخولهم </w:t>
      </w:r>
      <w:r>
        <w:rPr>
          <w:rStyle w:val="FootnoteAnchor"/>
          <w:rtl w:val="true"/>
        </w:rPr>
        <w:footnoteReference w:id="685"/>
      </w:r>
      <w:r>
        <w:rPr>
          <w:rFonts w:ascii="Amiri" w:hAnsi="Amiri" w:eastAsia="Amiri" w:cs="Amiri"/>
          <w:color w:val="111111"/>
          <w:sz w:val="28"/>
          <w:sz w:val="28"/>
          <w:szCs w:val="28"/>
          <w:rtl w:val="true"/>
          <w:lang w:bidi="ar-SA"/>
        </w:rPr>
        <w:t>عليه،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اختصاص الحكم بالزفاف أيضا، كما هو ظاهرهم، نظرا إلى ظهور العلّة في أفراد المسؤول عنها، التي هي من تزفّ العرائس، فمفادها تقسيم من يزفّ إلى من يدخل عليها الرجال و من لم يدخل، بل الظاهر الإجماع على الحرمة في غير الأعراس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الحداء، و هو سوق الإبل بالغناء، و اشتهر استثناؤه، إلّا أنّي لم أقف على دليل دلّ عليه، سوى الخبر العامّي </w:t>
      </w:r>
      <w:r>
        <w:rPr>
          <w:rStyle w:val="FootnoteAnchor"/>
          <w:rtl w:val="true"/>
        </w:rPr>
        <w:footnoteReference w:id="686"/>
      </w:r>
      <w:r>
        <w:rPr>
          <w:rFonts w:ascii="Amiri" w:hAnsi="Amiri" w:eastAsia="Amiri" w:cs="Amiri"/>
          <w:color w:val="111111"/>
          <w:sz w:val="28"/>
          <w:sz w:val="28"/>
          <w:szCs w:val="28"/>
          <w:rtl w:val="true"/>
          <w:lang w:bidi="ar-SA"/>
        </w:rPr>
        <w:t>المرسل، و هو غير صالح للحجّية، فلا موجب للخروج عن الإطلاق في حرمته، وفاقا لصريح جماعة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في مراثي سيد الشهداء، و غيره من الحجج عليهم السّلام و أولادهم، و أصحابهم و الحقّ فيه الإباحة، ما لم يخرج عن حدّ الرثاء، و صدق المرثية، و قصد الحزن و البكاء، و التحزين و الإبكاء، بوقوعه في الملاهي، و الإفراط في الترجيع، حدّا يخرج عن الإعانة على البكاء، و صدق الرثاء للأصل و قصور أدلّة الحرمة عن الإطلاق الشامل له، حسب ما مرّ مع معارضتها للمرويّ في قرب الإسناد </w:t>
      </w:r>
      <w:r>
        <w:rPr>
          <w:rStyle w:val="FootnoteAnchor"/>
          <w:rtl w:val="true"/>
        </w:rPr>
        <w:footnoteReference w:id="687"/>
      </w:r>
      <w:r>
        <w:rPr>
          <w:rFonts w:ascii="Amiri" w:hAnsi="Amiri" w:eastAsia="Amiri" w:cs="Amiri"/>
          <w:color w:val="111111"/>
          <w:sz w:val="28"/>
          <w:sz w:val="28"/>
          <w:szCs w:val="28"/>
          <w:rtl w:val="true"/>
          <w:lang w:bidi="ar-SA"/>
        </w:rPr>
        <w:t>و مرسلة</w:t>
      </w:r>
    </w:p>
    <w:p>
      <w:pPr>
        <w:pStyle w:val="BookText"/>
        <w:rPr/>
      </w:pPr>
      <w:r>
        <w:rPr>
          <w:rFonts w:ascii="Amiri" w:hAnsi="Amiri" w:eastAsia="Amiri" w:cs="Amiri"/>
          <w:color w:val="111111"/>
          <w:sz w:val="28"/>
          <w:sz w:val="28"/>
          <w:szCs w:val="28"/>
          <w:rtl w:val="true"/>
          <w:lang w:bidi="ar-SA"/>
        </w:rPr>
        <w:t xml:space="preserve">الفقيه </w:t>
      </w:r>
      <w:r>
        <w:rPr>
          <w:rStyle w:val="FootnoteAnchor"/>
          <w:rtl w:val="true"/>
        </w:rPr>
        <w:footnoteReference w:id="688"/>
      </w:r>
      <w:r>
        <w:rPr>
          <w:rFonts w:ascii="Amiri" w:hAnsi="Amiri" w:eastAsia="Amiri" w:cs="Amiri"/>
          <w:color w:val="111111"/>
          <w:sz w:val="28"/>
          <w:sz w:val="28"/>
          <w:szCs w:val="28"/>
          <w:rtl w:val="true"/>
          <w:lang w:bidi="ar-SA"/>
        </w:rPr>
        <w:t>، مضافا إلى كونه إعانة على البرّ، و رجحانها ثابت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الغناء معينا على البكاء، و إن سلّم إعانة الصوت عليه، و لو لاشتماله عليه، لكونه غير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فكونه على البكاء على شخص معيّن غير مسلّم، و إنّما هو لأجل تذكر أحواله، و لا دخل للغناء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فعموم رجحان الإعانة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فيعارض أدلّته أدلّة حرمة الغناء، و الترجيح للثانية بالأظهرية و الأكثرية، بل ربما يظهر من بعض أفاضل معاصرنا، نفي أضل التعارض، و بقاء دليل الحرمة سالما عما يعارضه، قائلا بعدم وقوع المعارضة في أمثال تلك العنوانات المختلفة، و لذا لا يتعارض ما دلّ على استحباب قضاء حاجة المؤمن، لما دلّ على حرمة الزنا و اللواط، إذا طلبه المزني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فلمخالفته الوجدان، و ظهور الفرق في الإبكاء بين الأصوات و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ما أشرنا إليه من أنّ الغناء في مثل ذلك يثير حزنا، إذا أضاءت أثره إلى الدماغ، يدمع العين، و يحصل البكاء، و إذا أضاءت الى الروح، يتموّج و يظهر منه الصياح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له مدخل في البكاء، و هو كاف في صدق الإعانة عليه، و إن لم يكن سببا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تذكر الشخص الخاصّ، و إن لم يكن لأجل الغناء، و لكن كونه تذكرة موجبا للبكاء، قد يحصل بإعانة الغناء المرقّق للقلب، المهيّج للحزن على من يرثى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فرجحان الإعانة على البرّ أمر معلوم الإجماع و الكتاب و السنة،</w:t>
      </w:r>
    </w:p>
    <w:p>
      <w:pPr>
        <w:pStyle w:val="BookText"/>
        <w:rPr/>
      </w:pPr>
      <w:r>
        <w:rPr>
          <w:rFonts w:ascii="Amiri" w:hAnsi="Amiri" w:eastAsia="Amiri" w:cs="Amiri"/>
          <w:color w:val="111111"/>
          <w:sz w:val="28"/>
          <w:sz w:val="28"/>
          <w:szCs w:val="28"/>
          <w:rtl w:val="true"/>
          <w:lang w:bidi="ar-SA"/>
        </w:rPr>
        <w:t>عموما و خصوصا، في المقام، بما ورد في متظافرة الأخبار، من استحباب البكاء و الإبكاء على الحسين عليه السّلام، غاية الأمر، يعارض دليله دليل الحرمة، حيث وقع معينا، فيرجع إلى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منع وجود دليل على عموم الحرمة الشامل لمحلّ البحث، فضلا عن الأظهرية و الأكثرية بالنسبة إلى ما استفاض من استحباب الإعانة على البرّ،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قاله الفاضل المعاصر، فهو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التمثيل بما ذكره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العنوان في الأمر و النهي، لا يرفع التعارض، إلّا إذا كان الرجحان توصليا تبعيّا، من باب المقدمة لواجب أو مندوب، فهو لا يعارض الحرمة الأصلية، كما في العبور عن ملك الغير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رجحان المقدّمة من باب التوقف العقلي للمأمور به بحكم العقل، و هو يكون حيث لم يكن المقدّمة مع إمكان حصول الغرض لغيرها،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الحكمان أصليين فالتعارض حاصل في مورد التخالف، و إن اختلف العنوان، لعدم إمكان الجمع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التعارض بالعموم من وجه، كلّه من هذا الباب، سواء كان مورد التعارض فردا لموضع كلّ من الدليلين المتعارضين، أو لأحدهما و لازما للآخر، كالأمر بالذهاب إلى المسجد، و النهي عن التصرف في ملك الغير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إطلاق الأمر منساقا لبيان حكم آخر، تقدّم جانب الحرمة، كالأمر بالمسافرة، و النهي عن ركوب الدابّة المغصوبة، و الأمر بالإفطار، و النهي عن أكل المتنجّس أو مال الغير،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انصراف إطلاق الأمر إلى محلّ النهي، فلا يحصل امتثال الأمر بالإتيان بالمنهيّ عنه، إلّا إذا كان المقصود</w:t>
      </w:r>
    </w:p>
    <w:p>
      <w:pPr>
        <w:pStyle w:val="BookText"/>
        <w:rPr/>
      </w:pPr>
      <w:r>
        <w:rPr>
          <w:rFonts w:ascii="Amiri" w:hAnsi="Amiri" w:eastAsia="Amiri" w:cs="Amiri"/>
          <w:color w:val="111111"/>
          <w:sz w:val="28"/>
          <w:sz w:val="28"/>
          <w:szCs w:val="28"/>
          <w:rtl w:val="true"/>
          <w:lang w:bidi="ar-SA"/>
        </w:rPr>
        <w:t>من الأمر مجرّد حصول الأثر، كالأمر بتطهير الثوب، و إنقاذ الغريق، فيسقط الأمر بفعل المحرّم، لحصول الغرض، و إن لم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كأن، فمن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البحث ليس من صورتي عدم التعارض، بل هو من باب تعارض الحكمين الأصليين بالعموم من وجه، إذ الأمر بالإعانة على البرّ، هو الأمر بإيجاد ما توقّف عليه، و هو في الفرض من أفراد الغناء المعين على البكاء أو الإبكاء، 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الفرق بين الأمر بالإبكاء و الإعانة، بكون النظر في الأوّل حصول الأثر، فلا ينصرف الإطلاق إلى خصوصيات أفراد السبب، بخلاف الثاني، لظهوره في كون المقصود منه الأمر بإيجاد أسباب البرّ و شرائطه، و لا أقلّ من عدم ظهوره في غيره الكافي في صحّة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التنظير بالزنا، في حصول قضاء حاجة المؤمن، به فلا مناسبة له بالمقام، فإنّ أصل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على المحتاج، فكيف يحسن قضاؤها؟ بل يحسن من الغير الإعانة على منعها، بخلاف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قراءة القرآن، و هو كسابقه دلّ على جوازه ما مرّ، من الأصل، و قصور الأدلّة المانعة من شمولها له، مضافا إلى المعتبرة المستفيضة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المعتضدة بالأصل الآمرة بقراءة القرآن بالصوت الحسن، الشامل للغناء، بل هو أظهر أفراده أو بخصوص الترجيع، كرواية أبي بصير الصحيحة </w:t>
      </w:r>
      <w:r>
        <w:rPr>
          <w:rStyle w:val="FootnoteAnchor"/>
          <w:rtl w:val="true"/>
        </w:rPr>
        <w:footnoteReference w:id="689"/>
      </w:r>
      <w:r>
        <w:rPr>
          <w:rFonts w:ascii="Amiri" w:hAnsi="Amiri" w:eastAsia="Amiri" w:cs="Amiri"/>
          <w:color w:val="111111"/>
          <w:sz w:val="28"/>
          <w:sz w:val="28"/>
          <w:szCs w:val="28"/>
          <w:rtl w:val="true"/>
          <w:lang w:bidi="ar-SA"/>
        </w:rPr>
        <w:t>، عن السرّاد، المجمع على تصحيح ما يصحّ عنه،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رجّع بالقرآن صوتك، فإنّ اللّه سبحانه يحبّ الصوت الحسن، يرجّع به ترجيعا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الإيراد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الغناء هو الترجيع، و هو وصف عارض للصوت الحسن،</w:t>
      </w:r>
    </w:p>
    <w:p>
      <w:pPr>
        <w:pStyle w:val="BookText"/>
        <w:rPr/>
      </w:pPr>
      <w:r>
        <w:rPr>
          <w:rFonts w:ascii="Amiri" w:hAnsi="Amiri" w:eastAsia="Amiri" w:cs="Amiri"/>
          <w:color w:val="111111"/>
          <w:sz w:val="28"/>
          <w:sz w:val="28"/>
          <w:szCs w:val="28"/>
          <w:rtl w:val="true"/>
          <w:lang w:bidi="ar-SA"/>
        </w:rPr>
        <w:t>يوجد بإيجاد مغاير لإيجاد الصوت، فلا يدلّ الترغيب به على الترغيب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مطلق الترجيع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بمعارضتهما للأخبار المانعة، كخصوص رواية عبد اللّه بن سنان المتقدّمة، الناهية عن لحون أهل الفسوق، الذامّة لترجيع الغناء و الرهبانية في القرآن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بما في الأوّل، من أنّ الغناء في كلام جماعة من أصحاب اللغة، هو الصوت المشتمل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فتحسين الصوت غالبا بالترجيع، و لا أقلّ من كون المشتمل عليه من أفراده، فالأمر بالصوت الحسن أمر بالمركّب من العارض و المعروض، و هو ينافي حرمة العارض، مع أنّ في بعض الأخبار الأمر بتحسين الصوت، و الترجيع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الثاني، من شموله للغناء قطعا، لو لم يتّحد معه، و هو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الثالث،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 من ضعف دلالة المعارض في مورد البحث، بل دلالة الخبر المذكور على الترغيب بنوع منه، فلعلّ النهي عن نوع آخر مستعمل عند أهل المعصية، من جهة خروج القراءة به عن صدق التلاوة عرفا،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دلالة العمومات المانعة من التعارض مع المجوّزة بالعموم من وجه، فيرجع إلى الأصل المقتضي للجواز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موافقة الأولى للكتاب، بضميمة الأخبار المفسّرة، لو أغمضنا عما فيه من المناقشات السابقة، معارضة لموافقة الثانية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وَ رَتِّلِ الْقُرْآنَ تَرْتِيلًا </w:t>
      </w:r>
      <w:r>
        <w:rPr>
          <w:rStyle w:val="FootnoteAnchor"/>
          <w:rtl w:val="true"/>
        </w:rPr>
        <w:footnoteReference w:id="691"/>
      </w:r>
      <w:r>
        <w:rPr>
          <w:rFonts w:ascii="Amiri" w:hAnsi="Amiri" w:eastAsia="Amiri" w:cs="Amiri"/>
          <w:color w:val="111111"/>
          <w:sz w:val="28"/>
          <w:sz w:val="28"/>
          <w:szCs w:val="28"/>
          <w:rtl w:val="true"/>
          <w:lang w:bidi="ar-SA"/>
        </w:rPr>
        <w:t>بضميمة تفسيره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المكث فيه، و تحسين الصوت 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في سائر الفضائل، من الخطب و المناجاة و الدعاء و غيرها من الكلمات</w:t>
      </w:r>
      <w:bookmarkStart w:id="191" w:name="pg2497_12153"/>
    </w:p>
    <w:p>
      <w:pPr>
        <w:pStyle w:val="BookText"/>
        <w:rPr/>
      </w:pPr>
      <w:bookmarkEnd w:id="191"/>
      <w:r>
        <w:rPr>
          <w:rFonts w:ascii="Amiri" w:hAnsi="Amiri" w:eastAsia="Amiri" w:cs="Amiri"/>
          <w:color w:val="111111"/>
          <w:sz w:val="28"/>
          <w:sz w:val="28"/>
          <w:szCs w:val="28"/>
          <w:rtl w:val="true"/>
          <w:lang w:bidi="ar-SA"/>
        </w:rPr>
        <w:t>الحقّة، مما يقصد به الترغيب إلى اللّه تعالى، و السوق الى الجنة، و مذاكرة نعم اللّه سبحانه و فناء الدنيا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الأوجه فيه الجواز أيضا للأصل السالم عن المعارض المعلوم، مضافا إلى ظهور مرسلة الفقيه المتقدّمة </w:t>
      </w:r>
      <w:r>
        <w:rPr>
          <w:rStyle w:val="FootnoteAnchor"/>
          <w:rtl w:val="true"/>
        </w:rPr>
        <w:footnoteReference w:id="692"/>
      </w:r>
      <w:r>
        <w:rPr>
          <w:rFonts w:ascii="Amiri" w:hAnsi="Amiri" w:eastAsia="Amiri" w:cs="Amiri"/>
          <w:color w:val="111111"/>
          <w:sz w:val="28"/>
          <w:sz w:val="28"/>
          <w:szCs w:val="28"/>
          <w:rtl w:val="true"/>
          <w:lang w:bidi="ar-SA"/>
        </w:rPr>
        <w:t>فيه بالتقريب المذكور</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861903_3804643083"/>
      <w:bookmarkStart w:id="193" w:name="_Toc74"/>
      <w:bookmarkEnd w:id="192"/>
      <w:r>
        <w:rPr>
          <w:rtl w:val="true"/>
        </w:rPr>
        <w:t>تتميم</w:t>
      </w:r>
      <w:r>
        <w:rPr>
          <w:rtl w:val="true"/>
        </w:rPr>
        <w:t xml:space="preserve">: </w:t>
      </w:r>
      <w:r>
        <w:rPr>
          <w:rtl w:val="true"/>
        </w:rPr>
        <w:t>كما يحرم التغني، يحرم استماعه اجماعا، له،</w:t>
      </w:r>
      <w:bookmarkEnd w:id="193"/>
    </w:p>
    <w:p>
      <w:pPr>
        <w:pStyle w:val="BookText"/>
        <w:rPr/>
      </w:pPr>
      <w:r>
        <w:rPr>
          <w:rFonts w:ascii="Amiri" w:hAnsi="Amiri" w:eastAsia="Amiri" w:cs="Amiri"/>
          <w:color w:val="111111"/>
          <w:sz w:val="28"/>
          <w:sz w:val="28"/>
          <w:szCs w:val="28"/>
          <w:rtl w:val="true"/>
          <w:lang w:bidi="ar-SA"/>
        </w:rPr>
        <w:t>و للمستفيضة المانعة عن بيع المغنّيات، و شرائهن، المحمول على قصد التغنّي به،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الغناء منهنّ، لا التغنّي لأنفسهنّ، لحصوله قبل البيع أيضا، و خصوص رواية الطاطري </w:t>
      </w:r>
      <w:r>
        <w:rPr>
          <w:rStyle w:val="FootnoteAnchor"/>
          <w:rtl w:val="true"/>
        </w:rPr>
        <w:footnoteReference w:id="693"/>
      </w:r>
      <w:r>
        <w:rPr>
          <w:rFonts w:ascii="Amiri" w:hAnsi="Amiri" w:eastAsia="Amiri" w:cs="Amiri"/>
          <w:color w:val="111111"/>
          <w:sz w:val="28"/>
          <w:sz w:val="28"/>
          <w:szCs w:val="28"/>
          <w:rtl w:val="true"/>
          <w:lang w:bidi="ar-SA"/>
        </w:rPr>
        <w:t>المتقدّمة، بما في آخرها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استماعهنّ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قريبة منها الأخرى، و مرسلة المدني </w:t>
      </w:r>
      <w:r>
        <w:rPr>
          <w:rStyle w:val="FootnoteAnchor"/>
          <w:rtl w:val="true"/>
        </w:rPr>
        <w:footnoteReference w:id="694"/>
      </w:r>
      <w:r>
        <w:rPr>
          <w:rFonts w:ascii="Amiri" w:hAnsi="Amiri" w:eastAsia="Amiri" w:cs="Amiri"/>
          <w:color w:val="111111"/>
          <w:sz w:val="28"/>
          <w:sz w:val="28"/>
          <w:szCs w:val="28"/>
          <w:rtl w:val="true"/>
          <w:lang w:bidi="ar-SA"/>
        </w:rPr>
        <w:t>، سئل عن الغناء،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سبحانه معرض عن أهلها، فإنّها ظاهرة في كون النهي باعتبار استماع الغناء، في بيوت يتغنّى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عنبسة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الغناء و اللهو ينبت النفاق في القلب</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و الخبر العامّي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ملأ مسامعه من الغناء، لم يؤذن له أن يسمع صوت الروحانيين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الروحانيون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أهل الجنة</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في حرمة استماع الغناء حرمته على المغنّي، فلا يجوز استماعه من غير المكلّف، و إن لم يكن عليه إثم، لصدق الغناء، فيعمّه دليله</w:t>
      </w:r>
      <w:r>
        <w:rPr>
          <w:rFonts w:eastAsia="Amiri" w:cs="Amiri" w:ascii="Amiri" w:hAnsi="Amiri"/>
          <w:color w:val="111111"/>
          <w:sz w:val="28"/>
          <w:szCs w:val="28"/>
          <w:rtl w:val="true"/>
          <w:lang w:bidi="ar-SA"/>
        </w:rPr>
        <w:t>.</w:t>
      </w:r>
      <w:bookmarkStart w:id="194" w:name="pg2497_12154"/>
    </w:p>
    <w:p>
      <w:pPr>
        <w:pStyle w:val="Heading2"/>
        <w:numPr>
          <w:ilvl w:val="1"/>
          <w:numId w:val="1"/>
        </w:numPr>
        <w:rPr/>
      </w:pPr>
      <w:bookmarkStart w:id="195" w:name="__RefHeading___Toc3861905_3804643083"/>
      <w:bookmarkStart w:id="196" w:name="_Toc75"/>
      <w:bookmarkEnd w:id="194"/>
      <w:bookmarkEnd w:id="195"/>
      <w:r>
        <w:rPr>
          <w:rtl w:val="true"/>
        </w:rPr>
        <w:t>[</w:t>
      </w:r>
      <w:r>
        <w:rPr>
          <w:rtl w:val="true"/>
        </w:rPr>
        <w:t>المشرق العاشر</w:t>
      </w:r>
      <w:r>
        <w:rPr>
          <w:rtl w:val="true"/>
        </w:rPr>
        <w:t>] [</w:t>
      </w:r>
      <w:r>
        <w:rPr>
          <w:rtl w:val="true"/>
        </w:rPr>
        <w:t>في صحة صلح الزوج عن حق رجوعه في العدّة الرجعية</w:t>
      </w:r>
      <w:r>
        <w:rPr>
          <w:rtl w:val="true"/>
        </w:rPr>
        <w:t>]</w:t>
      </w:r>
      <w:bookmarkEnd w:id="196"/>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 جمع من أفاضل من عاصرناه، صحّة صلح الزوج عن حق رجوعه في العدّة الرجعية، فيصير به الطلاق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في كتب الفقهاء من تعرّض لهذه المسألة بخصوصها، عدا الفاضل الكامل القمّي </w:t>
      </w:r>
      <w:r>
        <w:rPr>
          <w:rStyle w:val="FootnoteAnchor"/>
          <w:rtl w:val="true"/>
        </w:rPr>
        <w:footnoteReference w:id="697"/>
      </w:r>
      <w:r>
        <w:rPr>
          <w:rFonts w:ascii="Amiri" w:hAnsi="Amiri" w:eastAsia="Amiri" w:cs="Amiri"/>
          <w:color w:val="111111"/>
          <w:sz w:val="28"/>
          <w:sz w:val="28"/>
          <w:szCs w:val="28"/>
          <w:rtl w:val="true"/>
          <w:lang w:bidi="ar-SA"/>
        </w:rPr>
        <w:t>، حيث أفتى بصحّته، و تبعه غيره ممن 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والدي العلّامة و هو في محلّه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لبيان جليّة الحال، لا بدّ من بيان حقيقة الصلح و أقسامه، و تحقيق المناط لما صحّ فيه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عقد دلّ على شرعيته إجماع المسلمين، و استفاضت عليه أخبار المعصومين عليهم السّلام، ففي النبويّ، و المرسل من طريق الخاصّة في الفقيه </w:t>
      </w:r>
      <w:r>
        <w:rPr>
          <w:rStyle w:val="FootnoteAnchor"/>
          <w:rtl w:val="true"/>
        </w:rPr>
        <w:footnoteReference w:id="698"/>
      </w:r>
      <w:r>
        <w:rPr>
          <w:rFonts w:ascii="Amiri" w:hAnsi="Amiri" w:eastAsia="Amiri" w:cs="Amiri"/>
          <w:color w:val="111111"/>
          <w:sz w:val="28"/>
          <w:sz w:val="28"/>
          <w:szCs w:val="28"/>
          <w:rtl w:val="true"/>
          <w:lang w:bidi="ar-SA"/>
        </w:rPr>
        <w:t>، المنجبرين بالشهرة العظيمة، رواية و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الصحيح، بغير استثناء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غيرها من الصحاح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معنى الاستثناء، و دفع ما أورد عليه من الإشكال، ليطلب مما حقّقناه في استثنائه في الشرط،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الصلح لا يتوقّف على سبق الدعوى، و لا توقعه إجماعا منا، و إن كان في الأصل شرّع لدفع الخصومة، فاطّرد في غيره، مثل المشقّة في حكمة القصر، و نقص القيمة في الردّ بالعيب، و استبراء الرحم للعدّة، و نحوها، فيحكم به في غير مورد الحكمه، مضافا إلى الإجماع بعموم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الإطلاقات بما تحقّق فيه التنازع، و لو متوقعا، و التعميم بعدم القائل بالفرق غير متجه، لأنّ معنى الصلح الواقع في إيجاب العقد، المحمول عليه الإطلاقات، يوافق المصطلحين، بما تسالما و اصطلحا عليه، و هو يشمل غير صورة التشاجر و التجاذب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عقد لازم، يشترط فيه الصيغة الخاصّة من الإيجاب و القبول اللفظيين بشرائطهما، كسائر العقود اللازمة، كما مضى في بعض ما تقدّم، و إن قلنا بجواز المعاطاة في صلح المعاوضة، على غير وجه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إيراد المحقق الأردبيلي </w:t>
      </w:r>
      <w:r>
        <w:rPr>
          <w:rStyle w:val="FootnoteAnchor"/>
          <w:rtl w:val="true"/>
        </w:rPr>
        <w:footnoteReference w:id="700"/>
      </w:r>
      <w:r>
        <w:rPr>
          <w:rFonts w:ascii="Amiri" w:hAnsi="Amiri" w:eastAsia="Amiri" w:cs="Amiri"/>
          <w:color w:val="111111"/>
          <w:sz w:val="28"/>
          <w:sz w:val="28"/>
          <w:szCs w:val="28"/>
          <w:rtl w:val="true"/>
          <w:lang w:bidi="ar-SA"/>
        </w:rPr>
        <w:t>في اشتراط الصيغة، بمخالفته للأصل و ظاهر الأخبار،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ليس المراد بالصلح فيها مجرّد التسالم على ما اتفقا عليه، الذي هو معناه اللغويّ، بل ما يعمّ الإنشاء العقديّ، و لذا كان من العقود إجماعا، فهو محمول على المعاملة المعهودة في الشرع، فلا يصحّ التمسّك في صحّة مطلق ما صدق عليه معناه لغة بالإطلاق، و إن صحّ ذلك بالنسبة إلى سائر الشرائط، حسب ما تقرر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مدلول الإطلاقات، مجرّد الصحة، دون اللزوم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الصلح عقد مستقلّ لا يتفرّع على غيره من العقود، و إن أفاد فائدته، كما هو</w:t>
      </w:r>
    </w:p>
    <w:p>
      <w:pPr>
        <w:pStyle w:val="BookText"/>
        <w:rPr/>
      </w:pPr>
      <w:r>
        <w:rPr>
          <w:rFonts w:ascii="Amiri" w:hAnsi="Amiri" w:eastAsia="Amiri" w:cs="Amiri"/>
          <w:color w:val="111111"/>
          <w:sz w:val="28"/>
          <w:sz w:val="28"/>
          <w:szCs w:val="28"/>
          <w:rtl w:val="true"/>
          <w:lang w:bidi="ar-SA"/>
        </w:rPr>
        <w:t xml:space="preserve">المشهور، بل عن التذكرة </w:t>
      </w:r>
      <w:r>
        <w:rPr>
          <w:rStyle w:val="FootnoteAnchor"/>
          <w:rtl w:val="true"/>
        </w:rPr>
        <w:footnoteReference w:id="701"/>
      </w:r>
      <w:r>
        <w:rPr>
          <w:rFonts w:ascii="Amiri" w:hAnsi="Amiri" w:eastAsia="Amiri" w:cs="Amiri"/>
          <w:color w:val="111111"/>
          <w:sz w:val="28"/>
          <w:sz w:val="28"/>
          <w:szCs w:val="28"/>
          <w:rtl w:val="true"/>
          <w:lang w:bidi="ar-SA"/>
        </w:rPr>
        <w:t xml:space="preserve">و التحرير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بل من غير خلاف بيننا، عدا المحكيّ عن الشيخ </w:t>
      </w:r>
      <w:r>
        <w:rPr>
          <w:rStyle w:val="FootnoteAnchor"/>
          <w:rtl w:val="true"/>
        </w:rPr>
        <w:footnoteReference w:id="703"/>
      </w:r>
      <w:r>
        <w:rPr>
          <w:rFonts w:ascii="Amiri" w:hAnsi="Amiri" w:eastAsia="Amiri" w:cs="Amiri"/>
          <w:color w:val="111111"/>
          <w:sz w:val="28"/>
          <w:sz w:val="28"/>
          <w:szCs w:val="28"/>
          <w:rtl w:val="true"/>
          <w:lang w:bidi="ar-SA"/>
        </w:rPr>
        <w:t>، وفاقا له للشافعي، من أنّه بيع، أو اجارة، أو هبة غير معوّضة، أو عارية، أو إبراء فهو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الاستقلال مقتضى أدلّة الصلح بضميمة الأصل، بل ظهور كثير منها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عقد واسع يقع في موارد أكثر العقود، و مع ذلك متّسع باحتماله ما لا يحتمل غيره، مما يفاد مفاده من 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مع الإقرار و الإنكار، ففي الأوّل ظاهرا و باطنا، و في الثاني ظاهرا، فيحرم على المبطل ما يدفعه إليه المحقّ، أو بقى من ماله عنده، و لو مقدار ما دفع إليه من العوض في المصالحة عن العين، بفساد المعاوضة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يحكم بالصحّة في ظاهر الشرع، إلّا على فرض رضى المحقّ بالصلح باطنا اجماعا في الجميع، مضافا إلى أدلّة الصلح المعتضدة بعموم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بِالْعُقُودِ في الصحّة الظاهرية، و خصوص صحيح عمر بن يزيد </w:t>
      </w:r>
      <w:r>
        <w:rPr>
          <w:rStyle w:val="FootnoteAnchor"/>
          <w:rtl w:val="true"/>
        </w:rPr>
        <w:footnoteReference w:id="704"/>
      </w:r>
      <w:r>
        <w:rPr>
          <w:rFonts w:ascii="Amiri" w:hAnsi="Amiri" w:eastAsia="Amiri" w:cs="Amiri"/>
          <w:color w:val="111111"/>
          <w:sz w:val="28"/>
          <w:sz w:val="28"/>
          <w:szCs w:val="28"/>
          <w:rtl w:val="true"/>
          <w:lang w:bidi="ar-SA"/>
        </w:rPr>
        <w:t xml:space="preserve">و رواية علي بن حمزة </w:t>
      </w:r>
      <w:r>
        <w:rPr>
          <w:rStyle w:val="FootnoteAnchor"/>
          <w:rtl w:val="true"/>
        </w:rPr>
        <w:footnoteReference w:id="705"/>
      </w:r>
      <w:r>
        <w:rPr>
          <w:rFonts w:ascii="Amiri" w:hAnsi="Amiri" w:eastAsia="Amiri" w:cs="Amiri"/>
          <w:color w:val="111111"/>
          <w:sz w:val="28"/>
          <w:sz w:val="28"/>
          <w:szCs w:val="28"/>
          <w:rtl w:val="true"/>
          <w:lang w:bidi="ar-SA"/>
        </w:rPr>
        <w:t>في الفساد الواقعي في صورة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ظاهرا بأنّها غير متصوّرة، مع القطع بكون أحدهما مبطلا، فلا يكون الفساد الواقعيّ مشتبها، فكيف يحكم بصحّته ظاهرا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فساده باطنا، بأنّه إذا توجّهت الدعوى بالتهمة، يتوجّه اليمين على المنكر، من غير ردّ، و لو كانت الدعوى مستندة إلى قرينة، فصالحه على إسقاطها</w:t>
      </w:r>
    </w:p>
    <w:p>
      <w:pPr>
        <w:pStyle w:val="BookText"/>
        <w:rPr/>
      </w:pPr>
      <w:r>
        <w:rPr>
          <w:rFonts w:ascii="Amiri" w:hAnsi="Amiri" w:eastAsia="Amiri" w:cs="Amiri"/>
          <w:color w:val="111111"/>
          <w:sz w:val="28"/>
          <w:sz w:val="28"/>
          <w:szCs w:val="28"/>
          <w:rtl w:val="true"/>
          <w:lang w:bidi="ar-SA"/>
        </w:rPr>
        <w:t>بمال، أو على قطع المنازعة، فاليمين حقّ للمدّعي، يصحّ الصلح لإسقاطه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Style w:val="FootnoteAnchor"/>
          <w:rtl w:val="true"/>
        </w:rPr>
        <w:footnoteReference w:id="706"/>
      </w:r>
      <w:r>
        <w:rPr>
          <w:rFonts w:ascii="Amiri" w:hAnsi="Amiri" w:eastAsia="Amiri" w:cs="Amiri"/>
          <w:color w:val="111111"/>
          <w:sz w:val="28"/>
          <w:sz w:val="28"/>
          <w:szCs w:val="28"/>
          <w:rtl w:val="true"/>
          <w:lang w:bidi="ar-SA"/>
        </w:rPr>
        <w:t xml:space="preserve">، و احتمله في جامع المقاصد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شرعية الصلح، أوجبت صحّته الظاهرية، عند عدم تعيّن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الدعوى و حقّ اليمين، من الحقوق الظاهرية، فلا ينافي وقوع الصلح على إسقاطه الفساد باطنا، و لذا لو انكشف الحال بعد الصلح بإقرار و نحوه، يحكم بفساد الصلح ظاهرا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ذلك في الصلح، في صورة الإقرار، إذا انكشف أحد العوضين مستحقا، كما في البيع و نحوه في المفروض، لتسليم الفساد الواقعي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التعمّد بالدعوى الكاذبة، كما هي الغالب في الصلح الإنكاري، لا يحلّ التصرّف للمدّعي عند نفسه، فيما بينه و بين اللّه أيضا، و إن جرى على الصحّة في ظاهر الحال، بخلاف صورة خروج العوض مستحقّا، مع جهل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مقصودهم في المقام من الباطن في مقابل الظاهر دون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الصلح عن عين بعين أو بمنفعة أو عن منفعة كذلك، و عن الحقوق، كحقّ الحيازة، و حقّ التحجير، و حقّ الشفعة، بحقّ مثله أو بعين أو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بالإجماع و العمومات، لصدق عقد الصلح على ما يفيد إنشاء ما توافقا عليه من الأمور المذكورة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مع العوض، فيكون عقد معاوضة، و بدونه، كما عرفت من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قيامه مقام الهبة و العارية، لصدق معنى الصلح على المجرّد عن العوض، حسب ما ذكر، فيشمله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المسألة إجماعية، و يشعر بالإجماع ما في التذكرة،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صالحني بنصف دينك عليّ، أو بنصف دارك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بذلك، صحّ عندنا، و هو قول أكثر الشافعية،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يقتضي لفظ الصلح المعاوضة، إذا كان هناك عوض، و أمّا مع عدمه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معنى الصلح الرضا و الاتفاق، و قد يصلح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الاتفاق على بطلان الصلح المعوّض، إذا بان أحد العوضين مستحقا الظاهر في كون العوض من أركان الصلح، و لذا لا يفسد النكاح بفساد المهر، نظرا إلى عدم كونه ركنا له، إذ غايته كون العوض ركنا للصلح الواقع بقصد المعاوضة، و لا يقتضي ذلك كونه ركنا لمطلق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النكاح، فليس المهر ركنا له مطلقا، و لذا يصحّ بدون ذكره، و يرجع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صلح الدين على بعضه أو العين كذلك، و يسمّى صلح الحطيطة،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نصف ديني على أن تعطيني نصفه، أو صالحتك داري على نصفها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الصلح مع جهالة العوضين، بلا خلاف فيه في الجملة، بل عن المسالك </w:t>
      </w:r>
      <w:r>
        <w:rPr>
          <w:rStyle w:val="FootnoteAnchor"/>
          <w:rtl w:val="true"/>
        </w:rPr>
        <w:footnoteReference w:id="70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لإطلاق الأدلّة، و خصوص الصحيح، في رجلين كان لكلّ واحد طعام عند صاحبه، 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تراضيا، و طابت به أنفسهما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 في معناه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منه الإبراء، كما قد يناقش به عليه، مدفوع، بظهوره في المعاوضة الظاهرة في الصلح، كما فهمه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إطلاق العبائر، كعموم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الجهل بالقدر و الجنس و العين و الدين، بل عن التذكرة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اشتراط العلم بشي‌ء منهما في الصلح إلى علمائنا أجمع، بل صرّح فيها حاكيا عليه إجماع الإمامية عدم الفرق في تعذّر العلم مطلقا، أو في الحال لعدم مكيال أو ميزان أو نحوهما من أسباب المعرفة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الأوّل، كما اقتضاه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إشكال ظاهرا في الثاني، لما ذكر، كما عن الشهيدين </w:t>
      </w:r>
      <w:r>
        <w:rPr>
          <w:rStyle w:val="FootnoteAnchor"/>
          <w:rtl w:val="true"/>
        </w:rPr>
        <w:footnoteReference w:id="711"/>
      </w:r>
      <w:r>
        <w:rPr>
          <w:rFonts w:ascii="IRNazanin" w:hAnsi="IRNazanin" w:eastAsia="IRNazanin"/>
          <w:color w:val="111111"/>
          <w:sz w:val="28"/>
          <w:sz w:val="28"/>
          <w:szCs w:val="28"/>
          <w:rtl w:val="true"/>
          <w:lang w:bidi="fa-IR"/>
        </w:rPr>
        <w:t xml:space="preserve">و الفاضل المقداد </w:t>
      </w:r>
      <w:r>
        <w:rPr>
          <w:rStyle w:val="FootnoteAnchor"/>
          <w:rtl w:val="true"/>
        </w:rPr>
        <w:footnoteReference w:id="712"/>
      </w:r>
      <w:r>
        <w:rPr>
          <w:rFonts w:ascii="Amiri" w:hAnsi="Amiri" w:eastAsia="Amiri" w:cs="Amiri"/>
          <w:color w:val="111111"/>
          <w:sz w:val="28"/>
          <w:sz w:val="28"/>
          <w:szCs w:val="28"/>
          <w:rtl w:val="true"/>
          <w:lang w:bidi="ar-SA"/>
        </w:rPr>
        <w:t>، حيث تمسّكا بتعذّر العلم في الحال، مع قضاء الضرورة و الحاجة بوقوعه، و الضرر بتأخيره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فيه في الرياض </w:t>
      </w:r>
      <w:r>
        <w:rPr>
          <w:rStyle w:val="FootnoteAnchor"/>
          <w:rtl w:val="true"/>
        </w:rPr>
        <w:footnoteReference w:id="713"/>
      </w:r>
      <w:r>
        <w:rPr>
          <w:rFonts w:ascii="Amiri" w:hAnsi="Amiri" w:eastAsia="Amiri" w:cs="Amiri"/>
          <w:color w:val="111111"/>
          <w:sz w:val="28"/>
          <w:sz w:val="28"/>
          <w:szCs w:val="28"/>
          <w:rtl w:val="true"/>
          <w:lang w:bidi="ar-SA"/>
        </w:rPr>
        <w:t xml:space="preserve">، من عموم الأدلّة المعتضدة بإطلاق كثير من العبائر، و من حصول الغرر، مع إمكان التحرّز عنه، و لذا قيّد الصحة في المسالك </w:t>
      </w:r>
      <w:r>
        <w:rPr>
          <w:rStyle w:val="FootnoteAnchor"/>
          <w:rtl w:val="true"/>
        </w:rPr>
        <w:footnoteReference w:id="714"/>
      </w:r>
      <w:r>
        <w:rPr>
          <w:rFonts w:ascii="Amiri" w:hAnsi="Amiri" w:eastAsia="Amiri" w:cs="Amiri"/>
          <w:color w:val="111111"/>
          <w:sz w:val="28"/>
          <w:sz w:val="28"/>
          <w:szCs w:val="28"/>
          <w:rtl w:val="true"/>
          <w:lang w:bidi="ar-SA"/>
        </w:rPr>
        <w:t xml:space="preserve">و التنقيح </w:t>
      </w:r>
      <w:r>
        <w:rPr>
          <w:rStyle w:val="FootnoteAnchor"/>
          <w:rtl w:val="true"/>
        </w:rPr>
        <w:footnoteReference w:id="715"/>
      </w:r>
      <w:r>
        <w:rPr>
          <w:rFonts w:ascii="Amiri" w:hAnsi="Amiri" w:eastAsia="Amiri" w:cs="Amiri"/>
          <w:color w:val="111111"/>
          <w:sz w:val="28"/>
          <w:sz w:val="28"/>
          <w:szCs w:val="28"/>
          <w:rtl w:val="true"/>
          <w:lang w:bidi="ar-SA"/>
        </w:rPr>
        <w:t>، بما إذا تعذّر تحصيل العلم بالحقّ و المعرفة الكلّية، ثمّ قدم الثاني، ترجيحا لعموم النهي عن الغرر على أدلّة الصلح، باعتضاده للاعتبار، و رجحانه عند الأصحاب في كثير من المعاملات، كالبيع و الإجارة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الإغماض عنه، فالرجوع إلى أصل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لا عموم للنهي عن الغرر، بحيث يشمل المورد، بل هو مختصّ بالبيع، و نحوه الإجارة الملحقة به، لظاهر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 المتقدّم و نحوه، يختصّ بصورة الجهل و الغرر، فيخصّص به عموم النهي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مساس الحاجة الشامل له الصحيح بإطلاقه، لا يمنع عن صدق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تسليم التعارض، فالترجيح لأدلة الصلح، لاعتضادها بالإجماع المحكيّ في التذكرة </w:t>
      </w:r>
      <w:r>
        <w:rPr>
          <w:rStyle w:val="FootnoteAnchor"/>
          <w:rtl w:val="true"/>
        </w:rPr>
        <w:footnoteReference w:id="716"/>
      </w:r>
      <w:r>
        <w:rPr>
          <w:rFonts w:ascii="Amiri" w:hAnsi="Amiri" w:eastAsia="Amiri" w:cs="Amiri"/>
          <w:color w:val="111111"/>
          <w:sz w:val="28"/>
          <w:sz w:val="28"/>
          <w:szCs w:val="28"/>
          <w:rtl w:val="true"/>
          <w:lang w:bidi="ar-SA"/>
        </w:rPr>
        <w:t>و إطلاق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الجهل المغتفر في الصلح، إنّما هو إذا لم يرجع إلى الواقع، و أمّا معه و إن خلى عن الغرر، كصلح أحد العبدين المتشابهين المتحدين في القيمة، فهو يمنع الصحة، لمنافاته الإنشاء التنجيزي الذي هو شرط العقود مطلقا حسب ما تقدّم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الصلح عن الحقّ إسقاطا، كصلح حقّ الدعوى للمدّعى عليه، و حقوق الخيار لمن عليه الخيار، و نقلا كصلح حق التحجير، إلّا أنّه يجب الاقتصار فيما يصحّ الصلح عنه مما يطلق عليه الحق بهما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يطلق عليه الحقّ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المالي بلا واسطة، كحق الملك لعين أو منفعة أو دين، أو بواسطة، كحقّ الخيار و حقّ الشفعة و حقّ التحجير و حقّ الدعوى و أمثالها، فإنّ متعلّق الحقّ فيها ليس نفس المال ابتداء، بل هو التسلط على ما يوجب حصوله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الانتفاع لغير المال بلا واسطة، كحقّ الزوجية و ملك البضع و حقّ الجلوس للسابق في المسجد و نحوها، أو بواسطة، كحقّ الرجوع في الطلاق الذي هو التسلط على ما يوجب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الحقّ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يؤول إلى هذا المعنى، كحق المؤمن و حق الجار، من التعظيم و الإحسان و الإجابة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مورد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يصلح للإسقاط أو النقل باختيار العبد، بل لا معنى للصلح في غيره، و القدر الثابت من الإجماع و غيره، إنّ القابل لهما ما كان من الأوّلين، أي الحقوق المالية دون غيرهما، بل صرّح جمع من الفقهاء في وجه صحة صلح حق الشفعة بأنه من الحقوق المالية، فيصحّ الصلح عنه و ظاهر كلامهم هذا عدم صحّته في الحقوق الغير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الصلح مع ما فيه من الاستثناء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الشمول و لا مظنونه لأمثال ذلك التي متعلّق الصلح فيها حقيقة الحكم الشرعي، بل الثابت من مدلوله، صحّته فيما ثبت من الشرع صلاحيته للنقل و الإسقاط، بأن كان للمكلّف الخيرة فيهما، لا من قبيل الأحكام الستّة الوضعية و الولايات القهرية الشرعية، فيصطلحا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يصحّ صلح الوصيّ عن وصايته، و الوليّ عن ولايته، بل لا يجوز صلح المؤمن أو الجار عن حقوقهما الثابتة لهما في الشرع، من الإحسان و التكريم و المواساة و حسن المعاشرة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يطلق عليه لفظ الحقّ، أو أمكن التعبير عنه به، كحقّ الصلاة في المسجد و الجلوس في الأرض المباحة و أمثال ذلك من وجوه الانتفاعات، لا يلازم صحّة الصلح عنه، بل يجب أن يكون متعلّقة ممّا يثبت من الشرع قابليته للنقل أو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صلح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يدلّ على صلاحية مورد الشك لهما، كما لا يدلّ عموم أَحَلَّ اللّٰهُ الْبَيْعَ على قابلية العين للتملك و التمليك، مما يشكّ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أبيت عن ذلك، فالاستثناء المتعقّب له دلّ على عدم صلاحية ما يثبت له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بعموم أو إطلاق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لتغييره بنقل أو إسقاط بالصلح، فاللازم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تلك القابلية من خارج أدلّة الصلح، ثم الاستدلال بها على صحّة وقوعهما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ينقدح عدم جواز الصلح عن حق الرجوع في الطلاق الرجعي، لعدم ثبوت اختيار الزوج شرعا في إسقاطه، بل يقتضي أدلّة الرجوع من الكتاب و السنة عدمه، لأنّها تدلّ على سببية رجوع الزوج في الطلاق الرجعي بأسبابه من الأفعال الدالّة عليه، كالنظر إلى الزوجة و لمسها و تقبيلها و وطيها و إنكار الطلاق و نحوها، لعود الزوجية على نحو تحقّقها بعقد النكاح، و ليس حقّ الرجوع غير هذا الحكم الوضعيّ الشرعيّ، فلا يقع مورد الصلح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إطلاق لفظ الحقّ لا يصحّح صلحه، و لا يؤثر في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تسلط الزوج على الرجوع إلّا كالتسلط على إحياء أرض الموات؟ فكما لا يصحّ صلح حقّ الإحياء قبل فعله، و نحوه غيره من الأفعال التي جعلها الشارع أسبابا لآثار عائدة إلى الفاعل، كذا لا يصحّ صلح حقّ الرجوع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إلحاقه بحقّ الخيار و حقّ الشفعة و نحوهما، مما يصحّ الصلح عنه إجماعا، قياس مع الفارق، لما سمعت من كونهما من الحقوق المالية دونه، مضافا إلى الإجماع الفارق بينهما</w:t>
      </w:r>
      <w:r>
        <w:rPr>
          <w:rFonts w:eastAsia="Amiri" w:cs="Amiri" w:ascii="Amiri" w:hAnsi="Amiri"/>
          <w:color w:val="111111"/>
          <w:sz w:val="28"/>
          <w:szCs w:val="28"/>
          <w:rtl w:val="true"/>
          <w:lang w:bidi="ar-SA"/>
        </w:rPr>
        <w:t>.</w:t>
      </w:r>
      <w:bookmarkStart w:id="197" w:name="pg2497_12164"/>
    </w:p>
    <w:p>
      <w:pPr>
        <w:pStyle w:val="Heading2"/>
        <w:numPr>
          <w:ilvl w:val="1"/>
          <w:numId w:val="1"/>
        </w:numPr>
        <w:rPr/>
      </w:pPr>
      <w:bookmarkStart w:id="198" w:name="__RefHeading___Toc3861907_3804643083"/>
      <w:bookmarkStart w:id="199" w:name="_Toc76"/>
      <w:bookmarkEnd w:id="197"/>
      <w:bookmarkEnd w:id="198"/>
      <w:r>
        <w:rPr>
          <w:rtl w:val="true"/>
        </w:rPr>
        <w:t>[</w:t>
      </w:r>
      <w:r>
        <w:rPr>
          <w:rtl w:val="true"/>
        </w:rPr>
        <w:t>المشرق الحادي عشر</w:t>
      </w:r>
      <w:r>
        <w:rPr>
          <w:rtl w:val="true"/>
        </w:rPr>
        <w:t>] [</w:t>
      </w:r>
      <w:r>
        <w:rPr>
          <w:rtl w:val="true"/>
        </w:rPr>
        <w:t>في بيان تعارض الاستصحابين و أقسامه</w:t>
      </w:r>
      <w:r>
        <w:rPr>
          <w:rtl w:val="true"/>
        </w:rPr>
        <w:t>]</w:t>
      </w:r>
      <w:bookmarkEnd w:id="199"/>
    </w:p>
    <w:p>
      <w:pPr>
        <w:pStyle w:val="Heading3"/>
        <w:numPr>
          <w:ilvl w:val="2"/>
          <w:numId w:val="1"/>
        </w:numPr>
        <w:rPr/>
      </w:pPr>
      <w:bookmarkStart w:id="200" w:name="__RefHeading___Toc3861909_3804643083"/>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تعارض الاستصحابين و أقسامه، و حيث إنّ المقام من مزلات أقدام، و اختلاف سهام نقض و إبرام من أقوام، و منشأ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تنقيح مناط التعارض، فينبغي أن نفصّل الكلام فيما يضبط به محلّ التعارض و ما يرجح به أو يعمل بهما، أو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في بيان ما يتبع استصحاب المستصحب من الأحكام و الآثار و ما لا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يستلزم الحكم المستصحب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وجوديا كان أو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 ثلاثة، لأنّه إمّا يكون من توابعه و لوازمه في الوجود عقلا أو شرعا أو عادة، فكان المستصحب مقدّما عليه ذاتا و ملزوما له، كأن يكون علّة له أو جزء علة أو تتميما لعلّته، أو يكون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المستصحب لازما و مسبوقا له، أو هما متلازمان في الصدق، لجهة خارجة عن ذاتهما، أو لكونهما لازمين لملزوم واحد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 فإذا أثبت الملزوم بالاستصحاب،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الحكم به بتبعية اللوازم للملزوم، و المستصحب يستتبعه، سواء كان</w:t>
      </w:r>
    </w:p>
    <w:p>
      <w:pPr>
        <w:pStyle w:val="BookText"/>
        <w:rPr/>
      </w:pPr>
      <w:r>
        <w:rPr>
          <w:rFonts w:ascii="Amiri" w:hAnsi="Amiri" w:eastAsia="Amiri" w:cs="Amiri"/>
          <w:color w:val="111111"/>
          <w:sz w:val="28"/>
          <w:sz w:val="28"/>
          <w:szCs w:val="28"/>
          <w:rtl w:val="true"/>
          <w:lang w:bidi="ar-SA"/>
        </w:rPr>
        <w:t>الاستصحاب جاريا في نفس اللازم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استصحاب الملكية يحكم بتوابعها، كصحّة البيع و الإجارة و الإعادة و الانتقال إلى الوارث، و غير ذلك مما يترتّب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باستصحاب طهارة الماء، بجواز شربه و صحّة الوضوء منه و تطهر ما يغسل به، و غيرها من آثار الطهارة و توابعها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وقوع الإجماع عليه، كما يستفاد من سيرة العلماء في الفقه و الأصول، و إن غفل عنه بعضهم في بعض صور تعارض الاستصحابين،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كتب الأصحاب و روال طريقتهم في استنباط الأحكام، لم يبق له تأمّل في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سببية شي‌ء لأمر و استتباعه له و ترتّبه عليه، فعند الحكم بثبوته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بدليل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تحقيقا لمعنى السببية و المتبوعية، بل معنى استصحابه تعبّدا ليس إلّا ترتيب آثاره و لوازمه عليه، بناء على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إذا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الطاهر يرفع الحدث، و إذا شككت في طهارة الماء و نجاسته فابن على طهارته، يفهم منه كل أحد ثبوت الرافعية المذكورة له عند البناء على بقاءها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أخبار الاستصحاب، كالمتضمّن لصحة الصلاة مع الثوب الذي شكّ في نجاسته بعد العلم بطهارته، مع أن مقتضى الاستصحاب بقاء اشتغال الذمة بالصلاة، و سيجي‌ء مزيد بيان فيه إن شاء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الثاني، فالذي يقتضيه النظر عدم ثبوته باستصحاب اللازم، فلا يحكم بالملزوم بمجرّده، إلّا إذا أمكن الاستصحاب في نفس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نذر أن لا يجلس فاسقا، صحّ استصحاب جواز المجالسة مع مجهول الفسق، و لكن لا</w:t>
      </w:r>
    </w:p>
    <w:p>
      <w:pPr>
        <w:pStyle w:val="BookText"/>
        <w:rPr/>
      </w:pPr>
      <w:r>
        <w:rPr>
          <w:rFonts w:ascii="Amiri" w:hAnsi="Amiri" w:eastAsia="Amiri" w:cs="Amiri"/>
          <w:color w:val="111111"/>
          <w:sz w:val="28"/>
          <w:sz w:val="28"/>
          <w:szCs w:val="28"/>
          <w:rtl w:val="true"/>
          <w:lang w:bidi="ar-SA"/>
        </w:rPr>
        <w:t>يحكم به بكونه عدلا مقبول الشهادة، و جائز الاقتداء في الإمامة، و إن دار الاحتمال في حقّه في كونه عادلا أو فاسقا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إجماعيا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وجود التابع اللازم ليس سببا لوجود المتبوع، حتى يترتّب عليه، بل دلالة اللازم على الملزوم، إنّما هي باعتبار تابعيّته له في الوجود، و كون وجوده مسببا عن وجوده و فرعا له، تحقيقا لمعنى الملازمة و التابعية المقتضية للدلالة، فيكشف وجوده عن سبق وجوده كشف الأثر عن سبق وجود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يستقيم في الوجود النفس الأمريّ، لا في وجوده الظاهريّ الاستصحابيّ المسبب عن دليل تعبديّ، فإنّه بهذا الاعتبار ليس وجوده باعتبار لزومه و تبعيته للملزوم و ترتّبه على وجوده، بل هو محكوم في الظاهر بثبوته استقلالا، تعبّدا شرعا، بملاحظة نفسه من حيث هي مع قطع النظر عن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فجهة اللزوم النفس الأمريّ مرتفعة بينهما باعتبار هذا الوجود التعبديّ، و لا دليل على ملازمة أخرى بينهما في هذا الوجود، فلا يكشف وجوده التعبّديّ الاستقلاليّ عن وجوده، ففي المثال المذكور، جواز مجالسة الناذر لمجهول الفسق، ليس باعتبار عدالته النفس الأمرية، و لا لعدالته التعبّدية، حتّى يكشف عنها، بل لكونه غير معلوم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الجواز بتلك الجهة ليس لازما للعدالة، فلا يكشف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الحكم الاستصحابيّ ما ثبت بأصل البراءة، فلا يثبت به ملزومه الواقعيّ، فلا يحكم بأصالة طهارة ما يشكّ في كونه ماء أو خمرا، بصحّة الوضوء منه و التطهير به، فإنّ تلك الطهارة ليست لازمة لمائيته، بل يعمّ الماء و المشتبه بالخمر، فلا يكشف عنه، لعدم دلالة العام على الخاص، بخلاف الطهارة الواقعية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لا يخلو، عن كونه ماء أو خمرا، فحيث يحكم بكونه طاهرا يلزمه الحكم بعدم كونه خمرا، لمنافاته الطهارة، فيكون ماء لعدم احتمال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الحكم بعدم كونه خمرا، بل يلزم عدم الحكم بكونه خمرا، و هو يجتمع مع عدم الحكم بكونه ماء أيضا، و ما هو كذلك محكوم بالطهارة شرعا بحكم الأصل، لا من جهة كونه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الثالث، أي كانا متلازمين في الوجود من غير ترتب و سببيّة بينهما، فإن تلازما بحسب المفهوم، بحيث لم يتعقّل انفكاك أحدهما عن الآخر مطلقا، حتى في الوجود التعبديّ الظاهريّ، كعدم المنع من الترك المدلول عليه بالأصل للاستحباب، فيما دار الأمر بينه و بين الوجوب الذي يعلم فيه مطلق الرجحان، أو ثبت التلازم في الوجود بينهما بدليل خارجي واقعا و ظاهرا، كما في القصر و الإفطار، يحكم بثبوت أحدهما باستصحاب ثبوت الآخر، لفرض الدليل على التلازم بينهما بحسب الوجود الظاهريّ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يثبت ذلك، فلا يحكم به، كما في الثوبين المشتبهين بالنجاسة، فلا يحكم باستصحاب طهارة أحدهما بنجاسة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جواز مجالسة مجهول الفسق في المثال المذكور، فلا يحكم به بقبول شهادته، لعدم دليل على الملازمة في الوجود الاستصحابيّ التعبديّ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الاستصحابين يقع حيث كان مقتضى أحدهما مستلزما لخلاف الآخر، إمّا لذاتها شرعا أو عقلا أو عرفا، أو بسبب خارجيّ، كما إذا علم إجمالا زوال أحد المستصحبين المشتبهين و بقاء أحدهما، كنجاسة الثوبين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الاستلزام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بالسببية من جانب، كاليد القذرة إذا شك في زوال نجاستها و لاقت ثوبا طاهرا يحصل الشك به في نجاسة الثوب، فيعارض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طهارة الثوب استصحاب نجاسة اليد، أو بالسببية من الجانبين، كما إذا</w:t>
      </w:r>
    </w:p>
    <w:p>
      <w:pPr>
        <w:pStyle w:val="BookText"/>
        <w:rPr/>
      </w:pPr>
      <w:r>
        <w:rPr>
          <w:rFonts w:ascii="Amiri" w:hAnsi="Amiri" w:eastAsia="Amiri" w:cs="Amiri"/>
          <w:color w:val="111111"/>
          <w:sz w:val="28"/>
          <w:sz w:val="28"/>
          <w:szCs w:val="28"/>
          <w:rtl w:val="true"/>
          <w:lang w:bidi="ar-SA"/>
        </w:rPr>
        <w:t>وقع الكرّ تدريجا على الماء القليل المتنجّس، فشكّ في حصول الطهارة للثاني أو النجاسة للأوّل، نظرا إلى الخلاف في اشتراط الدفعة العرفية، فإنّ طهارة الكرّ التي هي مقتضى استصحابها، يزيل بعد اتصال المائين نجاسة القليل التي هي مقتضى الاستصحاب المعارض، و بالعكس، أو بالتلازم من غير سببية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 التعارض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فالاستصحابان إمّا حكميان،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متعلقهما أمر شرعيّ كالمثال المتقدّم، أو أحدهما حكميّ و الآخر موضوعيّ، كما في الذبابة القذرة الرطبة التي طارت على الثوب الطاهر، إذا شكّ في جفافها حين الملاقاة، فيعارض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الرطوبة مع استصحاب الطهارة، و الصيد المجروح إذا وقع في الماء القليل، و علم موته، و لم يعلم أنّه قبل الوقوع، فكان مستندا إلى الجرح، أو بعده فمستند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استصحاب عدم التذكية، و استصحاب الطهارة في الجلد المطروح، لو قلنا بجريان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إلى بعض الفضلاء القول بالعمل بالاستصحابين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الفاضل القمّي، ذلك في الصورة الثانية ساكتا عن الأوّل، و عن بعضهم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 دعوى الإجماع على العمل بالموضوعيّ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والدي العلّامة تقديم استصحاب الملزوم مطلقا، و عبّر عنه باستصحاب المزيل، و وافقه جمع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مقتضى التحقيق، لوجوه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ثبوت اللوازم و المسبّبات باستصحاب الملزوم دون العكس، فيكون استصحابه دليلا شرعيا على خلاف مقتضى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لا يجري فيه الاستصحاب، لانتقاضه باليقين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ينعكس لعدم ثبوت الملزوم باستصحاب اللازم، فلا ينتقض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حجّية استصحاب الملزوم حينئذ، فلا يكون دليلا شرعيا، لاستلزامه نقض اليقين بالشك في اللازم، فلا يشمله أخبار الاستصحاب، إذ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مدلولها عدمه،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استنادا إلى الشكّ، أو بشي‌ء باعتبار الشكّ في مزيليته، لا باعتبار دليل شرعي دلّ على مزيليته و 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ما دلّ على المنع عن النقض عند الشك مطلقا، و لو بغيره، كقوله عليه السّلام في رواية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هو يشمل النقض بسبب استصحاب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سياق الكلام ظاهر و متبادر في النهي عن هدم اليقين بسبب الشك، كما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 للصيد فلا تفطر أو ابن على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سفر الصيد ناقضا للصوم، فلا يدلّ على حرمة الإفطار فيه لمرض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يدلّ الخبر على البناء على اليقين عند الشكّ بسبب تعبديّ آخر، سيما بملاحظة سائر أخبار الباب، الناهية عن النقض بسبب الشكّ أو عدم الاعتناء بالشكّ، كصحيح زرارة </w:t>
      </w:r>
      <w:r>
        <w:rPr>
          <w:rStyle w:val="FootnoteAnchor"/>
          <w:rtl w:val="true"/>
        </w:rPr>
        <w:footnoteReference w:id="718"/>
      </w:r>
      <w:r>
        <w:rPr>
          <w:rFonts w:ascii="Amiri" w:hAnsi="Amiri" w:eastAsia="Amiri" w:cs="Amiri"/>
          <w:color w:val="111111"/>
          <w:sz w:val="28"/>
          <w:sz w:val="28"/>
          <w:szCs w:val="28"/>
          <w:rtl w:val="true"/>
          <w:lang w:bidi="ar-SA"/>
        </w:rPr>
        <w:t xml:space="preserve">، و رواية الخصال </w:t>
      </w:r>
      <w:r>
        <w:rPr>
          <w:rStyle w:val="FootnoteAnchor"/>
          <w:rtl w:val="true"/>
        </w:rPr>
        <w:footnoteReference w:id="719"/>
      </w:r>
      <w:r>
        <w:rPr>
          <w:rFonts w:ascii="Amiri" w:hAnsi="Amiri" w:eastAsia="Amiri" w:cs="Amiri"/>
          <w:color w:val="111111"/>
          <w:sz w:val="28"/>
          <w:sz w:val="28"/>
          <w:szCs w:val="28"/>
          <w:rtl w:val="true"/>
          <w:lang w:bidi="ar-SA"/>
        </w:rPr>
        <w:t xml:space="preserve">، و غيرهما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فيه الإطلاق، فهو يعمّ ما إذا كان هنا مزيل مسبوق بالعلم</w:t>
      </w:r>
    </w:p>
    <w:p>
      <w:pPr>
        <w:pStyle w:val="BookText"/>
        <w:rPr/>
      </w:pPr>
      <w:r>
        <w:rPr>
          <w:rFonts w:ascii="Amiri" w:hAnsi="Amiri" w:eastAsia="Amiri" w:cs="Amiri"/>
          <w:color w:val="111111"/>
          <w:sz w:val="28"/>
          <w:sz w:val="28"/>
          <w:szCs w:val="28"/>
          <w:rtl w:val="true"/>
          <w:lang w:bidi="ar-SA"/>
        </w:rPr>
        <w:t>بمزيليته أم لا، فيخصّص بسائر الأخبار، كالصحيح المزبور الدال على استصحاب المزيل دون المزال، بالتقريب المذكور في 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الأمر عدم شمول هذا الخبر لشي‌ء من الاستصحابين المتعارضين، لئلا يلزم التناقض و التدافع في مدلوله، و حمله على غير صورة التعارض، فيرتفع من البين في الفرض، و يبقى ما أشرنا إليه من الصحيح و غيره، الدال على استصحاب المزيل دون المزال،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الظاهر من طريقة الأصحاب لمن جاس خلال الديار، على العمل بمقتضى المزيل،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بعض من تأخّر في مورد أو موارد عديدة، كمسألة الصيد و الجلد المطروح، لشبهة حصلت له فيه، غفلة عن القاعدة الاستنباطية الاتفاقية،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اتفاقهم على حصول الامتثال بالصلاة مع الطهارة الاستصحابية، و التطهّر من الحدثين بالماء الطاهر الاستصحابي، و البراءة عن العبادة في الوقت الاستصحابيّ، و صحّة التصرفات الناقلة التي على خلاف الاستصحاب في الملك الاستصحابيّ إلى غير ذلك مما لا يحصى من موارد مثل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تتبّع في أمثال ذلك، يحصل له القطع بأن تقديم استصحاب الملزوم قاعدة مسلمة بينهم، و سرّه ما أشرنا إليه في المقدّمة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الأخبار الدالّة على حجّية الاستصحاب متضمّنة لتقديم المزيل، كما أشرنا اليه، كصحيح زرارة </w:t>
      </w:r>
      <w:r>
        <w:rPr>
          <w:rStyle w:val="FootnoteAnchor"/>
          <w:rtl w:val="true"/>
        </w:rPr>
        <w:footnoteReference w:id="721"/>
      </w:r>
      <w:r>
        <w:rPr>
          <w:rFonts w:ascii="Amiri" w:hAnsi="Amiri" w:eastAsia="Amiri" w:cs="Amiri"/>
          <w:color w:val="111111"/>
          <w:sz w:val="28"/>
          <w:sz w:val="28"/>
          <w:szCs w:val="28"/>
          <w:rtl w:val="true"/>
          <w:lang w:bidi="ar-SA"/>
        </w:rPr>
        <w:t>الذي هو العمدة في الباب، المصرّح لصحّة الصلاة باستصحاب الطهارة، مع أنّ الشكّ في الطهارة يوجب الشكّ في صحّة الصلاة المنافية لاستصحاب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صحيحته الأخرى، و صحيح ابن سنان،</w:t>
      </w:r>
    </w:p>
    <w:p>
      <w:pPr>
        <w:pStyle w:val="BookText"/>
        <w:rPr/>
      </w:pPr>
      <w:r>
        <w:rPr>
          <w:rFonts w:ascii="Amiri" w:hAnsi="Amiri" w:eastAsia="Amiri" w:cs="Amiri"/>
          <w:color w:val="111111"/>
          <w:sz w:val="28"/>
          <w:sz w:val="28"/>
          <w:szCs w:val="28"/>
          <w:rtl w:val="true"/>
          <w:lang w:bidi="ar-SA"/>
        </w:rPr>
        <w:t>و موثق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التفريق بين الموارد تحكّم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مما اخترناه، و أصّلناه تقدّم استصحاب الموضوع على استصحاب الحكم، و الأصول اللفظية على الأصول الشرعية، كما هو المعمول به عندهم، لمكان المزيلية و الملزومية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فيسقط الاستصحابات عن الحجّية، إذا لم يكن لأحدهما مرجّح، و يبنى الحكم على ما يقتضيه أصل البراءة إن أمكن، و إلّا فعلى ما يقتضيه الاستصحاب في خصوص نفس اللوازم و الأحكام، فلا يلاحظ فيها ترتّبها على استصحاب الملزوم، بل المناط استصحاب أنفسها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طرحها، فلأنّ الترجيح ممتنع، و الجمع غير ممكن، و التخيير فرع الحجّية التي هي موقوفة على شمول الأدلّة لمورد الفرض، و هو مع لزوم التدافع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العمل بمقتضى الاستصحاب في نفس اللوازم، فلخلوّه عن المعارض، و لا يثبت باثبات اللازم بالاستصحاب وجود الملزوم الممنوع بالمعارض، لما عرفت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 أي التعارض بالتلازم من غير سببية، فالظاهر الموافق لجماعة العمل بالاستصحابين فيما يترتّب على أحدهما 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بقاء كل من المستصحبين في جميع الأحكام المختصّة به، دون ما يترتّب على اجتماعهما، سواء كان التنافي في موضوع واحد، كملكية المال المتردّد بين كونه لزيد أو عمرو، أو موضوعين، كطهارة أحد الثوبين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الثاني ذاتيا، كما في الأوّل، أو بسبب خارجيّ، كما في الثاني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وجه العمل بهما في الأحكام المختصّة، فلانتفاء السببية و الملزومية بين</w:t>
      </w:r>
    </w:p>
    <w:p>
      <w:pPr>
        <w:pStyle w:val="BookText"/>
        <w:rPr/>
      </w:pPr>
      <w:r>
        <w:rPr>
          <w:rFonts w:ascii="Amiri" w:hAnsi="Amiri" w:eastAsia="Amiri" w:cs="Amiri"/>
          <w:color w:val="111111"/>
          <w:sz w:val="28"/>
          <w:sz w:val="28"/>
          <w:szCs w:val="28"/>
          <w:rtl w:val="true"/>
          <w:lang w:bidi="ar-SA"/>
        </w:rPr>
        <w:t>مدلول أحدهما و خلاف الآخر، فلا يوجب استصحاب أحدهما ثبوت الآخر، لما مرّ من منع التلازم بينهما في الوجود الاستصحابيّ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ترك العمل بالأحكام المترتّبة على ثبوتهما مجتمعا، فللعلم بانتفائها اللازم للعلم بانتفاء أحدهما في الفرض، ففي المائين المشتبهين يحكم بطهارة ما لاقى أحدهما، دون ما لاقيهما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المشتبهين بالإضافة يحكم بعدم صحّة الوضوء من أحدهما دون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المال المردّد بين زيد و عمرو يحكم بصحّة بيعهما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النقض بالحكم بالاستحباب فيما دار الأمر بينه و بين الوجوب، مع أنّ كلّا منهما خلاف مقتضى الاستصحاب، إذ ليس هو من باب ترجيح أحد الاستصحابين، بل لثبوت الرجحان المشترك بينهما، حسب ما مرّ، و يحكم بخصوص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أصالة البراءة عن حرمة الترك، إذ الرجحان الغير الممنوع عن الترك هو معنى الاستحباب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المتفرّع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الأمرين المشتبهين المردّد بينهما الواجب، فإنّه بالاستصحاب ينفي الوجوب الأصليّ المخصوص بكلّ منهما، من حيث خصوصيته في الظاهر، و لكن لا يمكن نفي وجوبه في الواقع، لعدم العلم به، و عدم كون الاستصحاب ناظرا إليه، بل المعلوم من الواقع وجوب أحدهما معيّنا فيه، غير معيّن عندنا، و ما هو المعلوم كذلك لم يثبت سقوط التكليف عنه، بل مقتضى الأدلّة الشرعية المحمولة على مدلولاتها النفس الأمرية بقاء التكليف به و وجوب الأمرين معا </w:t>
      </w:r>
      <w:r>
        <w:rPr>
          <w:rStyle w:val="FootnoteAnchor"/>
          <w:rtl w:val="true"/>
        </w:rPr>
        <w:footnoteReference w:id="722"/>
      </w:r>
      <w:r>
        <w:rPr>
          <w:rFonts w:ascii="Amiri" w:hAnsi="Amiri" w:eastAsia="Amiri" w:cs="Amiri"/>
          <w:color w:val="111111"/>
          <w:sz w:val="28"/>
          <w:sz w:val="28"/>
          <w:szCs w:val="28"/>
          <w:rtl w:val="true"/>
          <w:lang w:bidi="ar-SA"/>
        </w:rPr>
        <w:t>من باب المقدّمة، تحصيلا للبراءة اليقينية عن الشغل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هذا نفي وجوب كلّ منهما أصالة، إذ الوجوب المحكوم به من</w:t>
      </w:r>
      <w:bookmarkStart w:id="202" w:name="pg2497_12173"/>
    </w:p>
    <w:p>
      <w:pPr>
        <w:pStyle w:val="BookText"/>
        <w:rPr/>
      </w:pPr>
      <w:bookmarkEnd w:id="202"/>
      <w:r>
        <w:rPr>
          <w:rFonts w:ascii="Amiri" w:hAnsi="Amiri" w:eastAsia="Amiri" w:cs="Amiri"/>
          <w:color w:val="111111"/>
          <w:sz w:val="28"/>
          <w:sz w:val="28"/>
          <w:szCs w:val="28"/>
          <w:rtl w:val="true"/>
          <w:lang w:bidi="ar-SA"/>
        </w:rPr>
        <w:t>باب المقدمة ليس الوجوب الأصليّ، للعلم بأنّ الواجب الأصليّ في نفس الأمر أحدهما خاصّة، لا الأمران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الآثار الخاصة المترتّبة على الوجوب الأصليّ، فلا يحكم به في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نذر أحد أن يكرم زيدا العادل، و اشتبه بين رجلين، يجب إكرامهما معا، من باب أصالة الاشتغال لرفع البراءة اليقينية، و لكن لا يقبل شهادة واحد منهما، إلّا إذا شهدا معا، فيقبل عدلا واحدا</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861911_3804643083"/>
      <w:bookmarkStart w:id="204" w:name="_Toc78"/>
      <w:bookmarkEnd w:id="203"/>
      <w:r>
        <w:rPr>
          <w:rtl w:val="true"/>
        </w:rPr>
        <w:t>تتميمات</w:t>
      </w:r>
      <w:r>
        <w:rPr>
          <w:rtl w:val="true"/>
        </w:rPr>
        <w:t>:</w:t>
      </w:r>
      <w:bookmarkEnd w:id="204"/>
    </w:p>
    <w:p>
      <w:pPr>
        <w:pStyle w:val="Heading4"/>
        <w:numPr>
          <w:ilvl w:val="3"/>
          <w:numId w:val="1"/>
        </w:numPr>
        <w:rPr/>
      </w:pPr>
      <w:bookmarkStart w:id="205" w:name="__RefHeading___Toc3861913_3804643083"/>
      <w:bookmarkStart w:id="206" w:name="_Toc79"/>
      <w:bookmarkEnd w:id="205"/>
      <w:r>
        <w:rPr>
          <w:rtl w:val="true"/>
        </w:rPr>
        <w:t>الأوّل</w:t>
      </w:r>
      <w:r>
        <w:rPr>
          <w:rtl w:val="true"/>
        </w:rPr>
        <w:t xml:space="preserve">: </w:t>
      </w:r>
      <w:r>
        <w:rPr>
          <w:rtl w:val="true"/>
        </w:rPr>
        <w:t>إذا تعارض استصحاب مع استصحابين أو أكثر،</w:t>
      </w:r>
      <w:bookmarkEnd w:id="206"/>
    </w:p>
    <w:p>
      <w:pPr>
        <w:pStyle w:val="BookText"/>
        <w:rPr/>
      </w:pPr>
      <w:r>
        <w:rPr>
          <w:rFonts w:ascii="Amiri" w:hAnsi="Amiri" w:eastAsia="Amiri" w:cs="Amiri"/>
          <w:color w:val="111111"/>
          <w:sz w:val="28"/>
          <w:sz w:val="28"/>
          <w:szCs w:val="28"/>
          <w:rtl w:val="true"/>
          <w:lang w:bidi="ar-SA"/>
        </w:rPr>
        <w:t>فإن كان الأقل مشتركا، فهو المتعين، و هو ظاهر،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وقوع معاملة و لم يعلم أنها البيع أو الصلح أو الإجارة، أو قدوم المسافر و لم يعلم أنه زيد أو عمرو أو بكر، فظاهر جماعة ممن عاصرناه تقديم الأكثر، لأقلّية خلاف الأصل فيه، و لأنّ الأقلّ يعارض ما يساويه من الأكثر، و يبقى الزائد بلا معارض،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والدي العلّامة و وجهه أنّ الفرار عما يخالف الأصل </w:t>
      </w:r>
      <w:r>
        <w:rPr>
          <w:rStyle w:val="FootnoteAnchor"/>
          <w:rtl w:val="true"/>
        </w:rPr>
        <w:footnoteReference w:id="723"/>
      </w:r>
      <w:r>
        <w:rPr>
          <w:rFonts w:ascii="Amiri" w:hAnsi="Amiri" w:eastAsia="Amiri" w:cs="Amiri"/>
          <w:color w:val="111111"/>
          <w:sz w:val="28"/>
          <w:sz w:val="28"/>
          <w:szCs w:val="28"/>
          <w:rtl w:val="true"/>
          <w:lang w:bidi="ar-SA"/>
        </w:rPr>
        <w:t>ليس لقبح ذاتيّ و مفسدة عقلية، حتى يقدّر بقدر الضرورة، بل لمجرّد التعبّد الثابت من أخبار الاستصحاب، و نسبتها إلى الجميع نسبة واحدة، و لا يمكن شمولها للمتعارضين الذي لا يمكن العمل بها حسب ما مرّ لاستلزامه التناقض في مدلولها، فإنّ قوله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يوجب عدم نقض يقين آخر بالشكّ يساويه في النسبة و الجهة، فلا دليل على حجّية كلّ من الأقلّ و الأكثر في محلّ الفرض، إلّا إذا كان الترجيح لأحدهما بالمزيلية، أو أمكن العمل بالجميع على ما عرفت</w:t>
      </w:r>
      <w:r>
        <w:rPr>
          <w:rFonts w:eastAsia="Amiri" w:cs="Amiri" w:ascii="Amiri" w:hAnsi="Amiri"/>
          <w:color w:val="111111"/>
          <w:sz w:val="28"/>
          <w:szCs w:val="28"/>
          <w:rtl w:val="true"/>
          <w:lang w:bidi="ar-SA"/>
        </w:rPr>
        <w:t>.</w:t>
      </w:r>
      <w:bookmarkStart w:id="207" w:name="pg2497_12174"/>
    </w:p>
    <w:p>
      <w:pPr>
        <w:pStyle w:val="Heading4"/>
        <w:numPr>
          <w:ilvl w:val="3"/>
          <w:numId w:val="1"/>
        </w:numPr>
        <w:rPr/>
      </w:pPr>
      <w:bookmarkStart w:id="208" w:name="__RefHeading___Toc3861915_3804643083"/>
      <w:bookmarkStart w:id="209" w:name="_Toc80"/>
      <w:bookmarkEnd w:id="207"/>
      <w:bookmarkEnd w:id="208"/>
      <w:r>
        <w:rPr>
          <w:rtl w:val="true"/>
        </w:rPr>
        <w:t>الثاني</w:t>
      </w:r>
      <w:r>
        <w:rPr>
          <w:rtl w:val="true"/>
        </w:rPr>
        <w:t xml:space="preserve">: </w:t>
      </w:r>
      <w:r>
        <w:rPr>
          <w:rtl w:val="true"/>
        </w:rPr>
        <w:t>إذا كان حكم مسبوقا بوجوده و وجوده بعدمه،</w:t>
      </w:r>
      <w:bookmarkEnd w:id="209"/>
    </w:p>
    <w:p>
      <w:pPr>
        <w:pStyle w:val="BookText"/>
        <w:rPr/>
      </w:pPr>
      <w:r>
        <w:rPr>
          <w:rFonts w:ascii="Amiri" w:hAnsi="Amiri" w:eastAsia="Amiri" w:cs="Amiri"/>
          <w:color w:val="111111"/>
          <w:sz w:val="28"/>
          <w:sz w:val="28"/>
          <w:szCs w:val="28"/>
          <w:rtl w:val="true"/>
          <w:lang w:bidi="ar-SA"/>
        </w:rPr>
        <w:t>فلا شكّ في جريان استصحاب حال الموجود المتصل بزمان الشكّ، فهو استصحاب حال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استصحاب حال العقل، أي العدم السابق عليه المنفصل من الحال، فتعارض الاستصحابان، أم لا؟</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على ثلاثة أقسام، لأنّ العدم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بحيث لا يعود من حيث هو في السابق، بحيث لو فرض حصوله بعد الوجود اللاحق كان أثرا لمؤثّر متجدّد، كما في الشكّ في بقاء الطهارة بخروج المذي، لأنّه لو فرض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الحدث السابق، بل أثر خروج المذي، أو يكون هو السابق على فرض حصوله، بأن علم انقطاعه في مقدار زمان، ثم كان على حالة العدم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فالفرض على وجهين أيضا، لأنّ الحكم الوجوديّ المتيقّن بعد العدم السابق، إمّا يكون متقوّما و مقيّدا بالزمان الثابت فيه، كما في الشكّ في بقاء مدّة الإجارة، فإنّ الثابت في زمان اليقين بعد العدم السابق، هو ملكية منفعة تلك المدة من العين المستأجرة، بحيث لو فرض بقاء الإجارة في الحال، فالثابت في الزمان المتقدّم، غير ما هو الثابت في الحال، فإنّ الزمان جزء مفهوم المنفعة المقصودة من التمليك في الإجارة، و منفعة كل زمان متقوّمة و متشخّصة بنفس الزمان الحاصل فيه، فلا يمكن بقاؤها في الزمان المتأخر عنه، بل لو كانت ثابتة فيه كانت منفعة أخرى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يكون متشخّصا بنفس الزمان، 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بقائه في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الموجود في السابق، كالشكّ في الخيار المردّد بين الفور و الاستمرار</w:t>
      </w:r>
      <w:r>
        <w:rPr>
          <w:rFonts w:eastAsia="Amiri" w:cs="Amiri" w:ascii="Amiri" w:hAnsi="Amiri"/>
          <w:color w:val="111111"/>
          <w:sz w:val="28"/>
          <w:szCs w:val="28"/>
          <w:rtl w:val="true"/>
          <w:lang w:bidi="ar-SA"/>
        </w:rPr>
        <w:t>.</w:t>
      </w:r>
      <w:bookmarkStart w:id="210" w:name="pg2497_12175"/>
    </w:p>
    <w:p>
      <w:pPr>
        <w:pStyle w:val="BookText"/>
        <w:rPr/>
      </w:pPr>
      <w:bookmarkEnd w:id="210"/>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الشك في عدم جريان استصحاب العدم المتقدم على الوجود، لانقطاعه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تقديم العمل باستصحاب العدم، لإمكان بقاء العدم السابق على الوجود في زمان الشكّ حسب ما ذكر، و عدم صلاحية الحكم الوجوديّ الثابت في زمان اليقين للبقاء في الزمان اللاحق، لتقومه بنفس الزمان السابق، فلا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إذا وقع الخلاف بين المالك و المستأجر في مدّة الإجارة في الزيادة و النقصان، يقدم الناقص، و على مدعي الزيادة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جريان الاستصحابين، لإمكان بقاء كلّ من المستصحبين على حسب ما ثبت في زمان حصوله، فيتعارضان، فيتساقطان، لامتناع العمل بمقتضى الوجود و العدم بالنسبة إلى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قوة احتمال عدم انصراف الأخبار إلى اليقين المنفصل عن زمان الشكّ بيقين آخر يخالفه، و ظهوره في اليقين المتّصل به، ففي الخيار المتردّد بين الفور و الاستمرار يعمل بمقتضى استصحاب الخيار بعد الفور، دون استصحاب عدمه السابق على وجوده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861917_3804643083"/>
      <w:bookmarkStart w:id="212" w:name="_Toc81"/>
      <w:bookmarkEnd w:id="211"/>
      <w:r>
        <w:rPr>
          <w:rtl w:val="true"/>
        </w:rPr>
        <w:t>الثالث</w:t>
      </w:r>
      <w:r>
        <w:rPr>
          <w:rtl w:val="true"/>
        </w:rPr>
        <w:t xml:space="preserve">: </w:t>
      </w:r>
      <w:r>
        <w:rPr>
          <w:rtl w:val="true"/>
        </w:rPr>
        <w:t>قالوا</w:t>
      </w:r>
      <w:r>
        <w:rPr>
          <w:rtl w:val="true"/>
        </w:rPr>
        <w:t xml:space="preserve">: </w:t>
      </w:r>
      <w:r>
        <w:rPr>
          <w:rtl w:val="true"/>
        </w:rPr>
        <w:t>أصل البراءة لا يعارض الاستصحاب</w:t>
      </w:r>
      <w:r>
        <w:rPr>
          <w:rtl w:val="true"/>
        </w:rPr>
        <w:t>.</w:t>
      </w:r>
      <w:bookmarkEnd w:id="212"/>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منه في غير ما إذا كان الأصل مزيلا للاستصحاب على التقرير الذي ذكرناه، و إلّا فلا خلاف في البناء على مقتضى الأصل، و تقدّمه على مقتضى الاستصحاب، كما إذا حصل للمكلّف مال يوجب استطاعته للحجّ به لو لا الدين عليه، و شكّ في الدين، فإنّه يبنى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البراءة من الدين، و لا يعمل باستصحاب عدم الاستطاعة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وجهه ما تقدّم بعينه في تعارض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الصورة، فظاهرهم الاتفاق على تقديم الاستصحاب، استنادا إلى أن العمل بالأصل إنّما يكون إذا لم يعلم الشغل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بإرجاع التعارض بينهما بالمزيل و المزال، نظرا إلى أنّ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شغل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للبراءة الأصلية السابقة، و لا عكس، لعدم كون البراءة الأصلية سببا لزوال الحكم و ارتفاع الشغل، بل يكشف عنه كشف اللازم عن الملزوم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لبعض المحققين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الاستصحاب أخصّ من دليل الأصل، لأنّه استصحاب كل شي‌ء بخصوصه، و عدم نقض اليقين بالشك دليل الدليل،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بالقياس إلى أفراد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إلى آحاد الأخبار، فكما أن ذلك لا ينافي كون الخبر خاصّا إذا اختصّ مورده، لكون العبرة في العموم و الخصوص بنفس الأدلّة، لا بأدلّة الأدلّة، فكذا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يظهر بالتأمل</w:t>
      </w:r>
      <w:r>
        <w:rPr>
          <w:rFonts w:eastAsia="Amiri" w:cs="Amiri" w:ascii="Amiri" w:hAnsi="Amiri"/>
          <w:color w:val="111111"/>
          <w:sz w:val="28"/>
          <w:szCs w:val="28"/>
          <w:rtl w:val="true"/>
          <w:lang w:bidi="ar-SA"/>
        </w:rPr>
        <w:t>.</w:t>
      </w:r>
      <w:bookmarkStart w:id="213" w:name="pg2497_12178"/>
    </w:p>
    <w:p>
      <w:pPr>
        <w:pStyle w:val="Heading2"/>
        <w:numPr>
          <w:ilvl w:val="1"/>
          <w:numId w:val="1"/>
        </w:numPr>
        <w:rPr/>
      </w:pPr>
      <w:bookmarkStart w:id="214" w:name="__RefHeading___Toc3861919_3804643083"/>
      <w:bookmarkStart w:id="215" w:name="_Toc82"/>
      <w:bookmarkEnd w:id="213"/>
      <w:bookmarkEnd w:id="214"/>
      <w:r>
        <w:rPr>
          <w:rtl w:val="true"/>
        </w:rPr>
        <w:t>[</w:t>
      </w:r>
      <w:r>
        <w:rPr>
          <w:rtl w:val="true"/>
        </w:rPr>
        <w:t>المشرق الثاني عشر</w:t>
      </w:r>
      <w:r>
        <w:rPr>
          <w:rtl w:val="true"/>
        </w:rPr>
        <w:t>] [</w:t>
      </w:r>
      <w:r>
        <w:rPr>
          <w:rtl w:val="true"/>
        </w:rPr>
        <w:t>في أنّ الأحكام تابعة للأسماء</w:t>
      </w:r>
      <w:r>
        <w:rPr>
          <w:rtl w:val="true"/>
        </w:rPr>
        <w:t>]</w:t>
      </w:r>
      <w:bookmarkEnd w:id="215"/>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تابعة للأسماء، بمعنى أنّ الأحكام يتبدّل بتبدّل أسماء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هذا ينظر قولهم باشتراط بقاء الموضوع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فرّعوا عليه </w:t>
      </w:r>
      <w:r>
        <w:rPr>
          <w:rStyle w:val="FootnoteAnchor"/>
          <w:rtl w:val="true"/>
        </w:rPr>
        <w:footnoteReference w:id="724"/>
      </w:r>
      <w:r>
        <w:rPr>
          <w:rFonts w:ascii="Amiri" w:hAnsi="Amiri" w:eastAsia="Amiri" w:cs="Amiri"/>
          <w:color w:val="111111"/>
          <w:sz w:val="28"/>
          <w:sz w:val="28"/>
          <w:szCs w:val="28"/>
          <w:rtl w:val="true"/>
          <w:lang w:bidi="ar-SA"/>
        </w:rPr>
        <w:t>طهارة الخمر إذا انقلب خلّا، و العذرة إذا صارت دودا، و الميتة ترابا، و الكلب ملحا،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عليه </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بما إذا تبدّل اللبن المتنجس بالسمن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تبدّل اسم الموضوع بما هو موضوع، و في اللبن المتنجّس ليس موضوع النجاسة اللبن من حيث هو لبن، بل من حيث كونه جسما لاقى النجاسة، و هو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حكموا </w:t>
      </w:r>
      <w:r>
        <w:rPr>
          <w:rStyle w:val="FootnoteAnchor"/>
          <w:rtl w:val="true"/>
        </w:rPr>
        <w:footnoteReference w:id="726"/>
      </w:r>
      <w:r>
        <w:rPr>
          <w:rFonts w:ascii="Amiri" w:hAnsi="Amiri" w:eastAsia="Amiri" w:cs="Amiri"/>
          <w:color w:val="111111"/>
          <w:sz w:val="28"/>
          <w:sz w:val="28"/>
          <w:szCs w:val="28"/>
          <w:rtl w:val="true"/>
          <w:lang w:bidi="ar-SA"/>
        </w:rPr>
        <w:t>بالفرق بين الأعيان النجسة و المتنجّسة، و قالوا بزوال النجاسة في الأولى بتبدّل اسم الموضوع، نظرا إلى عدم بقاء موضوع</w:t>
      </w:r>
    </w:p>
    <w:p>
      <w:pPr>
        <w:pStyle w:val="BookText"/>
        <w:rPr/>
      </w:pPr>
      <w:r>
        <w:rPr>
          <w:rFonts w:ascii="Amiri" w:hAnsi="Amiri" w:eastAsia="Amiri" w:cs="Amiri"/>
          <w:color w:val="111111"/>
          <w:sz w:val="28"/>
          <w:sz w:val="28"/>
          <w:szCs w:val="28"/>
          <w:rtl w:val="true"/>
          <w:lang w:bidi="ar-SA"/>
        </w:rPr>
        <w:t>ما جعله الشارع موضوعا للحكم، دون الثانية، فيحكم بطهارة العذرة المتبدّلة بالرماد، دون الخشب المتنجّس المتبدّل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المجيب، إن صحّ في موارد، لا نسلم في أخرى، إذ للمعترض أن لا يسلم بقاء النجاسة في رماد الخشب النجس،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تلك النجاسة في خصوص المورد هو حقيقة الخشب، و إن كان من جهة كونه جسما لاقى النجاسة، فبتبدّل الحقيقة يرتفع الحكم، بل هو معلوم البطلان في موارد كثيرة، كالغذاء المتنجّس إذا صار جزء للحيوان الطاهر كالغنم، فإنّه يصير طاهرا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الماء المتنجّس إذا شربه و صار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البقولات و المطابيخ الحاصلة من المياه المتنجّسة، فلا يحسم به مادة الإشكال، و لم ينضبط به القاعدة المشهورة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يجعل المعيار تبدّل الحقيقة العرفية،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غير منطبق على تلك القاعدة، لعدم اطّراد كون الاسم دائرا مدار الحقيقة، بل قد يتبدّل بتبدّل الوصف، كالخمر إذا صار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جدّا، لانتقاضه بالخمر المنقلب بالخلّ، كما ذكر، فإنّه يطهر، دون العنب المتنجّس المنقلب به، فليس تغيّر اسم الحقيقة معيارا كلّيا مطلقا، نفيا و إثباتا، إلّا أن يدّعى الكلّية في منطوق القضية دون مفهومها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المقام على وجه ينضبط به قاعدة الموضوع الذي يتبدّل به الحكم و يرجع إليها عند حصول الاشتباه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إذا أثبت حكما كلّيا،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الملاقي للنجاسة يتنجّس و الخمر نجس، فهذا الحكم يثبت لكل فرد شخصيّ موجود يصدق عليه هذا الموضوع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هذا الحكم على الوجه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و هو العنوان الذي جعله الشارع عنوان الموضوع، ككونه جسما أو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الوجه الجزئي أمور كثيرة، هي الأفراد</w:t>
      </w:r>
    </w:p>
    <w:p>
      <w:pPr>
        <w:pStyle w:val="BookText"/>
        <w:rPr/>
      </w:pPr>
      <w:r>
        <w:rPr>
          <w:rFonts w:ascii="Amiri" w:hAnsi="Amiri" w:eastAsia="Amiri" w:cs="Amiri"/>
          <w:color w:val="111111"/>
          <w:sz w:val="28"/>
          <w:sz w:val="28"/>
          <w:szCs w:val="28"/>
          <w:rtl w:val="true"/>
          <w:lang w:bidi="ar-SA"/>
        </w:rPr>
        <w:t>الشخصية الموجودة، و موضوعية كلّ منها إنما هي بوجود نفسه من حيث كونه مصداقا لهذا العنوان الكلّي، فيشترط في بقاء موضوعيته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وصف العنوان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كل شي‌ء موجود، فتشخّصه و بقاء نفسه إنّما هو بحقيقته النوعية، دون مجرّد مادّته الهيولائية، كما دلّت عليه الحكمة العقلية، و يساعده الصدق العرفيّ، فارتفاع الموضوع الذي تدور به الحكم في كل فرد، إمّا بارتفاع عنوان الموضوع الكلّي، و إن لم يتبدّل به حقيقة الفرد، كصيرورة الخمر خلّا، أو تبدّل الحقيقة الفردية، و إن كان العنوان الكلّي باقيا، كصيرورة الحطب المتنجّس رمادا، أو الغذاء المتنجّس لحم الحيوان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يتبدّل الحقيقة، و لا العنوان المذكور، و إن انقلب له وصفا آخر إلى غيره، كصيرورة اللبن النجس إقطا أو سمنا، و الحنطة النجسة دقيقا، فالموضوع باق و الحكم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وجه الفرق بين الاستحالة و الانقلاب المطهّرين، فإنّ المقصود من الأوّل تبدّل الحقيقة، و من الثاني تبدّل الوصف الدخيل في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في الحكم ببقاء النجاسة في تبدّل لبن نجس العين سمنا، و زوالها بتبدّل عظمه رمادا، كما عليها الاتفاق، و ليس الفارق إلّا تبدّل الحقيقة، و إلّا فعنوان خصوص اللبنية أو العظمية غير دخيل في العنوان الكلّي من غير فرق بينهما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تابعة للأسماء، كان ناظرا إلى خصوص تغيّر الموضوع، بالاعتبار الأوّل، أعني اسم ما جعل عنوانا للموضوع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غير مناف لتبعية الحكم للجهة الثابتة أيضا، و القاعدة الجامعة لهما، ما اتّفقوا عليه من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اشتراط عدم تغير الموضوع في الاستصحاب، و عدم جريانه عند تغيّره، فإنّه يأتي في القسمين</w:t>
      </w:r>
      <w:r>
        <w:rPr>
          <w:rFonts w:eastAsia="Amiri" w:cs="Amiri" w:ascii="Amiri" w:hAnsi="Amiri"/>
          <w:color w:val="111111"/>
          <w:sz w:val="28"/>
          <w:szCs w:val="28"/>
          <w:rtl w:val="true"/>
          <w:lang w:bidi="ar-SA"/>
        </w:rPr>
        <w:t>.</w:t>
      </w:r>
      <w:bookmarkStart w:id="216" w:name="pg2497_12182"/>
    </w:p>
    <w:p>
      <w:pPr>
        <w:pStyle w:val="Heading2"/>
        <w:numPr>
          <w:ilvl w:val="1"/>
          <w:numId w:val="1"/>
        </w:numPr>
        <w:rPr/>
      </w:pPr>
      <w:bookmarkStart w:id="217" w:name="__RefHeading___Toc3861921_3804643083"/>
      <w:bookmarkStart w:id="218" w:name="_Toc83"/>
      <w:bookmarkEnd w:id="216"/>
      <w:bookmarkEnd w:id="217"/>
      <w:r>
        <w:rPr>
          <w:rtl w:val="true"/>
        </w:rPr>
        <w:t>[</w:t>
      </w:r>
      <w:r>
        <w:rPr>
          <w:rtl w:val="true"/>
        </w:rPr>
        <w:t>المشرق الثالث عشر</w:t>
      </w:r>
      <w:r>
        <w:rPr>
          <w:rtl w:val="true"/>
        </w:rPr>
        <w:t>] [</w:t>
      </w:r>
      <w:r>
        <w:rPr>
          <w:rtl w:val="true"/>
        </w:rPr>
        <w:t>في تداخل الأسباب الشرعية</w:t>
      </w:r>
      <w:r>
        <w:rPr>
          <w:rtl w:val="true"/>
        </w:rPr>
        <w:t>]</w:t>
      </w:r>
      <w:bookmarkEnd w:id="218"/>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الأصل تداخل الأسباب الشرعية أو عدمه، بمعنى أنّه إذا جعل الشارع أمرا واحدا مسبّبا لسببين مستقلين أو أكثر، فهل يكتفي به مرّة عند ورود تلك الأسباب المتكثّرة دفعة أو بالتعاقب، أم لا؟</w:t>
      </w:r>
    </w:p>
    <w:p>
      <w:pPr>
        <w:pStyle w:val="BookText"/>
        <w:rPr/>
      </w:pPr>
      <w:r>
        <w:rPr>
          <w:rFonts w:ascii="Amiri" w:hAnsi="Amiri" w:eastAsia="Amiri" w:cs="Amiri"/>
          <w:color w:val="111111"/>
          <w:sz w:val="28"/>
          <w:sz w:val="28"/>
          <w:szCs w:val="28"/>
          <w:rtl w:val="true"/>
          <w:lang w:bidi="ar-SA"/>
        </w:rPr>
        <w:t xml:space="preserve">حكى الأوّل عن جماعة </w:t>
      </w:r>
      <w:r>
        <w:rPr>
          <w:rStyle w:val="FootnoteAnchor"/>
          <w:rtl w:val="true"/>
        </w:rPr>
        <w:footnoteReference w:id="727"/>
      </w:r>
      <w:r>
        <w:rPr>
          <w:rFonts w:ascii="Amiri" w:hAnsi="Amiri" w:eastAsia="Amiri" w:cs="Amiri"/>
          <w:color w:val="111111"/>
          <w:sz w:val="28"/>
          <w:sz w:val="28"/>
          <w:szCs w:val="28"/>
          <w:rtl w:val="true"/>
          <w:lang w:bidi="ar-SA"/>
        </w:rPr>
        <w:t xml:space="preserve">، و اختاره والدي العلّامة </w:t>
      </w:r>
      <w:r>
        <w:rPr>
          <w:rStyle w:val="FootnoteAnchor"/>
          <w:rtl w:val="true"/>
        </w:rPr>
        <w:footnoteReference w:id="728"/>
      </w:r>
      <w:r>
        <w:rPr>
          <w:rFonts w:ascii="Amiri" w:hAnsi="Amiri" w:eastAsia="Amiri" w:cs="Amiri"/>
          <w:color w:val="111111"/>
          <w:sz w:val="28"/>
          <w:sz w:val="28"/>
          <w:szCs w:val="28"/>
          <w:rtl w:val="true"/>
          <w:lang w:bidi="ar-SA"/>
        </w:rPr>
        <w:t xml:space="preserve">، و نسب الثاني إلى غيرهم، و لعلّه الأكثر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فصّل بين اتحاد السببين نوعا، كوقوع كلبين في بئر،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اختلافهما بوقوع كلب و انسان فيه، فالثاني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الكلام في هذا المقام، غير البحث عن تكرر الأمر بتكرر الشرط، فإنّ</w:t>
      </w:r>
    </w:p>
    <w:p>
      <w:pPr>
        <w:pStyle w:val="BookText"/>
        <w:rPr/>
      </w:pPr>
      <w:r>
        <w:rPr>
          <w:rFonts w:ascii="Amiri" w:hAnsi="Amiri" w:eastAsia="Amiri" w:cs="Amiri"/>
          <w:color w:val="111111"/>
          <w:sz w:val="28"/>
          <w:sz w:val="28"/>
          <w:szCs w:val="28"/>
          <w:rtl w:val="true"/>
          <w:lang w:bidi="ar-SA"/>
        </w:rPr>
        <w:t>الكلام ثمة في أمر لفظيّ هو اقتضاء القضية الشرطية استمرار السببية و عدمه، و الحقّ فيه اقتضاؤها الاستمرار، إذا كانت الأدوات مما يقتضي العموم و الدوام، نحو مهما و أنّى و حيثما و كيفما و أشباهها، و عدمه إذا كانت من أداة الإهمال نحو إن و لو و إذا و ما في معناه من الأسماء المتضمّنة لمعنى الشرط، نحو من و ما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هنا، ففيما علم استمرار السببية إن كان واحدا، و تعدّد السبب إن كان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الخلاف فيما لم يتخلّل المسبّب بين السببين، و إلّا فعدم التداخل اتفاقيّ، كما إذا وقع الكلب في البئر، فنزح، ثم وقع فيه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الخلاف بما كان المسبّب فعل المكلّف، كالكفارات و الأغسال و المنزوحات و نحوها لا من قبيل الأوصاف الشرعية، كالزوجية و الملكية و الرقّية و الطهارة و النجاسة و أمثالها، فإنّه إذا حصل مثل ذلك بسبب، يمتنع تأثير السبب اللّاحق فيه، فإذا تملك بالبيع مثلا، لا يملك بالصلح ثانيا، بل يكون اللاحق لاغيا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فالمسبّب هو الوصف عن عدمه لا عن وجوده، فإنّ البول ينجّس الطاهر لا المتنجّس، كما أنّ الغسل يطهر النجس لا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شرعا، و لا هكذا الفعل، كما سننبّه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علمت ذلك، فقد استدلّ على التداخل بالأصل و البراءة عن الإتيان بفعل المسبّب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قد يقتضي التكرّر، كما إذا كان وجوب المسبّب لرفع أمر واقع، كما في المنزوحات، على القول بكونها لتطهير البئر، فالدليل أخصّ من المدّعى، مع أنّ الأصل لا يقاوم الدليل، و الخصم مستظهر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احتجّ الآخرون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السببية عدم التداخل، و اختصاص كل سبب بمسبّب لخصوص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كان دليل السببية قضية شرطية، و المقصود في المسألة ما يعمّ ذلك، فقد يكون الدليل غير اللفظ، كالإجماع و نحوه، أو اللفظ، و هو غير القضية الشرطية، مع أنّ دعوى اطّراد التبادر في أمثال القضايا الشرطية ممنوع جدا، بل لا يبعد تبادر التداخل فيما إذا كانت الأسباب مختلفة و تواردت دفعة،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فصم، و إن جاء عمرو 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التبادر فيما إذا اتّحد السبب و تكرّر بالتعاقب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زيد فأعطه درهما، أو صم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تداخل السببان، كإفطار يوم رمضان، و مخالفة النذر في وجوب الكفارة، فالسبب الثاني، إمّا يوجب الكفارة التي أوجبها الأوّل بعينها، فيلزم إيجاب الواجب، و هو باطل، أو لا يوجب سببا، فهو خروج عن سببيته المعلومة، أو يوجبان معا كفّارة واحدة، فهو خلاف مقتضى السببية التامّة المستقلّة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اختيار الأوّل، و لا استحالة فيه، فإنّ الأحكام الشرعية المسبّبة عن أسبابها ليست بمثابه المعلومات المترتبة على العلل العقلية التي يمنع تواردها على معلول واحد، لجواز أن يكون شي‌ء مطلوبا من جهتين متعلّقتين </w:t>
      </w:r>
      <w:r>
        <w:rPr>
          <w:rStyle w:val="FootnoteAnchor"/>
          <w:rtl w:val="true"/>
        </w:rPr>
        <w:footnoteReference w:id="730"/>
      </w:r>
      <w:r>
        <w:rPr>
          <w:rFonts w:ascii="Amiri" w:hAnsi="Amiri" w:eastAsia="Amiri" w:cs="Amiri"/>
          <w:color w:val="111111"/>
          <w:sz w:val="28"/>
          <w:sz w:val="28"/>
          <w:szCs w:val="28"/>
          <w:rtl w:val="true"/>
          <w:lang w:bidi="ar-SA"/>
        </w:rPr>
        <w:t>، كما في نذر الواجب، أو مبغوضا كذلك، كحرمة وطء الأجنبية في نهار رمضان، و نجاسة دم الكلب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كل سبب الإتيان بمسبّبه، لأجل أنّه سببه،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لقصده، و لازمه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اللازم، لإمكان جمع القصدين في فعل واحد، و حصول الامتثالين به، كما في تداخل الأغسال، و هو جائز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الفقهاء بحيث ربما تركوا لسببه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الاتفاق على الكلّية، و إن عملوا بمقتضى عدم التداخل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التمسّك باستقراء الشرعيات، و كون المدار فيها على تعدّد المسبّبات بتعدّد الأسباب، كما في أسباب الصلاة و الصوم و الزكاة و الحجّ و الديات و الحدود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ضعف أدلّة الطرفين، فمقتضى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السببية ترتّب المسبّب على السبب، فالمسبّب إن كان من الأحكام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حكمها ما يؤول إليها من الأحكام الوضعية، من الشرطية و المانعية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حصول هذا المقتضى للسببين بمسبّب واحد، و يكفى في الترتّب عليهما تعدّد الجهة، كما في نذر الواجب، و تداخل الغسلين لإمكان مطلوبية فعل واحد و مبغوضيته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مانعيته أو شرطيته، فالأصل فيه التداخل، لإمكان الامتثال لهما بفعل واحد، و أصالة البراءة عن الزائد، و لا يوجب التداخل إسقاط المؤثّر عن التأثير، فكان على خلاف الأصل، كما توهّمه بعض الأجلّة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من غيرها، فلم يكن موضوعه من فعل المكلّف، بل من قبيل الأوصاف الشرعية، كالملكية و الزوجية و الرقّية، و اشتغال الذمّة بحقّ الغير، و نحوها مما يمتنع توارد العلل المتكثرة عليه، و لا يتعقّل تعدّد السببية و التأثير إلّا بتعدّد الموضوع، فالأصل فيه عدم التداخل تحقيقا لمعنى السببية المستقلّة لها، فإن قلنا بالتداخل فيه، كان هذا إسقاطا للمتأخّر عن التأثير، و هو محتاج إلى دليل، لكونه خروجا عما دلّ على سببية كلّ واحد منهما مستقلا</w:t>
      </w:r>
      <w:r>
        <w:rPr>
          <w:rFonts w:eastAsia="Amiri" w:cs="Amiri" w:ascii="Amiri" w:hAnsi="Amiri"/>
          <w:color w:val="111111"/>
          <w:sz w:val="28"/>
          <w:szCs w:val="28"/>
          <w:rtl w:val="true"/>
          <w:lang w:bidi="ar-SA"/>
        </w:rPr>
        <w:t>.</w:t>
      </w:r>
      <w:bookmarkStart w:id="219" w:name="pg2497_12186"/>
    </w:p>
    <w:p>
      <w:pPr>
        <w:pStyle w:val="Heading2"/>
        <w:numPr>
          <w:ilvl w:val="1"/>
          <w:numId w:val="1"/>
        </w:numPr>
        <w:rPr/>
      </w:pPr>
      <w:bookmarkStart w:id="220" w:name="__RefHeading___Toc3861923_3804643083"/>
      <w:bookmarkStart w:id="221" w:name="_Toc84"/>
      <w:bookmarkEnd w:id="219"/>
      <w:bookmarkEnd w:id="220"/>
      <w:r>
        <w:rPr>
          <w:rtl w:val="true"/>
        </w:rPr>
        <w:t>[</w:t>
      </w:r>
      <w:r>
        <w:rPr>
          <w:rtl w:val="true"/>
        </w:rPr>
        <w:t>المشرق الرابع عشر</w:t>
      </w:r>
      <w:r>
        <w:rPr>
          <w:rtl w:val="true"/>
        </w:rPr>
        <w:t>] [</w:t>
      </w:r>
      <w:r>
        <w:rPr>
          <w:rtl w:val="true"/>
        </w:rPr>
        <w:t>في بيان قاعدة نفي الضرر</w:t>
      </w:r>
      <w:r>
        <w:rPr>
          <w:rtl w:val="true"/>
        </w:rPr>
        <w:t>]</w:t>
      </w:r>
      <w:bookmarkEnd w:id="221"/>
    </w:p>
    <w:p>
      <w:pPr>
        <w:pStyle w:val="Heading3"/>
        <w:numPr>
          <w:ilvl w:val="2"/>
          <w:numId w:val="1"/>
        </w:numPr>
        <w:rPr/>
      </w:pPr>
      <w:bookmarkStart w:id="222" w:name="__RefHeading___Toc3861925_3804643083"/>
      <w:bookmarkStart w:id="223" w:name="_Toc8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قاعدة نفي الضرر </w:t>
      </w:r>
      <w:r>
        <w:rPr>
          <w:rStyle w:val="FootnoteAnchor"/>
          <w:rtl w:val="true"/>
        </w:rPr>
        <w:footnoteReference w:id="731"/>
      </w:r>
      <w:r>
        <w:rPr>
          <w:rFonts w:ascii="Amiri" w:hAnsi="Amiri" w:eastAsia="Amiri" w:cs="Amiri"/>
          <w:color w:val="111111"/>
          <w:sz w:val="28"/>
          <w:sz w:val="28"/>
          <w:szCs w:val="28"/>
          <w:rtl w:val="true"/>
          <w:lang w:bidi="ar-SA"/>
        </w:rPr>
        <w:t>، و هي من الأصول المهمّة الاجتهادية المعمولة بين الفقهاء، يستدلّون بها على أحكام كثيرة، طلبية و وضعية، نفيا و إثباتا، كحرمة السحر و الغشّ و التدليس، و الاحتكار مع حاجة الناس، و تفريق الأمّ عن الولد، و ثبوت خيارات الغبن و العيب و التدليس و التصرية و تبعّض الصفقة، و شرعية التقاص، و أمثال ذلك مما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كثر الكلام بين كثير من الأعلام، في اندراج خصوص بعض الأحكام في تلك القاعدة، و في تعارض المضارّ، و تعارض القاعدة مع قاعدة تسلّط الناس على أموالهم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نبيّن أوّلا مدرك القاعدة، ثمّ ما يصحّ الاستدلال عليه بها من الأحكام و ما لا يصحّ، ثمّ تعارض الضررين، و تعارض قاعدة نفى الضرر لقاعدة الناس مسلطون</w:t>
      </w:r>
      <w:r>
        <w:rPr>
          <w:rFonts w:eastAsia="Amiri" w:cs="Amiri" w:ascii="Amiri" w:hAnsi="Amiri"/>
          <w:color w:val="111111"/>
          <w:sz w:val="28"/>
          <w:szCs w:val="28"/>
          <w:rtl w:val="true"/>
          <w:lang w:bidi="ar-SA"/>
        </w:rPr>
        <w:t>.</w:t>
      </w:r>
      <w:bookmarkStart w:id="224" w:name="pg2497_12187"/>
    </w:p>
    <w:p>
      <w:pPr>
        <w:pStyle w:val="BookText"/>
        <w:rPr/>
      </w:pPr>
      <w:bookmarkEnd w:id="224"/>
      <w:r>
        <w:rPr>
          <w:rFonts w:ascii="Amiri" w:hAnsi="Amiri" w:eastAsia="Amiri" w:cs="Amiri"/>
          <w:color w:val="111111"/>
          <w:sz w:val="28"/>
          <w:sz w:val="28"/>
          <w:szCs w:val="28"/>
          <w:rtl w:val="true"/>
          <w:lang w:bidi="ar-SA"/>
        </w:rPr>
        <w:t>فهنا أبحاث ثلاثة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861927_3804643083"/>
      <w:bookmarkStart w:id="226" w:name="_Toc86"/>
      <w:bookmarkEnd w:id="225"/>
      <w:r>
        <w:rPr>
          <w:rtl w:val="true"/>
        </w:rPr>
        <w:t>البحث الأوّل</w:t>
      </w:r>
      <w:r>
        <w:rPr>
          <w:rtl w:val="true"/>
        </w:rPr>
        <w:t xml:space="preserve">: </w:t>
      </w:r>
      <w:r>
        <w:rPr>
          <w:rtl w:val="true"/>
        </w:rPr>
        <w:t>في مدرك القاعدة،</w:t>
      </w:r>
      <w:bookmarkEnd w:id="226"/>
    </w:p>
    <w:p>
      <w:pPr>
        <w:pStyle w:val="BookText"/>
        <w:rPr/>
      </w:pPr>
      <w:r>
        <w:rPr>
          <w:rFonts w:ascii="Amiri" w:hAnsi="Amiri" w:eastAsia="Amiri" w:cs="Amiri"/>
          <w:color w:val="111111"/>
          <w:sz w:val="28"/>
          <w:sz w:val="28"/>
          <w:szCs w:val="28"/>
          <w:rtl w:val="true"/>
          <w:lang w:bidi="ar-SA"/>
        </w:rPr>
        <w:t>و بيان معناه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إجماع الأمة عليها في الجملة، بين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بل عن فخر الإسلام </w:t>
      </w:r>
      <w:r>
        <w:rPr>
          <w:rStyle w:val="FootnoteAnchor"/>
          <w:rtl w:val="true"/>
        </w:rPr>
        <w:footnoteReference w:id="732"/>
      </w:r>
      <w:r>
        <w:rPr>
          <w:rFonts w:ascii="Amiri" w:hAnsi="Amiri" w:eastAsia="Amiri" w:cs="Amiri"/>
          <w:color w:val="111111"/>
          <w:sz w:val="28"/>
          <w:sz w:val="28"/>
          <w:szCs w:val="28"/>
          <w:rtl w:val="true"/>
          <w:lang w:bidi="ar-SA"/>
        </w:rPr>
        <w:t>دعوى تواتر الأخبار على نفي الضرر 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عن النبيّ صلّى اللّه عليه و آله و سلّم في حكاية سمرة بن جندب، و روى عنه بألفاظ مختلفة في أسانيد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موثقة ابن بكير </w:t>
      </w:r>
      <w:r>
        <w:rPr>
          <w:rStyle w:val="FootnoteAnchor"/>
          <w:rtl w:val="true"/>
        </w:rPr>
        <w:footnoteReference w:id="733"/>
      </w:r>
      <w:r>
        <w:rPr>
          <w:rFonts w:ascii="Amiri" w:hAnsi="Amiri" w:eastAsia="Amiri" w:cs="Amiri"/>
          <w:color w:val="111111"/>
          <w:sz w:val="28"/>
          <w:sz w:val="28"/>
          <w:szCs w:val="28"/>
          <w:rtl w:val="true"/>
          <w:lang w:bidi="ar-SA"/>
        </w:rPr>
        <w:t>،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سمرة بن جندب كان له عذق </w:t>
      </w:r>
      <w:r>
        <w:rPr>
          <w:rStyle w:val="FootnoteAnchor"/>
          <w:rtl w:val="true"/>
        </w:rPr>
        <w:footnoteReference w:id="734"/>
      </w:r>
      <w:r>
        <w:rPr>
          <w:rFonts w:ascii="Amiri" w:hAnsi="Amiri" w:eastAsia="Amiri" w:cs="Amiri"/>
          <w:color w:val="111111"/>
          <w:sz w:val="28"/>
          <w:sz w:val="28"/>
          <w:szCs w:val="28"/>
          <w:rtl w:val="true"/>
          <w:lang w:bidi="ar-SA"/>
        </w:rPr>
        <w:t>في حائط لرجل من الأنصار، و كان منزل الأنصاري بباب البستان، و كان يمرّ به إلى نخلته، و لا يستأذن، و كلمه الأنصاري أن يستأذن إذا جاء فأبى سمرة، فلما أبى، جاء الأنصاري إلى رسول اللّه صلّى اللّه عليه و آله و سلّم، فشكى إليه، فأخبر الخبر، فأرسل إليه رسول اللّه صلّى اللّه عليه و آله و سلّم و خبر بقول الأنصاري و ما شكاه، 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الدخول 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فلما أبى، ساومه حتى بلغ من الثمن إلى ما شاء اللّه، فأبى أن يبيعه،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بها عذق مذلّل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يقبل، فقال رسول اللّه صلّى اللّه عليه و آله و سلّم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 ارم بها، فإنّه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ابن مسكان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قريبة من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 لا ضرر على مؤمن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الحذاء </w:t>
      </w:r>
      <w:r>
        <w:rPr>
          <w:rStyle w:val="FootnoteAnchor"/>
          <w:rtl w:val="true"/>
        </w:rPr>
        <w:footnoteReference w:id="736"/>
      </w:r>
      <w:r>
        <w:rPr>
          <w:rFonts w:ascii="Amiri" w:hAnsi="Amiri" w:eastAsia="Amiri" w:cs="Amiri"/>
          <w:color w:val="111111"/>
          <w:sz w:val="28"/>
          <w:sz w:val="28"/>
          <w:szCs w:val="28"/>
          <w:rtl w:val="true"/>
          <w:lang w:bidi="ar-SA"/>
        </w:rPr>
        <w:t>، عن أبي جعفر عليه السّلام، مثل ذلك، إلّا أنّه ليس فيها لفظ الضرر</w:t>
      </w:r>
    </w:p>
    <w:p>
      <w:pPr>
        <w:pStyle w:val="BookText"/>
        <w:rPr/>
      </w:pPr>
      <w:r>
        <w:rPr>
          <w:rFonts w:ascii="Amiri" w:hAnsi="Amiri" w:eastAsia="Amiri" w:cs="Amiri"/>
          <w:color w:val="111111"/>
          <w:sz w:val="28"/>
          <w:sz w:val="28"/>
          <w:szCs w:val="28"/>
          <w:rtl w:val="true"/>
          <w:lang w:bidi="ar-SA"/>
        </w:rPr>
        <w:t>و الضرار،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مضارّا، اذهب يا فلان، فاقطعها و اضرب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أمره صلّى اللّه عليه و آله و سلّم بقلع العذق إشكال معروف، لأنّه خلاف ما يقتضيه القواعد، و نفي الضرر لا يوجبه، مع أنه لو أوجبه يتعارض الضرران، فما وجه الترجيح؟</w:t>
      </w:r>
    </w:p>
    <w:p>
      <w:pPr>
        <w:pStyle w:val="BookText"/>
        <w:rPr/>
      </w:pPr>
      <w:r>
        <w:rPr>
          <w:rFonts w:ascii="Amiri" w:hAnsi="Amiri" w:eastAsia="Amiri" w:cs="Amiri"/>
          <w:color w:val="111111"/>
          <w:sz w:val="28"/>
          <w:sz w:val="28"/>
          <w:szCs w:val="28"/>
          <w:rtl w:val="true"/>
          <w:lang w:bidi="ar-SA"/>
        </w:rPr>
        <w:t>و ذكروا في توجيهه وجوها لا يخلو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أظنه سالما عنها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و إن كانت طريق عذقه، و له حق الاستطراق، إلّا أنّه يحرم على ذي الحقّ تصرفا مضرّا للجار لم يكن في تركه ضرر على نفسه، كما سننبّه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في الإعلام بالدخول، لتوقي أهل الدار عن الأجنبي، لا ضرر على سمرة، و يضرّ على أهل الدار، فلا يجوز له هذا التصرف، و حيث أبى بعد أمر النبيّ صلّى اللّه عليه و آله و سلّم إلّا على هذا الوجه المحرّم، فقطع عنه ما بعثه على هذا التصرف بقلع العذق و غرسه في موضع آخر، كما يشعر به بعض الروايات، دفعا لتضرر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فهذا الإشكال لا يخلّ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737"/>
      </w:r>
      <w:r>
        <w:rPr>
          <w:rFonts w:ascii="Amiri" w:hAnsi="Amiri" w:eastAsia="Amiri" w:cs="Amiri"/>
          <w:color w:val="111111"/>
          <w:sz w:val="28"/>
          <w:sz w:val="28"/>
          <w:szCs w:val="28"/>
          <w:rtl w:val="true"/>
          <w:lang w:bidi="ar-SA"/>
        </w:rPr>
        <w:t>و 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هارون بن حمزة الغنوي </w:t>
      </w:r>
      <w:r>
        <w:rPr>
          <w:rStyle w:val="FootnoteAnchor"/>
          <w:rtl w:val="true"/>
        </w:rPr>
        <w:footnoteReference w:id="738"/>
      </w:r>
      <w:r>
        <w:rPr>
          <w:rFonts w:ascii="Amiri" w:hAnsi="Amiri" w:eastAsia="Amiri" w:cs="Amiri"/>
          <w:color w:val="111111"/>
          <w:sz w:val="28"/>
          <w:sz w:val="28"/>
          <w:szCs w:val="28"/>
          <w:rtl w:val="true"/>
          <w:lang w:bidi="ar-SA"/>
        </w:rPr>
        <w:t>، عن أبي عبد اللّه عليه السّلام، رجل يسمد بعيرا مريضا يباع، فاشتراه رجل بعشرة دراهم، فجاء و أشرك فيه رجلا بدرهمين بالرأس و الجلد، فقضى أنّ البعير برئ، فبلغ ثمنه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الدرهمين خمس</w:t>
      </w:r>
    </w:p>
    <w:p>
      <w:pPr>
        <w:pStyle w:val="BookText"/>
        <w:rPr/>
      </w:pPr>
      <w:r>
        <w:rPr>
          <w:rFonts w:ascii="Amiri" w:hAnsi="Amiri" w:eastAsia="Amiri" w:cs="Amiri"/>
          <w:color w:val="111111"/>
          <w:sz w:val="28"/>
          <w:sz w:val="28"/>
          <w:szCs w:val="28"/>
          <w:rtl w:val="true"/>
          <w:lang w:bidi="ar-SA"/>
        </w:rPr>
        <w:t>ما بلغ،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الرأس و الجلد، فليس له ذلك هذا الضرار، قد أعطى حقّه إذا أعطى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عقبة بن خالد </w:t>
      </w:r>
      <w:r>
        <w:rPr>
          <w:rStyle w:val="FootnoteAnchor"/>
          <w:rtl w:val="true"/>
        </w:rPr>
        <w:footnoteReference w:id="739"/>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رسول اللّه صلّى اللّه عليه و آله و سلّم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الأخرى عنه عليه السّلام </w:t>
      </w:r>
      <w:r>
        <w:rPr>
          <w:rStyle w:val="FootnoteAnchor"/>
          <w:rtl w:val="true"/>
        </w:rPr>
        <w:footnoteReference w:id="740"/>
      </w:r>
      <w:r>
        <w:rPr>
          <w:rFonts w:ascii="Amiri" w:hAnsi="Amiri" w:eastAsia="Amiri" w:cs="Amiri"/>
          <w:color w:val="111111"/>
          <w:sz w:val="28"/>
          <w:sz w:val="28"/>
          <w:szCs w:val="28"/>
          <w:rtl w:val="true"/>
          <w:lang w:bidi="ar-SA"/>
        </w:rPr>
        <w:t>، فيما قضى رسول اللّه صلّى اللّه عليه و آله و سلّم،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محمد بن الحسين </w:t>
      </w:r>
      <w:r>
        <w:rPr>
          <w:rStyle w:val="FootnoteAnchor"/>
          <w:rtl w:val="true"/>
        </w:rPr>
        <w:footnoteReference w:id="741"/>
      </w:r>
      <w:r>
        <w:rPr>
          <w:rFonts w:ascii="Amiri" w:hAnsi="Amiri" w:eastAsia="Amiri" w:cs="Amiri"/>
          <w:color w:val="111111"/>
          <w:sz w:val="28"/>
          <w:sz w:val="28"/>
          <w:szCs w:val="28"/>
          <w:rtl w:val="true"/>
          <w:lang w:bidi="ar-SA"/>
        </w:rPr>
        <w:t>، و فيها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يتّقى اللّه عزّ و جلّ، و يعمل في ذلك بالمعروف، و لا يضارّ بأخيه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البزنطي </w:t>
      </w:r>
      <w:r>
        <w:rPr>
          <w:rStyle w:val="FootnoteAnchor"/>
          <w:rtl w:val="true"/>
        </w:rPr>
        <w:footnoteReference w:id="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بطريق المسلمين شيئا فهو ضامن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الكناني </w:t>
      </w:r>
      <w:r>
        <w:rPr>
          <w:rStyle w:val="FootnoteAnchor"/>
          <w:rtl w:val="true"/>
        </w:rPr>
        <w:footnoteReference w:id="7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الضرر معلوم عرفا، و يوافق المعلوم فيه ما ذكره اللغويون، كما في الصحاح </w:t>
      </w:r>
      <w:r>
        <w:rPr>
          <w:rStyle w:val="FootnoteAnchor"/>
          <w:rtl w:val="true"/>
        </w:rPr>
        <w:footnoteReference w:id="744"/>
      </w:r>
      <w:r>
        <w:rPr>
          <w:rFonts w:ascii="IRNazanin" w:hAnsi="IRNazanin" w:eastAsia="IRNazanin"/>
          <w:color w:val="111111"/>
          <w:sz w:val="28"/>
          <w:sz w:val="28"/>
          <w:szCs w:val="28"/>
          <w:rtl w:val="true"/>
          <w:lang w:bidi="fa-IR"/>
        </w:rPr>
        <w:t>، الضرر خلاف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ضرّه و ضارّه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به و أضرّه و ضارّه مضارة و ضرارا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المصباح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ضرّه يضرّه، من باب قتل، إذا فعل به مكروها و أضرّ به، يتعدّى بنفسه ثلاثيا و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نقص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ضارّه مضارة و ضرارا بمعنى 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الأثيرية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لا ضرر،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أخاه، ينقصه شيئا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من الضرّ،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يجازيه على إضراره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الواحد،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 و 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ما تضرّ به صاحبك، و تنتفع أنت به، و الضرار أن تضرّه من غير أن تنتفع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التكرار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التباس الفرق بين الضرر و الضرار و الإضرار، لا يخلّ بالمقصود في المسألة، بل المستفاد من مجموع ذلك كون الضرر ما يقابل النفع، فكما أنّ النفع حصول الفائدة، فالضرر فوتها، من نقص في المال، عينا أو منفعة، أو في حق انتفاع، أو في البدن، من مرض أو بطوئه أو ألم، أو في العرض، من هتك حرمة محترمة في نفسه أو عياله أو من ينتسب إليه، بحيث كان إيذاء عليه و استخفافا له عرفا، و 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يصدق على عدم حصول منفعة متوقعة، أو على ضرر يتوقع منه منفعة أو دفع مفسدة؟</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أنها إن كانت من توابع الملك عادة، كثمرة البستان و ماء البئر المتجدّد و نحوهما، فنقصها ضرر قطعا، و يصدق عليه، فإنّه فوات أمر موجود، هو قابلية النفع، و يعدّ مانعه مضارا، سواء كان منعه بإثبات اليد على الملك، أو إحداث حدث فيه مانع عن النفع، كهدم بئر القنات، أو سدّ مجراها، أو منعه عن تعمير ملكه الدائر كإصلاح خرابه الغير المنافي لصدق كونه ذا منفعة عرفا و أما إذا لم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ذا منفعة، كقناة بائرة، فليس منعه عن تعميره ضررا، لعدم كونه تفويتا للمنفعة، كما لا يعدّ منه حبس المالك عن الانتفاع بملكه، كحبسه عن الزرع و سكنى الدار إضرارا، فإنّه تفويت لمنفعة المالك لا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حبسه من تسقية سنبله حتى فسد، أو ترك زرع ملكه المعدّ له، الذي فات به استعداده الفعليّ، فالظاهر كونه ضررا أو إتلافا، كمنفعة الملك، بل لا يبعد صدقه على حبسه عن ترك الزرع، قصدا لفواته، بل مطلقا، إذا كان المالك قادرا و عازما عليه، و عدم امكان الاستنابة له عند حبسه عنه، لصدق تفويت نماء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الصدق العرفيّ في تفويت نفع ملكه التابع 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نقصان القيمة السوقية، أو ذهاب المشتري لحبسه، أو تغرير، أو تدليس، ليس إضرارا من الحابس، لعدم نقص في شي‌ء موجود، و لذا لا يضمنها الغاصب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في مقابله نفع أو رفع ضرّ، ففي صدق الضرر عليه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يشهد به الاعتبار، أنّ العوض الذي في مقابل الضرر، إن كان من الآثار القهرية، كظهور الماء لحفر البئر، و خروج السنبل لزرع البذر، أو كان الضرر</w:t>
      </w:r>
    </w:p>
    <w:p>
      <w:pPr>
        <w:pStyle w:val="BookText"/>
        <w:rPr/>
      </w:pPr>
      <w:r>
        <w:rPr>
          <w:rFonts w:ascii="Amiri" w:hAnsi="Amiri" w:eastAsia="Amiri" w:cs="Amiri"/>
          <w:color w:val="111111"/>
          <w:sz w:val="28"/>
          <w:sz w:val="28"/>
          <w:szCs w:val="28"/>
          <w:rtl w:val="true"/>
          <w:lang w:bidi="ar-SA"/>
        </w:rPr>
        <w:t>مقدمة لتحصيله، كالمسافرة للتجارة و نحوها، مما يرتكبه العقلاء في معاشهم و مكاسبهم، فلا يعدّ تلف المال أو تحمل المشاق فيه من أصله ضررا، و خارج عن موضوعه عرفا، و إن لم نقل بخروج العسر عن موضوعه حينئذ و به يفترق العسر عن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العوض تداركا و جبرا للضرر الواقع، فالظاهر عدم خروجه به عن موضوع الضرر، و لو بعد درك العوض لظهور الفرق بين المنع عن الضرر و جبره، كيف و إلّا لم يبق مورد لتحريم الإضرار عند تعلّق الضمان،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شك في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معناه الحقيقيّ، ضرورة وقوع الضرر فوق ما لا يحصى، فهو مقيّد بما يرجع إلى الدين، كما يرشد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احتمالات، قال بكلّ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التحريم بحمل النفي على النهي أو نفي الجواز الأقرب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به لكون الخبر في مقام الحكم، لا الإخبار عن صفة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الضرر المجرّد عن التدارك الخارج به عن صدق الضرر عرفا، تنزيلا لإلزام الشارع بتداركه منزلة وقوعه الرافع لصدق الضرر، فالمعنى لا ضرر، لم يلزم الشارع تداركه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نفي ماهيّة الضرر في دين الإسلام، بمعنى أنه لم يشرع فيه حكم يوجب الضرر، فكان الإسلام ضارّا أو مضارّا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الشرعي الذي يوجب الضرر على العباد،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العمل به ضررهم، سواء كان طلبيا أو وضعيا، كما أنّ حكم الشارع بلزوم البيع مع الغبن ضرر على المغبون، فهو منفيّ في الشريعة في حقّ الجاهل، و أمّا العالم به، فليس منشأ الضرر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تجوّز أو تقدير،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النهي لا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بعض الروايات، الذي يصلح لكونه قرينة لتقييد غيره من المطلقات به، مضافا إلى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لاستدلال الفقهاء، بحيث يظهر منهم الاتفاق بنفي الضرر على ما يعمّ إضرار العباد بعضهم على بعض، كعدم وجوب الحجّ مع خوف الطريق،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تعميم التحريم بما يشمل صدقه على فعل اللّه سبحانه غير معقول، سيما إذا قلنا بكون الخبر في مقام بيان الحكم لا الإخبار، كما زعمه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ينافي استدلالهم به على الأحكام الوضعية المجرّدة عن الحكم التحريميّ، كثبوت الخيار للمغبون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 التحريم فيه بحرمة امتناع الغابن عن الردّ بعد فسخ المغبون غير صحيح، إذ ليس هو للضرر، بل لكونه من لوازم صحّة الفسخ، و إلّا كان إقدام الغابن على البيع مع علمه بالتفاوت، و عدم إعلامه المغبون الجاهل أولى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الثاني، بل هو أبعد من الأوّل، في اشتماله على التقييد البعيد، فالمعنى الأخير أظهر المحامل، كما نصّ به والدي العلّامة </w:t>
      </w:r>
      <w:r>
        <w:rPr>
          <w:rStyle w:val="FootnoteAnchor"/>
          <w:rtl w:val="true"/>
        </w:rPr>
        <w:footnoteReference w:id="748"/>
      </w:r>
      <w:r>
        <w:rPr>
          <w:rFonts w:ascii="Amiri" w:hAnsi="Amiri" w:eastAsia="Amiri" w:cs="Amiri"/>
          <w:color w:val="111111"/>
          <w:sz w:val="28"/>
          <w:sz w:val="28"/>
          <w:szCs w:val="28"/>
          <w:rtl w:val="true"/>
          <w:lang w:bidi="ar-SA"/>
        </w:rPr>
        <w:t>و تبعه غيره، بل لعلّه يوافق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فيه أصلا، لأنّ جعل الإسلام ظرفا للضرر المنفيّ ليس إلّا لعدم كون الإسلام مضرا، و عدم تشريع حكم ضرريّ فيه، فهو المتعيّن لما فيه نفي الضرر من الأخبار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يستلزم هذا المعنى الحكم التحريميّ و قد يستلزم الحكم بالضمان خاصة، كما ستسمع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الأخبار، فظاهر بعضها التحريم كالمكاتبة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 و يعمل في ذلك بالمعروف، و لا يضارّ بأخيه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تدلّ على مجرّد</w:t>
      </w:r>
      <w:bookmarkStart w:id="227" w:name="pg2497_12194"/>
    </w:p>
    <w:p>
      <w:pPr>
        <w:pStyle w:val="BookText"/>
        <w:rPr/>
      </w:pPr>
      <w:bookmarkEnd w:id="227"/>
      <w:r>
        <w:rPr>
          <w:rFonts w:ascii="Amiri" w:hAnsi="Amiri" w:eastAsia="Amiri" w:cs="Amiri"/>
          <w:color w:val="111111"/>
          <w:sz w:val="28"/>
          <w:sz w:val="28"/>
          <w:szCs w:val="28"/>
          <w:rtl w:val="true"/>
          <w:lang w:bidi="ar-SA"/>
        </w:rPr>
        <w:t>الضمان، كالصحيحين الأخيرين</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861929_3804643083"/>
      <w:bookmarkStart w:id="229" w:name="_Toc87"/>
      <w:bookmarkEnd w:id="228"/>
      <w:r>
        <w:rPr>
          <w:rtl w:val="true"/>
        </w:rPr>
        <w:t>البحث الثاني</w:t>
      </w:r>
      <w:r>
        <w:rPr>
          <w:rtl w:val="true"/>
        </w:rPr>
        <w:t xml:space="preserve">: </w:t>
      </w:r>
      <w:r>
        <w:rPr>
          <w:rtl w:val="true"/>
        </w:rPr>
        <w:t>في بيان موارد صحّة الاستدلال بقاعدة نفي الضرر،</w:t>
      </w:r>
      <w:bookmarkEnd w:id="229"/>
    </w:p>
    <w:p>
      <w:pPr>
        <w:pStyle w:val="BookText"/>
        <w:rPr/>
      </w:pPr>
      <w:r>
        <w:rPr>
          <w:rFonts w:ascii="Amiri" w:hAnsi="Amiri" w:eastAsia="Amiri" w:cs="Amiri"/>
          <w:color w:val="111111"/>
          <w:sz w:val="28"/>
          <w:sz w:val="28"/>
          <w:szCs w:val="28"/>
          <w:rtl w:val="true"/>
          <w:lang w:bidi="ar-SA"/>
        </w:rPr>
        <w:t>من الأحكام الشرعية و الوضعية،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أنّ معنى نفي الضرر نفي الحكم الإضرارى في الإسلام، و عدم تشريعه، و صدق هذا المعنى المنفيّ مشروط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الحكم الإضراري مسببا عن فعله الجائز مع علمه بالضرر، أو عن فعله المحرّم مطلقا، إذ عليها كان الضرر بتقصيره، لعلمه به في الأوّل، و عصيانه في الثاني، فلا اضطرار عليه من الشرع ابتداء، لاستناد المعلول إلى الجزء الأخير من العلة، و هو فعل نفسه، فضرر المغبون مع علمه بالغبن صادر عن اختياره، و إن كانت السببية للزوم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يضعف المباشر، و يقوّي السبب، و كذا ضرر الجاني بالقصاص أو الدية، و الغاصب بالعوض، مع علمها بحرمة الفعل، عن فعله المقصّر فيه، لا بإضرار الشارع، فحكمه حكم الضرر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الاشتغال الفعلي بحق الغير، الذي هو المناط في صدق الضرر، حصل بفعله و اختياره، مع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خروج أحكام القصاص و الديات و الحدود و الضمانات و الكفّارات و أشباهها عن قاعدة نفي الضرر، بل يمكن إخراج الأحكام الإضرارية الجزائية عن موضوع القاعدة بالشرط الآتي أيضا، أعني عدم كون الإضرار الحكميّ لرفع ضرر أقوى، نظرا إلى أنّ الحكم بتلك المضار لرفع مفسدة العصيان، أو تحقيقها الواقعة من نفسه على نفسه، وَ مٰا كٰانَ اللّٰهُ لِيَظْلِمَهُمْ وَ لٰكِنْ كٰانُوا أَنْفُسَهُمْ يَظْلِمُونَ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من الضرر جلب منفعة، أو رفع مضرّة، مساوية أو أقوى،</w:t>
      </w:r>
    </w:p>
    <w:p>
      <w:pPr>
        <w:pStyle w:val="BookText"/>
        <w:rPr/>
      </w:pPr>
      <w:r>
        <w:rPr>
          <w:rFonts w:ascii="Amiri" w:hAnsi="Amiri" w:eastAsia="Amiri" w:cs="Amiri"/>
          <w:color w:val="111111"/>
          <w:sz w:val="28"/>
          <w:sz w:val="28"/>
          <w:szCs w:val="28"/>
          <w:rtl w:val="true"/>
          <w:lang w:bidi="ar-SA"/>
        </w:rPr>
        <w:t>كما تقدّم و النفع المقصود يعمّ المنفعة الأخروية المتوقعة بمقتضى وعده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أَوْفىٰ بِعَهْدِهِ</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Style w:val="FootnoteAnchor"/>
          <w:rtl w:val="true"/>
        </w:rPr>
        <w:footnoteReference w:id="751"/>
      </w:r>
      <w:r>
        <w:rPr>
          <w:rFonts w:ascii="Amiri" w:hAnsi="Amiri" w:eastAsia="Amiri" w:cs="Amiri"/>
          <w:color w:val="111111"/>
          <w:sz w:val="28"/>
          <w:sz w:val="28"/>
          <w:szCs w:val="28"/>
          <w:rtl w:val="true"/>
          <w:lang w:bidi="ar-SA"/>
        </w:rPr>
        <w:t>منه، بل النفع الأخرويّ أهمّ من الدنيوية، و أجلّ و أبقى، و ببذل المال في تحصيله أحقّ و أحرى، و مَنْ ذَا الَّذِي يُقْرِضُ اللّٰهَ قَرْضاً حَسَناً فَيُضٰاعِفَهُ لَهُ</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مَثَلُ الَّذِينَ يُنْفِقُونَ أَمْوٰالَهُمْ فِي سَبِيلِ اللّٰهِ كَمَثَلِ حَبَّةٍ أَنْبَتَتْ سَبْعَ سَنٰابِلَ فِي كُلِّ سُنْبُلَةٍ مِائَةُ حَبَّةٍ </w:t>
      </w:r>
      <w:r>
        <w:rPr>
          <w:rStyle w:val="FootnoteAnchor"/>
          <w:rtl w:val="true"/>
        </w:rPr>
        <w:footnoteReference w:id="753"/>
      </w:r>
      <w:r>
        <w:rPr>
          <w:rFonts w:ascii="Amiri" w:hAnsi="Amiri" w:eastAsia="Amiri" w:cs="Amiri"/>
          <w:color w:val="111111"/>
          <w:sz w:val="28"/>
          <w:sz w:val="28"/>
          <w:szCs w:val="28"/>
          <w:rtl w:val="true"/>
          <w:lang w:bidi="ar-SA"/>
        </w:rPr>
        <w:t>فلا يعد مثله ضررا و إتلافا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تصدّى والدي قدّس سرّه للتفصّي عن النقض بالتكاليف الكثيرة الضررية الثابتة في الإسلام، كالجهاد و الحجّ و الزكاة و الخمس و الصوم و غيرها، حيث إنّها في مقابل المثوبات الأخروية، فلا يكون ضررا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بعض أفاضل المعاصرين </w:t>
      </w:r>
      <w:r>
        <w:rPr>
          <w:rStyle w:val="FootnoteAnchor"/>
          <w:rtl w:val="true"/>
        </w:rPr>
        <w:footnoteReference w:id="755"/>
      </w:r>
      <w:r>
        <w:rPr>
          <w:rFonts w:ascii="Amiri" w:hAnsi="Amiri" w:eastAsia="Amiri" w:cs="Amiri"/>
          <w:color w:val="111111"/>
          <w:sz w:val="28"/>
          <w:sz w:val="28"/>
          <w:szCs w:val="28"/>
          <w:rtl w:val="true"/>
          <w:lang w:bidi="ar-SA"/>
        </w:rPr>
        <w:t>بأنّ المراد بالضرر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الدنيويّ،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النفع الحاصل في مقابل الضرر الدنيويّ، فهو إنّما يوجب الأمر بالتضرّر، لا خروجه عن كونه ضررا، فالأمر به مختصّ و مخصّص لعموم الضرر، لا دافع لموضوعه، فجميع ما أثبت التكاليف الضررية مخصّص لهذه القاعدة، كيف و لو كان الأمر كذلك، لغت القاعدة، لأنّ كلّ حكم شرعيّ ضرريّ لا بدّ أن يترتّب على موافقته الأجر، فإذا فرض تدارك الضرر و خروجه بذلك من الضرر، فلا وجه لنفيه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تخصيصه الضرر بالدنيويّ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رفع الشارع الحكم في موارده امتنانا، فيكون القاعدة حاكمة على جميع العمومات المثبتة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دليل خاص على وجوب خصوص تكليف ضرري، خصّص به عموم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تخصيص الضرر بالدنيوي، مع عموم اللفظ و صدقه على الأخرويّ لغة و عرفا، يستدعي الدليل، فكما يخرج الضرر المطلق عن موضوعه لداعي النفع الدنيويّ، فلا يعدّ ضررا بعنوان الإطلاق عرفا، كذا يخرجه عنه لداعي النفع الأخرويّ، و لا يعدّ ضررا عرفا، و إن صدق عليه الضرر الدنيويّ، كما يصدق على الأوّل الضرر الأخرويّ و المطلق يتبع الغالب في صحّة النفي و الإثبات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لغت القاعدة،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القاعدة لا ينحصر فيما بإزائه الأجر الأخروي، كما في المعاملات الضررية و الضمانات و الغرامات، بل غير العبادات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التكاليف الشاقّة الدينية التي عليها أساس الإسلام، على حدّ من الكثرة،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نسبتها إلى قاعدة نفي الضرر المسلمة على التعارض و الترجيح و التخصيص، بل يستلزم خروج أكثر أفراد العامّ، سيما إذا قلنا بدخول التكاليف الاستحبابية الضررية التي أفضلها أحمزها في عموم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هذا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دعواه، و ورود حديث نفى الضرر حاكما على عمومات التكاليف الضررية الشاقّة من غير حاجة إلى المرجّح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ما جرت عليه طريقة الأصحاب في الاستدلال بتلك القاعدة، فإنه لم يعهد من أحد أن تمسّك بنفي الضرر على عدم وجوب العبادة في محلّ الخلاف، كعدم تعلّق الزكاة بالتمر و الزبيب، أو في مقدار النصاب، أو في طهارة عرق الجنب من الحرام،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أنّك تريهم يستدلّون به على سقوط العبادة، فيما كان الضرر بغير نفس العبادة أو جزئها الذي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أخرويّ، كمقدّمة خارجة أو خصوصية زائدة، في مثل</w:t>
      </w:r>
    </w:p>
    <w:p>
      <w:pPr>
        <w:pStyle w:val="BookText"/>
        <w:rPr/>
      </w:pPr>
      <w:r>
        <w:rPr>
          <w:rFonts w:ascii="Amiri" w:hAnsi="Amiri" w:eastAsia="Amiri" w:cs="Amiri"/>
          <w:color w:val="111111"/>
          <w:sz w:val="28"/>
          <w:sz w:val="28"/>
          <w:szCs w:val="28"/>
          <w:rtl w:val="true"/>
          <w:lang w:bidi="ar-SA"/>
        </w:rPr>
        <w:t>سقوط الحجّ بخوف الطريق، و الصوم بحدوث المرض، و وجه الفرق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تفصيل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يستصعب الأمر في جليل النظر، بأنا نرى الشارع لم يرض لنا في بعض التكاليف بأدنى مشقّة أو ضرر، كما في الرخصة في التيمّم بخوف طريق الوصول إلى الماء، و سقوط الحجّ كذلك، و إفطار المريض بأدنى مشقة أو طول برء، و القعود و الاضطجاع في الصلاة، و الرخصة في التقية بأدنى ضرر، و يرضى بالمضارّ الكثيرة الشاقّة في مثل الزكاة و الخمس، و الحجّ و صرف المال فيه، و الصوم في الصيف الحارّ، و الجهاد الذي فيه مظنّة تلف النفس، و كفّ النفس عن المعاصي مع تزاحم دواعيها، و التولّي عن أديان الآباء، و إنفاق الأقارب و 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على التعارض و التخصيص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الفاضل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يحسم مادة الإشكال، و لا يظهر منه سرّ فرقهم بين القسمين، مع أن الضرر الخارج بالتخصيص أفحش و أكثر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تكلّف بعض الأجلّة في حلّه، بأنّ المراد بنفي العسر و الضرر، نفي ما هو زائد على ما هو لازم طبائع التكليفات، بالنسبة إلى طاقة أوساط الناس المبرّئين عن المرض، و العذر الذي هو معيار مطلقات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يختلج ببالي في وجه الفرق، هو دقيقة لطيفة يرجع إلى ما ذكرناه، من اختلاف جهات الوجوب في قسمي التكاليف الضررية، فإنّ الضرر إن كان نفس العبادة الموضوعة التي يستحق بها الأجر الأخرويّ، فهو خارج عن موضوع الضرر المنفيّ، و إن كان غيرها، كالمقدمات الخارجة و المقارنات و اللواحق الغير الموضوعة، فداخل في عموم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يشترط فيه نية القربة و لا المباشرة، بل المقصود منه التوصّل إلى غيره، كردّ الوديعة، و إنقاذ الغريق، و مقدمات الواجب النقلية،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يشترط فيه القربة، و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 عن صدق الضرر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فينفيه القاعدة إذا كان متضمّنا للضرر، إذ ليس له بما هو واجب عوض مقدّر و أجر مقرّر، إذ الثواب فيه في مقابل القربة، و هي غير واجبة على الفرض، و وجوبه لأمر غير الثواب الأخرويّ، و إلّا لم يحصل الغرض بأيّ وجه حصل، مع أنّه يحصل به، فليس تشريعه بما هو واجب معوّضا بأجر أخرويّ، فيكون حكما ضرريا ينفيه القاعدة،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 من حيث كونها واجبة ليس في مقابلها نفع أخرويّ، بل وجوبها للتوصّل إلى ذيها، و لذا يحصل بدون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ردّ الوديعة و إنقاذ الغريق، حيث إنّ المقصود من وجوبها وصول الوديعة إلى المالك و نجاة الغريق، فلا يعصى بفعلهما على غير جهة القربة، و إن لم يكن له أجر 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بما هما واجبان، ليس في مقابلهما نفع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حرام يوجب العذاب، و دفع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يقابل الضرر، كجلب النفع، فيخرج الموضوع عن صدق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الترك فرع وجوب الفعل، و حيث إنّه منفيّ، لكونه حكما ضرريا ليس في مقابله ثواب،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عذاب على تركه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التي لا يشترط فيها القربة يسقط وجوبها إذا تضمّنت الضرر، كمقدمة الواجب و نحوها، و لازمه سقوط وجوب ذي المقدمة أيضا، إذا انحصرت مقدّميته في الضرريه، لاستلزام جواز تركها جواز تركه، و إلّا لما استلزم وجوبه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بها المكلّف إقداما على ضرر نفسه، و لو محرما، تعلق الوجوب بذي المقدمة، لعدم 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وسيلة إلى ذيها، و هي إلى النفع الأخروي، فهي موصلة إليه، و لو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موصلة إلى التمكن من ذيها، لا إلى نفس فعله، و الثواب للفعل لا للتمكن عنه، و مجرد التمكن ليس نفعا مانعا عن صدق الضرر، و تحمل العقلاء مثله في معاشراتهم، كضرر المسافرة للتمكن من التجارة، إنّما يخرج به من موضوع الضرر إذا قصد بها التجارة و فعلها، و ما نحن فيه ليس كذلك، لعدم اشتراط قصد الواجب من المقدّمة، و لا فعلية الواجب بعد الوصول اليه في وجوبها، فليس لها ثواب مقرّر إلّا بنيّة القربة، و هي بهذا الوجه ليست بواجبة، بل حكمها حكم سائر المستحبات الضررية التي لا تقتضي نفيها قاعدة الضرر،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الواجبة الضررية، المشروطة بالقربة، فلاستتباع فعله الثواب يخرج عن موضوع الضرر، و إن تضمّن الضرر الدنيويّ، و اللّه سبحانه رضي به لعباده، لما في مقابله من المثوبات، فلا يكون وجوبه حكما ضرريا كما عرفت، بل للّه المنّة عليهم، بما أعدّ لهم مما تقرّ به أعينهم من النعيم الباقي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اقترنه أمر يتضرر به، من وصف أو حال خارج عن ماهيّة العبادة الواجبة و أوصافها اللازمة، كمرض أو مشقّة شديدة، عرضية أو نفسية، صحّ الاستدلال بقاعدة الضرر على سقوط أصل الواجب المقترن بتلك الحالة، التي ليس في مقابلها ثواب مقرّر، لأنّ وجوب العبادة بعين ما تقدّم في المقدّمة التوصّلية الضررية، و ترتّب الثواب على تحمل هذا الضرر، زائدا على ثواب أصل العبادة، إنما هو على تقدير قصد القربة به، و هو غير واجب، و إنما الواجب قصدها في نفس العبادة بما</w:t>
      </w:r>
    </w:p>
    <w:p>
      <w:pPr>
        <w:pStyle w:val="BookText"/>
        <w:rPr/>
      </w:pPr>
      <w:r>
        <w:rPr>
          <w:rFonts w:ascii="Amiri" w:hAnsi="Amiri" w:eastAsia="Amiri" w:cs="Amiri"/>
          <w:color w:val="111111"/>
          <w:sz w:val="28"/>
          <w:sz w:val="28"/>
          <w:szCs w:val="28"/>
          <w:rtl w:val="true"/>
          <w:lang w:bidi="ar-SA"/>
        </w:rPr>
        <w:t>هي واجبة خاصة، فالصوم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حيث كونه واجبا ثواب مقرّر ليس لحالة المرض مدخل فيه، فإذا اقترنه المرض، فالضرر الزائد الحاصل لأجل المرض من الصوم ليس له أجر مقرّر مقتض لوجوب تحمّله و إلّا لاشترط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تحمّله قصد القربة أيضا زائدا على القربة المشترطة في ماهيّة نفس الصوم، مع قطع النظر عن الخصوصيات العارضة اللاحقة، فصحّ نفي وجوب تحمل هذا الضرر المسبّب عن المرض بالقاعدة، و بانتفائه ينتفي وجوب نفس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الخوف للتقيّة و نحوها، فتدبّر جيدا، و اجعلها ضابطة كلّية تقتضيها القاعدة و يوافقها عمل الفقهاء في مثل استدلالهم بنفي وجوب إخراج الزكاة عن المؤون، دون نفي وجوب أصلها في الأجناس الخلافية و نحوه، إلّا إذا دلّ دليل خاصّ في مورد على خلافه في كلّ من القسمين، كما في وجوب شراء ماء الوضوء بأضعاف قيمته، مع ما فيه من الضرر، مع أنه لا يجب تحصيله مع خوف ضرر أقلّ في طريق الوصول إليه، لصدق وجدان الماء في الأوّل، فيخرجه النصّ عن القاعدة،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شرائط صدق الحكم الإضراري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بإضرار الشارع، أو بتجويزه ضرر بعض العباد على بعض من غير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الضرر الحاصل من غير الوجهين، فليس عدم رفعه حكما ضرريا يقتضي القاعدة نفيه بإثبات حكم 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تجويزه للمكلّفين عدم رفعه حكم ضرري، لأنّ منشأ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جانب الشارع، و بقاؤه ليس ضررا متجدّدا مستندا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عدم إفادته النفع 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علمت ما يصدق به الحكم الضرريّ،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الأحكام الوجودية و العدمية التي تقتضيها قاعدة نفي الضرر، و صحّ الاستدلال بها عليها، خمسة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حكم إلزاميّ يتضرّر بامتثاله المكلّف، من غير أجر أخرويّ مقرّر له، من وجوب ما في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حرمة ما في تركه ضرر، و لا عوض، لأنّ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مستندا إلى فعله الاختياريّ، إلّا أنّ إلزام الشارع بجعله محصورا بين ضرريّ المخالفة و الامتثال، يوجب استناد الضرر إلى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 الضرر بالدنيويّ، يلزمه عدم نفيه بقاعدة الضرر، و هو لا يقول به، لأنّه بفعل المكلّف نفسه، لا من حكم الإسلام، إلّا بتعميم الضرر بما يشمل العقوبة الأخروية، فيجعل العذاب الأخروي ضررا، و لا يجعل الثواب الأخروي نفعا جابرا، و هو تحكّم و مجازفة 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يشمل القاعدة نفي الطلب التنزيهيّ الضرريّ؟</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النفي، و استناد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اختيار المكلّف، من غير إلزام الشارع، فلا يقع به محصورا بين ضررين و لعل الثاني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يعمّ الحكم الضرريّ المنفيّ ما صار المكلّف نفسه سببا له، كما إذا أحدث بنفسه مرضا مضرّا لصومه، أو عدوا في طريق حجّه؟</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إيجاده السبب لا يوجب الضرر، بل فعل الواجب بعده، و اضطراره بجعل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حكم وضعيّ يتضرّر به، كلزوم بيع المغبون الجاهل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جواز ما يتضرر به الغير، سواء قصد به إضراره أم لا، لأنّه حكم ضرريّ ينفيه القاعدة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أنّ تضمين الشارع يمنع عن صدق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خطاء، لأنّ الضمان جابر للضرر الواقع، لا كاشف عن عدم وقوعه، مع أنّ الجابر بذل العوض، لا الحكم بالضمان، فلا يكون مجرّد الحكم رافعا لكون التجويز حكما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p>
    <w:p>
      <w:pPr>
        <w:pStyle w:val="BookText"/>
        <w:rPr/>
      </w:pPr>
      <w:r>
        <w:rPr>
          <w:rFonts w:ascii="Amiri" w:hAnsi="Amiri" w:eastAsia="Amiri" w:cs="Amiri"/>
          <w:color w:val="111111"/>
          <w:sz w:val="28"/>
          <w:sz w:val="28"/>
          <w:szCs w:val="28"/>
          <w:rtl w:val="true"/>
          <w:lang w:bidi="ar-SA"/>
        </w:rPr>
        <w:t>كلّ ضرر ليس مما يقابله ضمان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نفي الجواز أيضا، الأخبار الناهية عن الإضرار،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 المؤمن أخاه المؤمن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و قوله في مقام تهديد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فاقلعه و اضربه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يعارضه ضرر نفسه، و إلّا فهو من تعارض الضررين، و 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حكم وضعيّ يتضرّر به غيره، لتساويهما في نفي الضرر عند الشارع، كمعاملة إضرارية للغير، كهبة المديون جميع ما يملكه لغيره، فرارا عن أداء دينه، فيما إذا لم يتمكّن عنه بطريق آخر، من استقراض و نحوه كما بيّناه مفصّلا في بعض مباحثنا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المضارّ بما أضرّ بغيره صرّح به بعضهم،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يقتضيه قاعدة الضرر، كما يقتضيه قاعدة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اتفاقهم على ضمان من أجّج نارا، أو أرسل ماء في ملكه، زائدا على قدر الحاجة، مع ظنّ التعدي، كما سيأتي فهو في غير التصرف في ملكه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الضمان عندهم بصورة حرمة الفعل غير معلوم، و عن بعضهم اختصاصه بما إذا كان الفعل محرّما و خصّه آخر بما إذا كان ظلما و ربما يدّعى إفادة القاعدة نفي الضمان، لأنّه ضرر على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 بعض الفحول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الضمان، لكن لا على إطلاقه، بل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المضارّ</w:t>
      </w:r>
    </w:p>
    <w:p>
      <w:pPr>
        <w:pStyle w:val="BookText"/>
        <w:rPr/>
      </w:pPr>
      <w:r>
        <w:rPr>
          <w:rFonts w:ascii="Amiri" w:hAnsi="Amiri" w:eastAsia="Amiri" w:cs="Amiri"/>
          <w:color w:val="111111"/>
          <w:sz w:val="28"/>
          <w:sz w:val="28"/>
          <w:szCs w:val="28"/>
          <w:rtl w:val="true"/>
          <w:lang w:bidi="ar-SA"/>
        </w:rPr>
        <w:t>إمّا يعلم أو يغلب على ظنّه ضرر الغير بفعله، أو يعلم عدمه، أو لا يعلم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فهو إضرار محرّم عليه، كما علمت، سواء كان بالمباشرة أو بتوليد الفعل بالتسبيب، بإيجاد ما يوجد معه عليه الضرر عادة، و مضمون عليه، لو لا يعارضه مباشر أقوى، لأنّ بقاء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فعل المضارّ أيضا، و يدفعه بذل العوض، فتجويز الشارع عدم رفعه به حكم ضرريّ على المتضرّر، ينفيه القاعدة، كما هو المتفاهم منها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إلزام المضارّ برفعه، و إن كان ضررا عليه أيضا، إلّا أنّه من أثر فعل نفسه عالما به،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القاعدة نفيه، من قبيل الدية على الجاني، و لزوم البيع على المغبون العالم، مضافا إلى صحيحة الكناني، و ما في معناها، المصرّحة بضمان المضارّ بطريق المسلمين، الشامل بعمومها بالإضرار الواقع منه بالطريق، من غير تصرّف له فيه، المتعدي إلى غير الطريق، بعدم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يحتمل الضرر، فعدم حرمة الفعل من جهة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محرّما من جهة أخرى، ككونه تصرّفا في ملك الغير، فلا يبعد الضمان للمتضرّر أيضا، لوقوع الضرر بعصيانه و تقصيره في مخالفة النهي، و إن لم يكن جهة النهي علمه بالضرر، لعدم الفرق بذلك بينهما في نسبة الضرر إلى تقصيره، و عدم اغتفاره في الحكم الضرريّ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محرّما، فمقتضى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ضمانه، لكونه معذورا في الحكم التكليفيّ بالجهل المقتضي للجواز، و في الوضعيّ بعدم التقصير، فإثبات الضمان عليه حكم ضرريّ منفيّ بالقاعدة، إلّا إذا خرج بدليل، كما في تلف النفس، و تضرّر المتضرّر، حيث لم يكن بحكم شرعيّ، و لا بتقصير مضارّ لا يلزم على الشارع رفعه، كما تكرّر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يقتضيه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bookmarkStart w:id="230" w:name="pg2497_12204"/>
    </w:p>
    <w:p>
      <w:pPr>
        <w:pStyle w:val="BookText"/>
        <w:rPr/>
      </w:pPr>
      <w:bookmarkEnd w:id="230"/>
      <w:r>
        <w:rPr>
          <w:rFonts w:ascii="Amiri" w:hAnsi="Amiri" w:eastAsia="Amiri" w:cs="Amiri"/>
          <w:color w:val="111111"/>
          <w:sz w:val="28"/>
          <w:sz w:val="28"/>
          <w:szCs w:val="28"/>
          <w:rtl w:val="true"/>
          <w:lang w:bidi="ar-SA"/>
        </w:rPr>
        <w:t>أضرّ بطريق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العلم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شكّ في الضرر، فهو في جواز الفعل كالسابق،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ثبوته، لعدم اقتضاء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معذوريته، فوجب عليه رفعه ببذل العوض، بقاعدة الضرر، كما مرّ، و أصل عدم الضرر لا ينفي الضمان على تقدير ثبوته في الواقع، لأنّ المناط في صدق اللفظ المقتضي للضمان هو الواقع، فيما لا مانع لصدقه، فإنّ ترخيص الشارع إضرار الغير من غير ضمان مع عدم كونه غافلا حكم ضرريّ على المتضرّر، و جواز الفعل لا ينافي الضمان، لتوقف الحرمة على العلم، دون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الفعل بمقتضى الأصل ليس مقيّدا بالضمان في الأوّل، على تقديره، و تضمينه بعد ظهوره رفع ضرر لا يقتضيه القاعدة، إذ ليس عدم تضمينه حكما ضرريا، بل عدم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الجواز بالضمان على تقدير الضرر لا يستدعي العلم بالضرر و لا بالضمان، بل يكفي الاحتمال في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يتضرّر المضارّ بترك الفعل، و إلّا فيأتي حكمه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861931_3804643083"/>
      <w:bookmarkStart w:id="232" w:name="_Toc88"/>
      <w:bookmarkEnd w:id="231"/>
      <w:r>
        <w:rPr>
          <w:rtl w:val="true"/>
        </w:rPr>
        <w:t>البحث الثالث</w:t>
      </w:r>
      <w:r>
        <w:rPr>
          <w:rtl w:val="true"/>
        </w:rPr>
        <w:t xml:space="preserve">: </w:t>
      </w:r>
      <w:r>
        <w:rPr>
          <w:rtl w:val="true"/>
        </w:rPr>
        <w:t>فيما إذا تعارض قاعدة الضرر مثلها،</w:t>
      </w:r>
      <w:bookmarkEnd w:id="232"/>
    </w:p>
    <w:p>
      <w:pPr>
        <w:pStyle w:val="BookText"/>
        <w:rPr/>
      </w:pPr>
      <w:r>
        <w:rPr>
          <w:rFonts w:ascii="Amiri" w:hAnsi="Amiri" w:eastAsia="Amiri" w:cs="Amiri"/>
          <w:color w:val="111111"/>
          <w:sz w:val="28"/>
          <w:sz w:val="28"/>
          <w:szCs w:val="28"/>
          <w:rtl w:val="true"/>
          <w:lang w:bidi="ar-SA"/>
        </w:rPr>
        <w:t>فتعارض الضرران أو تصرف المالك في ملكه المسلّط عليه،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الضررين، بأن دار الأمر بين حكمين ضرريين، بحيث كان الحكم بأحدهما مستلزما للحكم بثبوت الآخر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الضرران إمّا يكونان بالنسبة إلى شخص واحد، فمع التساوي في مقدار</w:t>
      </w:r>
    </w:p>
    <w:p>
      <w:pPr>
        <w:pStyle w:val="BookText"/>
        <w:rPr/>
      </w:pPr>
      <w:r>
        <w:rPr>
          <w:rFonts w:ascii="Amiri" w:hAnsi="Amiri" w:eastAsia="Amiri" w:cs="Amiri"/>
          <w:color w:val="111111"/>
          <w:sz w:val="28"/>
          <w:sz w:val="28"/>
          <w:szCs w:val="28"/>
          <w:rtl w:val="true"/>
          <w:lang w:bidi="ar-SA"/>
        </w:rPr>
        <w:t>الضرر، و عدم المرجّح، يحكم بالتخيير و مع الاختلاف في القلّة و الكثرة، فمقتضى القاعدة نفي الأكثر، لحصول الضرر الأقلّ على التقديرين، سواء كان داخلا في الأكثر، كما في الشكّ في مقدار الدية على العاقلة أنّه عشرة دنانير أو خمسة، أو مباينا له، كالشكّ في كونه عشرة دنانير أو 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مرجّح للأقلّ مع التباين، مع صدق القاعدة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هو ماهيّة الضرر من حيث هو ضرر، لا خصوصيات المضارّ، فالاعتبار في القلّة و الكثرة بنفس الماهيّة دون الخصوصيات، و الأقلّ بهذا الاعتبار داخل في الأكثر، و إن باينه بحسب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في الحديث الأفراد، لكونه عاما أفراديا، فالعبرة بها دون الماهيّة، و هي في الفرض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الصادق على الجزء و الكلّ من الأعيان، كالماء الصادق على حوض، و على كلّ غرفة و قطرة منه، أو من الأوصاف، كالمرض و الضرر و نحوهما، يكون فرض أفراده بالاعتبار، فإنّ كلّ فرد فرد منه يمكن فرض جزئه فردا أيضا، فكثرة أفراده و قلّتها يرجع إلى كثرة الجنس و قلّته، فالعبرة فيهما به لا بالخصوصيات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الضرران بالنسبة إلى شخصين، بأن دار الحكم الضرريّ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فكلماتهم فيه مختلفة، بل لا يخلو كثير منها عن اضطراب، قال في التذكرة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دينارا، فوقع في محبرة الغير بفعل الغاصب أو بغير فعله، كسرت لردّه، و على الغاصب ضمان المحبرة، و إن كان كسرها أكثر ضررا من تبقية الواقع فيها ضمنه الغاصب، و لم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التفصيل بأكثرية الضرر و عدمها، مع فرض الغصب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الدروس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أدخل دينارا في محبرته، و كانت قيمتها أكثر، و لم يمكن كسره، لم يكسر المحبرة، و ضمن صاحبها الدينار مع عدم تفريط مالكه،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على كون إدخال الدينار بإذن المالك، على وجه يكون مضمونا، إذ لو كان بغير إذنه تعيّن كسر المحبرة، و إن زادت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بإذنه على وجه لا يضمن، لم يتّجه تضمين صاحبها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أجلّة من عاصرناه </w:t>
      </w:r>
      <w:r>
        <w:rPr>
          <w:rStyle w:val="FootnoteAnchor"/>
          <w:rtl w:val="true"/>
        </w:rPr>
        <w:footnoteReference w:id="761"/>
      </w:r>
      <w:r>
        <w:rPr>
          <w:rFonts w:ascii="Amiri" w:hAnsi="Amiri" w:eastAsia="Amiri" w:cs="Amiri"/>
          <w:color w:val="111111"/>
          <w:sz w:val="28"/>
          <w:sz w:val="28"/>
          <w:szCs w:val="28"/>
          <w:rtl w:val="true"/>
          <w:lang w:bidi="ar-SA"/>
        </w:rPr>
        <w:t>في خصوص المثال المذكور و غيره مما تعارض فيه الضرران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الأقلّ ضررا، إذ مقتضى نفي الضرر عن العباد في مقام الامتنان، عدم الرضا بحكم يكون ضرره أكثر من ضرر الحكم الآخر، لأنّ العباد كلّهم متساوون في نظر الشارع، بل بمنزلة عبد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ذلك ملاحظة الضررين الشخصيين المختلفين، باعتبار الخصوصيات الموجودة في كلّ منهما، من حيث المقدار و من حيث الشخص، فقد يدور الأمر بين ضرر درهم و دينار، مع كون ضرر الدرهم أعظم بالنسبة إلى صاحبه من ضرر الدينار بالنسبة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يعكس حال الشخصين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ضعفه،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لا يتمّ فيما إذا كان الضرر الحكميّ من مجرّد تشريع الشارع، فدار في أنّ المحكوم عليه به هذا أو ذاك، كما إذا شكّ في العاقلة الملزمة بالدية شرعا، هل هو هذا أو ذاك بدرهم </w:t>
      </w:r>
      <w:r>
        <w:rPr>
          <w:rStyle w:val="FootnoteAnchor"/>
          <w:rtl w:val="true"/>
        </w:rPr>
        <w:footnoteReference w:id="762"/>
      </w:r>
      <w:r>
        <w:rPr>
          <w:rFonts w:ascii="Amiri" w:hAnsi="Amiri" w:eastAsia="Amiri" w:cs="Amiri"/>
          <w:color w:val="111111"/>
          <w:sz w:val="28"/>
          <w:sz w:val="28"/>
          <w:szCs w:val="28"/>
          <w:rtl w:val="true"/>
          <w:lang w:bidi="ar-SA"/>
        </w:rPr>
        <w:t>، فإنّه لا يختلف الحكم حينئذ قطعا باختلاف الأزمان و الأحوال المتجدّدة، بل إذا رجّح أحدهما بدليله لا يتعاكس فيه الضرر، و لا يختلف باختلافها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تساوي العباد في نظر الشارع، التعديل بينهما، و ينافي تعيّن الضرر الأقلّ، لأنّ جعل الضرر كلّه على صاحب الأقلّ دون صاحب الأكثر خلاف التسوية، بل مقتضى العدل تشريكهما في القدر الأقلّ، و نفي الزائد،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ديناره في مجرّة غيره، فإن كان ضرر الكسر نصف الدينار، فهذا النصف يقسم بينهما، و يكسر المجرة، و إن كان بالعكس يتعاكس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تجزئة الضرر عليهما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القول بالفصل في أمثال ما ليس له عنوان مخصوص في المدارك الشرعية غير معلوم، بل كلّ من حكم فيه بشي‌ء يدخله تحت قاعدة و أصل شرعي بزعمه، كيف و ليس هو أولى في إخراجه عن مقتضى القواعد، بدعوى عدم الفصل، من البناء على اختلاف الحكم الضرري و التعاكس فيه باختلاف الأحوال و الأشخاص و الخصوصيات المتجددة، بملاحظة قاعدة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يتمّ في المثال المتقدّم الذي جعله من أمثلة المقام، مما يتعارض فيه الضرر الواقع لأحدهما و المتوقع للآخر عند دفعه، فإنّ تجويز كسر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تصرفا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بقاعدة الضرر، دون دفع ضرر صاحب الدينار، لعدم وجوبه على الشارع،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اعترف الفاضل المذكور في مقام آخر بذلك،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إضرار انسان لدفع الضرر المتوجه إليه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أنّ تعارض الضررين بالنسبة إلى شخصين، إن كان في الضرر الحكمي الناشئ عن الشرع، المخصّص لقاعدة الضرر، كما في الترديد في العاقلة، فظاهر عدم الترجيح باعتبار قاعدة الضرر، و إن كان أحدهما أقلّ، لتباينهما بتباين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حديث نفي الضرر نفيه من حيث هو في الإسلام، من غير ملاحظة خصوص من يتضرّر به، فإنّ الأقلّ بهذا الاعتبار داخل في الأكثر، و إن تباين المتعلّقات،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باعتبار ضرر خارجي، دار الحكم بإلزامه بين شخصين، فهو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الضرر المفروض واقعا على إنسان، و أمكنه دفعه عن نفسه بإضرار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متوجّها إلى أحدهما لا بعينه، فدفع عن نفسه ما يوجبه، فتوجّه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يجوز له إضرار الغير، بل عليه تحمل الضرر، لأنّ تجويزه حكم ضرريّ، فينفيه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ضرر نفسه الواقع عليها ليس من حكم الشرع، بل حكمه ترك ضرر الغير، و استلزامه بقاء الضرر ليس بسبب حادث، و لا هو ضرر متجدّد، و لا مدخل للشرع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حكمه بما يدفعه، و علمت أنّه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في المشهور، من عدم جواز إسناد الحائط المخوف وقوعه على جذع الجار، خلافا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على ما إذا خاف من وقوعه تلف نفس محترمة، لوجوب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لزوم أجرة المثل، للاستناد كأخذ الطعام لسد الرمق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و لا ضمان عليه، لأن منعه الضرر عن نفسه ليس شيئا محدثا لضرر الآخر، بل هو مستند إلى علّته الخارجة التي لا دخل له فيها، و إنّما فعله منع ما يحدث الضرر عن نفسه، كما إذا سدّ طريق السيل عن داره، فمال إلى دار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أطرقه إليها، سيما إذا كان طريقه أوّلا إلى دار نفسه، فهو من التسبيب المحرّم المتقدّم بيانه، و 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الإنسان دفع ضرر الغير بإضرار نفسه، و لعلّه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قاعدة الضرر مع قاعدة التسليط، الثابتة بالحديث النبويّ المشهور المرويّ في كتب الأصحاب، المعمول به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تصرف المالك في ملكه فاستلزم تضرّر جاره، فالمشهور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الشيخ في المبسوط </w:t>
      </w:r>
      <w:r>
        <w:rPr>
          <w:rStyle w:val="FootnoteAnchor"/>
          <w:rtl w:val="true"/>
        </w:rPr>
        <w:footnoteReference w:id="763"/>
      </w:r>
      <w:r>
        <w:rPr>
          <w:rFonts w:ascii="Amiri" w:hAnsi="Amiri" w:eastAsia="Amiri" w:cs="Amiri"/>
          <w:color w:val="111111"/>
          <w:sz w:val="28"/>
          <w:sz w:val="28"/>
          <w:szCs w:val="28"/>
          <w:rtl w:val="true"/>
          <w:lang w:bidi="ar-SA"/>
        </w:rPr>
        <w:t>، في باب إحياء الموات في حفر المالك بالوعة أو بئر كنيف يقرب بئر الجار، و إن أدّى إلى تغيّر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Style w:val="FootnoteAnchor"/>
          <w:rtl w:val="true"/>
        </w:rPr>
        <w:footnoteReference w:id="764"/>
      </w:r>
      <w:r>
        <w:rPr>
          <w:rFonts w:ascii="Amiri" w:hAnsi="Amiri" w:eastAsia="Amiri" w:cs="Amiri"/>
          <w:color w:val="111111"/>
          <w:sz w:val="28"/>
          <w:sz w:val="28"/>
          <w:szCs w:val="28"/>
          <w:rtl w:val="true"/>
          <w:lang w:bidi="ar-SA"/>
        </w:rPr>
        <w:t>في باب حريم الحقوق،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حفر الإنسان في ملكه بئرا يقرب بئر الغير، و إن نقص به ماء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الفاضل في التحرير </w:t>
      </w:r>
      <w:r>
        <w:rPr>
          <w:rStyle w:val="FootnoteAnchor"/>
          <w:rtl w:val="true"/>
        </w:rPr>
        <w:footnoteReference w:id="765"/>
      </w:r>
      <w:r>
        <w:rPr>
          <w:rFonts w:ascii="Amiri" w:hAnsi="Amiri" w:eastAsia="Amiri" w:cs="Amiri"/>
          <w:color w:val="111111"/>
          <w:sz w:val="28"/>
          <w:sz w:val="28"/>
          <w:szCs w:val="28"/>
          <w:rtl w:val="true"/>
          <w:lang w:bidi="ar-SA"/>
        </w:rPr>
        <w:t>و القواعد فيه، و في اتخاذ ملكه حماما أو موطنا للقصار و الحداد و المدبغ و أمثالها،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لكلّ أحد أن يتصرف في ملكه على العادة ما شاء، و إن تضرر صاحبه، و لا ضمان، و الشهيد في الدروس </w:t>
      </w:r>
      <w:r>
        <w:rPr>
          <w:rStyle w:val="FootnoteAnchor"/>
          <w:rtl w:val="true"/>
        </w:rPr>
        <w:footnoteReference w:id="766"/>
      </w:r>
      <w:r>
        <w:rPr>
          <w:rFonts w:ascii="Amiri" w:hAnsi="Amiri" w:eastAsia="Amiri" w:cs="Amiri"/>
          <w:color w:val="111111"/>
          <w:sz w:val="28"/>
          <w:sz w:val="28"/>
          <w:szCs w:val="28"/>
          <w:rtl w:val="true"/>
          <w:lang w:bidi="ar-SA"/>
        </w:rPr>
        <w:t>نافيا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اختاره في الرياض </w:t>
      </w:r>
      <w:r>
        <w:rPr>
          <w:rStyle w:val="FootnoteAnchor"/>
          <w:rtl w:val="true"/>
        </w:rPr>
        <w:footnoteReference w:id="767"/>
      </w:r>
      <w:r>
        <w:rPr>
          <w:rFonts w:ascii="Amiri" w:hAnsi="Amiri" w:eastAsia="Amiri" w:cs="Amiri"/>
          <w:color w:val="111111"/>
          <w:sz w:val="28"/>
          <w:sz w:val="28"/>
          <w:szCs w:val="28"/>
          <w:rtl w:val="true"/>
          <w:lang w:bidi="ar-SA"/>
        </w:rPr>
        <w:t>، بل في الأوّل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الكفاية </w:t>
      </w:r>
      <w:r>
        <w:rPr>
          <w:rStyle w:val="FootnoteAnchor"/>
          <w:rtl w:val="true"/>
        </w:rPr>
        <w:footnoteReference w:id="768"/>
      </w:r>
      <w:r>
        <w:rPr>
          <w:rFonts w:ascii="Amiri" w:hAnsi="Amiri" w:eastAsia="Amiri" w:cs="Amiri"/>
          <w:color w:val="111111"/>
          <w:sz w:val="28"/>
          <w:sz w:val="28"/>
          <w:szCs w:val="28"/>
          <w:rtl w:val="true"/>
          <w:lang w:bidi="ar-SA"/>
        </w:rPr>
        <w:t>نسبه إلى الأصحاب، مؤذنا بدعوى الإجماع، إلّا أنّه استشكل في الضرر الفاحش</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إطلاق كلامهم، سيما كلام النافي للخلاف، محمول على صورة حاجة</w:t>
      </w:r>
    </w:p>
    <w:p>
      <w:pPr>
        <w:pStyle w:val="BookText"/>
        <w:rPr/>
      </w:pPr>
      <w:r>
        <w:rPr>
          <w:rFonts w:ascii="Amiri" w:hAnsi="Amiri" w:eastAsia="Amiri" w:cs="Amiri"/>
          <w:color w:val="111111"/>
          <w:sz w:val="28"/>
          <w:sz w:val="28"/>
          <w:szCs w:val="28"/>
          <w:rtl w:val="true"/>
          <w:lang w:bidi="ar-SA"/>
        </w:rPr>
        <w:t xml:space="preserve">المالك، و تضرّره بترك التصرّف، و لو بفوات المنفعة المقصودة منه عادة، فإن منعه منه أيضا ضرر عظيم، كما ذكره العلّامة </w:t>
      </w:r>
      <w:r>
        <w:rPr>
          <w:rStyle w:val="FootnoteAnchor"/>
          <w:rtl w:val="true"/>
        </w:rPr>
        <w:footnoteReference w:id="76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يشعر به تقييد العلّامة و الشهيد التصرف بما جرت به العادة، و تصريح الشهيد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بالضمان في تأجيج النار زائدا على قدر الحاجة، مع ظنّ التعدّي، و إن كان منافيا للتصريح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 ذلك كلام المحقّق الثاني </w:t>
      </w:r>
      <w:r>
        <w:rPr>
          <w:rStyle w:val="FootnoteAnchor"/>
          <w:rtl w:val="true"/>
        </w:rPr>
        <w:footnoteReference w:id="77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دعت الحاجة إلى إضرام نار أو إرسال ماء جاز فعله، و إن غلب على ظنّه التعدّي إلى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قاعدة الضرر مطلقا، يظهر من المحقّق القمّي </w:t>
      </w:r>
      <w:r>
        <w:rPr>
          <w:rStyle w:val="FootnoteAnchor"/>
          <w:rtl w:val="true"/>
        </w:rPr>
        <w:footnoteReference w:id="772"/>
      </w:r>
      <w:r>
        <w:rPr>
          <w:rFonts w:ascii="IRNazanin" w:hAnsi="IRNazanin" w:eastAsia="IRNazanin"/>
          <w:color w:val="111111"/>
          <w:sz w:val="28"/>
          <w:sz w:val="28"/>
          <w:szCs w:val="28"/>
          <w:rtl w:val="true"/>
          <w:lang w:bidi="fa-IR"/>
        </w:rPr>
        <w:t>، و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الضرر إذا كان فاحشا، و التسليط في غيره، مال إليه في الكفاية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التصرّف المتضمّن لضرر الغير في ماله، إذا كان فعله توليديا للتصرّف في مال الغير و إتلافه، بمعنى أن يسري فعله في ملكه إلى ملك صاحبه، كإرسال الماء في ملكه، الموجب لسراية النداوة أو الهدم في حائط الجار، أو تأجيج النار الموجب لاحتراق متاعه، لا في مثل رفع جدران داره المانع عن الشمس و القمر في دار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بعض مشايخ من عاصرناه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التعارض، و الرجوع إلى ما يقتضيه الأصل، و هو المعروف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المقام، بعد بيان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الأحكام الشرعية التي لا يجتمع منها اثنان في موضوع، و لو بعنوانين مختلفين بينهما عموم من وجه، إنما هو إذا كان تشريعهما في رتبة واحدة، بحيث كان عموم أحدهما منافيا لعموم الآخر،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و لا يجب إكرام الفساق، المتعارضين في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أحدهما واردا على الآخر، و سببا مزيلا لمقتضاه، فلا تعارض بينهما حقيقة، بل يعمل بالمزيل، نظير تعارض المزيل و المزال في الأصول العملية، على ما بيّناه مستوفى في محلّه، و سيجي‌ء مزيد بيان فيه، كما إذا لاقى اليد المستصحبة النجاسة للماء الطاهر، فحصل الشكّ في طهارته، فإنّه يقدم استصحاب نجاسة اليد على استصحاب طهارة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بزوال طهارته بسبب التلاقي، بل هو مقتضى سببية الأسباب الشرعية، سواء كانت من الأصول الظاهرية، أو الأحكام الواقعية، كعروض النجاسة للطعام المزيل لإباحته، أو وجود مرض أو 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غليان العصير الموجب لحرمته، و صيرورة المباح واجبا إذا صار مقدمة، و إباحة الميتة بحصول المخمصة،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يتوارد على موضوع واحد أحكام مختلفة متعاقبة، فلا تعارض بين دليليهما، لعدم اجتماع الحكمين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يحصل الإشكال في اختلاف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التعارض أو السببية، فإن دلّ على السببية دليل، أو كان هو المنساق من دليل السبب، فهو، و إلّا يلتمس الترجيح لأحدهما، ثمّ يرجع إلى الأصول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علمت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حديث نفي الضرر كونه واردا على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 الثاني في مقام بيان مجرّد السلطنة المالكية الغير المنافية </w:t>
      </w:r>
      <w:r>
        <w:rPr>
          <w:rStyle w:val="FootnoteAnchor"/>
          <w:rtl w:val="true"/>
        </w:rPr>
        <w:footnoteReference w:id="774"/>
      </w:r>
      <w:r>
        <w:rPr>
          <w:rFonts w:ascii="Amiri" w:hAnsi="Amiri" w:eastAsia="Amiri" w:cs="Amiri"/>
          <w:color w:val="111111"/>
          <w:sz w:val="28"/>
          <w:sz w:val="28"/>
          <w:szCs w:val="28"/>
          <w:rtl w:val="true"/>
          <w:lang w:bidi="ar-SA"/>
        </w:rPr>
        <w:t>لعروض سبب مانع لبعض التصرّفات، مزيل للرخصة اللازمة للسلطنة، سيما بملاحظة نظائره من الأسباب المحرّمة الطارية على الجواز الأصليّ، كأمثال ما ذكر، و بملاحظة استدلالات الفقهاء، فإنّهم يستدلّون بنفي الضرر على خيار الغبن، في مقابل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لزوم العقد، و عدم تسلّط المغبون على إخراج ملك الغابن عن ملكه، فالضرر يوجب تحريم الفعل الجائز، كاقتضاء الواجب وجوب مقدّمته المباحة، و الإسراف حرمة ماله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إضرار الغير ليس بأهون في نظر الشارع من إضرار الشخص نفسه، فكما لا يعارض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حرمة تضييع مال نفسه، كذا لا يعارض دليل حرمة تضييع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لتفصيل صور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المالك في ملكه الموجب لضرر الغير، إمّا لا يوجب تركه ضررا على نفسه، و لو بفوات منفعة ملكه المقصودة منه عادة، فإنّه ضرر أيضا،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يوجبه و كان من قبيل اللغو، فهو على وجهين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أو يغلب على ظنّه ضرر الغير، فالمتّجه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التصرّف، و تعلّق الضمان، كما صرّح به جماعة، و يظهر من العلّامة </w:t>
      </w:r>
      <w:r>
        <w:rPr>
          <w:rStyle w:val="FootnoteAnchor"/>
          <w:rtl w:val="true"/>
        </w:rPr>
        <w:footnoteReference w:id="775"/>
      </w:r>
      <w:r>
        <w:rPr>
          <w:rFonts w:ascii="Amiri" w:hAnsi="Amiri" w:eastAsia="Amiri" w:cs="Amiri"/>
          <w:color w:val="111111"/>
          <w:sz w:val="28"/>
          <w:sz w:val="28"/>
          <w:szCs w:val="28"/>
          <w:rtl w:val="true"/>
          <w:lang w:bidi="ar-SA"/>
        </w:rPr>
        <w:t xml:space="preserve">و الشهيد </w:t>
      </w:r>
      <w:r>
        <w:rPr>
          <w:rStyle w:val="FootnoteAnchor"/>
          <w:rtl w:val="true"/>
        </w:rPr>
        <w:footnoteReference w:id="776"/>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777"/>
      </w:r>
      <w:r>
        <w:rPr>
          <w:rFonts w:ascii="Amiri" w:hAnsi="Amiri" w:eastAsia="Amiri" w:cs="Amiri"/>
          <w:color w:val="111111"/>
          <w:sz w:val="28"/>
          <w:sz w:val="28"/>
          <w:szCs w:val="28"/>
          <w:rtl w:val="true"/>
          <w:lang w:bidi="ar-SA"/>
        </w:rPr>
        <w:t>، حيث قيّدوا جواز التصرّف المضرّ بالجار بما جرت به العادة، أو</w:t>
      </w:r>
    </w:p>
    <w:p>
      <w:pPr>
        <w:pStyle w:val="BookText"/>
        <w:rPr/>
      </w:pPr>
      <w:r>
        <w:rPr>
          <w:rFonts w:ascii="Amiri" w:hAnsi="Amiri" w:eastAsia="Amiri" w:cs="Amiri"/>
          <w:color w:val="111111"/>
          <w:sz w:val="28"/>
          <w:sz w:val="28"/>
          <w:szCs w:val="28"/>
          <w:rtl w:val="true"/>
          <w:lang w:bidi="ar-SA"/>
        </w:rPr>
        <w:t>دعاء الحاجة، بل هو المستفاد من ظهور اتفاقهم على ضمان من أجّج نارا زائدا على قدر الحاجة مع ظن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من تقدّم قاعدة الضرر المقتضية للحرمة 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التسليط، و ورودها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الضمان لا ضرر، فلا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مجرّد الحكم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للضرر الواقع، فلا يخرج الفعل عن صدوره إضرارا، فيكون محرما، كما أشرنا إليه فيما تقدّم، مضافا إلى أنّ مقاصد الناس غير منضبطة، فقد يكون عين ما فاته أعود له من عوض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مقام بيان حكم جهة المالكية، فلا ينصرف إلى تعميم الجواز باعتبار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أنّه على تسليم التعارض، فحديث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مطلقا من عموم الثاني، لاختصاص مورد حديث سمرة بالضرر الناشئ عن التصرّف في ملكه، فيخصّص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يتوهّم من أنّ الضرر المنفيّ فيه ليس لتصرف سمرة في ملكه، بل لتعديه بدخوله من غير إخبار و استيذان، و لا مدخل له في التصرف في الملك، ضعيف، لأنّ دار الأنصاري طريق عذقه، فهو تصرّف في حقه، غير أنه تصرّف إضراريّ، و لو لا ذلك لما تمسّك للمنع بالإضرار، بل بدخول ملك الغير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ترجيح حديث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أظهريته دلالة، فإنّه بالعموم الاستغراقيّ الوضعيّ، و الآخر بالإطلاق الحملي، فهو من باب تعارض النصّ و الظاهر الموجب لحمل الظاهر على ما يوافق النصّ بقرينة النصوصية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يعلّل تقديم نفي الضرر بظهور الفتاوى، و دلالة الاستقراء على غلبة الحرام</w:t>
      </w:r>
    </w:p>
    <w:p>
      <w:pPr>
        <w:pStyle w:val="BookText"/>
        <w:rPr/>
      </w:pPr>
      <w:r>
        <w:rPr>
          <w:rFonts w:ascii="Amiri" w:hAnsi="Amiri" w:eastAsia="Amiri" w:cs="Amiri"/>
          <w:color w:val="111111"/>
          <w:sz w:val="28"/>
          <w:sz w:val="28"/>
          <w:szCs w:val="28"/>
          <w:rtl w:val="true"/>
          <w:lang w:bidi="ar-SA"/>
        </w:rPr>
        <w:t>على الحلال، و بأنّ قاعدة الضرر سارية مسرى العقليات الغير القابلة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الأوّل بمنع الاتفاق، مع تصريح جماعة من أعيان الأصحاب بجواز تصرف المالك حيث شاء على ما مرّ، الظاهر في عموم الحكم، بل قد يشعر من بعضهم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غلبة الحرمة عند التعارض إذا لم يكن واردة على الحلّ، بل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الترجيح،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إكرام الناس، و يجوز إكرام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قاعدة الضرر من قبيل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كفاك شاهدا ورود التخصيص عليها في موارد كثيرة إجماعية، و 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و لا يغلب على ظنّه ضرر الغير بتصرّفه في ملكه، فاتّفق فيه الضرر، فلا إشكال في جواز التصرف، كما مر، للجهل المقتضي لنفي التكليف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الضمان، ففيه تفصيل ما تقدّم، من أنّه إن لم يحتمل الضرر أوّلا، فلا ضمان عليه، لأنّ تضمينه مع جواز الفعل و عدم تقصيره عرفا في إضرار الغير، حكم ضرريّ منفيّ بالقاعدة، كما علمت، مضافا إلى الأصل، فلا يخرج عنها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بفرض استيفائه المنفعة بهذا التصرف، لا يجبر ضرر الضمان، لأنها نفع ملكه الغير المضمون عليه، مع أنه قد يكون عوض الضرر أضعاف المنفعة المستوفاة، كإرسال الماء في ملكه الموجب لانهدام عمارة عالية للجار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ضرر الغير، لعدم كونه مستندا إلى تقصيره، و لا واقعا من الشرع، فليس على الإسلام رفعه، بل حكمه حكم سائر المضارّ الاتفاقية السماوية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احتمل الضرر، فالظاهر ضمانه، مثل ما تقدّم، و كون فعله تصرّفا في ملكه لا يتفاوت به الحال، بعد ما علمت من ورود قاعدة الضرر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p>
    <w:p>
      <w:pPr>
        <w:pStyle w:val="BookText"/>
        <w:rPr/>
      </w:pPr>
      <w:r>
        <w:rPr>
          <w:rFonts w:ascii="Amiri" w:hAnsi="Amiri" w:eastAsia="Amiri" w:cs="Amiri"/>
          <w:color w:val="111111"/>
          <w:sz w:val="28"/>
          <w:sz w:val="28"/>
          <w:szCs w:val="28"/>
          <w:rtl w:val="true"/>
          <w:lang w:bidi="ar-SA"/>
        </w:rPr>
        <w:t>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اقتضاءها الضمان بما أشرنا إليه، من أنّ ترخيص الشارع في إضرار الغير من غير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التقصير العرفيّ باعتبار عدم غفلته و عدم تضرّره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ضرريّ على المتضرّر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تصرّف المالك لدفع ضرر يتوجّه إليه، و لو هو فوات المنفعة المقصودة منه عرفا، فالظاهر جوازه، بل لعلّه لا خلاف فيه، لأنّ حبسه عن ملكه و إلزامه بتحمّل الضرر لئلا يتضرر الغير حكم ضرريّ،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تعارض الضررين، أنّ مقتضى قاعدة الضرر عدم جواز إضرار الغير لدفع الضرر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ثمّة كان باعتبار صدق الحكم الإضراريّ على تجويز إضرار الغير و عدم صدقه على بقاء ضرر الآخر، لعدم حصوله بحكم الشارع، و عدم وجوب دفعه عليه، و هذا يتمّ في غير صورة التصرّف في ملكه، و أمّا فيها، فمنعه عن التصرّف في حقه لدفع الضرر عن نفسه، و حبسه عن ماله ضرر عظيم، و حكم إضراريّ منفيّ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تعارض الضررين فيها، و سقوط قاعدة الضرر من البين، لاستلزامها التدافع، فيرجع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أصل إباحة المنع، يدفعه ما مرّ، من كون الأوّل مزيلا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ملاحظة مراتب ضرر المالك و الغير، فإن أريد به في حكم جواز التصرف و إباحته، فيخالف كلمات الفقهاء، و لعلّ اتفاقهم عليه، إلّا إذا كان ضررا فاحشا يجب تحمل الضرر لدفعه على كلّ أحد، ما لم ينجرّ إلى الحرج، كإهلاك النفس المحترمة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 في الضمان فغير بعيد، و لعلّه مراد القائل به و عليه يحمل إطلاق قول الشهيد في موضع من الدروس، بالضمان في تأجيج النار في ملكه على قدر الحاجة، مع ظنّ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استظهره الفاضل القمّي و رجّح أقوى الضررين مطلقا، إلّا أنّ ترجيح جانب الغير في نفي الضرر مطلقا، إذا كان ضرره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تحميل الأقلّ كلّه على صاحب الملك، مع كونه تصرفا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تقدّم من أنّ مقتضى العدل توزيع الأقلّ عليهما، و نفي الزائد، و قسمة المتساويين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يثبت الإجماع على خلافه، كما لعلّه الظاهر في أمثال تلك المسائل الراجعة إلى الأصول و القواعد، و لا نصّ عليها بخصوصها، فهو المتبع، و إلّا فترجيح أقوى الضررين في الضمان لا يخلو عن قوة، و لا ينبغي ترك الاحتياط، عصمنا اللّه سبحانه عن الزلّة في الصراط</w:t>
      </w:r>
      <w:r>
        <w:rPr>
          <w:rFonts w:eastAsia="Amiri" w:cs="Amiri" w:ascii="Amiri" w:hAnsi="Amiri"/>
          <w:color w:val="111111"/>
          <w:sz w:val="28"/>
          <w:szCs w:val="28"/>
          <w:rtl w:val="true"/>
          <w:lang w:bidi="ar-SA"/>
        </w:rPr>
        <w:t>.</w:t>
      </w:r>
      <w:bookmarkStart w:id="233" w:name="pg2497_12218"/>
    </w:p>
    <w:p>
      <w:pPr>
        <w:pStyle w:val="Heading2"/>
        <w:numPr>
          <w:ilvl w:val="1"/>
          <w:numId w:val="1"/>
        </w:numPr>
        <w:rPr/>
      </w:pPr>
      <w:bookmarkStart w:id="234" w:name="__RefHeading___Toc3861933_3804643083"/>
      <w:bookmarkStart w:id="235" w:name="_Toc89"/>
      <w:bookmarkEnd w:id="233"/>
      <w:bookmarkEnd w:id="234"/>
      <w:r>
        <w:rPr>
          <w:rtl w:val="true"/>
        </w:rPr>
        <w:t>[</w:t>
      </w:r>
      <w:r>
        <w:rPr>
          <w:rtl w:val="true"/>
        </w:rPr>
        <w:t>المشرق الخامس عشر</w:t>
      </w:r>
      <w:r>
        <w:rPr>
          <w:rtl w:val="true"/>
        </w:rPr>
        <w:t>] [</w:t>
      </w:r>
      <w:r>
        <w:rPr>
          <w:rtl w:val="true"/>
        </w:rPr>
        <w:t>في بيان قاعدة نفي الغرر</w:t>
      </w:r>
      <w:r>
        <w:rPr>
          <w:rtl w:val="true"/>
        </w:rPr>
        <w:t>]</w:t>
      </w:r>
      <w:bookmarkEnd w:id="235"/>
    </w:p>
    <w:p>
      <w:pPr>
        <w:pStyle w:val="Heading3"/>
        <w:numPr>
          <w:ilvl w:val="2"/>
          <w:numId w:val="1"/>
        </w:numPr>
        <w:rPr/>
      </w:pPr>
      <w:bookmarkStart w:id="236" w:name="__RefHeading___Toc3861935_3804643083"/>
      <w:bookmarkStart w:id="237" w:name="_Toc90"/>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المسلّمة بين الفقهاء، قاعدة نفي الغرر، يستدلّون بها على فساد البيع الغرريّ، بل ربما يستدلّ بها على فساد سائر المعاملات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لتحقيق مدرك القاعدة و معنى الغرر و سائر ما يتعلق بها نذكر أبحاثا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861937_3804643083"/>
      <w:bookmarkStart w:id="239" w:name="_Toc91"/>
      <w:bookmarkEnd w:id="238"/>
      <w:r>
        <w:rPr>
          <w:rtl w:val="true"/>
        </w:rPr>
        <w:t>البحث الأوّل</w:t>
      </w:r>
      <w:r>
        <w:rPr>
          <w:rtl w:val="true"/>
        </w:rPr>
        <w:t xml:space="preserve">: </w:t>
      </w:r>
      <w:r>
        <w:rPr>
          <w:rtl w:val="true"/>
        </w:rPr>
        <w:t>في دليل القاعدة و معنى الغرر المنهي عنه</w:t>
      </w:r>
      <w:r>
        <w:rPr>
          <w:rtl w:val="true"/>
        </w:rPr>
        <w:t>.</w:t>
      </w:r>
      <w:bookmarkEnd w:id="239"/>
    </w:p>
    <w:p>
      <w:pPr>
        <w:pStyle w:val="Heading4"/>
        <w:numPr>
          <w:ilvl w:val="3"/>
          <w:numId w:val="1"/>
        </w:numPr>
        <w:rPr/>
      </w:pPr>
      <w:bookmarkStart w:id="240" w:name="__RefHeading___Toc3861939_3804643083"/>
      <w:bookmarkStart w:id="241" w:name="_Toc92"/>
      <w:bookmarkEnd w:id="240"/>
      <w:r>
        <w:rPr>
          <w:rtl w:val="true"/>
        </w:rPr>
        <w:t>اشارة</w:t>
      </w:r>
      <w:bookmarkEnd w:id="2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فيها الخبر المشتهر بين الخاصّة و العامّة، المرويّ عن النبيّ صلّى اللّه عليه و آله و سلّم، أنّه نهى عن بيع الغرر </w:t>
      </w:r>
      <w:r>
        <w:rPr>
          <w:rStyle w:val="FootnoteAnchor"/>
          <w:rtl w:val="true"/>
        </w:rPr>
        <w:footnoteReference w:id="778"/>
      </w:r>
      <w:r>
        <w:rPr>
          <w:rFonts w:ascii="Amiri" w:hAnsi="Amiri" w:eastAsia="Amiri" w:cs="Amiri"/>
          <w:color w:val="111111"/>
          <w:sz w:val="28"/>
          <w:sz w:val="28"/>
          <w:szCs w:val="28"/>
          <w:rtl w:val="true"/>
          <w:lang w:bidi="ar-SA"/>
        </w:rPr>
        <w:t xml:space="preserve">، بل قال بعض الأجلّة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المتفق عليه بين</w:t>
      </w:r>
    </w:p>
    <w:p>
      <w:pPr>
        <w:pStyle w:val="BookText"/>
        <w:rPr/>
      </w:pPr>
      <w:r>
        <w:rPr>
          <w:rFonts w:ascii="Amiri" w:hAnsi="Amiri" w:eastAsia="Amiri" w:cs="Amiri"/>
          <w:color w:val="111111"/>
          <w:sz w:val="28"/>
          <w:sz w:val="28"/>
          <w:szCs w:val="28"/>
          <w:rtl w:val="true"/>
          <w:lang w:bidi="ar-SA"/>
        </w:rPr>
        <w:t xml:space="preserve">العلماء كافّة، و أنت تراهم في مقامات غير عديدة يتمسّكون و يعملون به من غير نكير، بحيث إنّه مقبول عند الكلّ </w:t>
      </w:r>
      <w:r>
        <w:rPr>
          <w:rStyle w:val="FootnoteAnchor"/>
          <w:rtl w:val="true"/>
        </w:rPr>
        <w:footnoteReference w:id="780"/>
      </w:r>
      <w:r>
        <w:rPr>
          <w:rFonts w:ascii="Amiri" w:hAnsi="Amiri" w:eastAsia="Amiri" w:cs="Amiri"/>
          <w:color w:val="111111"/>
          <w:sz w:val="28"/>
          <w:sz w:val="28"/>
          <w:szCs w:val="28"/>
          <w:rtl w:val="true"/>
          <w:lang w:bidi="ar-SA"/>
        </w:rPr>
        <w:t xml:space="preserve">فلا يقصر عن الخبر الصحيح، بل في العوائد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أقوى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 بنفس المعاملة الظاهر في المانعية، في قبال الأمر بما يتعلّق بها الظاهر 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الفساد، على ما قررناه في محلّه، فهو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 على نفس القاعدة الظاهر من استدلال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الغرر على بعض شروط المعاملة كالقدرة على التسليم في البيع و نحوها، فإنك تراها قاعدة مسلّمة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بخصوص الإجماع عليه بعضهم </w:t>
      </w:r>
      <w:r>
        <w:rPr>
          <w:rStyle w:val="FootnoteAnchor"/>
          <w:rtl w:val="true"/>
        </w:rPr>
        <w:footnoteReference w:id="782"/>
      </w:r>
      <w:r>
        <w:rPr>
          <w:rFonts w:ascii="Amiri" w:hAnsi="Amiri" w:eastAsia="Amiri" w:cs="Amiri"/>
          <w:color w:val="111111"/>
          <w:sz w:val="28"/>
          <w:sz w:val="28"/>
          <w:szCs w:val="28"/>
          <w:rtl w:val="true"/>
          <w:lang w:bidi="ar-SA"/>
        </w:rPr>
        <w:t>، بل عن كلام الشهيد في شرح الإرشاد، الإشعار بكونه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كلمات كثير من أهل اللغة و الفقهاء، تفسيره بعبارات متقاربة و معان متوافقة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 بالشي‌ء،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 صلّى اللّه عليه و آله و سلّم عن بيع الغرر، و هو مثل بيع السمك في</w:t>
      </w:r>
    </w:p>
    <w:p>
      <w:pPr>
        <w:pStyle w:val="BookText"/>
        <w:rPr/>
      </w:pPr>
      <w:r>
        <w:rPr>
          <w:rFonts w:ascii="Amiri" w:hAnsi="Amiri" w:eastAsia="Amiri" w:cs="Amiri"/>
          <w:color w:val="111111"/>
          <w:sz w:val="28"/>
          <w:sz w:val="28"/>
          <w:szCs w:val="28"/>
          <w:rtl w:val="true"/>
          <w:lang w:bidi="ar-SA"/>
        </w:rPr>
        <w:t>الماء، و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غرّه غرّا و غرورا و غرّة بالكسر فهو مغرور و غرير، خدعه و أطمعه في الباطل،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بنفسه تغريرا و تغرّة،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للهلكة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النهاية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بيع الغرر، و هو ما كان له ظاهر يغرّ المشتري و باطن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الغرر ما كان على غير عهدة، و لا ثقة، و يدخل فيه البيوع التي لا يحيط بكنهها المتبايعان من كلّ مجهول، و قد تكرّر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المصباح و المغرب و الأساس و المجمل و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الغرر بالخطر </w:t>
      </w:r>
      <w:r>
        <w:rPr>
          <w:rStyle w:val="FootnoteAnchor"/>
          <w:rtl w:val="true"/>
        </w:rPr>
        <w:footnoteReference w:id="785"/>
      </w:r>
      <w:r>
        <w:rPr>
          <w:rFonts w:ascii="Amiri" w:hAnsi="Amiri" w:eastAsia="Amiri" w:cs="Amiri"/>
          <w:color w:val="111111"/>
          <w:sz w:val="28"/>
          <w:sz w:val="28"/>
          <w:szCs w:val="28"/>
          <w:rtl w:val="true"/>
          <w:lang w:bidi="ar-SA"/>
        </w:rPr>
        <w:t>، و يمثّله الأكثر ببيع السمك في الماء، و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فسّروا بيع الغرر بهذين، و مراده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بالمثال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الاستدلال على اشتراط القدرة على التسليم في البيع، و عدم صحة بيع الطير في الهواء، للنهي عن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العلم بالقدرة ثمنا كان أو مثمنا، للغرر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و سلّم عن بيع الغرر، كبيع عسيب الفحل و بيع ما ليس</w:t>
      </w:r>
    </w:p>
    <w:p>
      <w:pPr>
        <w:pStyle w:val="BookText"/>
        <w:rPr/>
      </w:pPr>
      <w:r>
        <w:rPr>
          <w:rFonts w:ascii="Amiri" w:hAnsi="Amiri" w:eastAsia="Amiri" w:cs="Amiri"/>
          <w:color w:val="111111"/>
          <w:sz w:val="28"/>
          <w:sz w:val="28"/>
          <w:szCs w:val="28"/>
          <w:rtl w:val="true"/>
          <w:lang w:bidi="ar-SA"/>
        </w:rPr>
        <w:t>عنده و بيع الحمل في بطن أمّه، لأنه غرر، لعدم العلم بسلامته 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الغرر جهالة الثمن، و تقدّم عليه الصدوق، في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صلّى اللّه عليه و آله و سلّم عن بيع حبل الحبلة و معناه ولد ذلك الجنين الذي في بطن الناقة، و ذلك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في الانتصار، مصرّحا فيه بصحة بيع العبد الآبق مع غيره، لخروجه عن الغرر، و جعله مما انفردت به الإمامية، خلافا لباقي الفقهاء، حيث ذهبوا إلى أنه لا يجوز بيع الآبق على كلّ حال، تعويلا على أنّه بيع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ادريس في السرائر </w:t>
      </w:r>
      <w:r>
        <w:rPr>
          <w:rStyle w:val="FootnoteAnchor"/>
          <w:rtl w:val="true"/>
        </w:rPr>
        <w:footnoteReference w:id="787"/>
      </w:r>
      <w:r>
        <w:rPr>
          <w:rFonts w:ascii="Amiri" w:hAnsi="Amiri" w:eastAsia="Amiri" w:cs="Amiri"/>
          <w:color w:val="111111"/>
          <w:sz w:val="28"/>
          <w:sz w:val="28"/>
          <w:szCs w:val="28"/>
          <w:rtl w:val="true"/>
          <w:lang w:bidi="ar-SA"/>
        </w:rPr>
        <w:t>، قال بعد ذكر حلب بعض اللبن و بيعه مع ما في الضروع أو يجعل عوض اللبن شيئا من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عندي المنع من ذلك كلّه، لأنّه غرر و بيع مجهول، و الرسول صلّى اللّه عليه و آله و سلّم نهى عن بيع الغرر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في قواعده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المبيع معلوم العين و القدر و الصفة،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من عبدين، بطل، لأنّه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بما يعترف بذلك في مواضع منه، و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الغرر احتمال مجتنب عنه في العرف، بحيث لو ترك وبّخ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الثاني في شرح القواعد </w:t>
      </w:r>
      <w:r>
        <w:rPr>
          <w:rStyle w:val="FootnoteAnchor"/>
          <w:rtl w:val="true"/>
        </w:rPr>
        <w:footnoteReference w:id="790"/>
      </w:r>
      <w:r>
        <w:rPr>
          <w:rFonts w:ascii="Amiri" w:hAnsi="Amiri" w:eastAsia="Amiri" w:cs="Amiri"/>
          <w:color w:val="111111"/>
          <w:sz w:val="28"/>
          <w:sz w:val="28"/>
          <w:szCs w:val="28"/>
          <w:rtl w:val="true"/>
          <w:lang w:bidi="ar-SA"/>
        </w:rPr>
        <w:t>في بيان صحّة بيع الصاع من الصبرة المجهول 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البيع أمر كلّي و الأجزاء متساوية فلا غرر، بخلاف ما لو باع النصف، فإنّه مع الجهالة لا يعلم قدره، فيلزم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التنقيح، بعد نقل عدم صحة بيع ما يراد طعمه و ريحه من غير اختبار عن أبي الصلاح و القاضي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مجهول، فهو بيع غرر، و قد نهى النبيّ صلّى اللّه عليه و آله و سلّم عن بيع الغرر، إلى غير ذلك من كلمات المتقدّمين و المتأخرين في موارد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كلمات هؤلاء الأعلام و اللغويين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متّفقون على أخذ الجهالة و الخطر في معنى الغرر، بل لولاه وجب الوقوف </w:t>
      </w:r>
      <w:r>
        <w:rPr>
          <w:rStyle w:val="FootnoteAnchor"/>
          <w:rtl w:val="true"/>
        </w:rPr>
        <w:footnoteReference w:id="791"/>
      </w:r>
      <w:r>
        <w:rPr>
          <w:rFonts w:ascii="Amiri" w:hAnsi="Amiri" w:eastAsia="Amiri" w:cs="Amiri"/>
          <w:color w:val="111111"/>
          <w:sz w:val="28"/>
          <w:sz w:val="28"/>
          <w:szCs w:val="28"/>
          <w:rtl w:val="true"/>
          <w:lang w:bidi="ar-SA"/>
        </w:rPr>
        <w:t>عليهما أيضا، أخذا بالمتيقّن من النهي، مضافا إلى تبادره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غرور و لا خداع مع الأمن من الضرر أو العلم به فيما علم البناء على التغابن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صحة بيع الضال و الآبق و الطير في الهواء عند العلم بعدم حصولها، مع أنّ الظاهر اتفاق كلماتهم الشاملة بإطلاقها لصورة العلم في اشتراط القدرة على تسليم المبيع، استنادا إلى نفي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فيما ذكر مسلّم، و لكنّه مع العلم ليس لكونه غررا، بل لأنّه من باب أكل المال بالباطل، فإنّ مع العلم بعدم الحصول يخرج عن كونه مالا و إن كان ملكا، و يكون في حكم عدمه و خلوّ الثمن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له منفعة كعتق الآبق للكفارة، فلا نسلّم بطلانه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تمسّكهم بنفي الغرر فيما ذكر، فهو مبنيّ على الغالب من عدم انسداد باب الاحتمال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غرر مع العلم بالضرر، و لا مع الجهل بالمبيع و عدم المخاطرة، كبيع أحد عبدين متساويين في القيمة و الصفة، و إن كان باطلا باعتبار الجهالة الواقعية، و الإطلاق في بطلان المجهول بنفي الغرر في بعض الكلمات مبنيّ على الغالب أو الغفلة و التسامح</w:t>
      </w:r>
      <w:r>
        <w:rPr>
          <w:rFonts w:eastAsia="Amiri" w:cs="Amiri" w:ascii="Amiri" w:hAnsi="Amiri"/>
          <w:color w:val="111111"/>
          <w:sz w:val="28"/>
          <w:szCs w:val="28"/>
          <w:rtl w:val="true"/>
          <w:lang w:bidi="ar-SA"/>
        </w:rPr>
        <w:t>.</w:t>
      </w:r>
      <w:bookmarkStart w:id="242" w:name="pg2497_12223"/>
    </w:p>
    <w:p>
      <w:pPr>
        <w:pStyle w:val="BookText"/>
        <w:rPr/>
      </w:pPr>
      <w:bookmarkEnd w:id="242"/>
      <w:r>
        <w:rPr>
          <w:rFonts w:ascii="Amiri" w:hAnsi="Amiri" w:eastAsia="Amiri" w:cs="Amiri"/>
          <w:color w:val="111111"/>
          <w:sz w:val="28"/>
          <w:sz w:val="28"/>
          <w:szCs w:val="28"/>
          <w:rtl w:val="true"/>
          <w:lang w:bidi="ar-SA"/>
        </w:rPr>
        <w:t>و من هذا يظهر صحّة بيع صاع حنطة معيّنة مردّدة بين كونها من إحدى القريتين مع عدم اختلافهما في الوصف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المبيع المعيّن مردّدا بين جنسين مختلفين و إن تساويا في القيمة، كحنطة و حمص أو دهن و عسل، فيشكل الحكم بالصحة، لحصول الغرر، لعدم انحصار الخطر في اختلاف القيمة، بل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النوع و الصنف و صفاتهما المقصودة باختلاف الأغراض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اشتراط الجهل و الخطر في حصول الغرر،</w:t>
      </w:r>
    </w:p>
    <w:p>
      <w:pPr>
        <w:pStyle w:val="Heading4"/>
        <w:numPr>
          <w:ilvl w:val="3"/>
          <w:numId w:val="1"/>
        </w:numPr>
        <w:rPr/>
      </w:pPr>
      <w:bookmarkStart w:id="243" w:name="__RefHeading___Toc3861941_3804643083"/>
      <w:bookmarkStart w:id="244" w:name="_Toc93"/>
      <w:bookmarkEnd w:id="243"/>
      <w:r>
        <w:rPr>
          <w:rtl w:val="true"/>
        </w:rPr>
        <w:t>و إنّما يجب التنبيه على تفصيله في أمور</w:t>
      </w:r>
      <w:r>
        <w:rPr>
          <w:rtl w:val="true"/>
        </w:rPr>
        <w:t>:</w:t>
      </w:r>
      <w:bookmarkEnd w:id="244"/>
    </w:p>
    <w:p>
      <w:pPr>
        <w:pStyle w:val="Heading5"/>
        <w:numPr>
          <w:ilvl w:val="4"/>
          <w:numId w:val="1"/>
        </w:numPr>
        <w:rPr/>
      </w:pPr>
      <w:bookmarkStart w:id="245" w:name="__RefHeading___Toc3861943_3804643083"/>
      <w:bookmarkStart w:id="246" w:name="_Toc94"/>
      <w:bookmarkEnd w:id="245"/>
      <w:r>
        <w:rPr>
          <w:rtl w:val="true"/>
        </w:rPr>
        <w:t>الأوّل</w:t>
      </w:r>
      <w:r>
        <w:rPr>
          <w:rtl w:val="true"/>
        </w:rPr>
        <w:t xml:space="preserve">: </w:t>
      </w:r>
      <w:r>
        <w:rPr>
          <w:rtl w:val="true"/>
        </w:rPr>
        <w:t>في متعلّق الجهل</w:t>
      </w:r>
      <w:bookmarkEnd w:id="246"/>
    </w:p>
    <w:p>
      <w:pPr>
        <w:pStyle w:val="BookText"/>
        <w:rPr/>
      </w:pPr>
      <w:r>
        <w:rPr>
          <w:rFonts w:ascii="Amiri" w:hAnsi="Amiri" w:eastAsia="Amiri" w:cs="Amiri"/>
          <w:color w:val="111111"/>
          <w:sz w:val="28"/>
          <w:sz w:val="28"/>
          <w:szCs w:val="28"/>
          <w:rtl w:val="true"/>
          <w:lang w:bidi="ar-SA"/>
        </w:rPr>
        <w:t>و الظاهر أنّه يعمّ الجهل بوجوده، كبيع الغائب المتردّد في وجوده و بيع الحمل، أو بحصوله في يد من انتقل إليه، كالآبق و الضال و المجحود و المغصوب، أو بصفاته كمّا و كيفا، لصدق الغرر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يحكى عن بعضهم اختصاصه بالجهل بصفات المبيع و مقداره، لا مطلق الخطر الشامل له في تسليمه، لحصوله في بيع كلّ غائب، بل هو أوضح في بيع الثمار و الزرع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تقييد الخطر في كلام أهل اللغة بما ذكر، مع أنّ الخطر أظهر بالنسبة إلى عدم الحصول مما لا وجه له، سيما مع اشتهار التمثيل ببيع الطير في الهواء و السمك في الماء، و خصوصا مع شيوع استدلال الخاصّة و العامّة باشتراط القدرة على التسليم بنفي الغرر كما عرفت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في قواعده </w:t>
      </w:r>
      <w:r>
        <w:rPr>
          <w:rStyle w:val="FootnoteAnchor"/>
          <w:rtl w:val="true"/>
        </w:rPr>
        <w:footnoteReference w:id="792"/>
      </w:r>
      <w:r>
        <w:rPr>
          <w:rFonts w:ascii="Amiri" w:hAnsi="Amiri" w:eastAsia="Amiri" w:cs="Amiri"/>
          <w:color w:val="111111"/>
          <w:sz w:val="28"/>
          <w:sz w:val="28"/>
          <w:szCs w:val="28"/>
          <w:rtl w:val="true"/>
          <w:lang w:bidi="ar-SA"/>
        </w:rPr>
        <w:t>عكس ذلك، فخصّه بمجهول الحصول دون مجهول</w:t>
      </w:r>
      <w:bookmarkStart w:id="247" w:name="pg2497_12224"/>
    </w:p>
    <w:p>
      <w:pPr>
        <w:pStyle w:val="BookText"/>
        <w:rPr/>
      </w:pPr>
      <w:bookmarkEnd w:id="247"/>
      <w:r>
        <w:rPr>
          <w:rFonts w:ascii="Amiri" w:hAnsi="Amiri" w:eastAsia="Amiri" w:cs="Amiri"/>
          <w:color w:val="111111"/>
          <w:sz w:val="28"/>
          <w:sz w:val="28"/>
          <w:szCs w:val="28"/>
          <w:rtl w:val="true"/>
          <w:lang w:bidi="ar-SA"/>
        </w:rPr>
        <w:t>الصفة المعلوم الحصول،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الغرر كحجر لا يدري أنّه ذهب أو فضّة أم نحاس أم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تقييد بلا دليل عنه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شرحه على الإرشاد ما يظهر منه التعميم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861945_3804643083"/>
      <w:bookmarkStart w:id="249" w:name="_Toc95"/>
      <w:bookmarkEnd w:id="248"/>
      <w:r>
        <w:rPr>
          <w:rtl w:val="true"/>
        </w:rPr>
        <w:t>الثاني</w:t>
      </w:r>
      <w:r>
        <w:rPr>
          <w:rtl w:val="true"/>
        </w:rPr>
        <w:t xml:space="preserve">: </w:t>
      </w:r>
      <w:r>
        <w:rPr>
          <w:rtl w:val="true"/>
        </w:rPr>
        <w:t>في كيفية الخطر</w:t>
      </w:r>
      <w:bookmarkEnd w:id="249"/>
    </w:p>
    <w:p>
      <w:pPr>
        <w:pStyle w:val="BookText"/>
        <w:rPr/>
      </w:pPr>
      <w:r>
        <w:rPr>
          <w:rFonts w:ascii="Amiri" w:hAnsi="Amiri" w:eastAsia="Amiri" w:cs="Amiri"/>
          <w:color w:val="111111"/>
          <w:sz w:val="28"/>
          <w:sz w:val="28"/>
          <w:szCs w:val="28"/>
          <w:rtl w:val="true"/>
          <w:lang w:bidi="ar-SA"/>
        </w:rPr>
        <w:t>فيظهر من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باعتبار نقصان ما انتقل إليه عما يقابله من حيث ذاتهما بحسب القيمة، فلو باع المتردّد بين الزائد و الناقص قدرا أو صفة أو قيمة، كالمجهول المردّد بين كونه ذهبا أو نحاسا بقيمة النحاس، أو اشترى العبد الآبق بثمن قليل للعتق في الكفّارة، لم يكن غررا، لخلوّه عن المخاطرة للجاهل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إطلاق كلماتهم في بطلان بيع مجهول الصفة أو القدر أو العبد الآبق تمسكا بلزوم الغرر يعمّ بطلان جميع ذلك، فضلا من مجهول الجنس، كبيع ما في الصندوق المتردّد بين أجناس مختلفة متفاوته القيمة بقيمة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 فساده و كونه غرريا، فالتحقيق في توجيه المقام و سرّه أنّ مناط الخطر ليس نقصان ما بإزاء المنتقل إليه من العوض قدرا و قيمة، بل العبرة بهما من حيث تعلّق العقد بهما و قصد المتعاقدين من عقد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إذا اشترى ما يتردّد بين الجيّد و الرديّ أو القليل و الكثير و لو بأقلّ من الثمن، فهو من حيث كونه مبيعا و مقصودا من العقد محلّ الخطر لجهالة قدره و صفته، و إن كان الثمن الذي يبذله يكون أقلّ المحتملات و سالما عن الضرر من حيث هو، مع قطع النظر عن تعلق القصد به من العقد، فلا يخرج به عن الغرر، كما أن الجهل بالقيمة مع العلم بالقدر و الصفة لا يوجب الغرر، و لا يبطل به البيع، و إن كان متضمّنا للغرر فيجبر بالخيار، لدليل آخر يقتضيه لعدم كونه من حيث القيمة متعلقا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و لا تغفل</w:t>
      </w:r>
      <w:r>
        <w:rPr>
          <w:rFonts w:eastAsia="Amiri" w:cs="Amiri" w:ascii="Amiri" w:hAnsi="Amiri"/>
          <w:color w:val="111111"/>
          <w:sz w:val="28"/>
          <w:szCs w:val="28"/>
          <w:rtl w:val="true"/>
          <w:lang w:bidi="ar-SA"/>
        </w:rPr>
        <w:t>.</w:t>
      </w:r>
      <w:bookmarkStart w:id="250" w:name="pg2497_12225"/>
    </w:p>
    <w:p>
      <w:pPr>
        <w:pStyle w:val="Heading5"/>
        <w:numPr>
          <w:ilvl w:val="4"/>
          <w:numId w:val="1"/>
        </w:numPr>
        <w:rPr/>
      </w:pPr>
      <w:bookmarkStart w:id="251" w:name="__RefHeading___Toc3861947_3804643083"/>
      <w:bookmarkStart w:id="252" w:name="_Toc96"/>
      <w:bookmarkEnd w:id="250"/>
      <w:bookmarkEnd w:id="251"/>
      <w:r>
        <w:rPr>
          <w:rtl w:val="true"/>
        </w:rPr>
        <w:t>الثالث</w:t>
      </w:r>
      <w:r>
        <w:rPr>
          <w:rtl w:val="true"/>
        </w:rPr>
        <w:t xml:space="preserve">: </w:t>
      </w:r>
      <w:r>
        <w:rPr>
          <w:rtl w:val="true"/>
        </w:rPr>
        <w:t>في مقدار الخطر من جهة العرف</w:t>
      </w:r>
      <w:bookmarkEnd w:id="252"/>
    </w:p>
    <w:p>
      <w:pPr>
        <w:pStyle w:val="BookText"/>
        <w:rPr/>
      </w:pPr>
      <w:r>
        <w:rPr>
          <w:rFonts w:ascii="Amiri" w:hAnsi="Amiri" w:eastAsia="Amiri" w:cs="Amiri"/>
          <w:color w:val="111111"/>
          <w:sz w:val="28"/>
          <w:sz w:val="28"/>
          <w:szCs w:val="28"/>
          <w:rtl w:val="true"/>
          <w:lang w:bidi="ar-SA"/>
        </w:rPr>
        <w:t>و اختلف في المعيار المعتبر في صدقه عرفا، ففي المحكيّ عن الشهيد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احتمال مجتنب عنه في العرف، بحيث لو تركه وبّخ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أنّه لو اشترى الآبق و الضال المرجو الحصول بثمن قليل لم يكن غررا، لأنّ العقلاء يقدمون على الضرر القليل رجاء للنفع الكثير، و كذا لو اشترى المجهول المردّد بين النحاس و الذهب بقيمة النحاس و مجهول المقدار بثمن المتيقن منه، فإنّ ذلك كلّه مرغوب فيه عند العقلاء، مع إطباق كلماتهم و إطلاق عباراتهم في كونه غررا منهيّا عنه، إلّا أن يحمل كلامه على الاجتناب الراجح </w:t>
      </w:r>
      <w:r>
        <w:rPr>
          <w:rStyle w:val="FootnoteAnchor"/>
          <w:rtl w:val="true"/>
        </w:rPr>
        <w:footnoteReference w:id="793"/>
      </w:r>
      <w:r>
        <w:rPr>
          <w:rFonts w:ascii="Amiri" w:hAnsi="Amiri" w:eastAsia="Amiri" w:cs="Amiri"/>
          <w:color w:val="111111"/>
          <w:sz w:val="28"/>
          <w:sz w:val="28"/>
          <w:szCs w:val="28"/>
          <w:rtl w:val="true"/>
          <w:lang w:bidi="ar-SA"/>
        </w:rPr>
        <w:t>باعتبار الجهل به في نفسه لا الفعلي المرغوب فيه أحيانا لجهة خاصة به، و لا عبرة بمسامحة العرف في بعض المقامات و إقدام العقلاء عليه أحيانا، و لذا لا يغتفر شرعا في مدة الخيار الجهل و لو بساعة و ساعتين المعلّل عندهم بنفي الغرر، مع أن العرف لا يداقّون في مثل تلك الجهالات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بعضهم أنّ الجهالة التي لا يرجع الأمر معها غالبا إلى التشاحّ، بحيث يكون النادر كالمعدوم لا يعدّ غررا، كتفاوت المكاييل و الموازين،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إجمال و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معيار الغرر في العرف هو الخطر الذي يجتنب عنه مطّردا أو غالبا كان خلافه نادرا في حكم المعدوم، فلا عبرة بمجرّد المسامحة في بعض المقامات لجهة عارضة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تسامح العرف بالجهل على وجوه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 أمرا يسيرا لا يتعلّق به قصد يقيني به، و لا يترتّب عليها فائدة معتدّة كتفاوت الكيل و الوزن</w:t>
      </w:r>
      <w:r>
        <w:rPr>
          <w:rFonts w:eastAsia="Amiri" w:cs="Amiri" w:ascii="Amiri" w:hAnsi="Amiri"/>
          <w:color w:val="111111"/>
          <w:sz w:val="28"/>
          <w:szCs w:val="28"/>
          <w:rtl w:val="true"/>
          <w:lang w:bidi="ar-SA"/>
        </w:rPr>
        <w:t>.</w:t>
      </w:r>
      <w:bookmarkStart w:id="253" w:name="pg2497_12226"/>
    </w:p>
    <w:p>
      <w:pPr>
        <w:pStyle w:val="BookText"/>
        <w:rPr/>
      </w:pPr>
      <w:bookmarkEnd w:id="253"/>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يتعذّر أو يتعسّر معرفته إلّا نادرا، فلا يعتبرها العرف في معاملاتهم و مكاسبهم، كتفاوت أساس الجدران و بواطن العمارات في كونها من الطين أو الجصّ و الساروج، و أعماق منابت الأشجار و البساتين في كونها حجرا أو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التسامح دائرا مدار عدم فائدة مهمّة، و هذا يختلف باختلاف الأغراض و المصالح، كتفاوت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مدّة الخيار، فقد يداقّون فيه بملاحظة لزوم البيع و عدمه به و المتسامح به المغتفر في الشرع، فهو الأوّلان دون الأخير،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اتّفاقهم على اشتراط تعيين مدّة الخيار، بحيث لا يحتمل زيادة و لا نقيصة و لو بزمان قليل تمسّكا بنفي الغرر</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861949_3804643083"/>
      <w:bookmarkStart w:id="255" w:name="_Toc97"/>
      <w:bookmarkEnd w:id="254"/>
      <w:r>
        <w:rPr>
          <w:rtl w:val="true"/>
        </w:rPr>
        <w:t>البحث الثاني</w:t>
      </w:r>
      <w:r>
        <w:rPr>
          <w:rtl w:val="true"/>
        </w:rPr>
        <w:t xml:space="preserve">: </w:t>
      </w:r>
      <w:r>
        <w:rPr>
          <w:rtl w:val="true"/>
        </w:rPr>
        <w:t>كما أنّ الغرر يحصل في البيع الجزئيّ الشخصيّ،</w:t>
      </w:r>
      <w:bookmarkEnd w:id="255"/>
    </w:p>
    <w:p>
      <w:pPr>
        <w:pStyle w:val="BookText"/>
        <w:rPr/>
      </w:pPr>
      <w:r>
        <w:rPr>
          <w:rFonts w:ascii="Amiri" w:hAnsi="Amiri" w:eastAsia="Amiri" w:cs="Amiri"/>
          <w:color w:val="111111"/>
          <w:sz w:val="28"/>
          <w:sz w:val="28"/>
          <w:szCs w:val="28"/>
          <w:rtl w:val="true"/>
          <w:lang w:bidi="ar-SA"/>
        </w:rPr>
        <w:t>يحصل في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مبهما في أنواعه و أقسامه و أفراده المختلفة قيمة أو صفة يختلف بها الأغراض و الفوائد، فيفسد به البيع، كما صرّح به غير واحد، لعموم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 إذا كان متعيّنا بمفهومه فمشخّصاته النوعية أو الفردية غير داخلة في المبيع، فلا يحصل بعدم تعيّنها الغرر في البيع، و لزوم التخصّص بواحد فيها عند الإقباض من باب المقدّمة، و هي على اختيار البائع، و إلّا لم يصحّ بيع الكلّي مطلقا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الكلّي و إن كان متعيّنا في نفسه، إلّا أنّ تعلّق القصد ببيعه و شرائه لا ينفكّ عن تعيّنه بمشخصاته الخارجية المقوّمة لوجوده الخارجيّ، ضرورة أنّ الموجود الخارجيّ هو مقصود المتبايعين بالمعاوضة حقيقة، فلا يتسامح بتفاوته الفاحش لسائر أفراد الكلّي، و إن كان بحسب الدلالة اللفظية مدلولا تبعيا، فيصدق عليه الغرر و الخطر عرفا إذا لم يتعيّن الشخص، كما في بيع فرس كلّي صادق على</w:t>
      </w:r>
      <w:bookmarkStart w:id="256" w:name="pg2497_12227"/>
    </w:p>
    <w:p>
      <w:pPr>
        <w:pStyle w:val="BookText"/>
        <w:rPr/>
      </w:pPr>
      <w:bookmarkEnd w:id="256"/>
      <w:r>
        <w:rPr>
          <w:rFonts w:ascii="Amiri" w:hAnsi="Amiri" w:eastAsia="Amiri" w:cs="Amiri"/>
          <w:color w:val="111111"/>
          <w:sz w:val="28"/>
          <w:sz w:val="28"/>
          <w:szCs w:val="28"/>
          <w:rtl w:val="true"/>
          <w:lang w:bidi="ar-SA"/>
        </w:rPr>
        <w:t>ما يسوى العشرة و ما فوقها إلى مائة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الكلّي خصوصياته الفردية متشابهة لا يختلف بها الأغراض و الأوصاف المختلفة بها القيمة و الرغبات يصحّ بيعه بإطلاقه، لانتفاء الخطر، و يكون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البائع من باب المقدّمة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861951_3804643083"/>
      <w:bookmarkStart w:id="258" w:name="_Toc98"/>
      <w:bookmarkEnd w:id="257"/>
      <w:r>
        <w:rPr>
          <w:rtl w:val="true"/>
        </w:rPr>
        <w:t>البحث الثالث</w:t>
      </w:r>
      <w:r>
        <w:rPr>
          <w:rtl w:val="true"/>
        </w:rPr>
        <w:t xml:space="preserve">: </w:t>
      </w:r>
      <w:r>
        <w:rPr>
          <w:rtl w:val="true"/>
        </w:rPr>
        <w:t>قد عرفت أنّ صدق الغرر مشروط بثبوت الخطر و الجهل به،</w:t>
      </w:r>
      <w:bookmarkEnd w:id="258"/>
    </w:p>
    <w:p>
      <w:pPr>
        <w:pStyle w:val="BookText"/>
        <w:rPr/>
      </w:pPr>
      <w:r>
        <w:rPr>
          <w:rFonts w:ascii="Amiri" w:hAnsi="Amiri" w:eastAsia="Amiri" w:cs="Amiri"/>
          <w:color w:val="111111"/>
          <w:sz w:val="28"/>
          <w:sz w:val="28"/>
          <w:szCs w:val="28"/>
          <w:rtl w:val="true"/>
          <w:lang w:bidi="ar-SA"/>
        </w:rPr>
        <w:t>و مجرد الجهل من غير خطر غير كاف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الجهل واقعيا، بمعنى عدم تعيّن المبيع في الواقع، كان العقد باطلا و لو مع عدم الخطر، لا لأجل الغرر، بل لعدم إحراز الموضوع و المبيع و عدم تعلّق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بمبيع معيّن، فلا يؤثر العقد في مقتضاه كالملك في البيع، و تفويض تعيينه بعد العقد إلى اختيار العاقد ينافي سببية العقد المستقلّة بأدلّته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أحدهما الصادق على كلّ واحد معيّن منهما أمر كلّي متعيّن في نفسه، فصحّ بيعه كسائر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غير داخله في بيع الكلّي، بخلاف محلّ الفرض، فإنّها داخلة فيه مردّدة بين فردين مبهمين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بذلك المحقق الثاني في شرح قوله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هذه الصيعان مما يتماثل أجزائه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الصيعان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أحدهما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في الثانية واحد من الصيعان المتميّزة المتشخصة غير معيّن، فيكون تعيينه مشتملا على الغرر، و في الأولى المبيع أمر كلّي غير متشخص و لا متميّز بنفسه يتشخّص بكلّ واحد من صيعان الصبرة و يؤخذ 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لو قسم الأرباع و باع ربعا منها من غير تعيين، و لو باع ربعا قبل القسمة</w:t>
      </w:r>
      <w:bookmarkStart w:id="259" w:name="pg2497_12228"/>
    </w:p>
    <w:p>
      <w:pPr>
        <w:pStyle w:val="BookText"/>
        <w:rPr/>
      </w:pPr>
      <w:bookmarkEnd w:id="259"/>
      <w:r>
        <w:rPr>
          <w:rFonts w:ascii="Amiri" w:hAnsi="Amiri" w:eastAsia="Amiri" w:cs="Amiri"/>
          <w:color w:val="111111"/>
          <w:sz w:val="28"/>
          <w:sz w:val="28"/>
          <w:szCs w:val="28"/>
          <w:rtl w:val="true"/>
          <w:lang w:bidi="ar-SA"/>
        </w:rPr>
        <w:t>صحّ، و نزّل على واحد منها مشاعا،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هو واحد من تلك الصيعان المتشخّصة منها، فهو بحسب صورة العبارة يشبه الأمر الكلّي، و بحسب الواقع جزئي غير متعيّن و لا معلوم، و المقتضي لهذا المعنى هو تفريق الصيعان و جعل كلّ واحد برأسه، فصار إطلاق أحدها منزّلا على شخص منها غير معلوم، و لو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صاعا من هذه، شائعا في جملتها، لحكمنا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في غاية الجودة، إلّا أنّ جعله الصورة الثانية من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بل لما أشرنا إليه من إبهام الموضوع</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861953_3804643083"/>
      <w:bookmarkStart w:id="261" w:name="_Toc99"/>
      <w:bookmarkEnd w:id="260"/>
      <w:r>
        <w:rPr>
          <w:rtl w:val="true"/>
        </w:rPr>
        <w:t>البحث الرابع</w:t>
      </w:r>
      <w:r>
        <w:rPr>
          <w:rtl w:val="true"/>
        </w:rPr>
        <w:t xml:space="preserve">: </w:t>
      </w:r>
      <w:r>
        <w:rPr>
          <w:rtl w:val="true"/>
        </w:rPr>
        <w:t>و حيث علمت أن مناط الخطر و الجهل بالضرر في الغرر إنما هو من حيث المعاملة و المعاوضة</w:t>
      </w:r>
      <w:bookmarkEnd w:id="261"/>
    </w:p>
    <w:p>
      <w:pPr>
        <w:pStyle w:val="BookText"/>
        <w:rPr/>
      </w:pPr>
      <w:r>
        <w:rPr>
          <w:rFonts w:ascii="Amiri" w:hAnsi="Amiri" w:eastAsia="Amiri" w:cs="Amiri"/>
          <w:color w:val="111111"/>
          <w:sz w:val="28"/>
          <w:sz w:val="28"/>
          <w:szCs w:val="28"/>
          <w:rtl w:val="true"/>
          <w:lang w:bidi="ar-SA"/>
        </w:rPr>
        <w:t>و إن كان مأمونا عنه بحسب الخارج، يتضح لك أن اشتراط الخيار في مجهول الصفة الذي لم يبتن العقد فيه على الوصف لا ينتفي به الغرر، كما هو ظاهر كلماتهم، فيبطل به البيع و إن كان ضرره مجبورا بالخيار، و لا يلام 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الخيار بعد ظهور العجز عن تسليم المبيع و الانفساخ بالتلف قبل القبض، فلا يدفع بهما الغرر المبطل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سقوطه بالخيار و عدم لوم العرف بعد اطّلاعهم على الحكم الشرعي اللاحق للبيع من ضمان البائع و عدم التسلط على مطالبة الثمن، مدفوع، بأنّه حكم شرعيّ عارض للبيع الصحيح الذي لم يكن في نفسه غررا، و لا يندفع به الغرر الذاتيّ المشتمل عليه البيع، و لذا لا يصحّ شرط عدم هذا الخيار، و لا يصحّ الإلزام </w:t>
      </w:r>
      <w:r>
        <w:rPr>
          <w:rStyle w:val="FootnoteAnchor"/>
          <w:rtl w:val="true"/>
        </w:rPr>
        <w:footnoteReference w:id="794"/>
      </w:r>
      <w:bookmarkStart w:id="262" w:name="pg2497_12229"/>
    </w:p>
    <w:p>
      <w:pPr>
        <w:pStyle w:val="BookText"/>
        <w:rPr/>
      </w:pPr>
      <w:bookmarkEnd w:id="262"/>
      <w:r>
        <w:rPr>
          <w:rFonts w:ascii="Amiri" w:hAnsi="Amiri" w:eastAsia="Amiri" w:cs="Amiri"/>
          <w:color w:val="111111"/>
          <w:sz w:val="28"/>
          <w:sz w:val="28"/>
          <w:szCs w:val="28"/>
          <w:rtl w:val="true"/>
          <w:lang w:bidi="ar-SA"/>
        </w:rPr>
        <w:t>بالخطر و الضرر الغرريّ، كما في بيع الضال، و كلّما لا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انتفاء الغرر بوجود مصلحة أخرى في بيع المجهول الجابر لخطره و ضرره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عدم الغرر في مجهول القيمة، فلا يبطل به البيع، لعدم كونه متعلّقا للبيع كما مرّ، و الضرر الحاصل متبعّضا بها يجبر بخيار الغبن بعد ظهوره، و كذا عدم الغرر في مجهول الوصف مع البناء على الوصف في البيع، فيجبر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 المخالفة، لأنّ متعلق البيع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جهالة فيه من حيث كونه مبيعا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861955_3804643083"/>
      <w:bookmarkStart w:id="264" w:name="_Toc100"/>
      <w:bookmarkEnd w:id="263"/>
      <w:r>
        <w:rPr>
          <w:rtl w:val="true"/>
        </w:rPr>
        <w:t>البحث الخامس</w:t>
      </w:r>
      <w:r>
        <w:rPr>
          <w:rtl w:val="true"/>
        </w:rPr>
        <w:t xml:space="preserve">: </w:t>
      </w:r>
      <w:r>
        <w:rPr>
          <w:rtl w:val="true"/>
        </w:rPr>
        <w:t>هل يلحق بالبيع في بطلانه بالغرر غيره من عقود المعاوضات؟</w:t>
      </w:r>
      <w:bookmarkEnd w:id="264"/>
    </w:p>
    <w:p>
      <w:pPr>
        <w:pStyle w:val="Heading4"/>
        <w:numPr>
          <w:ilvl w:val="3"/>
          <w:numId w:val="1"/>
        </w:numPr>
        <w:rPr/>
      </w:pPr>
      <w:bookmarkStart w:id="265" w:name="__RefHeading___Toc3861957_3804643083"/>
      <w:bookmarkStart w:id="266" w:name="_Toc101"/>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أدلّتها الدالّة على صحّتها و اختصاص الغرر المنفيّ في الخبر بالبيع، و من أنّ الدائر في ألسنة الأصحاب و كلماتهم نفي الغرر على سبيل الإطلاق من غير اختصاص بالبيع، و به يستدلّون على اشتراط تعيين العوض و المدة في الإجارة و المزارعة و الجعالة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ترسل في كلماتهم عن النبيّ صلّى اللّه عليه و آله و سلّم أنّه نهى عن الغرر، و قد بحثوا بالخصوص عن الخلاف في ذلك في الصلح، و لعلّه إشعار بعدم الخلاف في غيره و اختصاصه به، لكونه أوسع من غيره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بطلانه إذا كان الجهل واقعيا كصلح أحد الحقّين أو أحد العبدين و إن لم يكن فيه غرر كما مرّ، سواء كان فيه خطر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الجهل ظاهريا و عند المصطلحين أو أحدهما فما وقع عليه الصلح و كان من الحقوق السابقة، و تعذّر العلم به فلا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وقوعه مورد الصلح ظاهرا و باطنا مع استحقاق المدّعى و ظاهرا خاصة مع كونه مبطلا، سواء كان</w:t>
      </w:r>
    </w:p>
    <w:p>
      <w:pPr>
        <w:pStyle w:val="BookText"/>
        <w:rPr/>
      </w:pPr>
      <w:r>
        <w:rPr>
          <w:rFonts w:ascii="Amiri" w:hAnsi="Amiri" w:eastAsia="Amiri" w:cs="Amiri"/>
          <w:color w:val="111111"/>
          <w:sz w:val="28"/>
          <w:sz w:val="28"/>
          <w:szCs w:val="28"/>
          <w:rtl w:val="true"/>
          <w:lang w:bidi="ar-SA"/>
        </w:rPr>
        <w:t>المجهول المصالح عنه أو المصالح به أو كلاهما، و يدلّ عليه عمومات الصلح و الوفاء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كان المصالح به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في غير مقام التجاذب، بل صدق الغرر عرفا مع تعذّر العلم مشكل، و كذا إذا تعسّر العلم أو لم يمكن العلم في الحال مع الحاجة الحالية في قطع الدعوى، كما عن صريح الشهيدين، لعمومات الصلح بل نفي الغرر، و في بعض المعتبرة ما يدلّ عليه أيضا، كالمرويّ في الرجلين كان لكلّ واحد منهما طعام عند صاحبه و لا يدري كلّ واحد منهما كم له عند صاحبه، لك ما عندك ولي ما عندي،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تراضيا و طابت به أنفسهما</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 هو بإطلاقه يعمّ الدين، بل لعلّه فيه أظهر من العين، و ظاهر أنه لا يستقيم ذلك في العين إلّا بالصلح، مضافا إلى ما في الصحيح في الرجل يكون عليه الشي‌ء فيصالح،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بطيب نفس من صاحبه فلا بأس</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أمكن المعرفة بالفعل من غير عسر، ففيه إشكال، من إطلاق أدلّة الصلح المقتضي للصحّة، منها الخبر المتقدّم، و من لزوم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ترجيح الأوّل، كما صرّح به بعض المحقّقين، لعدم انصراف إطلاق كلماتهم في نفي الغرر إلى الدعوى القديمة، سيما بملاحظة تصريحهم بالصحة عند تعذّر العلم أو الحاجة، مع أنّهم لا يفرّقون في البطلان بينهما في غير ذلك، و ضعف إطلاق المرسل في المورد مع عدم الجابر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مورد الصلح ابتدائيا، سواء كان العوضين معا كصلح قبة من الحنطة</w:t>
      </w:r>
    </w:p>
    <w:p>
      <w:pPr>
        <w:pStyle w:val="BookText"/>
        <w:rPr/>
      </w:pPr>
      <w:r>
        <w:rPr>
          <w:rFonts w:ascii="Amiri" w:hAnsi="Amiri" w:eastAsia="Amiri" w:cs="Amiri"/>
          <w:color w:val="111111"/>
          <w:sz w:val="28"/>
          <w:sz w:val="28"/>
          <w:szCs w:val="28"/>
          <w:rtl w:val="true"/>
          <w:lang w:bidi="ar-SA"/>
        </w:rPr>
        <w:t>مجهول القدر بقبة مجهولة من الحمص، أو أحدهما كالصلح من دعوى حقّ سابق بقبة مجهولة، ففي اشتراط معلومية ما وقع عليه الصلح الابتدائيّ وجهان، و أقوالهم فيه مختلفة، بل بظاهرها متدافعة، فإنّك تراهم يحكمون بصحّة الصلح الابتدائيّ في المجهول الذي لا يجوّزونه في البيع، كالصلح عن لبن غنم في مدّة معلومة بغير اللبن و البعض فعلا كما أفتى به الشيخ، مع أنّه غير معلوم المقدار، سيما إذا كانت المدة طويلة تختلف مقاديره في أحيانها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الشهيد في الدروس، حاكيا عن الحلّي المنع عنه، و جوّز فيه أيضا الصلح على سقي زرعه أو استيجاره بشرط معلومية المدّة، و الصلح عن إبقاء أغصان شجرة و أصوله في ملك الغير بعوض معيّن، مع أنّه يختلف في إحاطة هواء صاحب الأرض بحسب قوّة نمائه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الصلح على الإقرار و الإنكار ما لم يغيّر المشروع، و مع علم المصطلحين و جهلهما بقدر المال المتنازع عليه دينا كان أو عينا، لا ما وقع عليه الصلح، و يكفي المشاهدة في الموزون، و هو ظاهر في عدم تجويزه الجهالة في وجه المصالحة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الأردبيلي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معلومية ما يقع عليه الصلح، فالظاهر أنّه لا نزاع فيه إذا لم يكن هو مما يصالح عنه، مثل ما تقدّم في صحيحتي محمد و منصور، لأنّه طرف لعقد مقدور المعلومية فلا بدّ أن يكون معلوما ليندفع به الغرر كما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الظاهر أنّه يكفي العلم في الجملة إمّا بوصفه أو مشاهدته و لا يحتاج إلى الكيل و الوزن و معرفة أجزاء الكرباس و القماش و الثياب و ذوق المذوقات و غير ذلك مما هو معتبر في البيع و نحوه للأصل و عدم دليل واضح على ذلك و عموم أدلة الصلح المتقدّمة، و لأنّ الصلح شرّع للسهولة و الإرفاق بالناس</w:t>
      </w:r>
    </w:p>
    <w:p>
      <w:pPr>
        <w:pStyle w:val="BookText"/>
        <w:rPr/>
      </w:pPr>
      <w:r>
        <w:rPr>
          <w:rFonts w:ascii="Amiri" w:hAnsi="Amiri" w:eastAsia="Amiri" w:cs="Amiri"/>
          <w:color w:val="111111"/>
          <w:sz w:val="28"/>
          <w:sz w:val="28"/>
          <w:szCs w:val="28"/>
          <w:rtl w:val="true"/>
          <w:lang w:bidi="ar-SA"/>
        </w:rPr>
        <w:t>لتسهيل إبراء ذمّتهم، فلا يناسبه الضيق، و لأنّه مبنيّ على المسامحة و المساهلة، و 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يكفي المشاهدة في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خالف فيه البعض،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أنه يشترط العلم في العوض إذا أمكن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العلم بما صولح عليه جاز،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تعذّر العلم لعدم المكيال و الميزان في الحال، و مساس الحاجة إلى الانتقال، 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شارح الشرائع أيضا، و لا نعرف له دليلا، و ما تقدّم ينفيه، و يؤيّده التجويز عند التعذّر، فإنّ ذلك لا يجوز في البيع عندهم،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الأردبيلي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هو مما يصالح عنه، مثل ما تقدّم في صحيحتي محمد و منصور،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السابق المجهول، كما هو مورد الصحيحين، و عرفت أنّه لا إشكال و لا خلاف ظاهرا في صحّة الصلح عنه، و إلّا فلا فرق في الصلح الابتدائيّ بين المصالح عنه و المصالح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تتبّع كلمات الفقهاء و صريح المحقّق المذكور في عدم الخلاف و عدم تخصيصهم اشتراط تعيين المدّة بالبيع و أمثال ذلك عدم الخلاف منهم في اشتراط العلم في الجملة في الصلح الابتدائيّ، و بطلانه بالجهل المطلق، و إن اختلفوا في حدّ العلم المشروط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الشهيد، اشتراطه على حدّ البيع، إلّا إذا تعذّر، مع مسيس الحاجة في الحال، فهو الدليل عليه، مضافا إلى نفي الغرر المطلق فيما قد يرسل عن النبي صلّى اللّه عليه و آله و سلّم، المنجبر في المورد بالشهرة المذكورة لو لا الإجماع المخصّص لعمومات الصلح، لوروده عليها كورود دليل نفي الضرر على أدلّة المباحات الشرعية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تجويز الشيخ و غيره الصلح عن لبن الغنم في مدة معلومة مع جهالة مقداره و لو</w:t>
      </w:r>
      <w:bookmarkStart w:id="267" w:name="pg2497_12233"/>
    </w:p>
    <w:p>
      <w:pPr>
        <w:pStyle w:val="BookText"/>
        <w:rPr/>
      </w:pPr>
      <w:bookmarkEnd w:id="267"/>
      <w:r>
        <w:rPr>
          <w:rFonts w:ascii="Amiri" w:hAnsi="Amiri" w:eastAsia="Amiri" w:cs="Amiri"/>
          <w:color w:val="111111"/>
          <w:sz w:val="28"/>
          <w:sz w:val="28"/>
          <w:szCs w:val="28"/>
          <w:rtl w:val="true"/>
          <w:lang w:bidi="ar-SA"/>
        </w:rPr>
        <w:t>بالمشاهدة و إبقاء الأغصان و نماءها في هواء الغير و أمثال ذلك، فليس من المجهول المطلق من قبيل الصلح عن لبن عشرة أغنام من قطيعة غنم، و ما أظنّ أن يجوّزه أحد، بل هو مما يناط بالاستعداد و القوة الممكنة معرفتها بالعرف و لو تقريبا، كمعلومية قوّة الشجرة في الأرض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العلم التفصيليّ كما في البيع، فلا دليل عليه و إن تمكّن عن تحصيله، لضعف المرسل المزبور، و عدم الجابر له في المقام، و عدم الإجماع لو لا على خلافه، فيتعيّن العمل بعمومات الصلح و نحوها، و خصوصا الأخبار الخاصّة الشاملة لمحلّ الفرض كما صرّح به جمع من المحقّقين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861959_3804643083"/>
      <w:bookmarkStart w:id="269" w:name="_Toc102"/>
      <w:bookmarkEnd w:id="268"/>
      <w:r>
        <w:rPr>
          <w:rtl w:val="true"/>
        </w:rPr>
        <w:t>فرعان</w:t>
      </w:r>
      <w:r>
        <w:rPr>
          <w:rtl w:val="true"/>
        </w:rPr>
        <w:t>:</w:t>
      </w:r>
      <w:bookmarkEnd w:id="269"/>
    </w:p>
    <w:p>
      <w:pPr>
        <w:pStyle w:val="Heading5"/>
        <w:numPr>
          <w:ilvl w:val="4"/>
          <w:numId w:val="1"/>
        </w:numPr>
        <w:rPr/>
      </w:pPr>
      <w:bookmarkStart w:id="270" w:name="__RefHeading___Toc3861961_3804643083"/>
      <w:bookmarkStart w:id="271" w:name="_Toc103"/>
      <w:bookmarkEnd w:id="270"/>
      <w:r>
        <w:rPr>
          <w:rtl w:val="true"/>
        </w:rPr>
        <w:t>الأوّل</w:t>
      </w:r>
      <w:r>
        <w:rPr>
          <w:rtl w:val="true"/>
        </w:rPr>
        <w:t xml:space="preserve">: </w:t>
      </w:r>
      <w:r>
        <w:rPr>
          <w:rtl w:val="true"/>
        </w:rPr>
        <w:t>هل يصحّ الصلح عما يملك مع جهل المصطلحين أو أحدهما بقدره أو جنسه أو صفته كما قد تداول بين الناس أم لا</w:t>
      </w:r>
      <w:r>
        <w:rPr>
          <w:rtl w:val="true"/>
        </w:rPr>
        <w:t>.</w:t>
      </w:r>
      <w:bookmarkEnd w:id="271"/>
    </w:p>
    <w:p>
      <w:pPr>
        <w:pStyle w:val="BookText"/>
        <w:rPr/>
      </w:pPr>
      <w:r>
        <w:rPr>
          <w:rFonts w:ascii="Amiri" w:hAnsi="Amiri" w:eastAsia="Amiri" w:cs="Amiri"/>
          <w:color w:val="111111"/>
          <w:sz w:val="28"/>
          <w:sz w:val="28"/>
          <w:szCs w:val="28"/>
          <w:rtl w:val="true"/>
          <w:lang w:bidi="ar-SA"/>
        </w:rPr>
        <w:t>مقتضى ما ذكرنا من اشتراط العلم الإجماليّ و إن كان الثاني، إلّا أنّ الظاهر كونه في غير مقام المحاباة، إذ لا دليل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لعمومات الصلح و الأخبار الخاصّة المشار إليها، بل عدم صدق الغرر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ببطلانه في البيع للإجماع، بل صدق الغرر فيه بالخصوص لوضعه على المعاوضة المحضة و التبادل المبنيّ على التعادل، و أما في غير مقام المساهلة و المحاباة، فالظاهر عدم الصحة، كصلح ما في الصندوق بما قصد به المعاوضة المالية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3861963_3804643083"/>
      <w:bookmarkStart w:id="273" w:name="_Toc104"/>
      <w:bookmarkEnd w:id="272"/>
      <w:r>
        <w:rPr>
          <w:rtl w:val="true"/>
        </w:rPr>
        <w:t>الثاني</w:t>
      </w:r>
      <w:r>
        <w:rPr>
          <w:rtl w:val="true"/>
        </w:rPr>
        <w:t xml:space="preserve">: </w:t>
      </w:r>
      <w:r>
        <w:rPr>
          <w:rtl w:val="true"/>
        </w:rPr>
        <w:t>هل يلحق بالصلح الشرط الواقع في قيمته، فدار مداره في الصحة كما في فساده أم لا؟</w:t>
      </w:r>
      <w:bookmarkEnd w:id="27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تابعا له، بل هو على ما اشتهر في ألسن الفقهاء قسط من العوض، فحكمه في ذلك حكمه، و من إطلاق كلماتهم في وجوب تعيين المدّة</w:t>
      </w:r>
      <w:bookmarkStart w:id="274" w:name="pg2497_12234"/>
    </w:p>
    <w:p>
      <w:pPr>
        <w:pStyle w:val="BookText"/>
        <w:rPr/>
      </w:pPr>
      <w:bookmarkEnd w:id="274"/>
      <w:r>
        <w:rPr>
          <w:rFonts w:ascii="Amiri" w:hAnsi="Amiri" w:eastAsia="Amiri" w:cs="Amiri"/>
          <w:color w:val="111111"/>
          <w:sz w:val="28"/>
          <w:sz w:val="28"/>
          <w:szCs w:val="28"/>
          <w:rtl w:val="true"/>
          <w:lang w:bidi="ar-SA"/>
        </w:rPr>
        <w:t>المشترطة و لو في ضمن الصلح المحتمل لتلك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الأشبه البطلان، لأن الشرط و إن كان في حكم قسط من العوض الذي ربما يغتفر فيه الغرر، إلّا أنّه بنفسه معاملة شرعية غير تابع في جميع أحكامه للعقد المشترط في ضمنه، و لا هو شرّع للسهولة و الإرفاق، فيلاحظ فيه بنفسه الغرر كسائر المعاوضات الممنوعة عنه، لإطلاق الرواية النافية الجابر في المورد بإطلاق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مسامحة العرف في عدم تعيّن فرد من موارد الشرط لا يقتضي الاطّراد، بل قد يتفق وقوعه مثارا للتشاجر المؤدّي إلى الفساد، و إن كان المشروط صلحا عن الحقّ السابق أو مبنيّا على المحاباة، فتأمل جيّدا و لا تترك الاحتياط</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861965_3804643083"/>
      <w:bookmarkStart w:id="276" w:name="_Toc105"/>
      <w:bookmarkEnd w:id="275"/>
      <w:r>
        <w:rPr>
          <w:rtl w:val="true"/>
        </w:rPr>
        <w:t>تتميم</w:t>
      </w:r>
      <w:r>
        <w:rPr>
          <w:rtl w:val="true"/>
        </w:rPr>
        <w:t xml:space="preserve">: </w:t>
      </w:r>
      <w:r>
        <w:rPr>
          <w:rtl w:val="true"/>
        </w:rPr>
        <w:t>و حيث علمت أنّ دليل عموم المنع عن الغرر فيما يمنع هو الإجماع،</w:t>
      </w:r>
      <w:bookmarkEnd w:id="2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 المطلق فيما حصل فيه الانجبار، فيلاحظ ذلك في غير الصلح من عقود المعاوضات، فكلّ معاملة غررية دلّ على المنع فيه أحدهما بطل، و لعلّ الشهرة متحقّقة في أكثرها، و إلّا فإن كانت المعاملة ممّا اقتضى شرعيته دليل يعمّه يحكم بصحّته، و إلّا بفساده، عملا بالأصل</w:t>
      </w:r>
      <w:r>
        <w:rPr>
          <w:rFonts w:eastAsia="Amiri" w:cs="Amiri" w:ascii="Amiri" w:hAnsi="Amiri"/>
          <w:color w:val="111111"/>
          <w:sz w:val="28"/>
          <w:szCs w:val="28"/>
          <w:rtl w:val="true"/>
          <w:lang w:bidi="ar-SA"/>
        </w:rPr>
        <w:t>.</w:t>
      </w:r>
      <w:bookmarkStart w:id="277" w:name="pg2497_12236"/>
    </w:p>
    <w:p>
      <w:pPr>
        <w:pStyle w:val="BookText"/>
        <w:rPr/>
      </w:pPr>
      <w:bookmarkEnd w:id="277"/>
      <w:r>
        <w:rPr>
          <w:rFonts w:ascii="Amiri" w:hAnsi="Amiri" w:eastAsia="Amiri" w:cs="Amiri"/>
          <w:color w:val="111111"/>
          <w:sz w:val="28"/>
          <w:sz w:val="28"/>
          <w:szCs w:val="28"/>
          <w:rtl w:val="true"/>
          <w:lang w:bidi="ar-SA"/>
        </w:rPr>
        <w:t>مشارق في نبذ من مهمات مباحث الخيارات و معضلاتها</w:t>
      </w:r>
    </w:p>
    <w:p>
      <w:pPr>
        <w:pStyle w:val="Heading2"/>
        <w:numPr>
          <w:ilvl w:val="1"/>
          <w:numId w:val="1"/>
        </w:numPr>
        <w:rPr/>
      </w:pPr>
      <w:bookmarkStart w:id="278" w:name="__RefHeading___Toc3861967_3804643083"/>
      <w:bookmarkStart w:id="279" w:name="_Toc106"/>
      <w:bookmarkEnd w:id="278"/>
      <w:r>
        <w:rPr>
          <w:rtl w:val="true"/>
        </w:rPr>
        <w:t>[</w:t>
      </w:r>
      <w:r>
        <w:rPr>
          <w:rtl w:val="true"/>
        </w:rPr>
        <w:t>المشرق السادس عشر</w:t>
      </w:r>
      <w:r>
        <w:rPr>
          <w:rtl w:val="true"/>
        </w:rPr>
        <w:t>] [</w:t>
      </w:r>
      <w:r>
        <w:rPr>
          <w:rtl w:val="true"/>
        </w:rPr>
        <w:t>في خيار المجلس</w:t>
      </w:r>
      <w:r>
        <w:rPr>
          <w:rtl w:val="true"/>
        </w:rPr>
        <w:t>]</w:t>
      </w:r>
      <w:bookmarkEnd w:id="279"/>
    </w:p>
    <w:p>
      <w:pPr>
        <w:pStyle w:val="Heading3"/>
        <w:numPr>
          <w:ilvl w:val="2"/>
          <w:numId w:val="1"/>
        </w:numPr>
        <w:rPr/>
      </w:pPr>
      <w:bookmarkStart w:id="280" w:name="__RefHeading___Toc3861969_3804643083"/>
      <w:bookmarkStart w:id="281" w:name="_Toc107"/>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الخيارات خيار المجلس، أي موضع العقد، و يختصّ بالبيع، و يرتفع بانقضائه، و انعقد عليه الإجماع، إلّا فيما استثنى، كالبيع المنعتق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فالنصوص به مستفيضة، كالمتضمّنة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من رجل بيعا، فهما بالخيار حتّى يفترقا، فإذا افترقا فقد وجب البيع</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إشكال في ثبوت الخيار إذا كان المالكان متبايعين، و أما إذا باع وكيلهما،</w:t>
      </w:r>
    </w:p>
    <w:p>
      <w:pPr>
        <w:pStyle w:val="BookText"/>
        <w:rPr/>
      </w:pPr>
      <w:r>
        <w:rPr>
          <w:rFonts w:ascii="Amiri" w:hAnsi="Amiri" w:eastAsia="Amiri" w:cs="Amiri"/>
          <w:color w:val="111111"/>
          <w:sz w:val="28"/>
          <w:sz w:val="28"/>
          <w:szCs w:val="28"/>
          <w:rtl w:val="true"/>
          <w:lang w:bidi="ar-SA"/>
        </w:rPr>
        <w:t>فهل يكون الخيار لهما، أو للمالكين، أو للجميع، أو ليس لأحدهم؟ فيه أقوال، و منشأ الخلاف غالبا، الاختلاف في مصداق المتبايعين، هل هما الوكيلان اللذان أجرى منهما العقد، أو المالكان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الخلاف فيما اجتمع الجميع في المجلس، و إلّا فلا خلاف ظاهرا في عدم ثبوته للمالكين عند غيابهما،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تابع للملكية، و إرفاق للمالك، و لا حقّ لوكيل مجرّد العقد حتى كان له الخيار أصالة إلّا بتوكيل المالك، فهذا قرينة لإرادة المالكين من المتبايعين، و إن قلنا بكون البائع حقيقة مجري العقد، غاية الأمر اشتراط حضورهما، لظاهر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مقتضى ذلك نفي الخيار عن الوكيل، لا إثباته للمالك، مع عدم تلبّسه بالعقد، و تسليم ظهور البائع في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ما يمكن إرادته من البائع أحد المعاني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العاقد من حيث تلبّسه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من حيث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بيده البيع، و دار على مشيئته أمره، وجودا و عدما و بقاء و زوالا، سواء كان بالملك أو الولاية أو الوكالة المطلقة المستقلة، نظير العامل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الوكالة في مجرّد المعاوضة، و لو مع تعيين الثمن و المثمن، و توكيل الغير في إجراء العقد،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فرسا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الأوّل مرادا، بل لعلّه لا ينصرف لفظ البائع إليه، لظهوره فيمن له سلطنة النقل الشرعيّ، و مجرّد التلفظ بالعقد من حيث التلبّس غير كاف</w:t>
      </w:r>
    </w:p>
    <w:p>
      <w:pPr>
        <w:pStyle w:val="BookText"/>
        <w:rPr/>
      </w:pPr>
      <w:r>
        <w:rPr>
          <w:rFonts w:ascii="Amiri" w:hAnsi="Amiri" w:eastAsia="Amiri" w:cs="Amiri"/>
          <w:color w:val="111111"/>
          <w:sz w:val="28"/>
          <w:sz w:val="28"/>
          <w:szCs w:val="28"/>
          <w:rtl w:val="true"/>
          <w:lang w:bidi="ar-SA"/>
        </w:rPr>
        <w:t>فيه، و إنّما هو من قبيل الآلة دون المؤثّر، كالقلم للكاتب و المنشار للنجّار، فلا ينسب الفعل المؤثر للانتقال الشرعيّ إليه، كما لا ينسب المكتوب إلى القلم و هيئة السرير الى المنشار إلّا توسعا، و يرشد بذلك ملاحظة بعض أخبار الباب المقترن هذا الخيار فيه بخيار الحيوان الذي ليس للعاقد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لأنّ مجرّد المالكية الصادقة على مثل المولّى عليه و المفلس، لا يوجب ملك البيع الذي يناط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بعد إرادة الرابع أيضا، لعدم استقلال الوكيل بالمعنى المذكور في البيع، مع أنّ الخيار لو كان له، فالظاهر كونه من باب النيابة أيضا، إذ لا سلطنة له فيه من حيث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تلك النيابة تابعة لنيابة البيع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المعنى الثالث، فإنّ الظاهر صدق البائع عليه، و إن لم يجر الصيغة، فإنّ من بيده زمام البيع، و على اختياره أمره و تعيينه و القبض و الإعطاء و نحوها، فهو قائم مقام المالك المتصرف، في صدق ما يصدق عليه من النقل عرفا، و أمّا بدون ذلك فيشكل صدقه، كما صرح به والدي العلّامة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يقال لمن كان ماله بيد عامله في بلد آخر و يبيع و يشتري، أنّه باع ملكه و اشتراه، بل ينسب البيع و الشراء إلى العامل، و يتبادر هو من البائع، و إن لم يجر الصيغة و وكّل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الصدق العرفيّ، السلطنة في التصرف في النقل و الانتقال و الردّ و الإبقاء و غيرها، سواء كان مالكا أو وكيلا أو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اجتماعهما في المجلس، لما مرّ، و معه لا خيار للمالك، و إن حضر المجلس، لاستقرار الأمر على يده خاصة، 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الأجنبيّ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ليس للمالكين فيما ليس لهما الخيار، توكيل العاقد من قبل العقد أو بعده</w:t>
      </w:r>
      <w:bookmarkStart w:id="282" w:name="pg2497_12239"/>
    </w:p>
    <w:p>
      <w:pPr>
        <w:pStyle w:val="BookText"/>
        <w:rPr/>
      </w:pPr>
      <w:bookmarkEnd w:id="282"/>
      <w:r>
        <w:rPr>
          <w:rFonts w:ascii="Amiri" w:hAnsi="Amiri" w:eastAsia="Amiri" w:cs="Amiri"/>
          <w:color w:val="111111"/>
          <w:sz w:val="28"/>
          <w:sz w:val="28"/>
          <w:szCs w:val="28"/>
          <w:rtl w:val="true"/>
          <w:lang w:bidi="ar-SA"/>
        </w:rPr>
        <w:t>في الفسخ، لأنّه فرع ثبوت الخيار لهما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861971_3804643083"/>
      <w:bookmarkStart w:id="284" w:name="_Toc108"/>
      <w:bookmarkEnd w:id="283"/>
      <w:r>
        <w:rPr>
          <w:rtl w:val="true"/>
        </w:rPr>
        <w:t>تتميم</w:t>
      </w:r>
      <w:r>
        <w:rPr>
          <w:rtl w:val="true"/>
        </w:rPr>
        <w:t xml:space="preserve">: </w:t>
      </w:r>
      <w:r>
        <w:rPr>
          <w:rtl w:val="true"/>
        </w:rPr>
        <w:t>يسقط هذا الخيار بأمور</w:t>
      </w:r>
      <w:r>
        <w:rPr>
          <w:rtl w:val="true"/>
        </w:rPr>
        <w:t>:</w:t>
      </w:r>
      <w:bookmarkEnd w:id="284"/>
    </w:p>
    <w:p>
      <w:pPr>
        <w:pStyle w:val="Heading4"/>
        <w:numPr>
          <w:ilvl w:val="3"/>
          <w:numId w:val="1"/>
        </w:numPr>
        <w:rPr/>
      </w:pPr>
      <w:bookmarkStart w:id="285" w:name="__RefHeading___Toc3861973_3804643083"/>
      <w:bookmarkStart w:id="286" w:name="_Toc109"/>
      <w:bookmarkEnd w:id="285"/>
      <w:r>
        <w:rPr>
          <w:rtl w:val="true"/>
        </w:rPr>
        <w:t>أحدها</w:t>
      </w:r>
      <w:r>
        <w:rPr>
          <w:rtl w:val="true"/>
        </w:rPr>
        <w:t xml:space="preserve">: </w:t>
      </w:r>
      <w:r>
        <w:rPr>
          <w:rtl w:val="true"/>
        </w:rPr>
        <w:t>اشتراط عدمه في ضمن العقد</w:t>
      </w:r>
      <w:r>
        <w:rPr>
          <w:rtl w:val="true"/>
        </w:rPr>
        <w:t>.</w:t>
      </w:r>
      <w:bookmarkEnd w:id="286"/>
    </w:p>
    <w:p>
      <w:pPr>
        <w:pStyle w:val="BookText"/>
        <w:rPr/>
      </w:pPr>
      <w:r>
        <w:rPr>
          <w:rFonts w:ascii="Amiri" w:hAnsi="Amiri" w:eastAsia="Amiri" w:cs="Amiri"/>
          <w:color w:val="111111"/>
          <w:sz w:val="28"/>
          <w:sz w:val="28"/>
          <w:szCs w:val="28"/>
          <w:rtl w:val="true"/>
          <w:lang w:bidi="ar-SA"/>
        </w:rPr>
        <w:t>و لا خلاف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عليه، لعموم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على الاستدلال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لأدلّة الخيار،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هذا الشرط مخالفا للسنّة، فيدخل فيما استثنى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مقتضى العقد، أعني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باستلزامه الدور، لتوقّف لزوم الشرط على لزوم العقد، فيدور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إسقاط ما لم يجب، إذ لا خيار قبل تمام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عن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بحث الشرط، من أنّه ليس هذا من التعارض، بل من باب السببية الطارية المزيلة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السنّة، التسلط على الفسخ عند الإطلاق، و هو لا ينافي إلزام عدم الفسخ على نفسه، لشرط الذي هو من الأسباب الشرعية الواردة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حققناه في البحث المذكور أيضا، من أنّ الممنوع الشرط المنافي لماهيّة العقد أو لازمه الذي علم من الشرع عدم انفكاكه عنه بالأسباب الملحقة، بل كان في حكم الجزء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لزوم الشرط ينافي بقاء العقد على الجواز، حيث إنّهما لا يجتمعان، و هذا إذا كان متعلّق الشرط غير نفس اللزوم، و أمّا إذا كان نفس اللزوم</w:t>
      </w:r>
      <w:bookmarkStart w:id="287" w:name="pg2497_12240"/>
    </w:p>
    <w:p>
      <w:pPr>
        <w:pStyle w:val="BookText"/>
        <w:rPr/>
      </w:pPr>
      <w:bookmarkEnd w:id="287"/>
      <w:r>
        <w:rPr>
          <w:rFonts w:ascii="Amiri" w:hAnsi="Amiri" w:eastAsia="Amiri" w:cs="Amiri"/>
          <w:color w:val="111111"/>
          <w:sz w:val="28"/>
          <w:sz w:val="28"/>
          <w:szCs w:val="28"/>
          <w:rtl w:val="true"/>
          <w:lang w:bidi="ar-SA"/>
        </w:rPr>
        <w:t>الثابت وجوب الوفاء به بأدلّته، فلا يبقى الجواز الذي ينافيه،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فائدة الشرط إبطال المقتضي، لا إثبات الموانع بعد تمام العلّة، كما هو حال أكثر الشروط</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3861975_3804643083"/>
      <w:bookmarkStart w:id="289" w:name="_Toc110"/>
      <w:bookmarkEnd w:id="288"/>
      <w:r>
        <w:rPr>
          <w:rtl w:val="true"/>
        </w:rPr>
        <w:t>و ثانيها</w:t>
      </w:r>
      <w:r>
        <w:rPr>
          <w:rtl w:val="true"/>
        </w:rPr>
        <w:t xml:space="preserve">: </w:t>
      </w:r>
      <w:r>
        <w:rPr>
          <w:rtl w:val="true"/>
        </w:rPr>
        <w:t>الإسقاط بعد العقد،</w:t>
      </w:r>
      <w:bookmarkEnd w:id="289"/>
    </w:p>
    <w:p>
      <w:pPr>
        <w:pStyle w:val="BookText"/>
        <w:rPr/>
      </w:pPr>
      <w:r>
        <w:rPr>
          <w:rFonts w:ascii="Amiri" w:hAnsi="Amiri" w:eastAsia="Amiri" w:cs="Amiri"/>
          <w:color w:val="111111"/>
          <w:sz w:val="28"/>
          <w:sz w:val="28"/>
          <w:szCs w:val="28"/>
          <w:rtl w:val="true"/>
          <w:lang w:bidi="ar-SA"/>
        </w:rPr>
        <w:t>اتفاقا، له، و لعموم العلّة في بعض أخبار خيار الحيوان،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فذلك رضا منه، فلا شرط 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إسقاطه و الالتزام به بالشرط يقتضي جوازه له و تسلّطه عليه، و الإسقاط تستلزم السقوط، فلا يعود لمنافاة بقائه للإسقاط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بعد ملاحظة أمثال ذلك و الإحاطة على أقوال العلماء و سيرهم، لا يبقى شبهة في أنّه من الحقوق القابلة لإسقاطها من ذي الحقّ، لا من الأحكام، فيصحّ وقوعه مورد الشرط و الصلح عليه، بما دلّ عليهما و تقتضيه القاعدة المسلمة، من أنّ لكل ذي حقّ إسقاط حقّه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861977_3804643083"/>
      <w:bookmarkStart w:id="291" w:name="_Toc111"/>
      <w:bookmarkEnd w:id="290"/>
      <w:r>
        <w:rPr>
          <w:rtl w:val="true"/>
        </w:rPr>
        <w:t>و ثالثها</w:t>
      </w:r>
      <w:r>
        <w:rPr>
          <w:rtl w:val="true"/>
        </w:rPr>
        <w:t xml:space="preserve">: </w:t>
      </w:r>
      <w:r>
        <w:rPr>
          <w:rtl w:val="true"/>
        </w:rPr>
        <w:t>التصرّف على النحو الآتي في خيار الحيوان</w:t>
      </w:r>
      <w:r>
        <w:rPr>
          <w:rtl w:val="true"/>
        </w:rPr>
        <w:t>.</w:t>
      </w:r>
      <w:bookmarkEnd w:id="291"/>
    </w:p>
    <w:p>
      <w:pPr>
        <w:pStyle w:val="BookText"/>
        <w:rPr/>
      </w:pPr>
      <w:r>
        <w:rPr>
          <w:rFonts w:ascii="Amiri" w:hAnsi="Amiri" w:eastAsia="Amiri" w:cs="Amiri"/>
          <w:color w:val="111111"/>
          <w:sz w:val="28"/>
          <w:sz w:val="28"/>
          <w:szCs w:val="28"/>
          <w:rtl w:val="true"/>
          <w:lang w:bidi="ar-SA"/>
        </w:rPr>
        <w:t>ذكره جمع من أعيان الأصحاب، بل عن المتأخرين اتفاقهم عليه، لعموم العلّة المشار إليها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861979_3804643083"/>
      <w:bookmarkStart w:id="293" w:name="_Toc112"/>
      <w:bookmarkEnd w:id="292"/>
      <w:r>
        <w:rPr>
          <w:rtl w:val="true"/>
        </w:rPr>
        <w:t>و رابعها</w:t>
      </w:r>
      <w:r>
        <w:rPr>
          <w:rtl w:val="true"/>
        </w:rPr>
        <w:t xml:space="preserve">: </w:t>
      </w:r>
      <w:r>
        <w:rPr>
          <w:rtl w:val="true"/>
        </w:rPr>
        <w:t>افتراق المتبايعين،</w:t>
      </w:r>
      <w:bookmarkEnd w:id="293"/>
    </w:p>
    <w:p>
      <w:pPr>
        <w:pStyle w:val="BookText"/>
        <w:rPr/>
      </w:pPr>
      <w:r>
        <w:rPr>
          <w:rFonts w:ascii="Amiri" w:hAnsi="Amiri" w:eastAsia="Amiri" w:cs="Amiri"/>
          <w:color w:val="111111"/>
          <w:sz w:val="28"/>
          <w:sz w:val="28"/>
          <w:szCs w:val="28"/>
          <w:rtl w:val="true"/>
          <w:lang w:bidi="ar-SA"/>
        </w:rPr>
        <w:t>و إن لم يظهر منه رضاهما بالبيع، بما يسمّى افتراقا، و ربما يعبّر عنه بخطوة و لو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المعتبرة ما يدلّ عليه بالخصوص،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بافتراق لا عن اختيار، لظهور الفعل المستند إلى الفاعل في كونه بالاختيار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الإكراه بالاختيار لا ينافيه، فمع عدم المنع من التخاير يقوى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Amiri" w:hAnsi="Amiri" w:eastAsia="Amiri" w:cs="Amiri"/>
          <w:color w:val="111111"/>
          <w:sz w:val="28"/>
          <w:sz w:val="28"/>
          <w:szCs w:val="28"/>
          <w:rtl w:val="true"/>
          <w:lang w:bidi="ar-SA"/>
        </w:rPr>
        <w:t>مع المنع منه ففيه إشكال، و لعل عدمه أقوى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تفصيل فروع المسألة، كسقوط خيارهما بإكراه أحدهما و عدمه، و امتداد الخيار بامتداد المجلس، فخيارهما لا يسقط </w:t>
      </w:r>
      <w:r>
        <w:rPr>
          <w:rStyle w:val="FootnoteAnchor"/>
          <w:rtl w:val="true"/>
        </w:rPr>
        <w:footnoteReference w:id="806"/>
      </w:r>
      <w:r>
        <w:rPr>
          <w:rFonts w:ascii="Amiri" w:hAnsi="Amiri" w:eastAsia="Amiri" w:cs="Amiri"/>
          <w:color w:val="111111"/>
          <w:sz w:val="28"/>
          <w:sz w:val="28"/>
          <w:szCs w:val="28"/>
          <w:rtl w:val="true"/>
          <w:lang w:bidi="ar-SA"/>
        </w:rPr>
        <w:t>، أو كونه على الفور، و غير ذلك ليس مما نقصده هنا، بل هو موكول إلى كتب الفقه</w:t>
      </w:r>
      <w:r>
        <w:rPr>
          <w:rFonts w:eastAsia="Amiri" w:cs="Amiri" w:ascii="Amiri" w:hAnsi="Amiri"/>
          <w:color w:val="111111"/>
          <w:sz w:val="28"/>
          <w:szCs w:val="28"/>
          <w:rtl w:val="true"/>
          <w:lang w:bidi="ar-SA"/>
        </w:rPr>
        <w:t>.</w:t>
      </w:r>
      <w:bookmarkStart w:id="294" w:name="pg2497_12242"/>
    </w:p>
    <w:p>
      <w:pPr>
        <w:pStyle w:val="Heading2"/>
        <w:numPr>
          <w:ilvl w:val="1"/>
          <w:numId w:val="1"/>
        </w:numPr>
        <w:rPr/>
      </w:pPr>
      <w:bookmarkStart w:id="295" w:name="__RefHeading___Toc3861981_3804643083"/>
      <w:bookmarkStart w:id="296" w:name="_Toc113"/>
      <w:bookmarkEnd w:id="294"/>
      <w:bookmarkEnd w:id="295"/>
      <w:r>
        <w:rPr>
          <w:rtl w:val="true"/>
        </w:rPr>
        <w:t>[</w:t>
      </w:r>
      <w:r>
        <w:rPr>
          <w:rtl w:val="true"/>
        </w:rPr>
        <w:t>المشرق السابع عشر</w:t>
      </w:r>
      <w:r>
        <w:rPr>
          <w:rtl w:val="true"/>
        </w:rPr>
        <w:t>] [</w:t>
      </w:r>
      <w:r>
        <w:rPr>
          <w:rtl w:val="true"/>
        </w:rPr>
        <w:t>في خيار الحيوان</w:t>
      </w:r>
      <w:r>
        <w:rPr>
          <w:rtl w:val="true"/>
        </w:rPr>
        <w:t>]</w:t>
      </w:r>
      <w:bookmarkEnd w:id="296"/>
    </w:p>
    <w:p>
      <w:pPr>
        <w:pStyle w:val="Heading3"/>
        <w:numPr>
          <w:ilvl w:val="2"/>
          <w:numId w:val="1"/>
        </w:numPr>
        <w:rPr/>
      </w:pPr>
      <w:bookmarkStart w:id="297" w:name="__RefHeading___Toc3861983_3804643083"/>
      <w:bookmarkStart w:id="298" w:name="_Toc114"/>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ثابت في كل ذي حياة، حتى الجراد و الزنبور و العلق و السمك و دود القز و نحوها، ثلاثة أيام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اختصاصه بالمبيع المعيّن، أو شموله للكلّي الذي في الذمة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المنساق من الإطلاقات و المناسب للحكمة التي ذكرها في التذكرة </w:t>
      </w:r>
      <w:r>
        <w:rPr>
          <w:rStyle w:val="FootnoteAnchor"/>
          <w:rtl w:val="true"/>
        </w:rPr>
        <w:footnoteReference w:id="807"/>
      </w:r>
      <w:r>
        <w:rPr>
          <w:rFonts w:ascii="Amiri" w:hAnsi="Amiri" w:eastAsia="Amiri" w:cs="Amiri"/>
          <w:color w:val="111111"/>
          <w:sz w:val="28"/>
          <w:sz w:val="28"/>
          <w:szCs w:val="28"/>
          <w:rtl w:val="true"/>
          <w:lang w:bidi="ar-SA"/>
        </w:rPr>
        <w:t>، و هي كون الخيار للاطّلاع على خفايا الحيوان، الأوّل، و من إطلاق النصوص و الفتاوى الشاملة للقسمين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اختصاصه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الغنية </w:t>
      </w:r>
      <w:r>
        <w:rPr>
          <w:rStyle w:val="FootnoteAnchor"/>
          <w:rtl w:val="true"/>
        </w:rPr>
        <w:footnoteReference w:id="808"/>
      </w:r>
      <w:r>
        <w:rPr>
          <w:rFonts w:ascii="Amiri" w:hAnsi="Amiri" w:eastAsia="Amiri" w:cs="Amiri"/>
          <w:color w:val="111111"/>
          <w:sz w:val="28"/>
          <w:sz w:val="28"/>
          <w:szCs w:val="28"/>
          <w:rtl w:val="true"/>
          <w:lang w:bidi="ar-SA"/>
        </w:rPr>
        <w:t>الإجماع عليه اقتصارا في الخروج من عموم الوفاء بالعقود الدال على اللزوم، مما ليس فيه خيار المجلس و ما فيه، بعدم القول بالفصل، بالقدر المتيقّن، و استنادا إلى ظهور النصوص في الاختصاص، كصحيحة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w:t>
      </w:r>
    </w:p>
    <w:p>
      <w:pPr>
        <w:pStyle w:val="BookText"/>
        <w:rPr/>
      </w:pPr>
      <w:r>
        <w:rPr>
          <w:rFonts w:ascii="Amiri" w:hAnsi="Amiri" w:eastAsia="Amiri" w:cs="Amiri"/>
          <w:color w:val="111111"/>
          <w:sz w:val="28"/>
          <w:sz w:val="28"/>
          <w:szCs w:val="28"/>
          <w:rtl w:val="true"/>
          <w:lang w:bidi="ar-SA"/>
        </w:rPr>
        <w:t xml:space="preserve">لم يفترقا، فإذا افترقا فلا خيار بعد الرضا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التعميم للخيار في غير الحيوان فيها بالنسبة إلى المتبايعين، و التخصّص في الحيوان بالمشتري، كالنصّ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القيد مع إطلاق الحكم فيما ليس فيه نكتة جلية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سائر الأخبار من الصحاح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صحيحة ابن رئاب، المروية في قرب الإسناد </w:t>
      </w:r>
      <w:r>
        <w:rPr>
          <w:rStyle w:val="FootnoteAnchor"/>
          <w:rtl w:val="true"/>
        </w:rPr>
        <w:footnoteReference w:id="810"/>
      </w:r>
      <w:r>
        <w:rPr>
          <w:rFonts w:ascii="Amiri" w:hAnsi="Amiri" w:eastAsia="Amiri" w:cs="Amiri"/>
          <w:color w:val="111111"/>
          <w:sz w:val="28"/>
          <w:sz w:val="28"/>
          <w:szCs w:val="28"/>
          <w:rtl w:val="true"/>
          <w:lang w:bidi="ar-SA"/>
        </w:rPr>
        <w:t xml:space="preserve">، التصريح بنفيه عن البائع، خلافا للسيد المرتضى </w:t>
      </w:r>
      <w:r>
        <w:rPr>
          <w:rStyle w:val="FootnoteAnchor"/>
          <w:rtl w:val="true"/>
        </w:rPr>
        <w:footnoteReference w:id="811"/>
      </w:r>
      <w:r>
        <w:rPr>
          <w:rFonts w:ascii="Amiri" w:hAnsi="Amiri" w:eastAsia="Amiri" w:cs="Amiri"/>
          <w:color w:val="111111"/>
          <w:sz w:val="28"/>
          <w:sz w:val="28"/>
          <w:szCs w:val="28"/>
          <w:rtl w:val="true"/>
          <w:lang w:bidi="ar-SA"/>
        </w:rPr>
        <w:t xml:space="preserve">، و المحكيّ عن ابن طاوس </w:t>
      </w:r>
      <w:r>
        <w:rPr>
          <w:rStyle w:val="FootnoteAnchor"/>
          <w:rtl w:val="true"/>
        </w:rPr>
        <w:footnoteReference w:id="812"/>
      </w:r>
      <w:r>
        <w:rPr>
          <w:rFonts w:ascii="Amiri" w:hAnsi="Amiri" w:eastAsia="Amiri" w:cs="Amiri"/>
          <w:color w:val="111111"/>
          <w:sz w:val="28"/>
          <w:sz w:val="28"/>
          <w:szCs w:val="28"/>
          <w:rtl w:val="true"/>
          <w:lang w:bidi="ar-SA"/>
        </w:rPr>
        <w:t>، فثبوته للبائع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الانتصار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لصحيحة ابن مسلم </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المحكيّ عن جماعة من المتأخّرين، فثبوته لمن انتقل إليه الحيوان ثمنا أو مثمنا، لعموم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ما لم يفترقا، و صاحب الحيوان بالخيار ثلاثة أيام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الصحيحة الأخيرة، أنّه لو كان العوضان حيوانين، كان لهما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ظهورها في اتحاد صاحب الحيوان، فيتعين المشتري لكونه المتيقن، ممنوعة، لظهور المفرد المضاف في العموم الجنسيّ، مضافا إلى أنّه يتعيّن المشتري فيما فرض كون الثمن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الاعتراض بمعارضتها للأخبار</w:t>
      </w:r>
      <w:bookmarkStart w:id="299" w:name="pg2497_12244"/>
    </w:p>
    <w:p>
      <w:pPr>
        <w:pStyle w:val="BookText"/>
        <w:rPr/>
      </w:pPr>
      <w:bookmarkEnd w:id="299"/>
      <w:r>
        <w:rPr>
          <w:rFonts w:ascii="Amiri" w:hAnsi="Amiri" w:eastAsia="Amiri" w:cs="Amiri"/>
          <w:color w:val="111111"/>
          <w:sz w:val="28"/>
          <w:sz w:val="28"/>
          <w:szCs w:val="28"/>
          <w:rtl w:val="true"/>
          <w:lang w:bidi="ar-SA"/>
        </w:rPr>
        <w:t>المستفيضة المشار إليها، الظاهرة بالتقريب المتقدم في اختصاص الخيار بالمشتري، الراجحة عليها بالأكثرية و الأشهرية، بل الأصرحية، بملاحظة ما في موثقة ابن فضال، من تقييدها الحيوان بكونه للمشتري، لظهورها بحكم الغلبة في كون صاحب الحيوان المشتري، خصوصا بملاحظة الصحيحة المثبتة لصاحب الحيوان، و الموثّقة المصرّحة بكون المشتري صاحب الحيوان،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تنزيل الموثقة على مورد الغالب، مع دعوى اختصاص الخيار فيه بصاحب الحيوان المشتري، لزم نفيه رأسا، حيث لم يكن هو صاحب الحيوان، بل كان الثمن حيوانا، و هو إحداث قول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ظهور سياق الأخبار المتقدّمة المثبتة للمشتري، في كون جهة الخيار انتقال الحيوان إليه، لا مجرّد كونه مشتريا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ضعف القول المشهور، مضافا إلى تعارض أخباره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فمع ندرة قائله، يضعّف بأنّ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منساق إلى بيان مدة الخيار، في مقابل خيار المجلس، فشموله لجميع موارد الإطلاق غير ظاهر، بل غايته الدلالة على الخيار لهما في الجملة، الذي يتحصّل ثبوته لهما، فيما كانا كلاهما صاحبي الحيوان، أو هو خاصّة صاحبه، فلا ينافي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 القول الأوّل، لاقتضائه عدم بقاء مورد لخيار البائع أصلا، مضافا إلى أنّ تلك الصحيحة أعمّ مطلقا من الصحيحة الأخيرة، فيخصّص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فالأظهر القول الثالث، و إن كان الأسلم رعاية الاحتياط، بملاحظة عمومات اللزوم و غيرها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3861985_3804643083"/>
      <w:bookmarkStart w:id="301" w:name="_Toc115"/>
      <w:bookmarkEnd w:id="300"/>
      <w:r>
        <w:rPr>
          <w:rtl w:val="true"/>
        </w:rPr>
        <w:t>تتميمات</w:t>
      </w:r>
      <w:r>
        <w:rPr>
          <w:rtl w:val="true"/>
        </w:rPr>
        <w:t>:</w:t>
      </w:r>
      <w:bookmarkEnd w:id="301"/>
    </w:p>
    <w:p>
      <w:pPr>
        <w:pStyle w:val="Heading4"/>
        <w:numPr>
          <w:ilvl w:val="3"/>
          <w:numId w:val="1"/>
        </w:numPr>
        <w:rPr/>
      </w:pPr>
      <w:bookmarkStart w:id="302" w:name="__RefHeading___Toc3861987_3804643083"/>
      <w:bookmarkStart w:id="303" w:name="_Toc116"/>
      <w:bookmarkEnd w:id="302"/>
      <w:r>
        <w:rPr>
          <w:rtl w:val="true"/>
        </w:rPr>
        <w:t>الأوّل</w:t>
      </w:r>
      <w:r>
        <w:rPr>
          <w:rtl w:val="true"/>
        </w:rPr>
        <w:t xml:space="preserve">: </w:t>
      </w:r>
      <w:r>
        <w:rPr>
          <w:rtl w:val="true"/>
        </w:rPr>
        <w:t>مدّة هذا الخيار مقدار ساعات ثلاثة أيّام من النهار و لو ملفّقا،</w:t>
      </w:r>
      <w:bookmarkEnd w:id="30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للتبادر، كما</w:t>
      </w:r>
      <w:bookmarkStart w:id="304" w:name="pg2497_12245"/>
    </w:p>
    <w:p>
      <w:pPr>
        <w:pStyle w:val="BookText"/>
        <w:rPr/>
      </w:pPr>
      <w:bookmarkEnd w:id="304"/>
      <w:r>
        <w:rPr>
          <w:rFonts w:ascii="Amiri" w:hAnsi="Amiri" w:eastAsia="Amiri" w:cs="Amiri"/>
          <w:color w:val="111111"/>
          <w:sz w:val="28"/>
          <w:sz w:val="28"/>
          <w:szCs w:val="28"/>
          <w:rtl w:val="true"/>
          <w:lang w:bidi="ar-SA"/>
        </w:rPr>
        <w:t>في نظائره، و يتبعها الليالي المتوسّطة و ليلة العقد، لا لاستعمال اليوم فيما يتركب منهما في النصوص، حتى يلزم اختلاف مفردات الجمع في استعمال واحد عند صدور العقد أوّل النهار، بل للإجماع على عدم انقطاع الخيار بالليل في خلال الأيّام الثلاثة، و اتصاله بالعقد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861989_3804643083"/>
      <w:bookmarkStart w:id="306" w:name="_Toc117"/>
      <w:bookmarkEnd w:id="305"/>
      <w:r>
        <w:rPr>
          <w:rtl w:val="true"/>
        </w:rPr>
        <w:t>الثاني</w:t>
      </w:r>
      <w:r>
        <w:rPr>
          <w:rtl w:val="true"/>
        </w:rPr>
        <w:t xml:space="preserve">: </w:t>
      </w:r>
      <w:r>
        <w:rPr>
          <w:rtl w:val="true"/>
        </w:rPr>
        <w:t>يسقط هذا الخيار</w:t>
      </w:r>
      <w:r>
        <w:rPr>
          <w:rtl w:val="true"/>
        </w:rPr>
        <w:t xml:space="preserve">- </w:t>
      </w:r>
      <w:r>
        <w:rPr>
          <w:rtl w:val="true"/>
        </w:rPr>
        <w:t>أيضا</w:t>
      </w:r>
      <w:r>
        <w:rPr>
          <w:rtl w:val="true"/>
        </w:rPr>
        <w:t xml:space="preserve">- </w:t>
      </w:r>
      <w:r>
        <w:rPr>
          <w:rtl w:val="true"/>
        </w:rPr>
        <w:t>بالشرط، و لو بالنسبة إلى بعضه،</w:t>
      </w:r>
      <w:bookmarkEnd w:id="306"/>
    </w:p>
    <w:p>
      <w:pPr>
        <w:pStyle w:val="BookText"/>
        <w:rPr/>
      </w:pPr>
      <w:r>
        <w:rPr>
          <w:rFonts w:ascii="Amiri" w:hAnsi="Amiri" w:eastAsia="Amiri" w:cs="Amiri"/>
          <w:color w:val="111111"/>
          <w:sz w:val="28"/>
          <w:sz w:val="28"/>
          <w:szCs w:val="28"/>
          <w:rtl w:val="true"/>
          <w:lang w:bidi="ar-SA"/>
        </w:rPr>
        <w:t xml:space="preserve">و بالإسقاط بعد العقد، و بالتصرّف في الحيوان إجماعا في الجملة، مضافا إلى النصوص، ففي صحيحة ابن رئاب </w:t>
      </w:r>
      <w:r>
        <w:rPr>
          <w:rStyle w:val="FootnoteAnchor"/>
          <w:rtl w:val="true"/>
        </w:rPr>
        <w:footnoteReference w:id="8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أحدث المشتري فيما اشترى حدثا قبل ثلاثة أيام، فذلك رضا منه، و لا شرط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لامس أو قبل أو نظر إلى ما كان محرّما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الصفار </w:t>
      </w:r>
      <w:r>
        <w:rPr>
          <w:rStyle w:val="FootnoteAnchor"/>
          <w:rtl w:val="true"/>
        </w:rPr>
        <w:footnoteReference w:id="816"/>
      </w:r>
      <w:r>
        <w:rPr>
          <w:rFonts w:ascii="Amiri" w:hAnsi="Amiri" w:eastAsia="Amiri" w:cs="Amiri"/>
          <w:color w:val="111111"/>
          <w:sz w:val="28"/>
          <w:sz w:val="28"/>
          <w:szCs w:val="28"/>
          <w:rtl w:val="true"/>
          <w:lang w:bidi="ar-SA"/>
        </w:rPr>
        <w:t>، كتبت إلى أبي محمد عليه السّلام في الرجل اشترى دابّة من رجل، فأحدث فيها من أخذ الحافر أو نعلها أو ركب ظهرها فراسخ، له أن يردّها في ثلاثة الأيام التي له فيها الخيار بعد الحدث الذي يحدثها، أو الركوب الذي يركبها،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حدث فيها حدث فقد وجب الشراء إن شاء اللّه، و في الصحيحة المروية في قرب الإسناد </w:t>
      </w:r>
      <w:r>
        <w:rPr>
          <w:rStyle w:val="FootnoteAnchor"/>
          <w:rtl w:val="true"/>
        </w:rPr>
        <w:footnoteReference w:id="817"/>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قبّلها المشتري أو لامس أو نظر منها إلى ما يحرم على غيره فقد انقضى الشرط و لزم البيع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التصرف المسقط مطلقة أي كلّما لا يجوز لغير المالك إلّا برضاه، فيعمّ الدال على الرضا باللزوم و غيره، كما هو ظاهر إطلاق أكثر الفتاوى و صريح التذكرة </w:t>
      </w:r>
      <w:r>
        <w:rPr>
          <w:rStyle w:val="FootnoteAnchor"/>
          <w:rtl w:val="true"/>
        </w:rPr>
        <w:footnoteReference w:id="818"/>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بيان تصرّف المسقط للردّ بالعيب الذي هو مع ما في المقام من باب واحد، حيث جعل استخدامه بشي‌ء خفيف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أو ناولني الثوب، أو أغلق الباب، مسقطا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قول الشافعي بعدم المنع من الرد، معلّلا بأن مثل هذه الأمور قد يؤمر به غير المملوك، بأنّ مطلق التصرف مسقط، تعليلا له في موضع آخر بأنّه استعمال و 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المسقط التصرّف الدال على الرضا باللزوم فعلا و شخصا، كما عن الدروس </w:t>
      </w:r>
      <w:r>
        <w:rPr>
          <w:rStyle w:val="FootnoteAnchor"/>
          <w:rtl w:val="true"/>
        </w:rPr>
        <w:footnoteReference w:id="819"/>
      </w:r>
      <w:r>
        <w:rPr>
          <w:rFonts w:ascii="Amiri" w:hAnsi="Amiri" w:eastAsia="Amiri" w:cs="Amiri"/>
          <w:color w:val="111111"/>
          <w:sz w:val="28"/>
          <w:sz w:val="28"/>
          <w:szCs w:val="28"/>
          <w:rtl w:val="true"/>
          <w:lang w:bidi="ar-SA"/>
        </w:rPr>
        <w:t>و ظاهر بعض كلمات الآخرين أو نوعا، بمعنى اختصاص التصرف المسقط بما دلّ بنوعه غالبا على التزام العقد، و إن لم يدلّ في شخص المقام، مقيّدا بعدم قرينة يوجب صرفه عن الدلالة، كما إذا دلّ الحال أو المقال على وقوع التصرف للاختبار أو اشتباهها بعين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بعض أفاضل من عاصرناه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التصرف الذي كان لمصلحة نفسه دون ما للاختبار أو الحفظ، كما عن المحقّق </w:t>
      </w:r>
      <w:r>
        <w:rPr>
          <w:rStyle w:val="FootnoteAnchor"/>
          <w:rtl w:val="true"/>
        </w:rPr>
        <w:footnoteReference w:id="820"/>
      </w:r>
      <w:r>
        <w:rPr>
          <w:rFonts w:ascii="Amiri" w:hAnsi="Amiri" w:eastAsia="Amiri" w:cs="Amiri"/>
          <w:color w:val="111111"/>
          <w:sz w:val="28"/>
          <w:sz w:val="28"/>
          <w:szCs w:val="28"/>
          <w:rtl w:val="true"/>
          <w:lang w:bidi="ar-SA"/>
        </w:rPr>
        <w:t xml:space="preserve">و الشهيد الثانيين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الأوّل التردّد في مورد الاستثناء و في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الخلاف وقوع الاختلاف في مفاد الأخبار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إطلاق لفظ الحدث المنوط به الحكم في الصحاح المتقدّمة الشامل لجميع التصرفات، سيما بملاحظة الأمثلة المذكورة فيها الدالّة على الرضا بمطلق الملك دون اللزوم كلمس الجارية و نحوه، و خصوصا ما في صحيحة ابن رئاب، من التفسير بما كان محرما عليه قبل الشراء، فيفيد كون السقوط بالتصرف حكما شرعيا تعبديا، و إن لم يكن التزاما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ظهور التعليل في الصحيحة بأن ذلك رضى منه في تقييد إطلاق الحكم بما دلّ عليه،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نظرا إلى بعد كونه من باب إبداء الحكمة التي لا يجب فيها الاطّراد، بل ظهوره في العلّية المتعيّنة </w:t>
      </w:r>
      <w:r>
        <w:rPr>
          <w:rStyle w:val="FootnoteAnchor"/>
          <w:rtl w:val="true"/>
        </w:rPr>
        <w:footnoteReference w:id="822"/>
      </w:r>
      <w:r>
        <w:rPr>
          <w:rFonts w:ascii="Amiri" w:hAnsi="Amiri" w:eastAsia="Amiri" w:cs="Amiri"/>
          <w:color w:val="111111"/>
          <w:sz w:val="28"/>
          <w:sz w:val="28"/>
          <w:szCs w:val="28"/>
          <w:rtl w:val="true"/>
          <w:lang w:bidi="ar-SA"/>
        </w:rPr>
        <w:t>، فيفيد إناطة السقوط بما يدلّ على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حمل التعليل على الدلالة الذاتية النوعية،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خلى و طبعه، و إن لم يدلّ في شخص المقام، حذرا عن مخالفة معاقد الإجماع و عموم الأمثلة المذكورة في النصوص و كلمات القوم، فلا يشترط الدلالة على الالتزام الفعليّ، إلّا أنّه يجب التقييد بما لا يدلّ دليل على وقوع التصرف بغير الرضا باللزوم، بل لاختبار و نحوه، كما سمعته ممن أشرنا إليه، نظير حمل الألفاظ على معانيها الحقيقة الظاهرة فيها لو خلّيت و طبعها، فلا يصرف عنها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حمل قولهم بسقوط الخيار بما أحدث حدثا يدلّ على الرضا، كما صرّح به كثير من الفحول، نظرا إلى عدم اقتضاء أكثر الأمثلة التي ذكرها هؤلاء الأعلام في المقام العلم بالرضا الفعليّ، فيكون المعتبر عندهم الدلالة النوعية على الرضا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عندي، القول الأوّل الموافق لإطلاق كلام الأكثر، و سقوط الخيار بمطلق التصرف الغير المجوّز لغير المالك، كما هو صريح النصّ، إلّا ما تعارف للاختبار في مقام المساومة قبل العقد الذي يشهد الحال برضى البائع به، لعموم النصوص و إطلاق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التعليل، سيما بملاحظة التمثيل فيه بالتصرّفات الغير الدالّة على الالتزام بوجه، بل غايتها الدلالة على التملك الأعمّ من اللزوم، فإنّ التنافي مبنيّ على جعل متعلّق الرضا اللزوم، و لا دليل عليه، بل إناطة الحكم فيه بمطلق الحدث و تفسيره المذكورات يشهد بخلافه، فالظاهر كون متعلّق</w:t>
      </w:r>
    </w:p>
    <w:p>
      <w:pPr>
        <w:pStyle w:val="BookText"/>
        <w:rPr/>
      </w:pPr>
      <w:r>
        <w:rPr>
          <w:rFonts w:ascii="Amiri" w:hAnsi="Amiri" w:eastAsia="Amiri" w:cs="Amiri"/>
          <w:color w:val="111111"/>
          <w:sz w:val="28"/>
          <w:sz w:val="28"/>
          <w:szCs w:val="28"/>
          <w:rtl w:val="true"/>
          <w:lang w:bidi="ar-SA"/>
        </w:rPr>
        <w:t>الرضا الملك، إذ لولاه لما جاز له التصرف، و هو من باب الإمضاء الفعليّ للملك بعد العقد اللفظيّ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يفيد الملك المطلق الشامل لما يكون للمشتري فسخه و رفع اليد عنه، و لا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لوازم الملك و إجراء آثاره و تقبّل أحكامه، و التصرف المذكور من آثار الملك، فهو إمضاء فعليّ و قبول عمليّ للملك بعد العقد، فهو التزام بأحد طرفي الخيار، من قطع الملك و إبقائه، و لو في حال هذا التصرف الذي لا يجوز لغير المالك، فهو ملتزم بالملك، بل لزومه في يده في حال هذا التصرف المقصود، فلا يعود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هذا الالتزام بالملك الذي فسّره بالتصرف المحرم على غير المالك قبل العقد مزيلا للخيار، من قبيل إجازة الفضولي التي لا يعود بعدها التزلزل، فالمعيار في التصرف المسقط للخيار ما لا يجوز لغير المالك إلّا برضاه، و أما ما جاز له و لو بشاهد الحال بإذنه و رضاه من غير جهة الملك، فلا يسقط به، لعدم كونه من آثار الملك، فليس إمضاء له و لا رضى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للحفظ و التعليف مع الضرورة و الحاجة، و ما وقع اشتباها بدابة نفسه، و نحو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يسقط بعرضه على البيع؟ الأقرب لا، لعدم وقوع التصرف إلّا إذا دلّ على الالتزام باللزوم، فيكون من قبيل إسقاطه الخيار باللفظ</w:t>
      </w:r>
      <w:r>
        <w:rPr>
          <w:rFonts w:eastAsia="Amiri" w:cs="Amiri" w:ascii="Amiri" w:hAnsi="Amiri"/>
          <w:color w:val="111111"/>
          <w:sz w:val="28"/>
          <w:szCs w:val="28"/>
          <w:rtl w:val="true"/>
          <w:lang w:bidi="ar-SA"/>
        </w:rPr>
        <w:t>.</w:t>
      </w:r>
      <w:bookmarkStart w:id="307" w:name="pg2497_12250"/>
    </w:p>
    <w:p>
      <w:pPr>
        <w:pStyle w:val="Heading2"/>
        <w:numPr>
          <w:ilvl w:val="1"/>
          <w:numId w:val="1"/>
        </w:numPr>
        <w:rPr/>
      </w:pPr>
      <w:bookmarkStart w:id="308" w:name="__RefHeading___Toc3861991_3804643083"/>
      <w:bookmarkStart w:id="309" w:name="_Toc118"/>
      <w:bookmarkEnd w:id="307"/>
      <w:bookmarkEnd w:id="308"/>
      <w:r>
        <w:rPr>
          <w:rtl w:val="true"/>
        </w:rPr>
        <w:t>[</w:t>
      </w:r>
      <w:r>
        <w:rPr>
          <w:rtl w:val="true"/>
        </w:rPr>
        <w:t>المشرق الثامن عشر</w:t>
      </w:r>
      <w:r>
        <w:rPr>
          <w:rtl w:val="true"/>
        </w:rPr>
        <w:t>] [</w:t>
      </w:r>
      <w:r>
        <w:rPr>
          <w:rtl w:val="true"/>
        </w:rPr>
        <w:t>في خيار الشرط</w:t>
      </w:r>
      <w:r>
        <w:rPr>
          <w:rtl w:val="true"/>
        </w:rPr>
        <w:t>]</w:t>
      </w:r>
      <w:bookmarkEnd w:id="309"/>
    </w:p>
    <w:p>
      <w:pPr>
        <w:pStyle w:val="Heading3"/>
        <w:numPr>
          <w:ilvl w:val="2"/>
          <w:numId w:val="1"/>
        </w:numPr>
        <w:rPr/>
      </w:pPr>
      <w:bookmarkStart w:id="310" w:name="__RefHeading___Toc3861993_3804643083"/>
      <w:bookmarkStart w:id="311" w:name="_Toc119"/>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الخيارات خيار الشرط، أي الثابت بسبب العقد لأحدهما أو لكليهما أو لأجنبيّ عن أحدهما أو عنهما، مع أحدهما أو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861995_3804643083"/>
      <w:bookmarkStart w:id="313" w:name="_Toc120"/>
      <w:bookmarkEnd w:id="312"/>
      <w:r>
        <w:rPr>
          <w:rtl w:val="true"/>
        </w:rPr>
        <w:t>المسألة الأولى</w:t>
      </w:r>
      <w:r>
        <w:rPr>
          <w:rtl w:val="true"/>
        </w:rPr>
        <w:t xml:space="preserve">: </w:t>
      </w:r>
      <w:r>
        <w:rPr>
          <w:rtl w:val="true"/>
        </w:rPr>
        <w:t>لا خلاف في صحّة هذا الشرط في العقود في الجملة،</w:t>
      </w:r>
      <w:bookmarkEnd w:id="313"/>
    </w:p>
    <w:p>
      <w:pPr>
        <w:pStyle w:val="BookText"/>
        <w:rPr/>
      </w:pPr>
      <w:r>
        <w:rPr>
          <w:rFonts w:ascii="Amiri" w:hAnsi="Amiri" w:eastAsia="Amiri" w:cs="Amiri"/>
          <w:color w:val="111111"/>
          <w:sz w:val="28"/>
          <w:sz w:val="28"/>
          <w:szCs w:val="28"/>
          <w:rtl w:val="true"/>
          <w:lang w:bidi="ar-SA"/>
        </w:rPr>
        <w:t>بل عليه الإجماع، محقّقا و محكيا مستفيضا، لعموم أدلة الشرط،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استشكل في الاستدلال به، بأنّه من باب شرط حكم يخالف الكتاب و السنة، و يحلّل الحرام، و هما مستثنيان عن أخبار الشروط، لأنّه تسليط على نقض سببية العقد الثابتة في الشرع</w:t>
      </w:r>
      <w:r>
        <w:rPr>
          <w:rFonts w:eastAsia="Amiri" w:cs="Amiri" w:ascii="Amiri" w:hAnsi="Amiri"/>
          <w:color w:val="111111"/>
          <w:sz w:val="28"/>
          <w:szCs w:val="28"/>
          <w:rtl w:val="true"/>
          <w:lang w:bidi="ar-SA"/>
        </w:rPr>
        <w:t>.</w:t>
      </w:r>
      <w:bookmarkStart w:id="314" w:name="pg2497_12251"/>
    </w:p>
    <w:p>
      <w:pPr>
        <w:pStyle w:val="BookText"/>
        <w:rPr/>
      </w:pPr>
      <w:bookmarkEnd w:id="314"/>
      <w:r>
        <w:rPr>
          <w:rFonts w:ascii="Amiri" w:hAnsi="Amiri" w:eastAsia="Amiri" w:cs="Amiri"/>
          <w:color w:val="111111"/>
          <w:sz w:val="28"/>
          <w:sz w:val="28"/>
          <w:szCs w:val="28"/>
          <w:rtl w:val="true"/>
          <w:lang w:bidi="ar-SA"/>
        </w:rPr>
        <w:t>و يندفع بأنّ هنا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العقد للفسخ شرعا، و قابليته له بالتراضي و التقايل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تراضي المتعاقدين في العقد على سلطنة أحدهما أو كليهما على الفسخ بمعنى الالتزام بكون أمره بيده، و ما لا يصحّ الاستدلال عليه بأدلة الشرط هو الأوّل، لأنّه تشريع حكم ليس بجعلهما </w:t>
      </w:r>
      <w:r>
        <w:rPr>
          <w:rStyle w:val="FootnoteAnchor"/>
          <w:rtl w:val="true"/>
        </w:rPr>
        <w:footnoteReference w:id="824"/>
      </w:r>
      <w:r>
        <w:rPr>
          <w:rFonts w:ascii="Amiri" w:hAnsi="Amiri" w:eastAsia="Amiri" w:cs="Amiri"/>
          <w:color w:val="111111"/>
          <w:sz w:val="28"/>
          <w:sz w:val="28"/>
          <w:szCs w:val="28"/>
          <w:rtl w:val="true"/>
          <w:lang w:bidi="ar-SA"/>
        </w:rPr>
        <w:t>، فلا يقع مورد الشرط، كجعل الخيار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الإيقاعات، و أما الثاني فحيث علم من الخارج شرعية التقايل فيه بالتراضي، و صحته بعد العقد، جاز بالشرط الالتزام به بجعله باختيار أحدهما، كما في أمثال البيع و الإجارة و نحوهما القابلة للتقايل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مشروعية الفسخ لا بدّ له من دليل خارج من أدلّة الشرط، و حيث علم مشروعية الفسخ فيه بالمراضاة بعد العقد، صحّ التراضي في العقد بجعله باختيار أحدهما بأدلّة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سيظهر أنّ الاستدلال بأدلّة الشرط على صحّة شرط الخيار في مطلق العقود إلّا ما خرج بدليل، ليس كما ينبغي، لاختلاف العقود في قابليتها للفسخ بالتقايل، فمنها ما يمتنع فيه شرعا، كالنكاح و غيره مما أشرنا إليه، فلا يصحّ الشرط فيه، و منها ما ثبت فيه و جاز قطعا، و منها ما اختلف فيه، كالوقف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المتضمّن لمعنى الإبراء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الاستدلال بأدلة الشرط فيه أيضا، إلّا بإثبات </w:t>
      </w:r>
      <w:r>
        <w:rPr>
          <w:rStyle w:val="FootnoteAnchor"/>
          <w:rtl w:val="true"/>
        </w:rPr>
        <w:footnoteReference w:id="825"/>
      </w:r>
      <w:r>
        <w:rPr>
          <w:rFonts w:ascii="Amiri" w:hAnsi="Amiri" w:eastAsia="Amiri" w:cs="Amiri"/>
          <w:color w:val="111111"/>
          <w:sz w:val="28"/>
          <w:sz w:val="28"/>
          <w:szCs w:val="28"/>
          <w:rtl w:val="true"/>
          <w:lang w:bidi="ar-SA"/>
        </w:rPr>
        <w:t>قبوله الفسخ اختيارا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861997_3804643083"/>
      <w:bookmarkStart w:id="316" w:name="_Toc121"/>
      <w:bookmarkEnd w:id="315"/>
      <w:r>
        <w:rPr>
          <w:rtl w:val="true"/>
        </w:rPr>
        <w:t>المسألة الثانية</w:t>
      </w:r>
      <w:r>
        <w:rPr>
          <w:rtl w:val="true"/>
        </w:rPr>
        <w:t xml:space="preserve">: </w:t>
      </w:r>
      <w:r>
        <w:rPr>
          <w:rtl w:val="true"/>
        </w:rPr>
        <w:t>يشترط في صحة شرط الخيار ضبط المدّة،</w:t>
      </w:r>
      <w:bookmarkEnd w:id="3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تراضيا بمدّة مجهولة بطل، بلا خلاف، بل نقل عليه الإجماع غير واحد، فهو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Amiri" w:hAnsi="Amiri" w:eastAsia="Amiri" w:cs="Amiri"/>
          <w:color w:val="111111"/>
          <w:sz w:val="28"/>
          <w:sz w:val="28"/>
          <w:szCs w:val="28"/>
          <w:rtl w:val="true"/>
          <w:lang w:bidi="ar-SA"/>
        </w:rPr>
        <w:t>لزوم الغرر و صيرورة المعاملة غررية، بل نفس الشرط مع قطع النظر عن غرر المعاملة يشمله دليل نفي الغرر أيضا،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بمسامحة العرف في بعض المعاملات، كتحديدهم إلى الحصاد و نحوه، إذ ليس هو على الكلّية، و لذا يداقّون في مقام الحاجة و حصول الفائدة بساعة و ساعتين، و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يختلط الأمر في حدّ انضباط المدّة، فإنّك تريهم يجوزون التحديد بشهر أو سنة، كما هو مدلول أخبار بيع الخيار، و لا خلاف فيه ظاهرا، مع أنّها يحتمل الزيادة و النقيصة بيوم أو أكثر، و لا يجوّزون التحديد بقدوم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التفاوت المحتمل فيه هذا المقدار، فما الفارق بينهما؟ بل الظاهر عدم تجويزهم التحديد بيوم معيّن لا يعرف، كعيد المولود، و يوم دحو الأرض، مع اشتراك الجميع في التعين الواقعي و الجهل الظاهري الذي يناط به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ضبط المدّة لا ينحصر في تعيّن الامتداد الزمانيّ، و إلّا لزم أن لا يصحّ التقدير باليوم إذا لم يعلم عدد ساعاته، بل بمطلق ما يقدر به المدة عرفا و يضبطونها به، سواء كان من الساعات أو الأيام أو الشهور أو الأعوام، فإنّ كلّ ذلك من مقادير المدة عرفا، و يتسامحون في التفاوت الذي قد يتّفق بينها، و به ينتفي الغرر الذي مناطه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تعيينها بسائر الأحوال، كالعيد و وقت الكسوف و نحوهما، فلا يصحّ إلّا مع العلم بوقتها من الشهر، إذ لا فرق بينها و بين ما وقع الاتفاق على المنع فيه بقدوم حاج البلد و إدراك ثمراته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لا يصحّ ذكر المدّة المجهولة لا يصحّ إهمال المدّة أيضا على الأظهر الأشهر بين من تأخر، لاشتراكهما في الغرر، خلافا لكثير من القدماء، تنزيلا لها</w:t>
      </w:r>
      <w:bookmarkStart w:id="317" w:name="pg2497_12253"/>
    </w:p>
    <w:p>
      <w:pPr>
        <w:pStyle w:val="BookText"/>
        <w:rPr/>
      </w:pPr>
      <w:bookmarkEnd w:id="317"/>
      <w:r>
        <w:rPr>
          <w:rFonts w:ascii="Amiri" w:hAnsi="Amiri" w:eastAsia="Amiri" w:cs="Amiri"/>
          <w:color w:val="111111"/>
          <w:sz w:val="28"/>
          <w:sz w:val="28"/>
          <w:szCs w:val="28"/>
          <w:rtl w:val="true"/>
          <w:lang w:bidi="ar-SA"/>
        </w:rPr>
        <w:t>بثلاثة أيام، لوجوه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يشترط تعيين آخر المدة يشترط تعيين مبدأها أيضا، و لو مع الفصل عن العقد الذي يقتضي صحّته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أطلق، كان مبدأ الخيار من حين العقد، لكونه المتبادر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w:t>
      </w:r>
      <w:r>
        <w:rPr>
          <w:rStyle w:val="FootnoteAnchor"/>
          <w:rtl w:val="true"/>
        </w:rPr>
        <w:footnoteReference w:id="826"/>
      </w:r>
      <w:r>
        <w:rPr>
          <w:rFonts w:ascii="Amiri" w:hAnsi="Amiri" w:eastAsia="Amiri" w:cs="Amiri"/>
          <w:color w:val="111111"/>
          <w:sz w:val="28"/>
          <w:sz w:val="28"/>
          <w:szCs w:val="28"/>
          <w:rtl w:val="true"/>
          <w:lang w:bidi="ar-SA"/>
        </w:rPr>
        <w:t xml:space="preserve">و الحلّي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 في البيع من حين التفرق، و لا دليل عليه، مع كونه مجهولا مؤدّيا إلى جهالة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خيار المجلس قبله غير مانع من ثبوته أيضا، كما في اجتماع الخيارين في الحيوان المتفق عليه، مضافا إلى أنّه حكم على المتعاقدين على خلاف قصدهما</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3861999_3804643083"/>
      <w:bookmarkStart w:id="319" w:name="_Toc122"/>
      <w:bookmarkEnd w:id="318"/>
      <w:r>
        <w:rPr>
          <w:rtl w:val="true"/>
        </w:rPr>
        <w:t>المسألة الثالثة</w:t>
      </w:r>
      <w:r>
        <w:rPr>
          <w:rtl w:val="true"/>
        </w:rPr>
        <w:t xml:space="preserve">: </w:t>
      </w:r>
      <w:r>
        <w:rPr>
          <w:rtl w:val="true"/>
        </w:rPr>
        <w:t>يجوز تقييد الفسخ المشروط خياره بالمدّة المعيّنة بشي‌ء يقترن به،</w:t>
      </w:r>
      <w:bookmarkEnd w:id="319"/>
    </w:p>
    <w:p>
      <w:pPr>
        <w:pStyle w:val="BookText"/>
        <w:rPr/>
      </w:pPr>
      <w:r>
        <w:rPr>
          <w:rFonts w:ascii="Amiri" w:hAnsi="Amiri" w:eastAsia="Amiri" w:cs="Amiri"/>
          <w:color w:val="111111"/>
          <w:sz w:val="28"/>
          <w:sz w:val="28"/>
          <w:szCs w:val="28"/>
          <w:rtl w:val="true"/>
          <w:lang w:bidi="ar-SA"/>
        </w:rPr>
        <w:t>و إن جهل وقت حصول القيد في أثناء المدة، و لا يتوهّم استلزامه الجهل بمدّة الخيار، إمّا بدوا كشرط الخيار إلى سنة عند وقوع أمر كذا فيها، أو غاية كشرطه إليها إذا لم يتفق الأمر فيها، فلا يعلم متى يحصل الخيار أو ينقضي فيها، لعدم الجهل بالمدة المقدّرة على حسب الشرط</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يكون متعلّقه المختار فيه فسخ مقيّد بوصف مخصوص، فمتى حصل الوصف في المدّة صحّ فسخه، بخلافها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يختلف الأحكام الشرعية بموضوعاتها باختلاف العنوانات، و يكفيك شاهدا على صحّته، أخبار بيع الخيار بردّ الثمن إلى مدّة سنة و نحوها، مع أنّ الظاهر عدم الخلاف في بطلان تعليقه بأداء الثمن من غير ضبط المدّة، و تصريحهم ببطلان جعل مبدأ الخيار من حين التصرف إلى سنة، مع أنّه لا ينبغي التأمل في صحّة جعله من</w:t>
      </w:r>
      <w:bookmarkStart w:id="320" w:name="pg2497_12254"/>
    </w:p>
    <w:p>
      <w:pPr>
        <w:pStyle w:val="BookText"/>
        <w:rPr/>
      </w:pPr>
      <w:bookmarkEnd w:id="320"/>
      <w:r>
        <w:rPr>
          <w:rFonts w:ascii="Amiri" w:hAnsi="Amiri" w:eastAsia="Amiri" w:cs="Amiri"/>
          <w:color w:val="111111"/>
          <w:sz w:val="28"/>
          <w:sz w:val="28"/>
          <w:szCs w:val="28"/>
          <w:rtl w:val="true"/>
          <w:lang w:bidi="ar-SA"/>
        </w:rPr>
        <w:t>حين العقد إلى سنة بشرط التفرّق أو كون الفسخ بمحضر زيد الغائب الذي لا يعلم وقت حضوره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القيد في مثل ردّ الثمن المنصوص علي صحّته في الفتاوى و الأخبار، و نحوه فعل ذي الخيار نفسه، لا يتفاوت به الحال، لإمكان عدم علمه بزمان قدرته، و عدم تعيينه من الأزمنة المقدورة، مع أنّه غير مقدور للمشروط عليه الذي هو أحد طرفي العقد، و لا يعلم متى تؤدّيه المشروط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الفرق بين تقييد الفسخ بقدوم الحاجّ في المدّة المضبوطة كسنة، و بين ضبط المدة بقدومهم، فيصحّ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جعل الخيار إلى حياة المشروط له، و يصحّ جعله إلى عشرة أو عشرين بشرط حياته، و لازمه عدم انتقال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البطلان في عدم ضبط المدة كقدوم الحاجّ مثلا حصول الغرر، و هو بعينه حاصل مع الجهل بوقت حصول قيد الفسخ، كقدومه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هو البيع الغرريّ، و هو فيما تعلّق بالمجهول، و لو هو شرطه في الجهل بالمدة، كما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تعلق بأمر معلوم و شرط معلوم بوصف معيّن، فلا غرر في نفس البيع و شرطه المقرّر، و إن لم يعلم حصول أصل هذا الوصف، فضلا عن وقت حصوله في المدة المعيّنة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يصحّ بيع الفرس الشارد، و يصحّ بيع فرس موصوف بمثل وصف هذا الفرس، و إن لم يعلم قدرة البائع على تحصيله أو زمان حصوله له</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862001_3804643083"/>
      <w:bookmarkStart w:id="322" w:name="_Toc123"/>
      <w:bookmarkEnd w:id="321"/>
      <w:r>
        <w:rPr>
          <w:rtl w:val="true"/>
        </w:rPr>
        <w:t>المسألة الرابعة</w:t>
      </w:r>
      <w:r>
        <w:rPr>
          <w:rtl w:val="true"/>
        </w:rPr>
        <w:t xml:space="preserve">: </w:t>
      </w:r>
      <w:r>
        <w:rPr>
          <w:rtl w:val="true"/>
        </w:rPr>
        <w:t>يصحّ أن يبيع شيئا و يشترط الخيار لنفسه مدّة معيّنة،</w:t>
      </w:r>
      <w:bookmarkEnd w:id="32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يردّ فيها الثمن، أو في آخرها، و يرجع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البيع المضاف إليه مع الخيار، لما</w:t>
      </w:r>
    </w:p>
    <w:p>
      <w:pPr>
        <w:pStyle w:val="BookText"/>
        <w:rPr/>
      </w:pPr>
      <w:r>
        <w:rPr>
          <w:rFonts w:ascii="Amiri" w:hAnsi="Amiri" w:eastAsia="Amiri" w:cs="Amiri"/>
          <w:color w:val="111111"/>
          <w:sz w:val="28"/>
          <w:sz w:val="28"/>
          <w:szCs w:val="28"/>
          <w:rtl w:val="true"/>
          <w:lang w:bidi="ar-SA"/>
        </w:rPr>
        <w:t xml:space="preserve">أشرنا إليه من العمومات </w:t>
      </w:r>
      <w:r>
        <w:rPr>
          <w:rStyle w:val="FootnoteAnchor"/>
          <w:rtl w:val="true"/>
        </w:rPr>
        <w:footnoteReference w:id="828"/>
      </w:r>
      <w:r>
        <w:rPr>
          <w:rFonts w:ascii="IRNazanin" w:hAnsi="IRNazanin" w:eastAsia="IRNazanin"/>
          <w:color w:val="111111"/>
          <w:sz w:val="28"/>
          <w:sz w:val="28"/>
          <w:szCs w:val="28"/>
          <w:rtl w:val="true"/>
          <w:lang w:bidi="fa-IR"/>
        </w:rPr>
        <w:t xml:space="preserve">، مضافا إلى خصوص النصوص </w:t>
      </w:r>
      <w:r>
        <w:rPr>
          <w:rStyle w:val="FootnoteAnchor"/>
          <w:rtl w:val="true"/>
        </w:rPr>
        <w:footnoteReference w:id="829"/>
      </w:r>
      <w:r>
        <w:rPr>
          <w:rFonts w:ascii="Amiri" w:hAnsi="Amiri" w:eastAsia="Amiri" w:cs="Amiri"/>
          <w:color w:val="111111"/>
          <w:sz w:val="28"/>
          <w:sz w:val="28"/>
          <w:szCs w:val="28"/>
          <w:rtl w:val="true"/>
          <w:lang w:bidi="ar-SA"/>
        </w:rPr>
        <w:t>المستفيضة الناطقة برجوع المبيع بردّ الثمن في المدّة المعيّنة إذا اشترط ذلك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المصرّحة </w:t>
      </w:r>
      <w:r>
        <w:rPr>
          <w:rStyle w:val="FootnoteAnchor"/>
          <w:rtl w:val="true"/>
        </w:rPr>
        <w:footnoteReference w:id="830"/>
      </w:r>
      <w:r>
        <w:rPr>
          <w:rFonts w:ascii="Amiri" w:hAnsi="Amiri" w:eastAsia="Amiri" w:cs="Amiri"/>
          <w:color w:val="111111"/>
          <w:sz w:val="28"/>
          <w:sz w:val="28"/>
          <w:szCs w:val="28"/>
          <w:rtl w:val="true"/>
          <w:lang w:bidi="ar-SA"/>
        </w:rPr>
        <w:t>بهذا الشرط لا يخلو في جليل النظر عن إجمال في حملها على كون الردّ شرطا لحصول الخيار، فيتوقف الرجوع إلى المبيع على الفسخ بعد الردّ، أو فسخا فعليا، أو قيدا للفسخ، بمعنى أنّ له الخيار في المدة المقرّرة على وجه مقارنة الفسخ لردّ الثمن أو تأخّره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ظاهرها الأخير كما فهمه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بعضهم على الثاني </w:t>
      </w:r>
      <w:r>
        <w:rPr>
          <w:rStyle w:val="FootnoteAnchor"/>
          <w:rtl w:val="true"/>
        </w:rPr>
        <w:footnoteReference w:id="831"/>
      </w:r>
      <w:r>
        <w:rPr>
          <w:rFonts w:ascii="Amiri" w:hAnsi="Amiri" w:eastAsia="Amiri" w:cs="Amiri"/>
          <w:color w:val="111111"/>
          <w:sz w:val="28"/>
          <w:sz w:val="28"/>
          <w:szCs w:val="28"/>
          <w:rtl w:val="true"/>
          <w:lang w:bidi="ar-SA"/>
        </w:rPr>
        <w:t>، استظهارا لدلالة عود المبيع بمجرّد ردّ الثمن الذي هو مدلول الأخبار، على كونه فسخا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بل على جعل الردّ شرطا لحصول الخيار يمكن القول بتحقق الفسخ بالفعل أيضا، و هو قبض المبيع بعد الردّ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مجرّد ردّ الثمن في الفسخ في 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نسب ذلك إلى ظاهر الأصحاب </w:t>
      </w:r>
      <w:r>
        <w:rPr>
          <w:rStyle w:val="FootnoteAnchor"/>
          <w:rtl w:val="true"/>
        </w:rPr>
        <w:footnoteReference w:id="832"/>
      </w:r>
      <w:r>
        <w:rPr>
          <w:rFonts w:ascii="Amiri" w:hAnsi="Amiri" w:eastAsia="Amiri" w:cs="Amiri"/>
          <w:color w:val="111111"/>
          <w:sz w:val="28"/>
          <w:sz w:val="28"/>
          <w:szCs w:val="28"/>
          <w:rtl w:val="true"/>
          <w:lang w:bidi="ar-SA"/>
        </w:rPr>
        <w:t>، فإن أريد به الخيار المشروط بالردّ، فله وجه، إلّا أن يختصّ ذلك بما إذا جعل ثبوت الخيار مشروطا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جعل قيدا مقترنا بالفسخ، فلا، لحصول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الردّ الذي هو فسخ فعليّ، فيتحقّق المقيد و القيد بوجود واحد، كما عرفت، سيما مع التصريح بذلك في شرط الخيار، بأنّه من بيع الخيار قطعا</w:t>
      </w:r>
      <w:r>
        <w:rPr>
          <w:rFonts w:eastAsia="Amiri" w:cs="Amiri" w:ascii="Amiri" w:hAnsi="Amiri"/>
          <w:color w:val="111111"/>
          <w:sz w:val="28"/>
          <w:szCs w:val="28"/>
          <w:rtl w:val="true"/>
          <w:lang w:bidi="ar-SA"/>
        </w:rPr>
        <w:t>.</w:t>
      </w:r>
      <w:bookmarkStart w:id="323" w:name="pg2497_12256"/>
    </w:p>
    <w:p>
      <w:pPr>
        <w:pStyle w:val="BookText"/>
        <w:rPr/>
      </w:pPr>
      <w:bookmarkEnd w:id="323"/>
      <w:r>
        <w:rPr>
          <w:rFonts w:ascii="Amiri" w:hAnsi="Amiri" w:eastAsia="Amiri" w:cs="Amiri"/>
          <w:color w:val="111111"/>
          <w:sz w:val="28"/>
          <w:sz w:val="28"/>
          <w:szCs w:val="28"/>
          <w:rtl w:val="true"/>
          <w:lang w:bidi="ar-SA"/>
        </w:rPr>
        <w:t>و إن أريد أنّ مجرّد الردّ لا يدلّ على الفسخ مطلقا، فهو من أغرب الأقاويل، سيما مع دعوى ظهور اتّفاقهم عليه، لاعترافهم بحصول الفسخ بفعل أخفى منه دلالة عليه، فكيف يدعى النفي مطلقا، سيما إذا اقترن الحال بما يشهد بقصده الفسخ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يدلّ عليه الأخبار المشار إليها، كرواية معاوية بن ميسرة </w:t>
      </w:r>
      <w:r>
        <w:rPr>
          <w:rStyle w:val="FootnoteAnchor"/>
          <w:rtl w:val="true"/>
        </w:rPr>
        <w:footnoteReference w:id="833"/>
      </w:r>
      <w:r>
        <w:rPr>
          <w:rFonts w:ascii="Amiri" w:hAnsi="Amiri" w:eastAsia="Amiri" w:cs="Amiri"/>
          <w:color w:val="111111"/>
          <w:sz w:val="28"/>
          <w:sz w:val="28"/>
          <w:szCs w:val="28"/>
          <w:rtl w:val="true"/>
          <w:lang w:bidi="ar-SA"/>
        </w:rPr>
        <w:t>، الناطقة بعود الملك بمجرّد ردّ الثمن، فإنّه لا يصحّ توجيهه إلّا بجعله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المقام مما لا يدلّ فيه مجرّد الردّ على الفسخ عرفا أمكن منع حصول الفسخ به، بل و إن علم قصده الفسخ به من غير دلالة ظاهرة عرفية له عليه، لاشتراط كون الفعل الفاسخ كاشفا عنه بالقرينة الظاهرة، و إلّا لاكتفى في الفسخ بالنيّة، إذا علم منه ذلك، من غير توقّف على الفعل الكاشف عنه، و هو خلاف 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الفعل في ذلك حكم ألفاظ العقود و الإيقاعات التي صرّحوا باشتراط كونها دالة على المعاملة المقصودة و كاشفا عنها دلالة ظاهرة لغوية أو عرفية، و لا يكفي مجرّد القصد بمطلق الألفاظ، و إن علم ذلك،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حصول الفسخ بغير ما ذكر من الفسخ الفعليّ ستظهر </w:t>
      </w:r>
      <w:r>
        <w:rPr>
          <w:rStyle w:val="FootnoteAnchor"/>
          <w:rtl w:val="true"/>
        </w:rPr>
        <w:footnoteReference w:id="834"/>
      </w:r>
      <w:r>
        <w:rPr>
          <w:rFonts w:ascii="Amiri" w:hAnsi="Amiri" w:eastAsia="Amiri" w:cs="Amiri"/>
          <w:color w:val="111111"/>
          <w:sz w:val="28"/>
          <w:sz w:val="28"/>
          <w:szCs w:val="28"/>
          <w:rtl w:val="true"/>
          <w:lang w:bidi="ar-SA"/>
        </w:rPr>
        <w:t>، كما هو كذا في الفسخ القوليّ</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862003_3804643083"/>
      <w:bookmarkStart w:id="325" w:name="_Toc124"/>
      <w:bookmarkEnd w:id="324"/>
      <w:r>
        <w:rPr>
          <w:rtl w:val="true"/>
        </w:rPr>
        <w:t>المسألة الخامسة</w:t>
      </w:r>
      <w:r>
        <w:rPr>
          <w:rtl w:val="true"/>
        </w:rPr>
        <w:t xml:space="preserve">: </w:t>
      </w:r>
      <w:r>
        <w:rPr>
          <w:rtl w:val="true"/>
        </w:rPr>
        <w:t>إذا لم يقبض البائع الثمن في بيع الخيار حتى انقضت المدة،</w:t>
      </w:r>
      <w:bookmarkEnd w:id="325"/>
    </w:p>
    <w:p>
      <w:pPr>
        <w:pStyle w:val="BookText"/>
        <w:rPr/>
      </w:pPr>
      <w:r>
        <w:rPr>
          <w:rFonts w:ascii="Amiri" w:hAnsi="Amiri" w:eastAsia="Amiri" w:cs="Amiri"/>
          <w:color w:val="111111"/>
          <w:sz w:val="28"/>
          <w:sz w:val="28"/>
          <w:szCs w:val="28"/>
          <w:rtl w:val="true"/>
          <w:lang w:bidi="ar-SA"/>
        </w:rPr>
        <w:t>معيّنا كان الثمن أو كلّيا في الذمّة، فهل له الخيار في المدّة أو مطلقا، أو ليس له خيار؟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عدم القبض في حكم الردّ، لاشتراكهما في الفائدة المقصودة، فله الخيار، و من أنّ الخيار شرط على تقدير الردّ المستلزم للقبض</w:t>
      </w:r>
      <w:bookmarkStart w:id="326" w:name="pg2497_12257"/>
    </w:p>
    <w:p>
      <w:pPr>
        <w:pStyle w:val="BookText"/>
        <w:rPr/>
      </w:pPr>
      <w:bookmarkEnd w:id="326"/>
      <w:r>
        <w:rPr>
          <w:rFonts w:ascii="Amiri" w:hAnsi="Amiri" w:eastAsia="Amiri" w:cs="Amiri"/>
          <w:color w:val="111111"/>
          <w:sz w:val="28"/>
          <w:sz w:val="28"/>
          <w:szCs w:val="28"/>
          <w:rtl w:val="true"/>
          <w:lang w:bidi="ar-SA"/>
        </w:rPr>
        <w:t>و معلّق عليه، و حيث لم يتحقّق حتى انقضت المدة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الوجهان بأنّ لازم الأوّل ثبوت الخيار منجّزا للبائع من حين وقوع العقد، حيث لم يقبض الثمن بعد، فيكون مسلطا على عدم قبول المثمن، و فسخ البيع و إن أقبضه المشتري، و هو خلاف التعاهد منهما المعقود عليه، و استلزم الثاني كون ثبوت الخيار للبائع بعد العقد بيد المشتري، لاستلزامه لزوم البيع على البائع إذا لم يقبضه المشتري،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الخيار، لكن لا خيار الشرط بل خيار الاشتراط بعد انقضاء المدّة، نظرا إلى أنّ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المتبايعين من إثبات الخيار للبائع بعد ردّه الثمن إرفاقا له التزام المشتري بهذا الشرط على إعطاء الثمن إيّاه في المدّة المقرّرة التي يتوقّف عليه الخيار، و دلالته عليه التزاما لفظيا و مع عدم وفاء المشتري به كان للبائع بعد المدة خيار تخلفه عن الشرط</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862005_3804643083"/>
      <w:bookmarkStart w:id="328" w:name="_Toc125"/>
      <w:bookmarkEnd w:id="327"/>
      <w:r>
        <w:rPr>
          <w:rtl w:val="true"/>
        </w:rPr>
        <w:t>المسألة السادسة</w:t>
      </w:r>
      <w:r>
        <w:rPr>
          <w:rtl w:val="true"/>
        </w:rPr>
        <w:t xml:space="preserve">: </w:t>
      </w:r>
      <w:r>
        <w:rPr>
          <w:rtl w:val="true"/>
        </w:rPr>
        <w:t>إذا امتنع في بيع الخيار ردّ الثمن في زمانه إلى المشتري بنفسه أو وكيله أو وليّه لغيبته اختيارا أو اضطرارا أو نحوها،</w:t>
      </w:r>
      <w:bookmarkEnd w:id="328"/>
    </w:p>
    <w:p>
      <w:pPr>
        <w:pStyle w:val="BookText"/>
        <w:rPr/>
      </w:pPr>
      <w:r>
        <w:rPr>
          <w:rFonts w:ascii="Amiri" w:hAnsi="Amiri" w:eastAsia="Amiri" w:cs="Amiri"/>
          <w:color w:val="111111"/>
          <w:sz w:val="28"/>
          <w:sz w:val="28"/>
          <w:szCs w:val="28"/>
          <w:rtl w:val="true"/>
          <w:lang w:bidi="ar-SA"/>
        </w:rPr>
        <w:t>فهل يحصل الشرط بردّه إلى الحاكم، كما يظهر من المحقق القمّي، في أجوبة مسائله،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معاصريه في المناهل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 بعضهم كونه أمانة في يد البائع، بل ادّعى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أنّه إن صرّح في الشرط بردّ الثمن إلى بدل المشتري كوكيله المطلق أو الحاكم أو عدول المؤمنين، فهو، و يحصل الفسخ بردّه إليه، و إن لم يصرّح به، فالمعتبر قصد المتبايعين بملاحظة قرائن المقام و شواهد الحال، فإن كان خصوص المشتري بنفسه، كما عند التصريح به، فلا يقوم غيره مقامه في حصول الشرط بردّه إليه،</w:t>
      </w:r>
    </w:p>
    <w:p>
      <w:pPr>
        <w:pStyle w:val="BookText"/>
        <w:rPr/>
      </w:pPr>
      <w:r>
        <w:rPr>
          <w:rFonts w:ascii="Amiri" w:hAnsi="Amiri" w:eastAsia="Amiri" w:cs="Amiri"/>
          <w:color w:val="111111"/>
          <w:sz w:val="28"/>
          <w:sz w:val="28"/>
          <w:szCs w:val="28"/>
          <w:rtl w:val="true"/>
          <w:lang w:bidi="ar-SA"/>
        </w:rPr>
        <w:t>و تضرّر البائع بسقوط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بإقدامه عليه، و إن كان المقصود رجوع الثمن إلى ملك المشتري كيف اتّفق، كما هو الظاهر من حال الناس في المبايعات الخياريّة غالبا، فيقوم الوليّ مقامه عند تعذّر الردّ إليه، إذ له التصرّف في حفظ مال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إنما يتصرّف في مال الغائب على وجه المصلحة، و قبض الثمن الموجب لرفع تسلّط الغائب خلاف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تصرّفا اختياريا من قبل الوليّ حتى يناط بالمصلحة، بل البائع حيث وجد من هو منصوب شرعا لحفظ مال الغائب صحّ له الفسخ إذ لا يعتبر فيه قبول المشتري أو وليّه للثمن،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ولايته في القبول متوقفة على المصلحة، بل المعتبر تمكين المشتري أو وليّه منه إذا جعل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بأنّ الفسخ لا يحصل إلّا بقبض الوليّ الذي هو في حكم الردّ المتوقف عليه الفسخ، و ما لم يتحقّق لا يصير الثمن مال الغائب، حتى كان على الوليّ حفظه بصيرورته ملكا له بعد تمكين الوليّ من قبضه، و هو خلاف مصلحة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الحاكم مقام الغائب في اختيار قبضه ليس من باب ولايته على مصلحة الغائب و حفظ ماله، حتى كان باختياره اللازم عليه رعاية المصلحة فيه، بل لنفي الضرر عن البائع، فكما وجب على المشتري التمكين من القبض، كذا يجب على الحاكم عند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اختصاصه بتلك النيابة الشرعية القهرية لكونه المتيقّن ممن احتمل نفوذ عمله شرعا في أمثال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مع عدم التمكن من الحاكم يصحّ من غيره من عدول المؤمنين، حذرا عن المحذور المذكور</w:t>
      </w:r>
      <w:r>
        <w:rPr>
          <w:rFonts w:eastAsia="Amiri" w:cs="Amiri" w:ascii="Amiri" w:hAnsi="Amiri"/>
          <w:color w:val="111111"/>
          <w:sz w:val="28"/>
          <w:szCs w:val="28"/>
          <w:rtl w:val="true"/>
          <w:lang w:bidi="ar-SA"/>
        </w:rPr>
        <w:t>.</w:t>
      </w:r>
      <w:bookmarkStart w:id="329" w:name="pg2497_12259"/>
    </w:p>
    <w:p>
      <w:pPr>
        <w:pStyle w:val="Heading3"/>
        <w:numPr>
          <w:ilvl w:val="2"/>
          <w:numId w:val="1"/>
        </w:numPr>
        <w:rPr/>
      </w:pPr>
      <w:bookmarkStart w:id="330" w:name="__RefHeading___Toc3862007_3804643083"/>
      <w:bookmarkStart w:id="331" w:name="_Toc126"/>
      <w:bookmarkEnd w:id="329"/>
      <w:bookmarkEnd w:id="330"/>
      <w:r>
        <w:rPr>
          <w:rtl w:val="true"/>
        </w:rPr>
        <w:t>المسألة السابعة</w:t>
      </w:r>
      <w:r>
        <w:rPr>
          <w:rtl w:val="true"/>
        </w:rPr>
        <w:t xml:space="preserve">: </w:t>
      </w:r>
      <w:r>
        <w:rPr>
          <w:rtl w:val="true"/>
        </w:rPr>
        <w:t>يجوز شرط البائع في بيع الخيار الفسخ في كل جزء بردّ ما يخصّه من الثمن كما صرّح به بعض الأجلّة،</w:t>
      </w:r>
      <w:bookmarkEnd w:id="331"/>
    </w:p>
    <w:p>
      <w:pPr>
        <w:pStyle w:val="BookText"/>
        <w:rPr/>
      </w:pPr>
      <w:r>
        <w:rPr>
          <w:rFonts w:ascii="Amiri" w:hAnsi="Amiri" w:eastAsia="Amiri" w:cs="Amiri"/>
          <w:color w:val="111111"/>
          <w:sz w:val="28"/>
          <w:sz w:val="28"/>
          <w:szCs w:val="28"/>
          <w:rtl w:val="true"/>
          <w:lang w:bidi="ar-SA"/>
        </w:rPr>
        <w:t>لعموم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عدم تجزي العقد فلا ينفسخ بعضه و يبقى بعض آخر، لأن العقد و إن كان واحدا إلّا أن متعلقه أمور متعدّدة غير ارتباطية، يستقلّ كلّ منها في حصول أثر العقد فيه، كما أشرنا إليه آنفا و بسطنا الكلام فيه سالفا، عند بيان عدم فساد العقد بفساد بعضه و حصول التبعّض منه، فلا يستلزم حلّ العقد بالنسبة إلى بعض حلّ الكلّ، فيصحّ وقوع الشرط عليه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عند إطلاق الشرط ينصرف إلى فسخ الكلّ، فالتجزئة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صحّة التجزئة بالنسبة إلى شروط سائر العقود، إلّا إذا منعه مانع</w:t>
      </w:r>
      <w:r>
        <w:rPr>
          <w:rFonts w:eastAsia="Amiri" w:cs="Amiri" w:ascii="Amiri" w:hAnsi="Amiri"/>
          <w:color w:val="111111"/>
          <w:sz w:val="28"/>
          <w:szCs w:val="28"/>
          <w:rtl w:val="true"/>
          <w:lang w:bidi="ar-SA"/>
        </w:rPr>
        <w:t>.</w:t>
      </w:r>
      <w:bookmarkStart w:id="332" w:name="pg2497_12260"/>
    </w:p>
    <w:p>
      <w:pPr>
        <w:pStyle w:val="Heading2"/>
        <w:numPr>
          <w:ilvl w:val="1"/>
          <w:numId w:val="1"/>
        </w:numPr>
        <w:rPr/>
      </w:pPr>
      <w:bookmarkStart w:id="333" w:name="__RefHeading___Toc3862009_3804643083"/>
      <w:bookmarkStart w:id="334" w:name="_Toc127"/>
      <w:bookmarkEnd w:id="332"/>
      <w:bookmarkEnd w:id="333"/>
      <w:r>
        <w:rPr>
          <w:rtl w:val="true"/>
        </w:rPr>
        <w:t>[</w:t>
      </w:r>
      <w:r>
        <w:rPr>
          <w:rtl w:val="true"/>
        </w:rPr>
        <w:t>المشرق التاسع عشر</w:t>
      </w:r>
      <w:r>
        <w:rPr>
          <w:rtl w:val="true"/>
        </w:rPr>
        <w:t>] [</w:t>
      </w:r>
      <w:r>
        <w:rPr>
          <w:rtl w:val="true"/>
        </w:rPr>
        <w:t>في خيار الغبن</w:t>
      </w:r>
      <w:r>
        <w:rPr>
          <w:rtl w:val="true"/>
        </w:rPr>
        <w:t>]</w:t>
      </w:r>
      <w:bookmarkEnd w:id="334"/>
    </w:p>
    <w:p>
      <w:pPr>
        <w:pStyle w:val="Heading3"/>
        <w:numPr>
          <w:ilvl w:val="2"/>
          <w:numId w:val="1"/>
        </w:numPr>
        <w:rPr/>
      </w:pPr>
      <w:bookmarkStart w:id="335" w:name="__RefHeading___Toc3862011_3804643083"/>
      <w:bookmarkStart w:id="336" w:name="_Toc128"/>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الخيارات خيار الغبن، و فيه مسائل</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3862013_3804643083"/>
      <w:bookmarkStart w:id="338" w:name="_Toc129"/>
      <w:bookmarkEnd w:id="337"/>
      <w:r>
        <w:rPr>
          <w:rtl w:val="true"/>
        </w:rPr>
        <w:t>المسألة الأولى</w:t>
      </w:r>
      <w:r>
        <w:rPr>
          <w:rtl w:val="true"/>
        </w:rPr>
        <w:t xml:space="preserve">: </w:t>
      </w:r>
      <w:r>
        <w:rPr>
          <w:rtl w:val="true"/>
        </w:rPr>
        <w:t>الغبن، تمليك ماله بما يزيد على قيمته عادة مع جهل الآخر</w:t>
      </w:r>
      <w:r>
        <w:rPr>
          <w:rtl w:val="true"/>
        </w:rPr>
        <w:t>.</w:t>
      </w:r>
      <w:bookmarkEnd w:id="338"/>
    </w:p>
    <w:p>
      <w:pPr>
        <w:pStyle w:val="BookText"/>
        <w:rPr/>
      </w:pPr>
      <w:r>
        <w:rPr>
          <w:rFonts w:ascii="Amiri" w:hAnsi="Amiri" w:eastAsia="Amiri" w:cs="Amiri"/>
          <w:color w:val="111111"/>
          <w:sz w:val="28"/>
          <w:sz w:val="28"/>
          <w:szCs w:val="28"/>
          <w:rtl w:val="true"/>
          <w:lang w:bidi="ar-SA"/>
        </w:rPr>
        <w:t>و يسمّى المملّك غابنا، و الآخر مغبونا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في تحقّقه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الزيادة عرفا و عادة، بحيث لا يتسامح به في العرف، بل كان التفاوت فاحشا، 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عليه أنّ الواحد بل الاثنين في العشرين لا يوجب الغبن، و وجهه، أنّ المناط فيه الغرر، و هو غير منضبط في الأغراض و المعاوضات عرفا باختلافات يسيرة فما يتسامح الناس فيه لا يبني عليه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يختلف القيم بلحوق بعض العوارض المتجدّدة في أشخاص الوقائع، فهي أيضا معتبرة في تشخيص الغبن و عدمه، كشرط خيار أو ضرورة ملجئة للمغبون و لو كانت شرعية، كشراء ماء الوضوء بأضعاف قيمته، و العبرة في ذلك بالضرر العرفيّ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 المغبون بالقيمة،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لكونه فيما فيه الانخداع، كما هو مفهومه لغة، و هو منتف إذا أقدم على ضرر نفسه</w:t>
      </w:r>
      <w:r>
        <w:rPr>
          <w:rFonts w:eastAsia="Amiri" w:cs="Amiri" w:ascii="Amiri" w:hAnsi="Amiri"/>
          <w:color w:val="111111"/>
          <w:sz w:val="28"/>
          <w:szCs w:val="28"/>
          <w:rtl w:val="true"/>
          <w:lang w:bidi="ar-SA"/>
        </w:rPr>
        <w:t>.</w:t>
      </w:r>
      <w:bookmarkStart w:id="339" w:name="pg2497_12261"/>
    </w:p>
    <w:p>
      <w:pPr>
        <w:pStyle w:val="BookText"/>
        <w:rPr/>
      </w:pPr>
      <w:bookmarkEnd w:id="339"/>
      <w:r>
        <w:rPr>
          <w:rFonts w:ascii="Amiri" w:hAnsi="Amiri" w:eastAsia="Amiri" w:cs="Amiri"/>
          <w:color w:val="111111"/>
          <w:sz w:val="28"/>
          <w:sz w:val="28"/>
          <w:szCs w:val="28"/>
          <w:rtl w:val="true"/>
          <w:lang w:bidi="ar-SA"/>
        </w:rPr>
        <w:t>و لا يتفاوت فيه الجهل البسيط و المركّب و الغفلة مع سبق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يستشكل في الشاك، لأنه إذا أقدم كان بانيا على تحمله، فهو في حكم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منافاته لإطلاق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أقدم عليه رجاء التساوي أو النفع، واثقا بثبوت الخيار له على ظهور الخلاف، فليس مثل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في العقد بالإلزام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ظهور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إسقاطا للغبن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حال العقد، فلا عبرة بالزيادة بعده، و لا يسقط بها خياره، و لو قبل اطلاعه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سقوطه لحصول تدارك الضرر الموجب للخيار قبل الردّ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حصل في ملكه، لا من تمليك الغابن الذي هو منشأ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الجهل يثبت بإقرار الغابن، و البيّنة، و بقول مدّعيه مع احتماله، و لو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العلم، و لا يعارضه أصل اللزوم، لكونها موضوعية، فهي واردة عليه و مزيلة له، و هو حكمي كما قررناه في محلّه</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3862015_3804643083"/>
      <w:bookmarkStart w:id="341" w:name="_Toc130"/>
      <w:bookmarkEnd w:id="340"/>
      <w:r>
        <w:rPr>
          <w:rtl w:val="true"/>
        </w:rPr>
        <w:t>المسألة الثانية</w:t>
      </w:r>
      <w:r>
        <w:rPr>
          <w:rtl w:val="true"/>
        </w:rPr>
        <w:t xml:space="preserve">: </w:t>
      </w:r>
      <w:r>
        <w:rPr>
          <w:rtl w:val="true"/>
        </w:rPr>
        <w:t>يثبت الخيار مع الشرطين على المعروف بين الأصحاب و المحكيّ عليه الإجماع مستفيضا</w:t>
      </w:r>
      <w:r>
        <w:rPr>
          <w:rtl w:val="true"/>
        </w:rPr>
        <w:t>.</w:t>
      </w:r>
      <w:bookmarkEnd w:id="341"/>
    </w:p>
    <w:p>
      <w:pPr>
        <w:pStyle w:val="BookText"/>
        <w:rPr/>
      </w:pPr>
      <w:r>
        <w:rPr>
          <w:rFonts w:ascii="Amiri" w:hAnsi="Amiri" w:eastAsia="Amiri" w:cs="Amiri"/>
          <w:color w:val="111111"/>
          <w:sz w:val="28"/>
          <w:sz w:val="28"/>
          <w:szCs w:val="28"/>
          <w:rtl w:val="true"/>
          <w:lang w:bidi="ar-SA"/>
        </w:rPr>
        <w:t xml:space="preserve">و في التذكرة احتجّ عليه بقوله تعالى إِلّٰا أَنْ تَكُونَ تِجٰارَةً عَنْ تَرٰاضٍ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تأمّل لكونه حقيقة في التراضي الفعليّ الحاصل عند العقد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بقوله تعالى وَ لٰا تَأْكُلُوا أَمْوٰالَكُمْ بَيْنَكُمْ بِالْبٰاطِلِ </w:t>
      </w:r>
      <w:r>
        <w:rPr>
          <w:rStyle w:val="FootnoteAnchor"/>
          <w:rtl w:val="true"/>
        </w:rPr>
        <w:footnoteReference w:id="837"/>
      </w:r>
      <w:r>
        <w:rPr>
          <w:rFonts w:ascii="Amiri" w:hAnsi="Amiri" w:eastAsia="Amiri" w:cs="Amiri"/>
          <w:color w:val="111111"/>
          <w:sz w:val="28"/>
          <w:sz w:val="28"/>
          <w:szCs w:val="28"/>
          <w:rtl w:val="true"/>
          <w:lang w:bidi="ar-SA"/>
        </w:rPr>
        <w:t>و هو مشكل أيضا، بل الأصل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علّل به في التذكرة </w:t>
      </w:r>
      <w:r>
        <w:rPr>
          <w:rStyle w:val="FootnoteAnchor"/>
          <w:rtl w:val="true"/>
        </w:rPr>
        <w:footnoteReference w:id="8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الضرر المنفيّ</w:t>
      </w:r>
      <w:bookmarkStart w:id="342" w:name="pg2497_12262"/>
    </w:p>
    <w:p>
      <w:pPr>
        <w:pStyle w:val="BookText"/>
        <w:rPr/>
      </w:pPr>
      <w:bookmarkEnd w:id="342"/>
      <w:r>
        <w:rPr>
          <w:rFonts w:ascii="Amiri" w:hAnsi="Amiri" w:eastAsia="Amiri" w:cs="Amiri"/>
          <w:color w:val="111111"/>
          <w:sz w:val="28"/>
          <w:sz w:val="28"/>
          <w:szCs w:val="28"/>
          <w:rtl w:val="true"/>
          <w:lang w:bidi="ar-SA"/>
        </w:rPr>
        <w:t>لولاه فإنّ لزوم المعاملة الغبنية مع جهل المغبون حكم ضرريّ منفيّ في الإسلام، و نفيه وارد على حكم لزوم البيع، حسب ما تقرّر في مقامه و ليس له إلزام الغابن بردّ الزائد، لأنه ضرر عليه مع تمكنه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نقض البيع و هل هو إلّا كإجبار الإنسان على بيع ماله و رفع تسلطه عنه؟</w:t>
      </w:r>
    </w:p>
    <w:p>
      <w:pPr>
        <w:pStyle w:val="BookText"/>
        <w:rPr/>
      </w:pPr>
      <w:r>
        <w:rPr>
          <w:rFonts w:ascii="Amiri" w:hAnsi="Amiri" w:eastAsia="Amiri" w:cs="Amiri"/>
          <w:color w:val="111111"/>
          <w:sz w:val="28"/>
          <w:sz w:val="28"/>
          <w:szCs w:val="28"/>
          <w:rtl w:val="true"/>
          <w:lang w:bidi="ar-SA"/>
        </w:rPr>
        <w:t xml:space="preserve">نعم، مع بذله الأرش اختيارا يشكل الحكم بثبوت الخيار للمغبون، لانجبار ضرره به، كما عليه جماعة منهم والدي العلّامة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الإيضاح </w:t>
      </w:r>
      <w:r>
        <w:rPr>
          <w:rStyle w:val="FootnoteAnchor"/>
          <w:rtl w:val="true"/>
        </w:rPr>
        <w:footnoteReference w:id="840"/>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41"/>
      </w:r>
      <w:r>
        <w:rPr>
          <w:rFonts w:ascii="Amiri" w:hAnsi="Amiri" w:eastAsia="Amiri" w:cs="Amiri"/>
          <w:color w:val="111111"/>
          <w:sz w:val="28"/>
          <w:sz w:val="28"/>
          <w:szCs w:val="28"/>
          <w:rtl w:val="true"/>
          <w:lang w:bidi="ar-SA"/>
        </w:rPr>
        <w:t>من الاستدلال على عدم سقوط خياره مع الأرش، بالاستصحاب، و بأنّ بذل التفاوت لا يخرج المعاملة عن كونها غبنية، لأنها هبة مستقلّة، حتى أنّه لو دفعه على وجه الاستحقاق لم يحلّ أخذه، يضعّف بمنع ثبوت الخيار أوّلا حتّى يستصحب، لأن الضرر الموجب له يختصّ بصورة امتناع الغابن عن بذل التفاوت، فالشكّ يرجع إلى المقتضى الثانويّ الممنوع عنه الاستصحاب، و يمنع كون البذل هبة مستقلة، كما ليس جزء للعوض، بل كما قيل يمكن كونه غرامة لما فات على المغبون و تداركا لما فات عنه، لئلا يحصل الخيار الناشئ منه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3862017_3804643083"/>
      <w:bookmarkStart w:id="344" w:name="_Toc131"/>
      <w:bookmarkEnd w:id="343"/>
      <w:r>
        <w:rPr>
          <w:rtl w:val="true"/>
        </w:rPr>
        <w:t>المسألة الثالثة</w:t>
      </w:r>
      <w:r>
        <w:rPr>
          <w:rtl w:val="true"/>
        </w:rPr>
        <w:t xml:space="preserve">: </w:t>
      </w:r>
      <w:r>
        <w:rPr>
          <w:rtl w:val="true"/>
        </w:rPr>
        <w:t>الظاهر</w:t>
      </w:r>
      <w:r>
        <w:rPr>
          <w:rtl w:val="true"/>
        </w:rPr>
        <w:t xml:space="preserve">: </w:t>
      </w:r>
      <w:r>
        <w:rPr>
          <w:rtl w:val="true"/>
        </w:rPr>
        <w:t>أنّ الخيار منوط بالغبن واقعا</w:t>
      </w:r>
      <w:bookmarkEnd w:id="344"/>
    </w:p>
    <w:p>
      <w:pPr>
        <w:pStyle w:val="BookText"/>
        <w:rPr/>
      </w:pPr>
      <w:r>
        <w:rPr>
          <w:rFonts w:ascii="Amiri" w:hAnsi="Amiri" w:eastAsia="Amiri" w:cs="Amiri"/>
          <w:color w:val="111111"/>
          <w:sz w:val="28"/>
          <w:sz w:val="28"/>
          <w:szCs w:val="28"/>
          <w:rtl w:val="true"/>
          <w:lang w:bidi="ar-SA"/>
        </w:rPr>
        <w:t>و إن كان قبل ظهوره للمغبون و توقف سلطنته الفعلية، و تدارك هذا الحقّ الواقعي على ظهوره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 بعض العبارات من أنّ ثبوته بعد ظهور الغبن، يمكن حمله على التسلط الفعلي المشروط بالعلم، من قبيل العلم بحكم خيار الحيوان، و يشعر به</w:t>
      </w:r>
      <w:bookmarkStart w:id="345" w:name="pg2497_12263"/>
    </w:p>
    <w:p>
      <w:pPr>
        <w:pStyle w:val="BookText"/>
        <w:rPr/>
      </w:pPr>
      <w:bookmarkEnd w:id="345"/>
      <w:r>
        <w:rPr>
          <w:rFonts w:ascii="Amiri" w:hAnsi="Amiri" w:eastAsia="Amiri" w:cs="Amiri"/>
          <w:color w:val="111111"/>
          <w:sz w:val="28"/>
          <w:sz w:val="28"/>
          <w:szCs w:val="28"/>
          <w:rtl w:val="true"/>
          <w:lang w:bidi="ar-SA"/>
        </w:rPr>
        <w:t>تعليلهم المنع من التصرفات الناقلة قبل ظهور الخيار بكونها مفوتة لحق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الثمرة في صحّة إسقاطه في ضمن العقد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862019_3804643083"/>
      <w:bookmarkStart w:id="347" w:name="_Toc132"/>
      <w:bookmarkEnd w:id="346"/>
      <w:r>
        <w:rPr>
          <w:rtl w:val="true"/>
        </w:rPr>
        <w:t>المسألة الرابعة</w:t>
      </w:r>
      <w:r>
        <w:rPr>
          <w:rtl w:val="true"/>
        </w:rPr>
        <w:t xml:space="preserve">: </w:t>
      </w:r>
      <w:r>
        <w:rPr>
          <w:rtl w:val="true"/>
        </w:rPr>
        <w:t>يسقط خيار الغبن بأمور</w:t>
      </w:r>
      <w:r>
        <w:rPr>
          <w:rtl w:val="true"/>
        </w:rPr>
        <w:t>:</w:t>
      </w:r>
      <w:bookmarkEnd w:id="347"/>
    </w:p>
    <w:p>
      <w:pPr>
        <w:pStyle w:val="Heading4"/>
        <w:numPr>
          <w:ilvl w:val="3"/>
          <w:numId w:val="1"/>
        </w:numPr>
        <w:rPr/>
      </w:pPr>
      <w:bookmarkStart w:id="348" w:name="__RefHeading___Toc3862021_3804643083"/>
      <w:bookmarkStart w:id="349" w:name="_Toc133"/>
      <w:bookmarkEnd w:id="348"/>
      <w:r>
        <w:rPr>
          <w:rtl w:val="true"/>
        </w:rPr>
        <w:t>الأوّل</w:t>
      </w:r>
      <w:r>
        <w:rPr>
          <w:rtl w:val="true"/>
        </w:rPr>
        <w:t xml:space="preserve">: </w:t>
      </w:r>
      <w:r>
        <w:rPr>
          <w:rtl w:val="true"/>
        </w:rPr>
        <w:t>التصرف، بلا خلاف فيه في الجملة</w:t>
      </w:r>
      <w:r>
        <w:rPr>
          <w:rtl w:val="true"/>
        </w:rPr>
        <w:t>.</w:t>
      </w:r>
      <w:bookmarkEnd w:id="349"/>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إمّا من الغابن، فيما وصل إليه، أو من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تصرف الغابن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بقاء خيار المغبون معه و لو مع تلف العين، للاستصحاب، و لنفي الضرر الذي هو مناط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التلف، لما سيأتي في البحث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الضرر بإجبار الغابن على الأرش ضرر عليه، كما مرّ، فلا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تصرفه إمّا بإخراجه عن ملكه، أو بتغيره العين، أو بإتلافه، أو بتلفه بآفة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بإخراجه عن ملكه، كالوقف و العتق و البيع اللازم و نحوها، ففي تسلّط المغبون بخياره على إبطال المعاملة المتجدّدة، كما في الرهن و الشفعة، نظرا إلى تعلّق حقّ الغير بالعين، فيوجب تزلزله من رأس أو من حين ظهور الخيار، أو على رجوعه إلى البدل،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 لوقوع العقد الثاني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تعلّق حقّ الغير بالعين إنما هو مع بقاءها على ملكه عند الفسخ، و مع عدمه يتعلق حقه بالبدل الذي لا ينافيه الخيار، كما أشرنا إليه، و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حقّه إعادة العين إلى ملكه، لأنه لو سلم ذلك، فهو في الخيارات التعبدية، لا الغررية، مع أنه فيها على الإطلاق محل كلام أيضا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الخيار الذي منشأه نفي الضرر، كما في الفرض فلا يقتضيه، لحصول جبره بالبدل، فلا يعارض دليل الخيار أدلّة لزوم تلك المعاملات اللاحقة، مع أن</w:t>
      </w:r>
    </w:p>
    <w:p>
      <w:pPr>
        <w:pStyle w:val="BookText"/>
        <w:rPr/>
      </w:pPr>
      <w:r>
        <w:rPr>
          <w:rFonts w:ascii="Amiri" w:hAnsi="Amiri" w:eastAsia="Amiri" w:cs="Amiri"/>
          <w:color w:val="111111"/>
          <w:sz w:val="28"/>
          <w:sz w:val="28"/>
          <w:szCs w:val="28"/>
          <w:rtl w:val="true"/>
          <w:lang w:bidi="ar-SA"/>
        </w:rPr>
        <w:t>لازم الخيار رجوع العين عن ملك الغابن إلى المغبون لا المشتري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بقاء العين، لا يجبر ضرر المغبون بالبدل، لأنّه ضرر على الغابن، إلّا إذا أقدم نفسه عليه، فيجبر بالأرش لا بالخيار،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احتمال قويّ للرجوع إلى البدل أيضا، فيما إذا خرج بالعقد الجائز عن ملك الغابن، و إن أمكن له تحصيل الغبن بفسخ الجائز و ردّها إلى المغبون، نظرا إلى عدم اقتضائه الخيار عند خروجه عن ملكه، و ملكه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دلالة شرط الخيار عليه دلالة التزامية عرفية، فكان من قبيل الشرط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 فسخ المغبون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ردّ العين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تصرّف الغابن بتغيّر العين، فإن لم يكن له أرش يردّ العين، و وجهه ظاهر، و إن تغيّرت بنقيصة أو زيادة أو مزج، ففي النقيصة يردّ العين بالفسخ و يعوض النقص؛ لأنّ العين تردّ إلى المالك بالفسخ الموجب للتمليك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الفائت مضمون على الغابن، لأنّه الجزء الفائت، كما كان عليه عوض الكلّ عند 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من ذلك ما لو آجره قبل فسخ المغبون؟ يظهر من بعض الأفاضل عدمه، و لزوم الصبر على الفاسخ إلى انقضاء بقية مدة الإجارة، من غير وجوب بذل عوض المنفعة المستوفاة بالنسبة إلى بقية المدة بعد الفسخ، مستدلّا عليه بأنّ المنفعة من الزوائد المنفصلة المتخلّلة بين العقد و الفسخ، فهي ملك للمفسوخ عليه، و المنفعة الدائمة تابعة للملك المطلق، فإذا تحقق في زمان ملك منفعة العين بأسرها، انتهى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المحقق القمّي انفساخ الإجارة بفسخ البائع بخياره المشروط له في البيع، لأنّ ملك منفعة الملك المتزلزل متزلزل، و منعه الأوّل بمنع تزلزل ملك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في القواعد </w:t>
      </w:r>
      <w:r>
        <w:rPr>
          <w:rStyle w:val="FootnoteAnchor"/>
          <w:rtl w:val="true"/>
        </w:rPr>
        <w:footnoteReference w:id="842"/>
      </w:r>
      <w:r>
        <w:rPr>
          <w:rFonts w:ascii="Amiri" w:hAnsi="Amiri" w:eastAsia="Amiri" w:cs="Amiri"/>
          <w:color w:val="111111"/>
          <w:sz w:val="28"/>
          <w:sz w:val="28"/>
          <w:szCs w:val="28"/>
          <w:rtl w:val="true"/>
          <w:lang w:bidi="ar-SA"/>
        </w:rPr>
        <w:t>، فيما إذا وقع التفاسخ لأجل اختلاف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وجد البائع مستأجرة كانت الأجرة للمشتري الموجود، و وجب عليه للبائع أجرة المثل للمدّة الباقية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شراح الكتاب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الأوّل بأنّه لو سلّم تبعية ملك المنفعة الدائمة للملك المطلق، لا يستلزم عدم وجوب بذل عوض المنفعة المتجدّدة بعد الفسخ، بل غاية ذلك صحّة تمليكها، كما صحّ تمليك العين، و كون متعلّق الإجارة بالنسبة إلى منافع بقية المدّة، من المنافع المتخلّلة بين العقد و الفسخ، التي هي غير مضمونة على الغابن ممنوع جدا، كيف و خلوّ العين من المنفعة بعد الفسخ من النقص الحكميّ للعين، فيكون مضمونا على الغابن، و يقتضيه ما يقتضي ضمان نفس العين من نفي الضرر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بما ذكره يمكن المناقشة على ما أفاده الثاني من بطلان الإجارة للغابن و ضمانه للمغبون بأجرة المثل للمدّة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حكمية محضة، كقصارة الثوب و تعليم الصنعة، فقال الفاضل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الشركة فيه بنسبة تلك الزيادة، بأن يقوّم معها و لا معها، و يؤخذ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إن أراد الشركة في العين على حسب النسبة،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في الفرض ليست جزءا عينيا، بل هي من أوصاف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الشركة في القيمة، فله وجه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قويا كون الوصف تابعا للموصوف، فيملكه المغبون بالفسخ، من قبيل النماء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ذلك بعمل الغابن لا يبعد استحقاقه الأجرة، لنفي الضرر، كما احتمله والدي العلّامة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كانت عينية فهي للغابن، و عليه تخلية العين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استلزم تفكيكها عنها ضررا عليه في عين الزيادة، كالغرس، ففيه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تسلّط المغبون على القلع بلا أرش، كما عن المختلف </w:t>
      </w:r>
      <w:r>
        <w:rPr>
          <w:rStyle w:val="FootnoteAnchor"/>
          <w:rtl w:val="true"/>
        </w:rPr>
        <w:footnoteReference w:id="844"/>
      </w:r>
      <w:r>
        <w:rPr>
          <w:rFonts w:ascii="Amiri" w:hAnsi="Amiri" w:eastAsia="Amiri" w:cs="Amiri"/>
          <w:color w:val="111111"/>
          <w:sz w:val="28"/>
          <w:sz w:val="28"/>
          <w:szCs w:val="28"/>
          <w:rtl w:val="true"/>
          <w:lang w:bidi="ar-SA"/>
        </w:rPr>
        <w:t>في الشفعة، نظرا إلى أن صفة كونه منصوبا المستلزمة لزيادة قيمته عبارة عن كونه في مكان صار ملكا للغير، فلا حقّ للغارس، مضافا إلى أنّ الفائت لما حدث في ملك معرض للزوال، لم يجب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تسلطه عليه مطلقا، كما عن المشهور، فيما إذا رجع بائع الأرض المغروسة بعد تفليس المشتري استنادا إلى أنّ الغرس المنصوب الذي هو للمشتري مال مغاير للمقلوع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تسلّط عليه مع الأرش، كما عن المسالك </w:t>
      </w:r>
      <w:r>
        <w:rPr>
          <w:rStyle w:val="FootnoteAnchor"/>
          <w:rtl w:val="true"/>
        </w:rPr>
        <w:footnoteReference w:id="845"/>
      </w:r>
      <w:r>
        <w:rPr>
          <w:rFonts w:ascii="Amiri" w:hAnsi="Amiri" w:eastAsia="Amiri" w:cs="Amiri"/>
          <w:color w:val="111111"/>
          <w:sz w:val="28"/>
          <w:sz w:val="28"/>
          <w:szCs w:val="28"/>
          <w:rtl w:val="true"/>
          <w:lang w:bidi="ar-SA"/>
        </w:rPr>
        <w:t>، لكون الغرس وقع في ملك متزلزل، و لا دليل على استحقاق الغارس البقاء على الأرض</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مال الغارس هو الغرس بهيئته المنصوبة، لأنه ملكه شرعا بتلك الهيئة قبل الفسخ، فلا وجه لخروج الهيئة الموجبة لزيادة القيمة عن ملكه بعد الفسخ، و كذا الظاهر أنّ الأرض الفارغة عن الغرس مال صاحب الأرض، لأنها بتلك الهيئة ملكه سابقا الذي يعود إليه بالفسخ، و لا تنافي بين الملكين، لأنّ استحقاق البقاء المنافي لملكية الأرض الفارغة غير الهيئة المنصوبة، كما في البناء</w:t>
      </w:r>
    </w:p>
    <w:p>
      <w:pPr>
        <w:pStyle w:val="BookText"/>
        <w:rPr/>
      </w:pPr>
      <w:r>
        <w:rPr>
          <w:rFonts w:ascii="Amiri" w:hAnsi="Amiri" w:eastAsia="Amiri" w:cs="Amiri"/>
          <w:color w:val="111111"/>
          <w:sz w:val="28"/>
          <w:sz w:val="28"/>
          <w:szCs w:val="28"/>
          <w:rtl w:val="true"/>
          <w:lang w:bidi="ar-SA"/>
        </w:rPr>
        <w:t>المستحدث عدوانا في أرض الغير، فإن هيئة البناء مال الثاني، و إن كان صاحب الأرض مسلّطا على تخريبه و إعدامها، غير أنّه فيما نحن فيه إحداث الهيئة بإذن الشرع، و يكون كغرس المستأجر في العين المستأجرة المالك لمنفعتها عند انقضاء مدة الإجارة، فهو من باب تداخل شيئين يكون تخليص أحدهما من الآخر من غير بذل الأرش موجبا للضرر، فيتعارض الضرران، فلا بدّ من الحكم ببذل صاحب الغرس أجرة المغرس لصاحب الأرض و إبقائه لهيئة المنصوبة، أو بذل صاحب الأرض أرش القيمة و قلع الغرس، إلّا أنّ إلزام الثاني بالأرش ضرر عليه، لا نفع له في مقابله، لاستحقاقه الأرض الفارغة كما كانت قبل البيع، و لا هكذا الأوّل، لأنّ الأجرة عوض المنفعة التي يستوفيها بإبقاء ملكه، أعني الهيئة المنصوبة، لما عرفت أنها لا يستلزم استحقاق البناء، و عدم التنافي بينهما، فلازم ذلك تخيير صاحب الأرض في القلع مع تحمل ضرر الأرش، و أخذ الأجرة و إبقاء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التخيير بين الحكم الضرري و غيره ليس ضررا منفيا، لأنّه منوط باختياره و إقدامه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على صاحب الغرس قبول الأرش إن بذله صاحب الأرض؟</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لحصول جبر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بالأرش، و رجوع منفعة البقاء إلى المالك بالفسخ، فلا خيرة له في الإبقاء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التغيّر بالامتزاج، فإن كان بغير الجنس مع الاستهلاك في مال الغابن، كامتزاج ماء الورد بالسمن،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حكم التلف، و مع عدم الاستهلاك، فلا يبعد كونه كذلك أيضا، كما قال والدي العلّامة </w:t>
      </w:r>
      <w:r>
        <w:rPr>
          <w:rStyle w:val="FootnoteAnchor"/>
          <w:rtl w:val="true"/>
        </w:rPr>
        <w:footnoteReference w:id="846"/>
      </w:r>
      <w:r>
        <w:rPr>
          <w:rFonts w:ascii="Amiri" w:hAnsi="Amiri" w:eastAsia="Amiri" w:cs="Amiri"/>
          <w:color w:val="111111"/>
          <w:sz w:val="28"/>
          <w:sz w:val="28"/>
          <w:szCs w:val="28"/>
          <w:rtl w:val="true"/>
          <w:lang w:bidi="ar-SA"/>
        </w:rPr>
        <w:t>، لأنّه طبيعة ثانية، و يحتمل الشركة بنسبته القيمة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بالجنس، فبالمساوي يثبت الشركة، و بالأردإ يحتملها و يحتمل التسلط على الأرش قيمة أو مثلا، و بالأجود يثبت الشركة، و على المغبون ما سيأتي في تصرفه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تصرف الغابن بالإتلاف، أو حصل التلف عنده بآفة، فالظاهر بقاء الخيار و الرجوع إلى القيمة، و إن كان بإتلافه الأجنبيّ، فللمغبون الفسخ بعد ظهور الغبن، سواء أتلفه قبله أو بعده، و له الرجوع إلى الغابن، و للغابن الرجوع إلى المتلف، و يرد ما أخذه المغبون من المتلف، و يرجع الغابن عليه بقيمة يوم التلف أو 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المغبون أبرأه من العوض قبل الفسخ، فلا يبعد كونه مضمونا عليه للغابن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لأنّ إبرائه في حكم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 البذل قيمته يوم التلف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الأوّل أظهر، كما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تصرف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بعد العلم بالغبن و الخيار، فيسقط خياره، كما صرّح به غير واحد، لعموم العلّة المستفادة من النصّ في خيار الحيوان، من كون التصرف رضى فيه </w:t>
      </w:r>
      <w:r>
        <w:rPr>
          <w:rStyle w:val="FootnoteAnchor"/>
          <w:rtl w:val="true"/>
        </w:rPr>
        <w:footnoteReference w:id="847"/>
      </w:r>
      <w:r>
        <w:rPr>
          <w:rFonts w:ascii="Amiri" w:hAnsi="Amiri" w:eastAsia="Amiri" w:cs="Amiri"/>
          <w:color w:val="111111"/>
          <w:sz w:val="28"/>
          <w:sz w:val="28"/>
          <w:szCs w:val="28"/>
          <w:rtl w:val="true"/>
          <w:lang w:bidi="ar-SA"/>
        </w:rPr>
        <w:t>و لو بمجرّد الملك، على ما عرفت وجهه و بيانه، و به يرتفع الاستصحاب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عليه بأنّ دليل هذا الخيار إن كان الإجماع، فليس هنا، أو نفي الضرر فلا يجري مع الرضا به، كما لا يجري مع الإقدام، مع أنّه يعارضه ضرر الغابن فيما يوجبه ضمان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بأن الخلاف لا ينافي انسحاب حكم الإجماع بالاستصحاب، كما تقرّر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الرضا بلزوم العقد يتمّ كما تقدم،</w:t>
      </w:r>
      <w:bookmarkStart w:id="350" w:name="pg2497_12269"/>
    </w:p>
    <w:p>
      <w:pPr>
        <w:pStyle w:val="BookText"/>
        <w:rPr/>
      </w:pPr>
      <w:bookmarkEnd w:id="350"/>
      <w:r>
        <w:rPr>
          <w:rFonts w:ascii="Amiri" w:hAnsi="Amiri" w:eastAsia="Amiri" w:cs="Amiri"/>
          <w:color w:val="111111"/>
          <w:sz w:val="28"/>
          <w:sz w:val="28"/>
          <w:szCs w:val="28"/>
          <w:rtl w:val="true"/>
          <w:lang w:bidi="ar-SA"/>
        </w:rPr>
        <w:t>فليس كالإقدام على الضرر، سيما بالنسبة إلى التصرفات الغير المتلفة و المغيرة و غير الموجبة لاختلاف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حصول الضرر على الغابن بعد الفسخ يجبر بضمان المغبون المتصرف له بالتفاوت الذي حصل التصرف </w:t>
      </w:r>
      <w:r>
        <w:rPr>
          <w:rStyle w:val="FootnoteAnchor"/>
          <w:rtl w:val="true"/>
        </w:rPr>
        <w:footnoteReference w:id="848"/>
      </w:r>
      <w:r>
        <w:rPr>
          <w:rFonts w:ascii="IRNazanin" w:hAnsi="IRNazanin" w:eastAsia="IRNazanin"/>
          <w:color w:val="111111"/>
          <w:sz w:val="28"/>
          <w:sz w:val="28"/>
          <w:szCs w:val="28"/>
          <w:rtl w:val="true"/>
          <w:lang w:bidi="fa-IR"/>
        </w:rPr>
        <w:t>او العوض عند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تصرفه قبل العلم بالغبن فلا يسقط به خياره، و إن كان بإتلافه العين، لما عرفت من عدم استلزام الخيار التدارك بردّ العين، فعند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ماله من الغابن و يردّ على الغابن بدل التالف أو العين مع أرش النقص إن نقصت، و مع الزيادة فحكمه ما مرّ في حصول الزيادة بتصرّف الغابن</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3862023_3804643083"/>
      <w:bookmarkStart w:id="352" w:name="_Toc134"/>
      <w:bookmarkEnd w:id="351"/>
      <w:r>
        <w:rPr>
          <w:rtl w:val="true"/>
        </w:rPr>
        <w:t>الثاني</w:t>
      </w:r>
      <w:r>
        <w:rPr>
          <w:rtl w:val="true"/>
        </w:rPr>
        <w:t xml:space="preserve">: </w:t>
      </w:r>
      <w:r>
        <w:rPr>
          <w:rtl w:val="true"/>
        </w:rPr>
        <w:t>من مسقطات خيار الغبن إسقاطه بعد العقد،</w:t>
      </w:r>
      <w:bookmarkEnd w:id="352"/>
    </w:p>
    <w:p>
      <w:pPr>
        <w:pStyle w:val="BookText"/>
        <w:rPr/>
      </w:pPr>
      <w:r>
        <w:rPr>
          <w:rFonts w:ascii="Amiri" w:hAnsi="Amiri" w:eastAsia="Amiri" w:cs="Amiri"/>
          <w:color w:val="111111"/>
          <w:sz w:val="28"/>
          <w:sz w:val="28"/>
          <w:szCs w:val="28"/>
          <w:rtl w:val="true"/>
          <w:lang w:bidi="ar-SA"/>
        </w:rPr>
        <w:t>و هو على وجوه، لأنّه إمّا بعد العلم بالغبن أو قبله، و على التقديرين فإسقاطه إمّا لا بعوض أو بعوض صولح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بعد العلم لا بعوض، فلا إشكال في سقوطه مع العلم بمقداره أو إسقاطه بجميع مراتبه كيف ما كان من درجات الغبن، و مع الجهل بالمقدار و الإطلاق، زعما بكونه عشرة فظهر مائة، فاحتمل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بغير طيب نفسه و من كون الخيار أمرا واحدا مسببا عن مطلق التفاوت الغير المتسامح به، و لا تعدد فيه، فيسقط بمجرّد الإسقاط</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فلا يسقط لنفي الضرر الموجب لأصل الخيار ابتداء، بل يمكن القول بعدم تعلق الإسقاط به واقعا؛ لأنّ الغبن الذي تعلق به العقد و وقع عليه إنشاء الإسقاط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العشرة، باعتقاد كونها الغبن الواقعي المصروف إليه الإطلاق بزعمه، القابل لكونه محمولا عليه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تعلّق بالغبن الواقعي على كونه عشرة، فإذا انكشف الخطاء و ظهر كونه مائة تبيّن 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اللفظ المطلق و إن كان هو الغبن الواقعي، لكن بوصف كونه عشرة، لا على كون الوصف تعليليا، من قبيل الدواعي التي لا أثر لها في العقد، بل على جهة كونه قيدا للواقع، فلا يسقط به باقيه و ذلك بخلاف ما إذا صرّح بالمائة أو بما يشمله صريحا، و إن كان اعتقاده أنه عشرة، بحيث لولاها لما أسقط،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الغبن و إن كان مائة،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أعلى المراتب، فإن ما استعمل فيه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الكثير أو ما يشمله قطعا، فتعلق به الإنشاء، و إن كان إقدامه عليه من جهة اعتقاد كونه الأقل،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الداعي الغير المعتبر في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أمر واحد مسبّب عن مطلق التفاوت الغير المتسامح به، فيسقط بمجرّد الإسقاط، فهو كذلك بحسب الحكم الكلّي الشرعي، و أما في خصوص الموارد، فهو منوط بالتفاوت المنظور للعاقد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وقع التشاجر و تنازعا، فادّعى ذو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خياري لعشرة قصدته، فظهر كونه عشرين مثلا، فإن كان هذا المقدار داخلا في المقادير المحتملة من الغبن في تلك المعاوضة، بحسب المتعارف بين الناس، قدم قول الغابن، عملا بإطلاق الإسقاط المقتضي للسقوط، و إن كان زائدا عن الحدّ المتعارف لم ينصرف إليه الإطلاق، فيقدم قول المغبون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الإسقاط بعد العلم بالغبن بعوض صولح عنه به، فإن علم مقدار التفاوت، أو صرّح بعموم المراتب، فلا إشكال في السقوط و لزوم المصالحة، و إن لم يعلمه و لم يصرّح بالعموم، فإن لم يتجاوز عن الحدّ المتعارف في صلح خيار مثل هذا الغبن بهذا العوض، يلزم الصلح، كما إذا وقع الصلح عن الخيار بدرهمين، و ظهر التفاوت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أزيد من الحدّ المتعارف في مثله، كما إذا كان التفاوت</w:t>
      </w:r>
    </w:p>
    <w:p>
      <w:pPr>
        <w:pStyle w:val="BookText"/>
        <w:rPr/>
      </w:pPr>
      <w:r>
        <w:rPr>
          <w:rFonts w:ascii="Amiri" w:hAnsi="Amiri" w:eastAsia="Amiri" w:cs="Amiri"/>
          <w:color w:val="111111"/>
          <w:sz w:val="28"/>
          <w:sz w:val="28"/>
          <w:szCs w:val="28"/>
          <w:rtl w:val="true"/>
          <w:lang w:bidi="ar-SA"/>
        </w:rPr>
        <w:t>عشرين و وقع الصلح بأربعة، فالظاهر ثبوت خيار الغبن في تلك المصالحة أيضا، لعين ما دلّ عليه في خيار 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إسقاط الغبن عند العقد قبل ظهور الغبن، فالظاهر جوازه أيضا، كما صرّح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كونه من إسقاط ما لم يجب، لما أشرنا و سنشير إلى أنّ ظهور الغبن كاشف عن الخيار، لا محدث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من باب التعليق الممنوع في العقود و الإيقاعات، لأنّ الممنوع ما كان من ألفاظ العقود و الإيقاعات و صيغها، سواء كان على أمر واقع أو متوقع، و لا مانع منه في غيرها، كطلاق مشكوك الزوجية، و إعتاق مشكوك الرقّية، و بيع مشكوك الملكية، ما لم يوقع الصيغة فيها بصورة التعليق، بل لا نسلم المنع أيضا في اللفظي في مثل الإسقاط و الإبراء و الإذن، بل الفسخ و نحوها، مما كان اشتراطها من جهة الإخبار عما في الضمير و الإرادة القلبية، لا من باب الأسباب التعبّدية، و لذا يصحّ الإبراء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 ذمّتك إن كانت مشغولة لي،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إن كان ملكي، و سرّه 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أمثال ما ذكر الإنشاء اللفظي، كما يشترط في الصيغ الشرعية، بل مطلق ما يكشف عن الإرادة الفعلية القلبية التي هي السبب المؤثر، غاية الأمر اشتراط مقارنتها بقول أو فعل دال عليها، و هذا هو التوجيه الصحيح لحصول الفسخ و التمليك معا بلفظ واحد في مثل بيع ذي الخيار، كما مضى و ستعرفه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في شمول الإسقاط لجميع مراتب الغبن حيث لم يصرّح بها، مثل ما تقدّم في صورة الإسقاط بعد ظهور الغبن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إسقاط الخيار قبل العلم بالصلح عنه بعوض، فقد يستشكل فيه بأنّ المصالحة العوضية لا بدّ لها من ثبوت شي‌ء بإزاء المصالح بها و هو غير معلوم</w:t>
      </w:r>
      <w:r>
        <w:rPr>
          <w:rFonts w:eastAsia="Amiri" w:cs="Amiri" w:ascii="Amiri" w:hAnsi="Amiri"/>
          <w:color w:val="111111"/>
          <w:sz w:val="28"/>
          <w:szCs w:val="28"/>
          <w:rtl w:val="true"/>
          <w:lang w:bidi="ar-SA"/>
        </w:rPr>
        <w:t>.</w:t>
      </w:r>
      <w:bookmarkStart w:id="353" w:name="pg2497_12272"/>
    </w:p>
    <w:p>
      <w:pPr>
        <w:pStyle w:val="BookText"/>
        <w:rPr/>
      </w:pPr>
      <w:bookmarkEnd w:id="353"/>
      <w:r>
        <w:rPr>
          <w:rFonts w:ascii="Amiri" w:hAnsi="Amiri" w:eastAsia="Amiri" w:cs="Amiri"/>
          <w:color w:val="111111"/>
          <w:sz w:val="28"/>
          <w:sz w:val="28"/>
          <w:szCs w:val="28"/>
          <w:rtl w:val="true"/>
          <w:lang w:bidi="ar-SA"/>
        </w:rPr>
        <w:t>و يمكن دفعه بأنّ الغبن المحتمل الموجب للخيار على تقدير كونه مما يبذل في مقابله عرفا، فالمقابل للعوض هو الحقّ المحتمل، و هو بهذا الاعتبار حقّ محقق، فيصحّ الصلح عنه، بل لو تبيّن بعده عدم الغبن لا يسترد العوض أيضا، لأنّه حين المصالحة كان مما يبذل عنه، و لم يكن مراعى،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ضمّ شي‌ء إلى المصالح عنه المجهول، أو ضمّ سائر الخيارات إليه، كان أولى، و يكون دخول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 لا متنجزا باعتبار الوجود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862025_3804643083"/>
      <w:bookmarkStart w:id="355" w:name="_Toc135"/>
      <w:bookmarkEnd w:id="354"/>
      <w:r>
        <w:rPr>
          <w:rtl w:val="true"/>
        </w:rPr>
        <w:t>الثالث من المسقطات</w:t>
      </w:r>
      <w:r>
        <w:rPr>
          <w:rtl w:val="true"/>
        </w:rPr>
        <w:t xml:space="preserve">: </w:t>
      </w:r>
      <w:r>
        <w:rPr>
          <w:rtl w:val="true"/>
        </w:rPr>
        <w:t>إسقاط حق الخيار بالشرط في ضمن العقد</w:t>
      </w:r>
      <w:r>
        <w:rPr>
          <w:rtl w:val="true"/>
        </w:rPr>
        <w:t>.</w:t>
      </w:r>
      <w:bookmarkEnd w:id="355"/>
    </w:p>
    <w:p>
      <w:pPr>
        <w:pStyle w:val="BookText"/>
        <w:rPr/>
      </w:pPr>
      <w:r>
        <w:rPr>
          <w:rFonts w:ascii="Amiri" w:hAnsi="Amiri" w:eastAsia="Amiri" w:cs="Amiri"/>
          <w:color w:val="111111"/>
          <w:sz w:val="28"/>
          <w:sz w:val="28"/>
          <w:szCs w:val="28"/>
          <w:rtl w:val="true"/>
          <w:lang w:bidi="ar-SA"/>
        </w:rPr>
        <w:t>و الإشكال في كونه مخالفا للسنّة، و العدول عنه إلى شرط عدم الفسخ، لئلا يرجع الشرط إلى نفي الحكم الشرعي، قد تقدّم دفعه في بحث الشروط، مع أنّ سقوطه بشرط عدم الفسخ مبنيّ ظاهرا على اقتضاء النهي في المعاملة الفساد، و هو محلّ الكلام فيما لم يكن متعلّق النهي نفس المعاملة،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الصيمري في غاية المرام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العقد و الشرط و عن المحقق الكركي </w:t>
      </w:r>
      <w:r>
        <w:rPr>
          <w:rStyle w:val="FootnoteAnchor"/>
          <w:rtl w:val="true"/>
        </w:rPr>
        <w:footnoteReference w:id="850"/>
      </w:r>
      <w:r>
        <w:rPr>
          <w:rFonts w:ascii="Amiri" w:hAnsi="Amiri" w:eastAsia="Amiri" w:cs="Amiri"/>
          <w:color w:val="111111"/>
          <w:sz w:val="28"/>
          <w:sz w:val="28"/>
          <w:szCs w:val="28"/>
          <w:rtl w:val="true"/>
          <w:lang w:bidi="ar-SA"/>
        </w:rPr>
        <w:t>التردّد فيه مستظهرا للصحّة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 الشهيد في الدروس </w:t>
      </w:r>
      <w:r>
        <w:rPr>
          <w:rStyle w:val="FootnoteAnchor"/>
          <w:rtl w:val="true"/>
        </w:rPr>
        <w:footnoteReference w:id="851"/>
      </w:r>
      <w:r>
        <w:rPr>
          <w:rFonts w:ascii="Amiri" w:hAnsi="Amiri" w:eastAsia="Amiri" w:cs="Amiri"/>
          <w:color w:val="111111"/>
          <w:sz w:val="28"/>
          <w:sz w:val="28"/>
          <w:szCs w:val="28"/>
          <w:rtl w:val="true"/>
          <w:lang w:bidi="ar-SA"/>
        </w:rPr>
        <w:t>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الغرر،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بالقيمة لا يوجب الغرر، لأن الغرر المنفيّ إنما هو فيما إذا رجع الجهل بنفس المعاوضة في المتعاوضين، كالبيع </w:t>
      </w:r>
      <w:r>
        <w:rPr>
          <w:rStyle w:val="FootnoteAnchor"/>
          <w:rtl w:val="true"/>
        </w:rPr>
        <w:footnoteReference w:id="852"/>
      </w:r>
      <w:r>
        <w:rPr>
          <w:rFonts w:ascii="Amiri" w:hAnsi="Amiri" w:eastAsia="Amiri" w:cs="Amiri"/>
          <w:color w:val="111111"/>
          <w:sz w:val="28"/>
          <w:sz w:val="28"/>
          <w:szCs w:val="28"/>
          <w:rtl w:val="true"/>
          <w:lang w:bidi="ar-SA"/>
        </w:rPr>
        <w:t>وجودا أو صفة أو حصولا و إلّا كان الجهل بالقيمة مبطلا للبيع</w:t>
      </w:r>
      <w:bookmarkStart w:id="356" w:name="pg2497_12273"/>
    </w:p>
    <w:p>
      <w:pPr>
        <w:pStyle w:val="BookText"/>
        <w:rPr/>
      </w:pPr>
      <w:bookmarkEnd w:id="356"/>
      <w:r>
        <w:rPr>
          <w:rFonts w:ascii="Amiri" w:hAnsi="Amiri" w:eastAsia="Amiri" w:cs="Amiri"/>
          <w:color w:val="111111"/>
          <w:sz w:val="28"/>
          <w:sz w:val="28"/>
          <w:szCs w:val="28"/>
          <w:rtl w:val="true"/>
          <w:lang w:bidi="ar-SA"/>
        </w:rPr>
        <w:t>من أصله، مع أنّه لو كان غرريا لم يخرجه الخيار عن موضع الغرر حتى كان اسقاطه موجبا لثبوته، و لعلّه لذا احتمل ثانيا الصحة</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862027_3804643083"/>
      <w:bookmarkStart w:id="358" w:name="_Toc136"/>
      <w:bookmarkEnd w:id="357"/>
      <w:r>
        <w:rPr>
          <w:rtl w:val="true"/>
        </w:rPr>
        <w:t>المسألة الخامسة</w:t>
      </w:r>
      <w:r>
        <w:rPr>
          <w:rtl w:val="true"/>
        </w:rPr>
        <w:t xml:space="preserve">: </w:t>
      </w:r>
      <w:r>
        <w:rPr>
          <w:rtl w:val="true"/>
        </w:rPr>
        <w:t>اختلفوا في كون هذا الخيار فوريا،</w:t>
      </w:r>
      <w:bookmarkEnd w:id="358"/>
    </w:p>
    <w:p>
      <w:pPr>
        <w:pStyle w:val="Heading4"/>
        <w:numPr>
          <w:ilvl w:val="3"/>
          <w:numId w:val="1"/>
        </w:numPr>
        <w:rPr/>
      </w:pPr>
      <w:bookmarkStart w:id="359" w:name="__RefHeading___Toc3862029_3804643083"/>
      <w:bookmarkStart w:id="360" w:name="_Toc137"/>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كما عن المشهور، لعموم أدلّة اللزوم، فيقتصر على المخرج بالقدر المتيقّن، أو على التراخي،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بعض أفاضل من عاصرناه في مستندي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الاقتصار على المتيقّن عند الشكّ إنّما هو إذا كان الشكّ في عدد الأفراد المخرجة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كيفية افراد الخارج، و ما نحن فيه من الثاني، لأنّ الزمان ليس من أفراد العموم، بل هو ظرف لحكم الفرد الخارج، فلا يعلم كونه آنيّا أو مستمرّا فيستصحب، و ليس من تعارض الاستصحاب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إفادة الكلام العموم الزماني على وجه يكون الزمان يتكثر أفراد العام،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في كلّ يوم، بحيث كان إكرام كلّ عالم في كلّ يوم واجبا مستقلا غير إكرام ذلك العالم في اليوم الآخر، فيقتصر في إخراج عالم على اليوم المعلوم من خروجه، فيرجع الشكّ في المورد في استمرار حكم واحد و انقطاعه،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إلى خروج أحكام مستقلّة متكثّرة، فعمل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أفراد العموم إن كانت متعيّنة بحسب المعنى اللغويّ و العرفيّ فهو، و يقتصر في تخصيصه على المتيقّن منها، كما في إكرام العلماء، فإنّ أفراد العلماء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و عمرو، لا زيد في يوم و زيد في يوم آخر، و لا مدخل للزمان في فردية أفرادها، أو تكون اعتبارية، بمعنى صلاحية العام بحسب مدلوله تشخيص الأفراد له بعنوانات، كما في كلّ ماء طاهر، فإنّ أفراد الماء قد تعتبر بعنوان المقدار، كصاع و صاعين و ثلاثة أصوع، و هكذا الماء الكثير و القليل، و قد تعتبر باعتبار الاجتماع و الاتصال في محلّ، كماء حوض كذا و غدير كذا و هكذا، و بهذين الاعتبارين يكون</w:t>
      </w:r>
    </w:p>
    <w:p>
      <w:pPr>
        <w:pStyle w:val="BookText"/>
        <w:rPr/>
      </w:pPr>
      <w:r>
        <w:rPr>
          <w:rFonts w:ascii="Amiri" w:hAnsi="Amiri" w:eastAsia="Amiri" w:cs="Amiri"/>
          <w:color w:val="111111"/>
          <w:sz w:val="28"/>
          <w:sz w:val="28"/>
          <w:szCs w:val="28"/>
          <w:rtl w:val="true"/>
          <w:lang w:bidi="ar-SA"/>
        </w:rPr>
        <w:t>الأفراد 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تعتبر باعتبار بعض الصفات العارضة، كماء البئر و الماء الجامد و الجاري و ماء البحر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الجهات التي يصحّ اعتبار الفردية بها تختلف باختلاف العمومات، فلفظ العام بحسب مدلوله قد يكون صالحا لاعتبار العموم له بجهات كثيرة، كما في عموم الخيار، فقد يعتبر باعتبار السبب و أفراده خيار الغبن و خيار العيب و خيار الشرط،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يعتبر باعتبار الزمان، فالخيار الفوري فرد منه، و الخيار المستمرّ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يعتبر باعتبار أشخاص ذوي الخيار، فخيار البائع فرد و خيار المشتري فرد،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في ذلك كلّه ملاحظة دليل العموم في الجهة الصالحة للعموم فيه، من أنّها واحدة أو أكثر بحسب مدلوله المستعمل فيه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عموم اللزوم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مثل أَوْفُوا بِالْعُقُودِ </w:t>
      </w:r>
      <w:r>
        <w:rPr>
          <w:rStyle w:val="FootnoteAnchor"/>
          <w:rtl w:val="true"/>
        </w:rPr>
        <w:footnoteReference w:id="853"/>
      </w:r>
      <w:r>
        <w:rPr>
          <w:rFonts w:ascii="Amiri" w:hAnsi="Amiri" w:eastAsia="Amiri" w:cs="Amiri"/>
          <w:color w:val="111111"/>
          <w:sz w:val="28"/>
          <w:sz w:val="28"/>
          <w:szCs w:val="28"/>
          <w:rtl w:val="true"/>
          <w:lang w:bidi="ar-SA"/>
        </w:rPr>
        <w:t>فلا مدخل للزمان في تكثير الأفراد، بل هي أشخاص العقود، أو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مفهومه الدال على اللزوم، كما يصلح بالنسبة إلى الأسباب من خيار الغبن و الرؤية و العيب و نحوها، و بالنسبة إلى البيع، كبيع الحيوان و الصرف و الثمرة و ما يفسد ليومه و نحوها، كذا يصلح عمومه بالنسبة إلى الزمان المشخص للأفراد من الخيار الفوريّ و الاستمراريّ، و إن كان أحد الفردين داخلا في الآخر، كما في عموم الماء بالنسبة إلى أفراده باعتبار الاتصال و الانفصال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السبب كظهور الغبن لا ينافي تعدّد المسبّب باعتبار الجهات المذكورة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اعتراضه على مستند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الاستصحاب يتبع بقاء الموضوع، فلا بدّ من تشخيصه أوّلا حتى يستصحب حكمه، و المتيقّن سابقا فيما نحن فيه ثبوت الخيار لمن يتمكن من تدارك ضرره بالفسخ، فلا ينسحب في الآن اللاحق، مع كون الشخص قد يتمكن من التدارك و لا يفعل، فإنّ هذا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مسلم فيما كان الموضوع مشخصا بحدوده و قيوده في دليل الحكم، فلا ينسحب بالاستصحاب بعد تغيّر بعض قيوده، لرجوع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المقتضى الثانوي، كما إذا قال، الماء المتغيّر نجس، فإنّه لا يجري استصحاب النجاسة بعد زوال هذا القيد، مع عموم أدلّة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اشتراط هذا القيد في حدوث الحكم أوّلا، مع فرض الشكّ في اشتراطه للبقاء،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الماء فهو نجس، فزال التغير من قبل نفسه، فإنّه يصحّ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ذلك مستوفى في الأصول، و مورد البحث من الثاني، إذ للقائل منع كون العجز عن تدارك الضرر شرطا لبقاء الخيار، و إن كان شرطا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الاستصحاب لو كان مستند الحكم بالخيار في الأوّل مجرّد أدلّة الضرر، إذ مدلولها نفي الضرر الواقع بحكم الشارع، فالدليل مقيد بالضرر الشرعيّ لا الاختياريّ، فحيث لم يتدارك المغبون ضرره بالفسخ مع تمكّنه عنه، كان بقاؤه باختياره، فالشكّ في بقائه كان في المقتضى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إلى هذا ينظر ما في الرياض </w:t>
      </w:r>
      <w:r>
        <w:rPr>
          <w:rStyle w:val="FootnoteAnchor"/>
          <w:rtl w:val="true"/>
        </w:rPr>
        <w:footnoteReference w:id="854"/>
      </w:r>
      <w:r>
        <w:rPr>
          <w:rFonts w:ascii="Amiri" w:hAnsi="Amiri" w:eastAsia="Amiri" w:cs="Amiri"/>
          <w:color w:val="111111"/>
          <w:sz w:val="28"/>
          <w:sz w:val="28"/>
          <w:szCs w:val="28"/>
          <w:rtl w:val="true"/>
          <w:lang w:bidi="ar-SA"/>
        </w:rPr>
        <w:t>من أنّ المستند في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الإجماع المنقول، اتّجه التمسّك بالاستصحاب، و إن كان نفي الضرر، وجب الاقتصار علي الزمان الأوّل، إذ به يندفع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عموم دليل اللزوم</w:t>
      </w:r>
      <w:bookmarkStart w:id="361" w:name="pg2497_12276"/>
    </w:p>
    <w:p>
      <w:pPr>
        <w:pStyle w:val="BookText"/>
        <w:rPr/>
      </w:pPr>
      <w:bookmarkEnd w:id="361"/>
      <w:r>
        <w:rPr>
          <w:rFonts w:ascii="Amiri" w:hAnsi="Amiri" w:eastAsia="Amiri" w:cs="Amiri"/>
          <w:color w:val="111111"/>
          <w:sz w:val="28"/>
          <w:sz w:val="28"/>
          <w:szCs w:val="28"/>
          <w:rtl w:val="true"/>
          <w:lang w:bidi="ar-SA"/>
        </w:rPr>
        <w:t>الذي قد تبيّن تقريبه و تحريره، فيقتصر في التخصيص على مورد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المعتمد كون الخيار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عليه بأصالة فساد الفسخ و بقاء الملك كما قاله الفاضل المتقدّم، صحّ لو لم يصحّ الاستصحاب كما زعمه، حسب ما مرّ، و أمّا على صحّته فلا يبقى استصحاب الفساد لزواله باستصحاب السبب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3862031_3804643083"/>
      <w:bookmarkStart w:id="363" w:name="_Toc138"/>
      <w:bookmarkEnd w:id="362"/>
      <w:r>
        <w:rPr>
          <w:rtl w:val="true"/>
        </w:rPr>
        <w:t>تتميمان</w:t>
      </w:r>
      <w:r>
        <w:rPr>
          <w:rtl w:val="true"/>
        </w:rPr>
        <w:t>:</w:t>
      </w:r>
      <w:bookmarkEnd w:id="363"/>
    </w:p>
    <w:p>
      <w:pPr>
        <w:pStyle w:val="Heading5"/>
        <w:numPr>
          <w:ilvl w:val="4"/>
          <w:numId w:val="1"/>
        </w:numPr>
        <w:rPr/>
      </w:pPr>
      <w:bookmarkStart w:id="364" w:name="__RefHeading___Toc3862033_3804643083"/>
      <w:bookmarkStart w:id="365" w:name="_Toc139"/>
      <w:bookmarkEnd w:id="364"/>
      <w:r>
        <w:rPr>
          <w:rtl w:val="true"/>
        </w:rPr>
        <w:t>الأوّل</w:t>
      </w:r>
      <w:r>
        <w:rPr>
          <w:rtl w:val="true"/>
        </w:rPr>
        <w:t xml:space="preserve">: </w:t>
      </w:r>
      <w:r>
        <w:rPr>
          <w:rtl w:val="true"/>
        </w:rPr>
        <w:t>هل الفور محمولة على الفورية الحقيقية،</w:t>
      </w:r>
      <w:bookmarkEnd w:id="365"/>
    </w:p>
    <w:p>
      <w:pPr>
        <w:pStyle w:val="BookText"/>
        <w:rPr/>
      </w:pPr>
      <w:r>
        <w:rPr>
          <w:rFonts w:ascii="Amiri" w:hAnsi="Amiri" w:eastAsia="Amiri" w:cs="Amiri"/>
          <w:color w:val="111111"/>
          <w:sz w:val="28"/>
          <w:sz w:val="28"/>
          <w:szCs w:val="28"/>
          <w:rtl w:val="true"/>
          <w:lang w:bidi="ar-SA"/>
        </w:rPr>
        <w:t>اقتصارا على المتيقّن، أو العرفية، دفعا للحرج الحاصل على الاقتصار على الحقيقية، أو ما هو أوسع من العرفي، كما يستفاد من التذكرة في خيار العيب، حيث وسّعه فيما لو اطّلع عليه حين دخل وقت صلاة أو أكل أو قضاء حاجة، فاشتغل بها إلى أن يفرغ عنها إجماعا، أو اطّلع على العيب ليلا، فله التأخير إلى أن يصبح، و إن لم يكن له عذر؟</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الإناطة بالأولين كلّية مخدوشة بإمكان عدم الحرج و الضرر في بعض الموارد، و بالثالث بعدم دليل عليه، فان تمّ الإجماع الذي ذكره في التذكرة فهو، و إلّا فمقتضى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الأوّل إلّا لحرج أو ضرر أو عذر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الخصم بوقوع الاختلاف و قضاء المصلحة تقديم المحاكمة على الفسخ أو لاحتمال بذله الأرش المتقدّم على الخيار على المختار و منه التروي و الاختيار من غير تفكر و تدبر منه ينافي التخيير، بل يؤدّي إلى ضرره</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862035_3804643083"/>
      <w:bookmarkStart w:id="367" w:name="_Toc140"/>
      <w:bookmarkEnd w:id="366"/>
      <w:r>
        <w:rPr>
          <w:rtl w:val="true"/>
        </w:rPr>
        <w:t>الثاني</w:t>
      </w:r>
      <w:r>
        <w:rPr>
          <w:rtl w:val="true"/>
        </w:rPr>
        <w:t xml:space="preserve">: </w:t>
      </w:r>
      <w:r>
        <w:rPr>
          <w:rtl w:val="true"/>
        </w:rPr>
        <w:t>لا شكّ أنّ الجاهل بالخيار معذور في ترك المبادرة،</w:t>
      </w:r>
      <w:bookmarkEnd w:id="367"/>
    </w:p>
    <w:p>
      <w:pPr>
        <w:pStyle w:val="BookText"/>
        <w:rPr/>
      </w:pPr>
      <w:r>
        <w:rPr>
          <w:rFonts w:ascii="Amiri" w:hAnsi="Amiri" w:eastAsia="Amiri" w:cs="Amiri"/>
          <w:color w:val="111111"/>
          <w:sz w:val="28"/>
          <w:sz w:val="28"/>
          <w:szCs w:val="28"/>
          <w:rtl w:val="true"/>
          <w:lang w:bidi="ar-SA"/>
        </w:rPr>
        <w:t>فله الخيار متى علم، لنفي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الفحص عن الحكم ليس منافيا للمعذورية، كما ليس منافيا لها في الجهل بالغبن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الجاهل بالفورية معذور في تركه المبادرة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عن بعضهم</w:t>
      </w:r>
      <w:r>
        <w:rPr>
          <w:rFonts w:eastAsia="Amiri" w:cs="Amiri" w:ascii="Amiri" w:hAnsi="Amiri"/>
          <w:color w:val="111111"/>
          <w:sz w:val="28"/>
          <w:szCs w:val="28"/>
          <w:rtl w:val="true"/>
          <w:lang w:bidi="ar-SA"/>
        </w:rPr>
        <w:t>.</w:t>
      </w:r>
      <w:bookmarkStart w:id="368" w:name="pg2497_12277"/>
    </w:p>
    <w:p>
      <w:pPr>
        <w:pStyle w:val="BookText"/>
        <w:rPr/>
      </w:pPr>
      <w:bookmarkEnd w:id="368"/>
      <w:r>
        <w:rPr>
          <w:rFonts w:ascii="Amiri" w:hAnsi="Amiri" w:eastAsia="Amiri" w:cs="Amiri"/>
          <w:color w:val="111111"/>
          <w:sz w:val="28"/>
          <w:sz w:val="28"/>
          <w:szCs w:val="28"/>
          <w:rtl w:val="true"/>
          <w:lang w:bidi="ar-SA"/>
        </w:rPr>
        <w:t>و الاستشكال بعدم جريان نفي الضرر هنا لتمكّنه من الفسخ و تدارك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الاغترام بعدم العلم بالفورية من الأعذار، و أيّ عذر أقوى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الجهل بالخيار،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إلّا أن يكون مما لا يخفى عليه هذا الحكم الشرعيّ إلّا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النسيان ففيه إشكال</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862037_3804643083"/>
      <w:bookmarkStart w:id="370" w:name="_Toc141"/>
      <w:bookmarkEnd w:id="369"/>
      <w:r>
        <w:rPr>
          <w:rtl w:val="true"/>
        </w:rPr>
        <w:t>المسألة السادسة</w:t>
      </w:r>
      <w:r>
        <w:rPr>
          <w:rtl w:val="true"/>
        </w:rPr>
        <w:t xml:space="preserve">: </w:t>
      </w:r>
      <w:r>
        <w:rPr>
          <w:rtl w:val="true"/>
        </w:rPr>
        <w:t>يثبت خيار الغبن في غير البيع من المعاوضات أيضا،</w:t>
      </w:r>
      <w:bookmarkEnd w:id="370"/>
    </w:p>
    <w:p>
      <w:pPr>
        <w:pStyle w:val="BookText"/>
        <w:rPr/>
      </w:pPr>
      <w:r>
        <w:rPr>
          <w:rFonts w:ascii="Amiri" w:hAnsi="Amiri" w:eastAsia="Amiri" w:cs="Amiri"/>
          <w:color w:val="111111"/>
          <w:sz w:val="28"/>
          <w:sz w:val="28"/>
          <w:szCs w:val="28"/>
          <w:rtl w:val="true"/>
          <w:lang w:bidi="ar-SA"/>
        </w:rPr>
        <w:t xml:space="preserve">كما عن فخر الإسلام </w:t>
      </w:r>
      <w:r>
        <w:rPr>
          <w:rStyle w:val="FootnoteAnchor"/>
          <w:rtl w:val="true"/>
        </w:rPr>
        <w:footnoteReference w:id="855"/>
      </w:r>
      <w:r>
        <w:rPr>
          <w:rFonts w:ascii="Amiri" w:hAnsi="Amiri" w:eastAsia="Amiri" w:cs="Amiri"/>
          <w:color w:val="111111"/>
          <w:sz w:val="28"/>
          <w:sz w:val="28"/>
          <w:szCs w:val="28"/>
          <w:rtl w:val="true"/>
          <w:lang w:bidi="ar-SA"/>
        </w:rPr>
        <w:t xml:space="preserve">و التنقيح </w:t>
      </w:r>
      <w:r>
        <w:rPr>
          <w:rStyle w:val="FootnoteAnchor"/>
          <w:rtl w:val="true"/>
        </w:rPr>
        <w:footnoteReference w:id="856"/>
      </w:r>
      <w:r>
        <w:rPr>
          <w:rFonts w:ascii="Amiri" w:hAnsi="Amiri" w:eastAsia="Amiri" w:cs="Amiri"/>
          <w:color w:val="111111"/>
          <w:sz w:val="28"/>
          <w:sz w:val="28"/>
          <w:szCs w:val="28"/>
          <w:rtl w:val="true"/>
          <w:lang w:bidi="ar-SA"/>
        </w:rPr>
        <w:t xml:space="preserve">و إيضاح النافع و جامع المقاصد </w:t>
      </w:r>
      <w:r>
        <w:rPr>
          <w:rStyle w:val="FootnoteAnchor"/>
          <w:rtl w:val="true"/>
        </w:rPr>
        <w:footnoteReference w:id="857"/>
      </w:r>
      <w:r>
        <w:rPr>
          <w:rFonts w:ascii="Amiri" w:hAnsi="Amiri" w:eastAsia="Amiri" w:cs="Amiri"/>
          <w:color w:val="111111"/>
          <w:sz w:val="28"/>
          <w:sz w:val="28"/>
          <w:szCs w:val="28"/>
          <w:rtl w:val="true"/>
          <w:lang w:bidi="ar-SA"/>
        </w:rPr>
        <w:t>في الإجارة، لعموم المدرك،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و إن اختصّ الإجماع المحكيّ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المهذّب </w:t>
      </w:r>
      <w:r>
        <w:rPr>
          <w:rStyle w:val="FootnoteAnchor"/>
          <w:rtl w:val="true"/>
        </w:rPr>
        <w:footnoteReference w:id="858"/>
      </w:r>
      <w:r>
        <w:rPr>
          <w:rFonts w:ascii="Amiri" w:hAnsi="Amiri" w:eastAsia="Amiri" w:cs="Amiri"/>
          <w:color w:val="111111"/>
          <w:sz w:val="28"/>
          <w:sz w:val="28"/>
          <w:szCs w:val="28"/>
          <w:rtl w:val="true"/>
          <w:lang w:bidi="ar-SA"/>
        </w:rPr>
        <w:t>عدم جريانه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غاية المرام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الصلح الواقع على وجه المعاوضة، فيجري فيه، و بين الواقع على إسقاط الدعوى أو على ما في الذمّة، ثم ظهر الغبن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عقد وقع على وجه المسامحة و عدم الالتفات إلى النقص و الزيادة، بيعا كان أو صلحا أو غيرهما، و لعلّه لكون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عدم المغابنة و المكايسة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الفرض أربع، إذ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وقعت على وجه المعاوضة، أو على إسقاط الدعوى في مقام التشاجر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على محض المالية، أو على التغابن و المحاباة، أو على</w:t>
      </w:r>
    </w:p>
    <w:p>
      <w:pPr>
        <w:pStyle w:val="BookText"/>
        <w:rPr/>
      </w:pPr>
      <w:r>
        <w:rPr>
          <w:rFonts w:ascii="Amiri" w:hAnsi="Amiri" w:eastAsia="Amiri" w:cs="Amiri"/>
          <w:color w:val="111111"/>
          <w:sz w:val="28"/>
          <w:sz w:val="28"/>
          <w:szCs w:val="28"/>
          <w:rtl w:val="true"/>
          <w:lang w:bidi="ar-SA"/>
        </w:rPr>
        <w:t>المسامحة، و إن لم يعلمه المغبون، حيث علم من الخارج أنّ بناء المغبون عليه، و إن فرض علمه بالغبن، لحاجة عظيمة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و إن كان الغبن زائدا عن المعلوم، لأنه في حكم الإسقاط، إلّا إذا كان فاحشا زائدا عن المتعارف في مثله في مقام المحاباة، كما مضى في حكم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الثالثة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إقداما على الضرر، لبنائه عليه و لو على فرض علمه، إلّا إذا كان زائدا عن المتعارف في مثل مصلحته المقصودة، و من عدم القول بالفصل عند الجهل بالغبن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مع عدم ظهور الغبن، و معه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كونه معاوضة مالية، بل هو إسقاط على عوض، فلا تزلزل لظهور الغبن، و من كونه ضررا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التفصيل بين ما فيه الغبن زائدا على المتعارف في الإسقاط عند الجهل في مقام التشاجر، فيجري فيه الخيار، و بين ما لا يزيد عليه،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371" w:name="pg2497_12280"/>
    </w:p>
    <w:p>
      <w:pPr>
        <w:pStyle w:val="Heading2"/>
        <w:numPr>
          <w:ilvl w:val="1"/>
          <w:numId w:val="1"/>
        </w:numPr>
        <w:rPr/>
      </w:pPr>
      <w:bookmarkStart w:id="372" w:name="__RefHeading___Toc3862039_3804643083"/>
      <w:bookmarkStart w:id="373" w:name="_Toc142"/>
      <w:bookmarkEnd w:id="371"/>
      <w:bookmarkEnd w:id="372"/>
      <w:r>
        <w:rPr>
          <w:rtl w:val="true"/>
        </w:rPr>
        <w:t>[</w:t>
      </w:r>
      <w:r>
        <w:rPr>
          <w:rtl w:val="true"/>
        </w:rPr>
        <w:t>المشرق العشرون</w:t>
      </w:r>
      <w:r>
        <w:rPr>
          <w:rtl w:val="true"/>
        </w:rPr>
        <w:t>] [</w:t>
      </w:r>
      <w:r>
        <w:rPr>
          <w:rtl w:val="true"/>
        </w:rPr>
        <w:t>في الأحكام الملحقة بالخيارات</w:t>
      </w:r>
      <w:r>
        <w:rPr>
          <w:rtl w:val="true"/>
        </w:rPr>
        <w:t>]</w:t>
      </w:r>
      <w:bookmarkEnd w:id="373"/>
    </w:p>
    <w:p>
      <w:pPr>
        <w:pStyle w:val="Heading3"/>
        <w:numPr>
          <w:ilvl w:val="2"/>
          <w:numId w:val="1"/>
        </w:numPr>
        <w:rPr/>
      </w:pPr>
      <w:bookmarkStart w:id="374" w:name="__RefHeading___Toc3862041_3804643083"/>
      <w:bookmarkStart w:id="375" w:name="_Toc14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 الملحقة بالخيارات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862043_3804643083"/>
      <w:bookmarkStart w:id="377" w:name="_Toc144"/>
      <w:bookmarkEnd w:id="376"/>
      <w:r>
        <w:rPr>
          <w:rtl w:val="true"/>
        </w:rPr>
        <w:t>المسألة الأولى</w:t>
      </w:r>
      <w:r>
        <w:rPr>
          <w:rtl w:val="true"/>
        </w:rPr>
        <w:t xml:space="preserve">: </w:t>
      </w:r>
      <w:r>
        <w:rPr>
          <w:rtl w:val="true"/>
        </w:rPr>
        <w:t>الفسخ كما يحصل باللفظ يحصل بالفعل أيضا،</w:t>
      </w:r>
      <w:bookmarkEnd w:id="377"/>
    </w:p>
    <w:p>
      <w:pPr>
        <w:pStyle w:val="BookText"/>
        <w:rPr/>
      </w:pPr>
      <w:r>
        <w:rPr>
          <w:rFonts w:ascii="Amiri" w:hAnsi="Amiri" w:eastAsia="Amiri" w:cs="Amiri"/>
          <w:color w:val="111111"/>
          <w:sz w:val="28"/>
          <w:sz w:val="28"/>
          <w:szCs w:val="28"/>
          <w:rtl w:val="true"/>
          <w:lang w:bidi="ar-SA"/>
        </w:rPr>
        <w:t>بلا خلاف ظاهرا، سواء كان عمليا، كتقبيل الجارية، أو قوليا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كون الفعل دالّا على إرادة الفسخ عرفا أو شرعا، و إلّا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الجارية بشهوة أو باشر فيما دون الفرج أو لمس بشهوة، فالوجه عندنا أنّه يكون فسخا، لأنّ الإسلام يصون صاحبه عن القبيح، فلو لم يختر الإمساك لكان مقدما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بعض الشافعية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تعليله بالصون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إرادة الفسخ، بل يشعر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بالإجماع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المحكي عن جامع المقاصد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تقييده في الدلالة على العلم و العمد لإمكان وقوعه نسيانا عن البيع أو اشتباها بغيرها، فلا يلازم الصون عن القبيح إرادة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تلك التصرفات ظاهرة بنوعها في العمد و العلم بالغلبة العادية، فبضميمة حمل فعل المسلم على الصحة يدلّ على إرادة الفسخ، و إن كانت بأشخاصها محلّ الشك في موارد، لعروض ما يصرفها عن الظهور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الظهور هو النوعي دون الشخصي، فإنّ حكم الفعل في ذلك كاللفظ، فكما أنّ الظهور المعتبر في الألفاظ عرفا و شرعا هو الظهور الشأني، ما لم يصرفها عنه قرينة صارفة إلى ظهور شخصي، كما في حمل الألفاظ على الحقائق ما لم يظهر القرينة الصارفة، فكذا الظهور المعتبر في الأفعال بالنسبة إلى مدلولاتها العرفية فيما يتعلّق به من الأحكام الشرعية، لأن الشرع يتّبع العرف و ما جرت عليه عادة الناس في مقام التفهيم و التفاهم، و لا شكّ أنّ العرف في إظهار مقاصدهم و إعلام ضمائرهم يقفون على ما يقتضيه الدوال بأنفسها، قولا كانت أو فعلا، و لا يخرجون عنه إلّا بدليل 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فيشترط في الفعل الفاسخ دلالته على الرضا بالانفساخ، و لا هكذا التصرف المسقط للخيار، بل يكتفي فيه بالدلالة على الرضا بالملك دون لزومه، كما يظهر من إطلاق الفتاوى و النصوص، على ما بيّنا سرّه و توجيهه في خيار الحيوان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جماعة كالشيخ </w:t>
      </w:r>
      <w:r>
        <w:rPr>
          <w:rStyle w:val="FootnoteAnchor"/>
          <w:rtl w:val="true"/>
        </w:rPr>
        <w:footnoteReference w:id="862"/>
      </w:r>
      <w:r>
        <w:rPr>
          <w:rFonts w:ascii="Amiri" w:hAnsi="Amiri" w:eastAsia="Amiri" w:cs="Amiri"/>
          <w:color w:val="111111"/>
          <w:sz w:val="28"/>
          <w:sz w:val="28"/>
          <w:szCs w:val="28"/>
          <w:rtl w:val="true"/>
          <w:lang w:bidi="ar-SA"/>
        </w:rPr>
        <w:t xml:space="preserve">و ابني زهرة </w:t>
      </w:r>
      <w:r>
        <w:rPr>
          <w:rStyle w:val="FootnoteAnchor"/>
          <w:rtl w:val="true"/>
        </w:rPr>
        <w:footnoteReference w:id="863"/>
      </w:r>
      <w:r>
        <w:rPr>
          <w:rFonts w:ascii="Amiri" w:hAnsi="Amiri" w:eastAsia="Amiri" w:cs="Amiri"/>
          <w:color w:val="111111"/>
          <w:sz w:val="28"/>
          <w:sz w:val="28"/>
          <w:szCs w:val="28"/>
          <w:rtl w:val="true"/>
          <w:lang w:bidi="ar-SA"/>
        </w:rPr>
        <w:t xml:space="preserve">و إدريس </w:t>
      </w:r>
      <w:r>
        <w:rPr>
          <w:rStyle w:val="FootnoteAnchor"/>
          <w:rtl w:val="true"/>
        </w:rPr>
        <w:footnoteReference w:id="864"/>
      </w:r>
      <w:r>
        <w:rPr>
          <w:rFonts w:ascii="Amiri" w:hAnsi="Amiri" w:eastAsia="Amiri" w:cs="Amiri"/>
          <w:color w:val="111111"/>
          <w:sz w:val="28"/>
          <w:sz w:val="28"/>
          <w:szCs w:val="28"/>
          <w:rtl w:val="true"/>
          <w:lang w:bidi="ar-SA"/>
        </w:rPr>
        <w:t xml:space="preserve">و العلّامة </w:t>
      </w:r>
      <w:r>
        <w:rPr>
          <w:rStyle w:val="FootnoteAnchor"/>
          <w:rtl w:val="true"/>
        </w:rPr>
        <w:footnoteReference w:id="865"/>
      </w:r>
      <w:r>
        <w:rPr>
          <w:rFonts w:ascii="Amiri" w:hAnsi="Amiri" w:eastAsia="Amiri" w:cs="Amiri"/>
          <w:color w:val="111111"/>
          <w:sz w:val="28"/>
          <w:sz w:val="28"/>
          <w:szCs w:val="28"/>
          <w:rtl w:val="true"/>
          <w:lang w:bidi="ar-SA"/>
        </w:rPr>
        <w:t>و غيرهم أنّ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 فيما انتقل عنه كان فسخا، و إن وقع فيما انتقل إليه كان إجازة، الظاهر بحكم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تصرف يحصل به الإجازة يحصل به الفسخ ليس</w:t>
      </w:r>
      <w:bookmarkStart w:id="378" w:name="pg2497_12282"/>
    </w:p>
    <w:p>
      <w:pPr>
        <w:pStyle w:val="BookText"/>
        <w:rPr/>
      </w:pPr>
      <w:bookmarkEnd w:id="378"/>
      <w:r>
        <w:rPr>
          <w:rFonts w:ascii="Amiri" w:hAnsi="Amiri" w:eastAsia="Amiri" w:cs="Amiri"/>
          <w:color w:val="111111"/>
          <w:sz w:val="28"/>
          <w:sz w:val="28"/>
          <w:szCs w:val="28"/>
          <w:rtl w:val="true"/>
          <w:lang w:bidi="ar-SA"/>
        </w:rPr>
        <w:t>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 التصرف الفاسخ بين ما يحرم فعله لغير المالك، و بين ما لا ينفذ عن غيره، كالبيع و العتق و الإجارة و النكاح، فإنّ تلك العقود تكشف ظاهرا عن إرادة الانفساخ بها، دون وقوعها فضولا أو لغوا، بل الظاهر وقوعه بمجرد العرض على البيع و الإذن فيه و التوكيل و الرهن الغير المقبوض و الهبة الغير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البائع فسخ و من المشتري إجازة، لدلالتها على طلب المبيع و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جامع المقاصد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3862045_3804643083"/>
      <w:bookmarkStart w:id="380" w:name="_Toc145"/>
      <w:bookmarkEnd w:id="379"/>
      <w:r>
        <w:rPr>
          <w:rtl w:val="true"/>
        </w:rPr>
        <w:t>المسألة الثانية</w:t>
      </w:r>
      <w:r>
        <w:rPr>
          <w:rtl w:val="true"/>
        </w:rPr>
        <w:t xml:space="preserve">: </w:t>
      </w:r>
      <w:r>
        <w:rPr>
          <w:rtl w:val="true"/>
        </w:rPr>
        <w:t>إذا باع ذو الخيار أو أعتق أو أوجد غير ذلك من الأسباب الناقلة</w:t>
      </w:r>
      <w:bookmarkEnd w:id="380"/>
    </w:p>
    <w:p>
      <w:pPr>
        <w:pStyle w:val="Heading4"/>
        <w:numPr>
          <w:ilvl w:val="3"/>
          <w:numId w:val="1"/>
        </w:numPr>
        <w:rPr/>
      </w:pPr>
      <w:bookmarkStart w:id="381" w:name="__RefHeading___Toc3862047_3804643083"/>
      <w:bookmarkStart w:id="382" w:name="_Toc146"/>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أو وطأ الجارية أو قبّلها بشهوة أو أكل المنتقل إليه و نحوها من التصرفات المحرّمة في ملك الغير، فلا شكّ و لا خلاف في حصول الفسخ الفعليّ بها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يحصل النقل بتلك النواقل، و يجوز تلك الأفعال المتوقفة على الملك أم لا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ظاهرهم وجود الخلاف فيه، و يرجع إلى الاختلاف في كون نفس التصرف فسخا و سببا للانفساخ، فلا يحصل النقل و لا الحلّ قبله، كما هو ظاهر كلام الفاضل </w:t>
      </w:r>
      <w:r>
        <w:rPr>
          <w:rStyle w:val="FootnoteAnchor"/>
          <w:rtl w:val="true"/>
        </w:rPr>
        <w:footnoteReference w:id="867"/>
      </w:r>
      <w:r>
        <w:rPr>
          <w:rFonts w:ascii="Amiri" w:hAnsi="Amiri" w:eastAsia="Amiri" w:cs="Amiri"/>
          <w:color w:val="111111"/>
          <w:sz w:val="28"/>
          <w:sz w:val="28"/>
          <w:szCs w:val="28"/>
          <w:rtl w:val="true"/>
          <w:lang w:bidi="ar-SA"/>
        </w:rPr>
        <w:t>في التحرير في وطء الأمة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الفسخ بأوّل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وقوعه قبله،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قول كل من قال بعدم صحّة عقد الواهب الذي يتحقّق به الرجوع، كما عن الشرائع </w:t>
      </w:r>
      <w:r>
        <w:rPr>
          <w:rStyle w:val="FootnoteAnchor"/>
          <w:rtl w:val="true"/>
        </w:rPr>
        <w:footnoteReference w:id="868"/>
      </w:r>
      <w:r>
        <w:rPr>
          <w:rFonts w:ascii="IRNazanin" w:hAnsi="IRNazanin" w:eastAsia="IRNazanin"/>
          <w:color w:val="111111"/>
          <w:sz w:val="28"/>
          <w:sz w:val="28"/>
          <w:szCs w:val="28"/>
          <w:rtl w:val="true"/>
          <w:lang w:bidi="fa-IR"/>
        </w:rPr>
        <w:t xml:space="preserve">و المبسوط </w:t>
      </w:r>
      <w:r>
        <w:rPr>
          <w:rStyle w:val="FootnoteAnchor"/>
          <w:rtl w:val="true"/>
        </w:rPr>
        <w:footnoteReference w:id="869"/>
      </w:r>
      <w:r>
        <w:rPr>
          <w:rFonts w:ascii="IRNazanin" w:hAnsi="IRNazanin" w:eastAsia="IRNazanin"/>
          <w:color w:val="111111"/>
          <w:sz w:val="28"/>
          <w:sz w:val="28"/>
          <w:szCs w:val="28"/>
          <w:rtl w:val="true"/>
          <w:lang w:bidi="fa-IR"/>
        </w:rPr>
        <w:t xml:space="preserve">و الجامع </w:t>
      </w:r>
      <w:r>
        <w:rPr>
          <w:rStyle w:val="FootnoteAnchor"/>
          <w:rtl w:val="true"/>
        </w:rPr>
        <w:footnoteReference w:id="870"/>
      </w:r>
      <w:r>
        <w:rPr>
          <w:rFonts w:ascii="Amiri" w:hAnsi="Amiri" w:eastAsia="Amiri" w:cs="Amiri"/>
          <w:color w:val="111111"/>
          <w:sz w:val="28"/>
          <w:sz w:val="28"/>
          <w:szCs w:val="28"/>
          <w:rtl w:val="true"/>
          <w:lang w:bidi="ar-SA"/>
        </w:rPr>
        <w:t xml:space="preserve">، أو كون التصرف كاشفا عن الفسخ و حصوله قبله، كما هو ظاهر التذكرة </w:t>
      </w:r>
      <w:r>
        <w:rPr>
          <w:rStyle w:val="FootnoteAnchor"/>
          <w:rtl w:val="true"/>
        </w:rPr>
        <w:footnoteReference w:id="871"/>
      </w:r>
      <w:r>
        <w:rPr>
          <w:rFonts w:ascii="Amiri" w:hAnsi="Amiri" w:eastAsia="Amiri" w:cs="Amiri"/>
          <w:color w:val="111111"/>
          <w:sz w:val="28"/>
          <w:sz w:val="28"/>
          <w:szCs w:val="28"/>
          <w:rtl w:val="true"/>
          <w:lang w:bidi="ar-SA"/>
        </w:rPr>
        <w:t>و غيره، من تعليل حصول</w:t>
      </w:r>
    </w:p>
    <w:p>
      <w:pPr>
        <w:pStyle w:val="BookText"/>
        <w:rPr/>
      </w:pPr>
      <w:r>
        <w:rPr>
          <w:rFonts w:ascii="Amiri" w:hAnsi="Amiri" w:eastAsia="Amiri" w:cs="Amiri"/>
          <w:color w:val="111111"/>
          <w:sz w:val="28"/>
          <w:sz w:val="28"/>
          <w:szCs w:val="28"/>
          <w:rtl w:val="true"/>
          <w:lang w:bidi="ar-SA"/>
        </w:rPr>
        <w:t xml:space="preserve">الفسخ بصيانة فعل المسلم عن القبيح المستلزمة لوقوعه قبله، بل عن المحقق </w:t>
      </w:r>
      <w:r>
        <w:rPr>
          <w:rStyle w:val="FootnoteAnchor"/>
          <w:rtl w:val="true"/>
        </w:rPr>
        <w:footnoteReference w:id="872"/>
      </w:r>
      <w:r>
        <w:rPr>
          <w:rFonts w:ascii="Amiri" w:hAnsi="Amiri" w:eastAsia="Amiri" w:cs="Amiri"/>
          <w:color w:val="111111"/>
          <w:sz w:val="28"/>
          <w:sz w:val="28"/>
          <w:szCs w:val="28"/>
          <w:rtl w:val="true"/>
          <w:lang w:bidi="ar-SA"/>
        </w:rPr>
        <w:t>و الشهيد الثانيين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بالحلّ، نظرا إلى حصول الفسخ قبله، و هو بالقصد المقارن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873"/>
      </w:r>
      <w:r>
        <w:rPr>
          <w:rFonts w:ascii="Amiri" w:hAnsi="Amiri" w:eastAsia="Amiri" w:cs="Amiri"/>
          <w:color w:val="111111"/>
          <w:sz w:val="28"/>
          <w:sz w:val="28"/>
          <w:szCs w:val="28"/>
          <w:rtl w:val="true"/>
          <w:lang w:bidi="ar-SA"/>
        </w:rPr>
        <w:t xml:space="preserve">و الكفاية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هبة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كلماتهم في كون نفس التصرف فسخا أو إجازة و أنّه فسخ فعليّ في مقابل القوليّ، و ظهور 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الإنشاء، لا يحصل بالنية، بل لا بدّ من حصوله بالقول أو الفعل، و اتفاقهم على توقف الفسخ على الفعل، فالفعل إذا كان بيعا لم يحصل به النقل، لتوقفه على الملك الموقوف على الفسخ المتأخر عن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الفعل المحرم المتوقّف حلّه على الفسخ المتأخر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الفسخ إنما يتحقّق بالكراهة و عدم الرضا ببقاء العقد، و يكشف عنه التصرف بحكم مقابلتها للرضا الموجب لسقوط الخيار، كما صرّح به في المبسوط و غيره، و دلّ عليه الأخبار المعلّلة بسقوط الخيار بالتصرف بكونه دالّا على الرضا، فالعبرة بالرضا في بقاء العقد و سقوط الخيار و عدمه في وقوع الفسخ</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الأوّل؛ بأنّ غاية ما يستفاد من الاتفاق، لزوم وجود الفعل في وقوع الفسخ، و لا يدلّ ذلك على كونه نفس الفسخ و سببا للملك المتجدّد، لما ستعرف من إمكان تحقّق هذا المعنى بدون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المقابلة لا يفيد أزيد من وجوب كون الفعل دالّا على الفسخ، كما يجب هذا في الإجازة، دون موافقتهما في كيفية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حصول الإنشاء بالنية مسلّمة إذا كانت محضة غير مقارنة بفعل كاشف عنها، و إلّا فهي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مجرد الكراهة الباطنية فسخا بحيث لا مدخل للفعل في تحققه واقعا، بل هو كما ستعرف شرط لوقوع الفسخ واقعا على وجه الكشف لا السببية و النقل، بخلاف الرضا المسقط للخيار، فإنّه يكفي فيه مجرد الرضا بالملك، و إن لم يدلّ على الالتزام بلزومه دائما، كما تقدم بيانه في توجيه التعليل للزوم في بعض الأخبار بالرضا بمجرد التصرفات الغير الدالّة على الالتزام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أفاضل من عاصرناه وافق الأوّل في سببية التصرف للفسخ و تأخر الملك الحادث في التصرف الناقل عنه، و مع ذلك قوّى صحّة النقل، قائلا بأنّ الفسخ يتحقّق بأوّل جزء منه، و الناقل هو تمام الفعل، و لا يشترط ملكية البائع للمبيع في تمام العقد، بل الممنوع وقوع تمام السبب في ملك الغير، فلا مانع من تأثير هذا العقد لانتقال ما انتقل إلى البائع بأوّل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التحكّم بأنّ السبب المؤثر هو مجموع الهيئة المركّبة، و هو أمر واحد ينثلم بخروج جزء منه، و لا تفاوت بين أجزائه في المدخلية في التأثير و اعتبار الشرائط فيها، سواء قلنا بأنّ البيع نفس العقد أو النقل المسبّب عنه، فما يشترط به البيع يكون شرطا للمجموع الذي لا يصدق البيع إلّا عليه، و أيّ دليل يقتضي اختصاص الاشتراط لبعض الأجزاء؟</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كونه خلاف الأصل، و ظاهر كلماتهم في عدّ شرائط البيع، و ما يستفاد من ظواهر الأخبار،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 و لا عتق إلّا في ملك</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لا يستقيم هذا التوجيه في مثل الوطء و الأكل من التصرفات المحرمة على غير المالك، مع عدم ظهور قائل بالفرق من الحلّية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يقوّى في نظري في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يحصل بالإرادة الفعلية العرفية المتصلة بالفعل الكاشف عن تلك الإرادة، بشرط مقارنتها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خيار الفسخ على ما هو مفهومه عرفا، بل مدلوله لغة، هو التسلط على ترك مقتضى العقد و اختيار ملكه السابق و الجري عليه، و ليس للفسخ حقيقة شرعية و توقيف شرعيّ يتعبد به، بل يشعر به التعبير عنه في الأخبار بلفظ الخيار مجردا عن المضاف إليه،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و لا شكّ أنّ هذا المعنى يتحقّق عرفا بالعزم القلبيّ و الإرادة الباطنية المقدمة على الفعل و الاعتبار باللفظ أو الفعل، من جهة الدلالة عليها و الكشف عنها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جرت عادة الشارع في ترتيب الآثار على القصود في المعاملات إلى اعتبار ما دلّ عليها، إمّا على كونه أسبابا مجعولة، كما في أكثر العقود و الإيقاعات التي ثبت سببيتها لآثارها بالأدلّة الخارجة، كالنكاح و الطلاق و نحوهما، أو على كونها لمجرد الكشف عن الإرادة، قولا كان أو فعلا، فإنّه يكتفي إجماعا في الفسخ بمثل عقد ناقل أو فعل محرّم على غير المالك، مع أنّ مدلولهما ليس فسخ العقد، فالعبرة بهما من باب كونهما قرينة للإرادة التي هي المؤثّر، لا من باب السببية الشرعية، من قبيل الرجوع في طلاق ذات العدّة الرجعية بكشف القناع و التقبيل في حصول الزوجية، و سقوط الخيار في ركوب الدابة</w:t>
      </w:r>
      <w:r>
        <w:rPr>
          <w:rFonts w:eastAsia="Amiri" w:cs="Amiri" w:ascii="Amiri" w:hAnsi="Amiri"/>
          <w:color w:val="111111"/>
          <w:sz w:val="28"/>
          <w:szCs w:val="28"/>
          <w:rtl w:val="true"/>
          <w:lang w:bidi="ar-SA"/>
        </w:rPr>
        <w:t>.</w:t>
      </w:r>
      <w:bookmarkStart w:id="383" w:name="pg2497_12286"/>
    </w:p>
    <w:p>
      <w:pPr>
        <w:pStyle w:val="BookText"/>
        <w:rPr/>
      </w:pPr>
      <w:bookmarkEnd w:id="383"/>
      <w:r>
        <w:rPr>
          <w:rFonts w:ascii="Amiri" w:hAnsi="Amiri" w:eastAsia="Amiri" w:cs="Amiri"/>
          <w:color w:val="111111"/>
          <w:sz w:val="28"/>
          <w:sz w:val="28"/>
          <w:szCs w:val="28"/>
          <w:rtl w:val="true"/>
          <w:lang w:bidi="ar-SA"/>
        </w:rPr>
        <w:t xml:space="preserve">و إلى هذا أشار شيخنا الشهيد في المسالك </w:t>
      </w:r>
      <w:r>
        <w:rPr>
          <w:rStyle w:val="FootnoteAnchor"/>
          <w:rtl w:val="true"/>
        </w:rPr>
        <w:footnoteReference w:id="877"/>
      </w:r>
      <w:r>
        <w:rPr>
          <w:rFonts w:ascii="Amiri" w:hAnsi="Amiri" w:eastAsia="Amiri" w:cs="Amiri"/>
          <w:color w:val="111111"/>
          <w:sz w:val="28"/>
          <w:sz w:val="28"/>
          <w:szCs w:val="28"/>
          <w:rtl w:val="true"/>
          <w:lang w:bidi="ar-SA"/>
        </w:rPr>
        <w:t>في الاستدلال على صحة بيع من له الرجوع في الهبة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يدلّ على إرادة الفسخ، و الغرض من الألفاظ المعتبرة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الرضا الباطني، لأنه هو المعتبر، و لكن لما لم يمكن الاطلاع عليه، نصب الشارع الألفاظ الصريحة الدالّة عليه و اعتبرها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المذكور يدلّ على تحقق إرادة الفسخ قبل العقد، فيكشف العقد عن حصول الفسخ بالقصد إليه قبل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تعميمه ذلك بالنسبة إلى ألفاظ العقود التوقيفية غير جيّد، لكونها من باب الأسباب قطعا،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فالسبب المؤثر في الانفساخ هو الإرادة المقدّمة على الفعل، فيكون الفعل الناقل صادرا عنه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سقوط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توجيه حصول الفسخ بالإرادة مع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توقفه على وجود الفعل، بحيث لو اتفق حصول المانع عن الشروع في الفعل اضطرارا بعد تحقق الإرادة لم يتحقق الانفساخ، فهو أنّ التوقف على التصرف ليس من باب السببية المستلزمة لتأخر الملك عنه، بل هو من قبيل الاشتراط بالشرط المتأخر، بمعنى أنّ تأثير الإرادة في الانفساخ و سببيتها مشروط باقترانها بالفعل، و هو نظير الإجازة في العقد الفضولي على القول بكونها كاشفة كما هو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فرعوا عليه ملك النماء المتخلل بين العقد و الإجازة للمشتري</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862049_3804643083"/>
      <w:bookmarkStart w:id="385" w:name="_Toc147"/>
      <w:bookmarkEnd w:id="384"/>
      <w:r>
        <w:rPr>
          <w:rtl w:val="true"/>
        </w:rPr>
        <w:t>فرع</w:t>
      </w:r>
      <w:r>
        <w:rPr>
          <w:rtl w:val="true"/>
        </w:rPr>
        <w:t xml:space="preserve">: </w:t>
      </w:r>
      <w:r>
        <w:rPr>
          <w:rtl w:val="true"/>
        </w:rPr>
        <w:t>لو اشترى عبدا بجارية فقال</w:t>
      </w:r>
      <w:r>
        <w:rPr>
          <w:rtl w:val="true"/>
        </w:rPr>
        <w:t xml:space="preserve">: </w:t>
      </w:r>
      <w:r>
        <w:rPr>
          <w:rtl w:val="true"/>
        </w:rPr>
        <w:t xml:space="preserve">أعتقتهما فعن </w:t>
      </w:r>
      <w:r>
        <w:rPr>
          <w:rtl w:val="true"/>
        </w:rPr>
        <w:t>[</w:t>
      </w:r>
      <w:r>
        <w:rPr>
          <w:rtl w:val="true"/>
        </w:rPr>
        <w:t>بعض</w:t>
      </w:r>
      <w:r>
        <w:rPr>
          <w:rtl w:val="true"/>
        </w:rPr>
        <w:t xml:space="preserve">]: </w:t>
      </w:r>
      <w:r>
        <w:rPr>
          <w:rtl w:val="true"/>
        </w:rPr>
        <w:t>انعتاق الجارية دون العبد،</w:t>
      </w:r>
      <w:bookmarkEnd w:id="385"/>
    </w:p>
    <w:p>
      <w:pPr>
        <w:pStyle w:val="BookText"/>
        <w:rPr/>
      </w:pPr>
      <w:r>
        <w:rPr>
          <w:rFonts w:ascii="Amiri" w:hAnsi="Amiri" w:eastAsia="Amiri" w:cs="Amiri"/>
          <w:color w:val="111111"/>
          <w:sz w:val="28"/>
          <w:sz w:val="28"/>
          <w:szCs w:val="28"/>
          <w:rtl w:val="true"/>
          <w:lang w:bidi="ar-SA"/>
        </w:rPr>
        <w:t>لتقدم الفسخ على الإجازة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بالمنع فيما وقع الفسخ و الإجازة من طرف واحد، و لو لعدم الدليل</w:t>
      </w:r>
      <w:r>
        <w:rPr>
          <w:rFonts w:eastAsia="Amiri" w:cs="Amiri" w:ascii="Amiri" w:hAnsi="Amiri"/>
          <w:color w:val="111111"/>
          <w:sz w:val="28"/>
          <w:szCs w:val="28"/>
          <w:rtl w:val="true"/>
          <w:lang w:bidi="ar-SA"/>
        </w:rPr>
        <w:t>.</w:t>
      </w:r>
      <w:bookmarkStart w:id="386" w:name="pg2497_12287"/>
    </w:p>
    <w:p>
      <w:pPr>
        <w:pStyle w:val="BookText"/>
        <w:rPr/>
      </w:pPr>
      <w:bookmarkEnd w:id="386"/>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العبد دون الجارية، لأنّ الإجازة إبقاء للعقد و الأصل بقاؤه، و يعارضه اصل عدم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الخيار و عدم حصول عتق أحد منهما، كما عن الفاضل </w:t>
      </w:r>
      <w:r>
        <w:rPr>
          <w:rStyle w:val="FootnoteAnchor"/>
          <w:rtl w:val="true"/>
        </w:rPr>
        <w:footnoteReference w:id="878"/>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879"/>
      </w:r>
      <w:r>
        <w:rPr>
          <w:rFonts w:ascii="Amiri" w:hAnsi="Amiri" w:eastAsia="Amiri" w:cs="Amiri"/>
          <w:color w:val="111111"/>
          <w:sz w:val="28"/>
          <w:sz w:val="28"/>
          <w:szCs w:val="28"/>
          <w:rtl w:val="true"/>
          <w:lang w:bidi="ar-SA"/>
        </w:rPr>
        <w:t>، لأنّ المعتق لا يكون مالكا لهما بالفعل، لأن ملك أحدهما يستلزم خروج الآخر عن ملكه، فلا ينفذ عتقهما، لتدافعهما، مضافا إلى استصحاب بقاء الخيار و عدم حصول العتق</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862051_3804643083"/>
      <w:bookmarkStart w:id="388" w:name="_Toc148"/>
      <w:bookmarkEnd w:id="387"/>
      <w:r>
        <w:rPr>
          <w:rtl w:val="true"/>
        </w:rPr>
        <w:t>المسألة الثالثة</w:t>
      </w:r>
      <w:r>
        <w:rPr>
          <w:rtl w:val="true"/>
        </w:rPr>
        <w:t xml:space="preserve">: </w:t>
      </w:r>
      <w:r>
        <w:rPr>
          <w:rtl w:val="true"/>
        </w:rPr>
        <w:t>لا ينافي تلف العين بقاء الخيار،</w:t>
      </w:r>
      <w:bookmarkEnd w:id="388"/>
    </w:p>
    <w:p>
      <w:pPr>
        <w:pStyle w:val="BookText"/>
        <w:rPr/>
      </w:pPr>
      <w:r>
        <w:rPr>
          <w:rFonts w:ascii="Amiri" w:hAnsi="Amiri" w:eastAsia="Amiri" w:cs="Amiri"/>
          <w:color w:val="111111"/>
          <w:sz w:val="28"/>
          <w:sz w:val="28"/>
          <w:szCs w:val="28"/>
          <w:rtl w:val="true"/>
          <w:lang w:bidi="ar-SA"/>
        </w:rPr>
        <w:t xml:space="preserve">بلا خلاف أجده، و إن تأمّل فيه بعض الأساطين، و به صرّح الفاضل </w:t>
      </w:r>
      <w:r>
        <w:rPr>
          <w:rStyle w:val="FootnoteAnchor"/>
          <w:rtl w:val="true"/>
        </w:rPr>
        <w:footnoteReference w:id="880"/>
      </w:r>
      <w:r>
        <w:rPr>
          <w:rFonts w:ascii="Amiri" w:hAnsi="Amiri" w:eastAsia="Amiri" w:cs="Amiri"/>
          <w:color w:val="111111"/>
          <w:sz w:val="28"/>
          <w:sz w:val="28"/>
          <w:szCs w:val="28"/>
          <w:rtl w:val="true"/>
          <w:lang w:bidi="ar-SA"/>
        </w:rPr>
        <w:t>في القواعد، إلّا فيما أوجب التلف انفساخ العقد، فلا خيار، إذ لا عقد حينئذ، كما في خيار التأخير و الخيار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العقد قابلا للفسخ بعد تلف العين، و لذا قالوا بشرعية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عليه الإجماع، فإنّ معنى الفسخ ليس ردّ كلّ عوض إلى مالكه الأوّل الذي يحصل بعقد جديد أيضا، بل هو حلّ العقد السابق الناقل للعوضين، و مقتضى حلّه عود العوضين مع بقائهما إلى مالكيه و استحقاقهما البدل عند تلفهما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العين لتزلزلها بالخيار مضمونة على المنتقل إليه، فإذا تلف عنده يرجع الآخر إليه ببدله، و إن قلنا بعدم جواز إتلافها لغير ذي الخيار، نظرا إلى تعلق حق ذي الخيار بالعين أصالة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التمسك في سقوط الخيار بأصل البراءة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بزوال الأصل باستصحاب الخيار المقتضي لضمانه المزيل للبراءة عنه</w:t>
      </w:r>
      <w:r>
        <w:rPr>
          <w:rFonts w:eastAsia="Amiri" w:cs="Amiri" w:ascii="Amiri" w:hAnsi="Amiri"/>
          <w:color w:val="111111"/>
          <w:sz w:val="28"/>
          <w:szCs w:val="28"/>
          <w:rtl w:val="true"/>
          <w:lang w:bidi="ar-SA"/>
        </w:rPr>
        <w:t>.</w:t>
      </w:r>
      <w:bookmarkStart w:id="389" w:name="pg2497_12288"/>
    </w:p>
    <w:p>
      <w:pPr>
        <w:pStyle w:val="BookText"/>
        <w:rPr/>
      </w:pPr>
      <w:bookmarkEnd w:id="389"/>
      <w:r>
        <w:rPr>
          <w:rFonts w:ascii="Amiri" w:hAnsi="Amiri" w:eastAsia="Amiri" w:cs="Amiri"/>
          <w:color w:val="111111"/>
          <w:sz w:val="28"/>
          <w:sz w:val="28"/>
          <w:szCs w:val="28"/>
          <w:rtl w:val="true"/>
          <w:lang w:bidi="ar-SA"/>
        </w:rPr>
        <w:t>نعم، إذا كان موجب الخيار مقيدا بردّ العين، كما عند اشتراطه كذلك، أمكن القول بسقوطه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تردّد العلّامة في المرابحة، فيما لو ظهر كذب البائع في إخباره برأس المال بعد تلف المتاع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المبسوط </w:t>
      </w:r>
      <w:r>
        <w:rPr>
          <w:rStyle w:val="FootnoteAnchor"/>
          <w:rtl w:val="true"/>
        </w:rPr>
        <w:footnoteReference w:id="882"/>
      </w:r>
      <w:r>
        <w:rPr>
          <w:rFonts w:ascii="Amiri" w:hAnsi="Amiri" w:eastAsia="Amiri" w:cs="Amiri"/>
          <w:color w:val="111111"/>
          <w:sz w:val="28"/>
          <w:sz w:val="28"/>
          <w:szCs w:val="28"/>
          <w:rtl w:val="true"/>
          <w:lang w:bidi="ar-SA"/>
        </w:rPr>
        <w:t>و بعض آخر الجزم بالعدم، نظرا إلى أنّ الردّ إنّما يتحقق مع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المسالك </w:t>
      </w:r>
      <w:r>
        <w:rPr>
          <w:rStyle w:val="FootnoteAnchor"/>
          <w:rtl w:val="true"/>
        </w:rPr>
        <w:footnoteReference w:id="883"/>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لعدم المانع مع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فيما تقدم خلافهم في بقاء خيار المغبون بتلف المغبون فيه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862053_3804643083"/>
      <w:bookmarkStart w:id="391" w:name="_Toc149"/>
      <w:bookmarkEnd w:id="390"/>
      <w:r>
        <w:rPr>
          <w:rtl w:val="true"/>
        </w:rPr>
        <w:t>المسألة الرابعة</w:t>
      </w:r>
      <w:r>
        <w:rPr>
          <w:rtl w:val="true"/>
        </w:rPr>
        <w:t xml:space="preserve">: </w:t>
      </w:r>
      <w:r>
        <w:rPr>
          <w:rtl w:val="true"/>
        </w:rPr>
        <w:t>اختلفوا في جواز التصرف الناقل لغير ذي الخيار،</w:t>
      </w:r>
      <w:bookmarkEnd w:id="391"/>
    </w:p>
    <w:p>
      <w:pPr>
        <w:pStyle w:val="BookText"/>
        <w:rPr/>
      </w:pPr>
      <w:r>
        <w:rPr>
          <w:rFonts w:ascii="Amiri" w:hAnsi="Amiri" w:eastAsia="Amiri" w:cs="Amiri"/>
          <w:color w:val="111111"/>
          <w:sz w:val="28"/>
          <w:sz w:val="28"/>
          <w:szCs w:val="28"/>
          <w:rtl w:val="true"/>
          <w:lang w:bidi="ar-SA"/>
        </w:rPr>
        <w:t>كنقل المشتري المبيع في بيع الخيار،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جوازه، و هو المحكيّ عن الشيخ </w:t>
      </w:r>
      <w:r>
        <w:rPr>
          <w:rStyle w:val="FootnoteAnchor"/>
          <w:rtl w:val="true"/>
        </w:rPr>
        <w:footnoteReference w:id="885"/>
      </w:r>
      <w:r>
        <w:rPr>
          <w:rFonts w:ascii="Amiri" w:hAnsi="Amiri" w:eastAsia="Amiri" w:cs="Amiri"/>
          <w:color w:val="111111"/>
          <w:sz w:val="28"/>
          <w:sz w:val="28"/>
          <w:szCs w:val="28"/>
          <w:rtl w:val="true"/>
          <w:lang w:bidi="ar-SA"/>
        </w:rPr>
        <w:t xml:space="preserve">و ابن سعيد و ظاهر الفاضل في القواعد </w:t>
      </w:r>
      <w:r>
        <w:rPr>
          <w:rStyle w:val="FootnoteAnchor"/>
          <w:rtl w:val="true"/>
        </w:rPr>
        <w:footnoteReference w:id="886"/>
      </w:r>
      <w:r>
        <w:rPr>
          <w:rFonts w:ascii="Amiri" w:hAnsi="Amiri" w:eastAsia="Amiri" w:cs="Amiri"/>
          <w:color w:val="111111"/>
          <w:sz w:val="28"/>
          <w:sz w:val="28"/>
          <w:szCs w:val="28"/>
          <w:rtl w:val="true"/>
          <w:lang w:bidi="ar-SA"/>
        </w:rPr>
        <w:t xml:space="preserve">و المحقّق و الشهيد الثانيين، بل نسب إلى الأكثر، و عن جامع المقاصد </w:t>
      </w:r>
      <w:r>
        <w:rPr>
          <w:rStyle w:val="FootnoteAnchor"/>
          <w:rtl w:val="true"/>
        </w:rPr>
        <w:footnoteReference w:id="887"/>
      </w:r>
      <w:r>
        <w:rPr>
          <w:rFonts w:ascii="IRNazanin" w:hAnsi="IRNazanin" w:eastAsia="IRNazanin"/>
          <w:color w:val="111111"/>
          <w:sz w:val="28"/>
          <w:sz w:val="28"/>
          <w:szCs w:val="28"/>
          <w:rtl w:val="true"/>
          <w:lang w:bidi="fa-IR"/>
        </w:rPr>
        <w:t xml:space="preserve">و الدروس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بعض كلمات العلّامة و الشهيد خلافه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w:t>
      </w:r>
      <w:r>
        <w:rPr>
          <w:rStyle w:val="FootnoteAnchor"/>
          <w:rtl w:val="true"/>
        </w:rPr>
        <w:footnoteReference w:id="889"/>
      </w:r>
      <w:r>
        <w:rPr>
          <w:rFonts w:ascii="Amiri" w:hAnsi="Amiri" w:eastAsia="Amiri" w:cs="Amiri"/>
          <w:color w:val="111111"/>
          <w:sz w:val="28"/>
          <w:sz w:val="28"/>
          <w:szCs w:val="28"/>
          <w:rtl w:val="true"/>
          <w:lang w:bidi="ar-SA"/>
        </w:rPr>
        <w:t xml:space="preserve">و التذكرة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عتق المشتري العبد في زمان خيار البائع،</w:t>
      </w:r>
    </w:p>
    <w:p>
      <w:pPr>
        <w:pStyle w:val="BookText"/>
        <w:rPr/>
      </w:pPr>
      <w:r>
        <w:rPr>
          <w:rFonts w:ascii="Amiri" w:hAnsi="Amiri" w:eastAsia="Amiri" w:cs="Amiri"/>
          <w:color w:val="111111"/>
          <w:sz w:val="28"/>
          <w:sz w:val="28"/>
          <w:szCs w:val="28"/>
          <w:rtl w:val="true"/>
          <w:lang w:bidi="ar-SA"/>
        </w:rPr>
        <w:t>و جعله كالتلف، فيرجع البائع بعد الفسخ إلى المثل أو القيمة، و ظاهره تخصيص الجواز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التصرف الناقل لكن على التزلزل، فإنّ فسخ ذو الخيار رجع العين إليه من المنتقل إليه الثاني، و إن سقط خياره بأحد مسقطاته،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يخصّص ذلك بما يقبل التزلزل كالبيع و الهبة، و أمّا ما لا يقبل كالعتق و الوقف، فيبطل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على وجه اللزوم و عدم تسلط ذي الخيار على استرجاع العين، بل ربما أفرط في ذلك بعدم الفرق بين النواقل اللازمة و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يظهر من القائلين بالجواز بقاء الخيار بالرجوع إلى البدل من المثل أو القيمة، إلّا في مسألة العتق أو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فالحقّ هو الأوّل، لأنّ الخيار متعلّق بسبب العقد إلى العوضين بإرجاع عينهما بحلّ العقد إلى ملكهما السابق، فلا يجوز أن يتصرّف في العين بما يبطل ذلك الحقّ بنقلها إلى غيره، و هذا يعمّ الخيارات الأصلية و المجعولة بالشرط، و إن كان في الثاني أوضح، لظهور إرادة إبقاء الملك من اشتراطه ليستردّه عند الفسخ، و كونه حكمة في أصل الخيار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أورده بعض أفاضل من عاصرناه عليه، من أنّ الثابت من خيار الفسخ بعد ملاحظة جواز التفاسخ في حال تلف العينين هي سلطنة ذي الخيار على فسخ العقد الممكن في حالتي وجود العين و بعدها، فلا دلالة في مجرد ثبوت الخيار على حكم التلف جوازا و منعا، فالمرجع فيه أدلّة سلطنة الناس على أموالهم مخدوش بأنّ مقتضى حقّ الخيار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حلّ العقد، و أخذ العين بالفسخ، و لذا لا يجوز بذل البدل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عدم إمكان الثاني للتلف لا يسقط الأوّل، فيرجع إلى القيمة من قبيل الرجوع في المغصوب التالف على عوضه، و أمّا مع بقاء العين، فلا تسقط حقه عنها، فليس للآخر إتلاف هذا الحق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تسلّطه على ماله بحديث السلطنة محجوج بسبق حقّ غيره فيه المنافي للإتلاف اختيارا، فلا يعارض أدلّة الخيار على ما بيناه في قاعدة نفي الضرر، مضافا إلى استلزامه جواز إتلاف العين رأسا، و لعلّه لا يقول أحد بهذا الضرر، و إلى ظهور إرادة ذي الخيار بقاءها في الخيار المجعول بالشرط، و الشارع في حكمة تشريعه في الخيار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ينقدح حجة القول الثالث بضعفها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جوازه متزلزلا، فقاعدة التسليط و عمومات حلّية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تسلط ذي الخيار على الرجوع إلى العين بعد الفسخ ممن انتقل إليه، فاستصحاب خيار البائع اقتضائه جواز الرجوع إلى العين ما دامت باقية، مع أن البيع و نحوه ليس إلّا نقل الملك الثابت للناقل، و ليس للمشتري في زمن الخيار إلّا الملك المتزلزل، فلا يترتّب على بيعه إلّا حصول الملكية المتزلزلة الثابتة للمشتري، و لا ينافيه لزوم البيع، فإنّ مقتضاه لزومه على حسب حاله، و هو ما يرتفع بفسخ ذي الخيار، فهو لازم على المشتري الأوّل و الثاني دون البائع الأوّل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عبارة عن حل العقد الأوّل، و مقتضاه إرجاع المبيع عن ملكية المشتري الأوّل، فإنّه المشروط عليه الملتزم به، و بهذا فرع بقاء الملكية له، و في المفروض ارجاع عن ملكية المشتري الثاني بالعقد الثاني، و لم يكن له خيار بالنسبة إلى هذا العقد، إذ لا شرط بينهما، فلا بدّ إمّا من القول بعدم جواز إخراج المشتري الأوّل العين عن ملكه إبقاء لحق خيار البائع كما هو الصواب، أو القول</w:t>
      </w:r>
      <w:bookmarkStart w:id="392" w:name="pg2497_12294"/>
    </w:p>
    <w:p>
      <w:pPr>
        <w:pStyle w:val="BookText"/>
        <w:rPr/>
      </w:pPr>
      <w:bookmarkEnd w:id="392"/>
      <w:r>
        <w:rPr>
          <w:rFonts w:ascii="Amiri" w:hAnsi="Amiri" w:eastAsia="Amiri" w:cs="Amiri"/>
          <w:color w:val="111111"/>
          <w:sz w:val="28"/>
          <w:sz w:val="28"/>
          <w:szCs w:val="28"/>
          <w:rtl w:val="true"/>
          <w:lang w:bidi="ar-SA"/>
        </w:rPr>
        <w:t>بسقوط خيار البائع عن العين و نقله إلى الغير</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862055_3804643083"/>
      <w:bookmarkStart w:id="394" w:name="_Toc150"/>
      <w:bookmarkEnd w:id="393"/>
      <w:r>
        <w:rPr>
          <w:rtl w:val="true"/>
        </w:rPr>
        <w:t>المسألة الخامسة</w:t>
      </w:r>
      <w:r>
        <w:rPr>
          <w:rtl w:val="true"/>
        </w:rPr>
        <w:t xml:space="preserve">: </w:t>
      </w:r>
      <w:r>
        <w:rPr>
          <w:rtl w:val="true"/>
        </w:rPr>
        <w:t>منفعة العين في زمان الخيار قبل الفسخ في بيع الخيار و غيره مال المشتري،</w:t>
      </w:r>
      <w:bookmarkEnd w:id="394"/>
    </w:p>
    <w:p>
      <w:pPr>
        <w:pStyle w:val="BookText"/>
        <w:rPr/>
      </w:pPr>
      <w:r>
        <w:rPr>
          <w:rFonts w:ascii="Amiri" w:hAnsi="Amiri" w:eastAsia="Amiri" w:cs="Amiri"/>
          <w:color w:val="111111"/>
          <w:sz w:val="28"/>
          <w:sz w:val="28"/>
          <w:szCs w:val="28"/>
          <w:rtl w:val="true"/>
          <w:lang w:bidi="ar-SA"/>
        </w:rPr>
        <w:t xml:space="preserve">كالأصل، فله صرفه كيف يشاء، و أخذ العوض عليها و مطالبة أجرة المثل و لو من ذي الخيار إذا تصرّفه، فلو آجره في زمان الخيار صحّت الإجارة، لكن ما دام تملكه للعين، و تنفسخ بفسخ العين، كما أفتى به المحقق القمّي و والدي العلّامة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بأنّ صحّة الإجارة تبطل تسلّط الفاسخ على أخذ العين، لاستحقاق المستأجر لتسلّمه لأجل استيفاء منفعة في مدة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بأنّ الفسخ من قواطع الإجارة، نظير قطع إجارة البطن الأوّل في الوقف بموتهم، و انتقال العين الموقوفة إلى البطن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بعض أفاضل من عاصرناه بقاء الإجارة للمشتري و عدم بطلانها بفسخ العين، استنادا إلى أنّ المشتري ملك العين ملكية مطلقة مستعدة للدوام، و من نماء هذا الملك المنفعة الدائمة، فإذا استوفاها المشتري بالإجارة فلا وجه لرجوعها إلى الفاسخ، بل يرجع إليه الملك مسلوب المنفعة في مدّة الإجارة بعد الفسخ، كما إذا باعه بعد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يفترق هذا عن إجارة البطن الأوّل في الوقف المنقطعة بانقضائهم، بأنّ البطن الثاني لا يتلقّى الملك عن البطن الأوّل حتى يتلقّاه مسلوب المنفعة، بل عن الواقف، فالملك ينتهي بانتهاء استعداده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هذا أيضا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ذي الخيار كما تعلق بالعين قبل الفسخ بتسلطه على إرجاعها إلى</w:t>
      </w:r>
      <w:bookmarkStart w:id="395" w:name="pg2497_12296"/>
    </w:p>
    <w:p>
      <w:pPr>
        <w:pStyle w:val="BookText"/>
        <w:rPr/>
      </w:pPr>
      <w:bookmarkEnd w:id="395"/>
      <w:r>
        <w:rPr>
          <w:rFonts w:ascii="Amiri" w:hAnsi="Amiri" w:eastAsia="Amiri" w:cs="Amiri"/>
          <w:color w:val="111111"/>
          <w:sz w:val="28"/>
          <w:sz w:val="28"/>
          <w:szCs w:val="28"/>
          <w:rtl w:val="true"/>
          <w:lang w:bidi="ar-SA"/>
        </w:rPr>
        <w:t>نفسه بالفسخ، تعلّق بالمنفعة أيضا تبعا للعين بإرجاعها إليه كذلك، فيبطل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الملك مستعدا للدوام لو لا الرافع لا يكفي في ملك المنفعة الدائمة فعلا قبل حلول الرافع، بل هو معلّق على عدم حلوله، كملك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هذا التصرف و التمليك المستمرّ ينافي حقّ الخيار الآخر المتعلّق بالعين 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بينه و بين اجارة الموقوف، بأنّ البطن الثاني تتلقّى الملك من الواقف لا من البطن الأوّل مستجمع المنفعة ينتهي استعداد ملك البطن الثاني بانقراضه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بأن المستأجر فيما نحن فيه، و إن تلقّى الملك عن المشتري، لكن على حسب ما تلقّاه من البائع، و هو المتزلزل المنتهى استعداده بالفسخ على 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بقاء الإجارة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الأجرة المسماة إلى انقضاء مدّة الإجارة للفاسخ، فلا يكاد يصلح، بل هو خلاف قصد الموجر، و لعله لم يرض به الفاضل المعاصر و لم يفت، و إن كانت للمشتري، فهو ضرر بيّن على البائع، سيما إذا كانت مدّة الإجارة زائدة عن زمان الخيار بمدّة طويلة كعشرين سنة أو خمسين، إذ يدور أمر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الالتزام ببقاء المبيع و بين الفسخ و ردّ الثمن و تملك العين مسلوب المنفعة في يد المستأجر إلى انقضاء مدّة الإجارة، و أيّهما كان، فهو ضرر فاحش و خلاف ما انعقد عليه قصد المتعاقدين في الخيارات المجعولة، و الحكمة في الخيارات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إلّا تضييق على ذي الخيار لا إرفاق و تسهيل له؟</w:t>
      </w:r>
    </w:p>
    <w:p>
      <w:pPr>
        <w:pStyle w:val="Heading3"/>
        <w:numPr>
          <w:ilvl w:val="2"/>
          <w:numId w:val="1"/>
        </w:numPr>
        <w:rPr/>
      </w:pPr>
      <w:bookmarkStart w:id="396" w:name="__RefHeading___Toc3862057_3804643083"/>
      <w:bookmarkStart w:id="397" w:name="_Toc151"/>
      <w:bookmarkEnd w:id="396"/>
      <w:r>
        <w:rPr>
          <w:rtl w:val="true"/>
        </w:rPr>
        <w:t>المسألة السادسة</w:t>
      </w:r>
      <w:r>
        <w:rPr>
          <w:rtl w:val="true"/>
        </w:rPr>
        <w:t xml:space="preserve">: </w:t>
      </w:r>
      <w:r>
        <w:rPr>
          <w:rtl w:val="true"/>
        </w:rPr>
        <w:t>إذا أذن ذو الخيار في التصرف الناقل،</w:t>
      </w:r>
      <w:bookmarkEnd w:id="39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و لا خلاف في نفوذ إذنه و صحّة التصرف و عدم انفساخه بفسخ العقد الأوّل، و إن قلنا بعدم منافاة الإذن في التصرف لإرادة الفسخ و أخذ القيمة، لتوافق حقّيهما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الإذن ليس فسخا موجبا لعود الملك إلى الفاسخ، لاستلزامه وقوع الفعل المأذون فيه لذي الخيار، مع أنّه يقع وكالة عنه، و لا تعلّق قصدهما به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الظاهر، عدم بقاء الخيار بعد هذا الإذن بحيث يرجع ذو الخيار به إلى البدل، لأنّ حقّ الخيار متعيّن بالعين، و لا ينتقل إلى البدل إلّا إذا تلفت على كونها محلا لحقّه، و إذنه لغير ذي الخيار في التصرف الناقل لنفسه عند بقاءها على ملكه، إسقاط لحقّ خياره عن العين، فلا يرجع إلى البدل، بل هو 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 بمجرّد الإذن، و إن لم يتصرّف المأذون، كما عن القواعد </w:t>
      </w:r>
      <w:r>
        <w:rPr>
          <w:rStyle w:val="FootnoteAnchor"/>
          <w:rtl w:val="true"/>
        </w:rPr>
        <w:footnoteReference w:id="892"/>
      </w:r>
      <w:r>
        <w:rPr>
          <w:rFonts w:ascii="Amiri" w:hAnsi="Amiri" w:eastAsia="Amiri" w:cs="Amiri"/>
          <w:color w:val="111111"/>
          <w:sz w:val="28"/>
          <w:sz w:val="28"/>
          <w:szCs w:val="28"/>
          <w:rtl w:val="true"/>
          <w:lang w:bidi="ar-SA"/>
        </w:rPr>
        <w:t xml:space="preserve">و التذكرة </w:t>
      </w:r>
      <w:r>
        <w:rPr>
          <w:rStyle w:val="FootnoteAnchor"/>
          <w:rtl w:val="true"/>
        </w:rPr>
        <w:footnoteReference w:id="893"/>
      </w:r>
      <w:r>
        <w:rPr>
          <w:rFonts w:ascii="Amiri" w:hAnsi="Amiri" w:eastAsia="Amiri" w:cs="Amiri"/>
          <w:color w:val="111111"/>
          <w:sz w:val="28"/>
          <w:sz w:val="28"/>
          <w:szCs w:val="28"/>
          <w:rtl w:val="true"/>
          <w:lang w:bidi="ar-SA"/>
        </w:rPr>
        <w:t xml:space="preserve">، بل عن المشهور، منع دلالة الإذن المجرّد عن التصرف المحكيّ عن جامع المقاصد </w:t>
      </w:r>
      <w:r>
        <w:rPr>
          <w:rStyle w:val="FootnoteAnchor"/>
          <w:rtl w:val="true"/>
        </w:rPr>
        <w:footnoteReference w:id="894"/>
      </w:r>
      <w:r>
        <w:rPr>
          <w:rFonts w:ascii="Amiri" w:hAnsi="Amiri" w:eastAsia="Amiri" w:cs="Amiri"/>
          <w:color w:val="111111"/>
          <w:sz w:val="28"/>
          <w:sz w:val="28"/>
          <w:szCs w:val="28"/>
          <w:rtl w:val="true"/>
          <w:lang w:bidi="ar-SA"/>
        </w:rPr>
        <w:t xml:space="preserve">و المسالك </w:t>
      </w:r>
      <w:r>
        <w:rPr>
          <w:rStyle w:val="FootnoteAnchor"/>
          <w:rtl w:val="true"/>
        </w:rPr>
        <w:footnoteReference w:id="895"/>
      </w:r>
      <w:r>
        <w:rPr>
          <w:rFonts w:ascii="Amiri" w:hAnsi="Amiri" w:eastAsia="Amiri" w:cs="Amiri"/>
          <w:color w:val="111111"/>
          <w:sz w:val="28"/>
          <w:sz w:val="28"/>
          <w:szCs w:val="28"/>
          <w:rtl w:val="true"/>
          <w:lang w:bidi="ar-SA"/>
        </w:rPr>
        <w:t>خلاف الظاهر، و توجيهه بظهور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بحكم العرف لا في الإسقاط، و الحكم بالسقوط في التصرف عن إذنه ليس لأجل تحقّق الإسقاط من ذي الخيار بالإذن، بل لأجل تحقق المسقط، نظرا إلى وقوع التصرف صحيحا و عدم التسلط على البدل كما تقرّر، خال عن التحصيل، لأنّ الإذن لو كان فسخا لم يتفاوت به الحال بتعقب التصرف المأذون فيه من غير ذي الخيار و عدمه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يظهر مما بيّناه حكم الإذن في الإتلاف و أنّه إسقاط للخيار، فليس له الفسخ و أخذ البدل، و لا هكذا لو تلف في يده أو أتلف بدون إذنه، لما تقدم من انتقال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المضمونة عليه إلى البدل</w:t>
      </w:r>
      <w:r>
        <w:rPr>
          <w:rFonts w:eastAsia="Amiri" w:cs="Amiri" w:ascii="Amiri" w:hAnsi="Amiri"/>
          <w:color w:val="111111"/>
          <w:sz w:val="28"/>
          <w:szCs w:val="28"/>
          <w:rtl w:val="true"/>
          <w:lang w:bidi="ar-SA"/>
        </w:rPr>
        <w:t>.</w:t>
      </w:r>
      <w:bookmarkStart w:id="398" w:name="pg2497_12300"/>
    </w:p>
    <w:p>
      <w:pPr>
        <w:pStyle w:val="BookText"/>
        <w:rPr/>
      </w:pPr>
      <w:bookmarkEnd w:id="398"/>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في الإجارة إلى آخر زمان الخيار أو أكثر، فلا شكّ في صحّتها كما مرّ، و ليس فسخا كما عرفت، و كذا ليس هنا إسقاطا للخيار أيضا، لأنّ متعلّقه العين و المنفعة تابعة، فتقع الإجارة المأذون ما لم يفسخ الإذن، و يبطل بفسخ العين،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الإجارة إذن في تملك المنافع المتجدّدة لغير ذي الخيار، فلا يرجع إليه بعد فسخ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إذا لم يكن فسخا لا يكون لازما، بحيث لا يمكن تعقبه البطلان القهريّ بفسخ العين، بل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فيه و لا يفيد شيئا لاستحقاقه الإجارة ما دام ملك العين من غير توقف على إذن ذي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اقترن المقام بقرينة حالية دالة على قصده من الإذن إسقاط خياره كان له حكمه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862059_3804643083"/>
      <w:bookmarkStart w:id="400" w:name="_Toc152"/>
      <w:bookmarkEnd w:id="399"/>
      <w:r>
        <w:rPr>
          <w:rtl w:val="true"/>
        </w:rPr>
        <w:t>المسألة السابعة</w:t>
      </w:r>
      <w:r>
        <w:rPr>
          <w:rtl w:val="true"/>
        </w:rPr>
        <w:t xml:space="preserve">: </w:t>
      </w:r>
      <w:r>
        <w:rPr>
          <w:rtl w:val="true"/>
        </w:rPr>
        <w:t>الخيار موروث بأنواعه بلا خلاف،</w:t>
      </w:r>
      <w:bookmarkEnd w:id="400"/>
    </w:p>
    <w:p>
      <w:pPr>
        <w:pStyle w:val="Heading4"/>
        <w:numPr>
          <w:ilvl w:val="3"/>
          <w:numId w:val="1"/>
        </w:numPr>
        <w:rPr/>
      </w:pPr>
      <w:bookmarkStart w:id="401" w:name="__RefHeading___Toc3862061_3804643083"/>
      <w:bookmarkStart w:id="402" w:name="_Toc153"/>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الغنية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في خيار المجلس و الشرط، و في التذكرة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عندنا موروث، لأنّه من الحقوق، كالشفعة و القصاص في أنواعه، 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خيار المجلس، فهو الدليل عليه، مضافا إلى عموم النبوي صلّى اللّه عليه و آله و سلّم </w:t>
      </w:r>
      <w:r>
        <w:rPr>
          <w:rStyle w:val="FootnoteAnchor"/>
          <w:rtl w:val="true"/>
        </w:rPr>
        <w:footnoteReference w:id="898"/>
      </w:r>
      <w:r>
        <w:rPr>
          <w:rFonts w:ascii="Amiri" w:hAnsi="Amiri" w:eastAsia="Amiri" w:cs="Amiri"/>
          <w:color w:val="111111"/>
          <w:sz w:val="28"/>
          <w:sz w:val="28"/>
          <w:szCs w:val="28"/>
          <w:rtl w:val="true"/>
          <w:lang w:bidi="ar-SA"/>
        </w:rPr>
        <w:t xml:space="preserve">المنجبر بما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 الميّت من حقّ فلوارثه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حقا بل حكما شرعيا، كالإجازة لعقد الفضوليّ و جواز الرجوع في الهبة، فإنّ الحكم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ما ترك الميّت، لأنّه فرع ثبوت كونه حقّا قابلا للانتقال، فلا يكون وجود الشخص و حياته مقوما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حقا للإجماع بسقوطه بالإسقاط، و كونه في أحد العوضين في خيار الشرط، و نحوهما من خصائص الحقوق المنافية لمجرّد الحكم، مضافا إلى خصوص الإجماع على كونه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المتبادر من الخبر كونه في مقام بيان حكم الانتقال لمطلق الحقوق، و كون ما يسمّى حقّا داخلا في المتروكات المنتقلة، لا في بيان من ينتقل إليه، لظهور كونه لوارثه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كان الإطلاق منساقا لبيان الثاني لكان اللازم بيان أعيان الورثة و 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فالإجماع يغنى عن تطويل الكلام في ذلك، بل المهمّ بيان كيفية إرث الخيار إذا تعدّد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اتّفقوا على الفسخ أو الإجازة فلا إشكال، و إن اختلفوا فيهما ففيه أقوال ثلاثة، منشأها الخلاف في كيفية استحقاق الورثة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الفسخ، فيفسخ الجميع بفسخ البعض و إن أجاز الباقون، فكل من الورثة يستحق خيارا مستقلا كمورّثه، نظير حدّ القذف الذي لا يسقط بعفو بعض المستحقين و حق الشفعة على المحكيّ عن المشهور، نسب هذا القول في الرياض </w:t>
      </w:r>
      <w:r>
        <w:rPr>
          <w:rStyle w:val="FootnoteAnchor"/>
          <w:rtl w:val="true"/>
        </w:rPr>
        <w:footnoteReference w:id="899"/>
      </w:r>
      <w:r>
        <w:rPr>
          <w:rFonts w:ascii="Amiri" w:hAnsi="Amiri" w:eastAsia="Amiri" w:cs="Amiri"/>
          <w:color w:val="111111"/>
          <w:sz w:val="28"/>
          <w:sz w:val="28"/>
          <w:szCs w:val="28"/>
          <w:rtl w:val="true"/>
          <w:lang w:bidi="ar-SA"/>
        </w:rPr>
        <w:t>إلى بعض و 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الحدائق </w:t>
      </w:r>
      <w:r>
        <w:rPr>
          <w:rStyle w:val="FootnoteAnchor"/>
          <w:rtl w:val="true"/>
        </w:rPr>
        <w:footnoteReference w:id="900"/>
      </w:r>
      <w:r>
        <w:rPr>
          <w:rFonts w:ascii="Amiri" w:hAnsi="Amiri" w:eastAsia="Amiri" w:cs="Amiri"/>
          <w:color w:val="111111"/>
          <w:sz w:val="28"/>
          <w:sz w:val="28"/>
          <w:szCs w:val="28"/>
          <w:rtl w:val="true"/>
          <w:lang w:bidi="ar-SA"/>
        </w:rPr>
        <w:t>تصريح الأصحاب بتقديم الفاسخ من الورثة دون المجيز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دعواه اتفاق الأصحاب مع ظهور خلافه عن أعيانهم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Style w:val="FootnoteAnchor"/>
          <w:rtl w:val="true"/>
        </w:rPr>
        <w:footnoteReference w:id="901"/>
      </w:r>
      <w:r>
        <w:rPr>
          <w:rFonts w:ascii="Amiri" w:hAnsi="Amiri" w:eastAsia="Amiri" w:cs="Amiri"/>
          <w:color w:val="111111"/>
          <w:sz w:val="28"/>
          <w:sz w:val="28"/>
          <w:szCs w:val="28"/>
          <w:rtl w:val="true"/>
          <w:lang w:bidi="ar-SA"/>
        </w:rPr>
        <w:t>ذلك في خيار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فسخ بعضهم و أجاز الآخر، فالأقوى أنّه ينفسخ في الكلّ كالمورث لو فسخ في حياته في البعض و أجاز في البعض، و استدلّ على هذا القول بالنبويّ المتقدّم الظاهر في ثبوت الحقّ لكلّ وارث خرج منه المال القابل للتجزئة، و ينزّل فيه على الاشتراك إجماعا، بخلاف محلّ البحث الذي لا يتجزّى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الخبر بظاهره في مقام بيان انتقال المتروك إلى ماهيّة الوارث من غير نظر إلى كونه واحدا أو متعددا، اشتراكا أو استقلالا، بل لو فرض كونه عاما كالورثة، كان اللازم حمله على العموم الجنسيّ، ليشمل صورة وحدة الوارث و تبعّض المتروكات المتبعّضة على الورثة، مع أنّه لو أريد منه العموم الإفرادي أو الإطلاقي، لزم استعمال الكلام في معنيين، من الاشتراك في المال و التعدّد في مثل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الحقّ بغير المال ليس بأولى من تنزيله على الاشتراك باعتبار محلّه، أعني المنتقل إليه، فكان لكلّ خياره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القرينة العقلية قامت على عدم إرادة ثبوته لكلّ واحد مستقلا، و هي استحالة تعدد الواحد الشخصي الذي كان للمورّث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استحالة سلطنة كلّ واحد على هذا الواحد وراثة، نظير الوكلاء المستقلّين في الموكّل فيه و الأوصياء في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هذا الواحد لشخص واحد هو المورث لا يجب كونه كذلك في الإرث حيث لا يتجزّى، بل المنتقل إليه مجرد السلطنة على الفسخ، و لازمه سقوط الحق بإسقاط كلّ واحد، و هل يستحيل العقل تصريح الشارع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دليل يعتمد عليه على انتقاله إلى كلّ واحد مستقلا في الكلّ، مضافا إلى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الضرر على سائر الورثة، كما سنشير إليه،</w:t>
      </w:r>
    </w:p>
    <w:p>
      <w:pPr>
        <w:pStyle w:val="BookText"/>
        <w:rPr/>
      </w:pPr>
      <w:r>
        <w:rPr>
          <w:rFonts w:ascii="Amiri" w:hAnsi="Amiri" w:eastAsia="Amiri" w:cs="Amiri"/>
          <w:color w:val="111111"/>
          <w:sz w:val="28"/>
          <w:sz w:val="28"/>
          <w:szCs w:val="28"/>
          <w:rtl w:val="true"/>
          <w:lang w:bidi="ar-SA"/>
        </w:rPr>
        <w:t>و يتعدّى إلى نفيه في غير مورد الضرر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يستحق جميع الورثة مجموع الخيار، فلا ينفسخ إلّا باجتماع الكلّ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اختاره جماعة منهم العلّامة في القواعد </w:t>
      </w:r>
      <w:r>
        <w:rPr>
          <w:rStyle w:val="FootnoteAnchor"/>
          <w:rtl w:val="true"/>
        </w:rPr>
        <w:footnoteReference w:id="902"/>
      </w:r>
      <w:r>
        <w:rPr>
          <w:rFonts w:ascii="Amiri" w:hAnsi="Amiri" w:eastAsia="Amiri" w:cs="Amiri"/>
          <w:color w:val="111111"/>
          <w:sz w:val="28"/>
          <w:sz w:val="28"/>
          <w:szCs w:val="28"/>
          <w:rtl w:val="true"/>
          <w:lang w:bidi="ar-SA"/>
        </w:rPr>
        <w:t xml:space="preserve">، مع احتماله القول الآتي، و نجله في الإيضاح </w:t>
      </w:r>
      <w:r>
        <w:rPr>
          <w:rStyle w:val="FootnoteAnchor"/>
          <w:rtl w:val="true"/>
        </w:rPr>
        <w:footnoteReference w:id="903"/>
      </w:r>
      <w:r>
        <w:rPr>
          <w:rFonts w:ascii="Amiri" w:hAnsi="Amiri" w:eastAsia="Amiri" w:cs="Amiri"/>
          <w:color w:val="111111"/>
          <w:sz w:val="28"/>
          <w:sz w:val="28"/>
          <w:szCs w:val="28"/>
          <w:rtl w:val="true"/>
          <w:lang w:bidi="ar-SA"/>
        </w:rPr>
        <w:t xml:space="preserve">، و الشهيدان في الدروس </w:t>
      </w:r>
      <w:r>
        <w:rPr>
          <w:rStyle w:val="FootnoteAnchor"/>
          <w:rtl w:val="true"/>
        </w:rPr>
        <w:footnoteReference w:id="904"/>
      </w:r>
      <w:r>
        <w:rPr>
          <w:rFonts w:ascii="Amiri" w:hAnsi="Amiri" w:eastAsia="Amiri" w:cs="Amiri"/>
          <w:color w:val="111111"/>
          <w:sz w:val="28"/>
          <w:sz w:val="28"/>
          <w:szCs w:val="28"/>
          <w:rtl w:val="true"/>
          <w:lang w:bidi="ar-SA"/>
        </w:rPr>
        <w:t xml:space="preserve">و المسالك </w:t>
      </w:r>
      <w:r>
        <w:rPr>
          <w:rStyle w:val="FootnoteAnchor"/>
          <w:rtl w:val="true"/>
        </w:rPr>
        <w:footnoteReference w:id="905"/>
      </w:r>
      <w:r>
        <w:rPr>
          <w:rFonts w:ascii="Amiri" w:hAnsi="Amiri" w:eastAsia="Amiri" w:cs="Amiri"/>
          <w:color w:val="111111"/>
          <w:sz w:val="28"/>
          <w:sz w:val="28"/>
          <w:szCs w:val="28"/>
          <w:rtl w:val="true"/>
          <w:lang w:bidi="ar-SA"/>
        </w:rPr>
        <w:t xml:space="preserve">، و والدي العلّامة في المستند </w:t>
      </w:r>
      <w:r>
        <w:rPr>
          <w:rStyle w:val="FootnoteAnchor"/>
          <w:rtl w:val="true"/>
        </w:rPr>
        <w:footnoteReference w:id="906"/>
      </w:r>
      <w:r>
        <w:rPr>
          <w:rFonts w:ascii="Amiri" w:hAnsi="Amiri" w:eastAsia="Amiri" w:cs="Amiri"/>
          <w:color w:val="111111"/>
          <w:sz w:val="28"/>
          <w:sz w:val="28"/>
          <w:szCs w:val="28"/>
          <w:rtl w:val="true"/>
          <w:lang w:bidi="ar-SA"/>
        </w:rPr>
        <w:t>، و بعض من عاصرناه، استنادا إلى أنّ مقتضى أدلّة الإرث كون مجموع المتروك لمجموع الورثة، إلّا أنّ التقسيم في الأموال لما كان ممكنا، كان لكلّ واحد حصّة مشاعة، كسائر الأموال المشتركة، بخلاف الحقوق التي لا تتجزّى، فهي باقية على الاشتراك للجميع، فليس أحدهم مستقلّا في فسخ، لا في الكل و لا في البعض، و إلى أنّ القدر المتيقن من الأدلّة ثبوت الخيار الواحد الشخصي للمجموع، فإن اتفقوا على الفسخ انفسخ، و إلّا فلا دليل على الانفساخ في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أدلّة الإرث لا يقتضي كون مجموع التركة للكلّ المجموعيّ، بحيث كانت للهيئة الاجتماعية مدخلية في استحقاقهم، و إلّا لما صحّ التقسيم في الأموال، فإنّها من باب واحد، بل ظاهرها كونها مشتركة بينهم بحيث كان لكلّ واحد حقّ فيها، و لازمه تجزّي هذا الشي‌ء المتروك، مالا كان أو حقّا، و لذا لو مات بعض هؤلاء الورثة انتقل حقه إلى وارثه، مع أنّ حقّه ليس كلّ الخيار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اشتراط موافقته بالاستحقاق لسائرهم في حصول الفسخ الشرعيّ بالخيار</w:t>
      </w:r>
    </w:p>
    <w:p>
      <w:pPr>
        <w:pStyle w:val="BookText"/>
        <w:rPr/>
      </w:pPr>
      <w:r>
        <w:rPr>
          <w:rFonts w:ascii="Amiri" w:hAnsi="Amiri" w:eastAsia="Amiri" w:cs="Amiri"/>
          <w:color w:val="111111"/>
          <w:sz w:val="28"/>
          <w:sz w:val="28"/>
          <w:szCs w:val="28"/>
          <w:rtl w:val="true"/>
          <w:lang w:bidi="ar-SA"/>
        </w:rPr>
        <w:t>الوحداني المتروك، ليس من أجزاء الخيار، و لا هو من الحقوق المتروكة، بل هو حقيقة تجزئة في الوارث لا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الاشتراك الثابت من الأدلّة أن يكون لكلّ منهم نصيب في المتروك، فإن كان المتروك من الأعيان يتجزّى العين، و إن كان من الأوصاف و الأعراض، فالتجزّي يعتبر في محلّها، لأنّ الانفساخ المسبّب عن الخيار يقع على كلّ جزء، و إن كان السبب واحدا، كما أنّ الملك المسبّب عن البيع إذا ظهر بعض المبيع مستحقا، و ستعرف مزيد بيان فيه مع ما في هذا القول ما أشرنا إليه من استلزامه الضرر غالبا على الورثة، كما إذا كان بقاء العقد و لزومه ضررا عليهم، كالبيوع الخيارية بأقلّ الثمن الواقعة ابتداء باستظهار شرط الخيار، فيحصل الضرر عليهم بمواطاة أحدهم لغير ذي الخيار في عدم موافقته للباقين في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كلّ من الورثة خيارا مستقلا في قدر نصيبه، اختاره بعضهم، و احتمله جماعة،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ينجبر التبعّض على من عليه الخيار عند اختلافهم في الفسخ و الإمضاء بالخيار، إذ الاشتراك مقتضى ظاهر أدلّة الإرث كسائر الأموال، و حيث إنّه بنفسه غير قابل للتجزئة فيعتبر التجزّي في متعلّقه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ثبوت خيار البعض للمورث أصالة، و إن تعلّق بالأبعاض في ضمن الكلّ، لا يمنع من حصوله مستقلا في البعض لكلّ وارث، باعتبار عروض التجزّي في متعلّقه كما أشرنا إليه آنفا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المملوك، إمّا أن يتبعّض في نفسه، فحكمه عند الاشتراك ظاهر أو لا يتبعّض، لا في نفسه و لا في متعلقه، كالقصاص، فمقتضى الاشتراك فيه اجتماع المحقّين على استيفائه، و مع الاختلاف بالرجوع إلى ما جعله</w:t>
      </w:r>
      <w:bookmarkStart w:id="403" w:name="pg2497_12309"/>
    </w:p>
    <w:p>
      <w:pPr>
        <w:pStyle w:val="BookText"/>
        <w:rPr/>
      </w:pPr>
      <w:bookmarkEnd w:id="403"/>
      <w:r>
        <w:rPr>
          <w:rFonts w:ascii="Amiri" w:hAnsi="Amiri" w:eastAsia="Amiri" w:cs="Amiri"/>
          <w:color w:val="111111"/>
          <w:sz w:val="28"/>
          <w:sz w:val="28"/>
          <w:szCs w:val="28"/>
          <w:rtl w:val="true"/>
          <w:lang w:bidi="ar-SA"/>
        </w:rPr>
        <w:t>الشارع و هو بذل المستوفى حصّة الباقين من الدية التي هي بدل حقّهم شرعا، أو يتجزّى بحسب المتعلق دون نفسه، كما في محل الفرض، فإذا انتقل بالإرث إلى كثيرين، فلا بدّ من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بكونه للهيئة الاجتماعية، أو لكلّ واحد مستقلا في المجموع أو في نصيبه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الأوّل، لأنّ المركّب من الكلّ ليس وارثا، بل هو كلّ واحد منهم، فلا مدخل للاجتماع في الوراثة و الاستحقاق، و كذا الثاني، 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كونه خلاف مقتضى 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غير ما استحقّه المورث، لأنّ ما للمورث هو حقّ الخيار على رجوع المال إلى نفسه لا إلى غيره،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التسلّط على إرجاع المفسوخ إلى نفسه بالفسخ، و في الفرض يملكه غيره بفسخ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للمورث السلطنة على حل العقد و جعل المال كما كان قبله، و تلك السلطنة تنتقل بالإرث إلى كلّ وارث، فهو في ذلك في حكم النائب و الوكيل في الفسخ، فإذا انفسخ صار المال في حكم مال المورث كما كان قبل العقد، فيرث كلّ وارث قدر سهمه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ناقل العقد من حينه، فليس ملك المفسوخ عين ما كان للمورث، بل هو لمن ملك الخيار، كما كان للمورث، فلا يصار إليه أيضا، مضافا إلى استلزامه الضرر كما عرفت، و حيث لا يصحّ المصير إلى هذين الاحتمالين، تعين الأخير، أعني اعتبار التبعّض في السهام</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862063_3804643083"/>
      <w:bookmarkStart w:id="405" w:name="_Toc154"/>
      <w:bookmarkEnd w:id="404"/>
      <w:r>
        <w:rPr>
          <w:rtl w:val="true"/>
        </w:rPr>
        <w:t>فرع</w:t>
      </w:r>
      <w:r>
        <w:rPr>
          <w:rtl w:val="true"/>
        </w:rPr>
        <w:t xml:space="preserve">: </w:t>
      </w:r>
      <w:r>
        <w:rPr>
          <w:rtl w:val="true"/>
        </w:rPr>
        <w:t>إذا كان الخيار لأجنبيّ فمات، ففي انتقاله إلى وارثه أو إلى المتعاقدين، أو سقوطه وجوه،</w:t>
      </w:r>
      <w:bookmarkEnd w:id="40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لعدم دليل من إجماع أو نصّ ظاهر على حصول الانتقال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مدخلية نفس الأجنبي فيه، و اللّه العالم</w:t>
      </w:r>
      <w:r>
        <w:rPr>
          <w:rFonts w:eastAsia="Amiri" w:cs="Amiri" w:ascii="Amiri" w:hAnsi="Amiri"/>
          <w:color w:val="111111"/>
          <w:sz w:val="28"/>
          <w:szCs w:val="28"/>
          <w:rtl w:val="true"/>
          <w:lang w:bidi="ar-SA"/>
        </w:rPr>
        <w:t>.</w:t>
      </w:r>
      <w:bookmarkStart w:id="406" w:name="pg2497_12311"/>
    </w:p>
    <w:p>
      <w:pPr>
        <w:pStyle w:val="Heading2"/>
        <w:numPr>
          <w:ilvl w:val="1"/>
          <w:numId w:val="1"/>
        </w:numPr>
        <w:rPr/>
      </w:pPr>
      <w:bookmarkStart w:id="407" w:name="__RefHeading___Toc3862065_3804643083"/>
      <w:bookmarkStart w:id="408" w:name="_Toc155"/>
      <w:bookmarkEnd w:id="406"/>
      <w:bookmarkEnd w:id="407"/>
      <w:r>
        <w:rPr>
          <w:rtl w:val="true"/>
        </w:rPr>
        <w:t>[</w:t>
      </w:r>
      <w:r>
        <w:rPr>
          <w:rtl w:val="true"/>
        </w:rPr>
        <w:t>المشرق الحادي و عشرون</w:t>
      </w:r>
      <w:r>
        <w:rPr>
          <w:rtl w:val="true"/>
        </w:rPr>
        <w:t>] [</w:t>
      </w:r>
      <w:r>
        <w:rPr>
          <w:rtl w:val="true"/>
        </w:rPr>
        <w:t>في الشبهة الموضوعية التحريمية</w:t>
      </w:r>
      <w:r>
        <w:rPr>
          <w:rtl w:val="true"/>
        </w:rPr>
        <w:t>]</w:t>
      </w:r>
      <w:bookmarkEnd w:id="408"/>
    </w:p>
    <w:p>
      <w:pPr>
        <w:pStyle w:val="Heading3"/>
        <w:numPr>
          <w:ilvl w:val="2"/>
          <w:numId w:val="1"/>
        </w:numPr>
        <w:rPr/>
      </w:pPr>
      <w:bookmarkStart w:id="409" w:name="__RefHeading___Toc3862067_3804643083"/>
      <w:bookmarkStart w:id="410" w:name="_Toc156"/>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 التحريمية المردّدة بين أمرين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الترديد إمّا محصور، و يسمّى الشبهة المحصورة، أو غير محصور، فهنا مقامان</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862069_3804643083"/>
      <w:bookmarkStart w:id="412" w:name="_Toc157"/>
      <w:bookmarkEnd w:id="411"/>
      <w:r>
        <w:rPr>
          <w:rtl w:val="true"/>
        </w:rPr>
        <w:t>المقام الأوّل</w:t>
      </w:r>
      <w:r>
        <w:rPr>
          <w:rtl w:val="true"/>
        </w:rPr>
        <w:t xml:space="preserve">: </w:t>
      </w:r>
      <w:r>
        <w:rPr>
          <w:rtl w:val="true"/>
        </w:rPr>
        <w:t>في الشبهة المحصورة،</w:t>
      </w:r>
      <w:bookmarkEnd w:id="412"/>
    </w:p>
    <w:p>
      <w:pPr>
        <w:pStyle w:val="Heading4"/>
        <w:numPr>
          <w:ilvl w:val="3"/>
          <w:numId w:val="1"/>
        </w:numPr>
        <w:rPr/>
      </w:pPr>
      <w:bookmarkStart w:id="413" w:name="__RefHeading___Toc3862071_3804643083"/>
      <w:bookmarkStart w:id="414" w:name="_Toc158"/>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 قبل البحث نقدّم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في صحّة التكليف قدرة المكلّف على الامتثال و الإتيان بالمكلّف به، كذا يشترط فيها قدرته على تحصيل العلم بامتثاله و لو بالاحتياط، فلا يجوز البناء في الامتثال على إصابة الواقع أحيانا و المطابقة الاتفاقية، لعدم كونه معقولا، بل كونه ممنوعا عقلا، لاستواء الاحتمالين عند عدم العلم في نظر المكلّف فمع عدم القدرة على كليهما معا بالاحتياط، لو عوقب على مخالفة أحدهما المطابق للواقع دون الآخر، لزم التكليف بما لا يطاق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أيضا أنّ مع قدرة المكلّف على تحصيل العلم و صحّة تعلّق التكليف لا يجديه الامتثال الاحتماليّ، بل يتوقف الامتثال على حصول العلم به، إذ مع عدمه يستوي المأتي به عنده للمحتمل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ترتّب ثواب الطاعة و عقاب المعصية عليه لا على الآخر لزم إناطة التكليف بالإصابة الاتفاقية للواقع، و قد علمت بطلانه، بل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يظهر أنّ تكليف الجاهل بما في نفس الأمر، سواء كان الجهل بنفس الحكم، كما عليه الأخباريون في الشكّ الحكميّ في الحرمة، أو بالمكلّف به، كما عليه المشهور، لا ينفكّ عن التكليف بالاحتياط الموجب للعلم بامتثال الواقع، فالأوّل تكليف بدويّ له، و الآخر تكليف ثانويّ واقع في الطريق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كما تقرر في محله، منوطة بالحكم و المصالح الكامنة في ذوات الأشياء و خصوصيات الأفعال، على ما اتّفق عليه أهل المعقول و المنقول من العدلية، و لازمه ثبوت تلك الأحكام لها قبل تعلق علم المكلّف بها، و إلّا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الخطابات الشرعية المتوجهة إلى المكلفين منساقة لبيان تلك الأحكام الواقعية و مستعملة فيها، إلّا أنّها بالإضافة إلى أحوال المكلّفين ليست على إطلاقها، لمنافاته في كثير من صور الجهل، لما تقرّر في الشرع من القواعد الشرعية و الأصول العدمية </w:t>
      </w:r>
      <w:r>
        <w:rPr>
          <w:rStyle w:val="FootnoteAnchor"/>
          <w:rtl w:val="true"/>
        </w:rPr>
        <w:footnoteReference w:id="907"/>
      </w:r>
      <w:r>
        <w:rPr>
          <w:rFonts w:ascii="Amiri" w:hAnsi="Amiri" w:eastAsia="Amiri" w:cs="Amiri"/>
          <w:color w:val="111111"/>
          <w:sz w:val="28"/>
          <w:sz w:val="28"/>
          <w:szCs w:val="28"/>
          <w:rtl w:val="true"/>
          <w:lang w:bidi="ar-SA"/>
        </w:rPr>
        <w:t>من التوسّع و الترخيص في مخالفة الأحكام الواقعية، بل إبقاؤها مطلقا على الإطلاق يؤدّى إلى التكليف بما لا يطاق، فهو مقيّد بغيرها على معنى عدم العقوبة على المخالفة الواقعية لعذر الجهل، و كونه مانعا لها، لا على تساويها للمطابقة في الآثار المسببة عن الحكمة الذاتية الباعثة لتشريع الحكم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فمحطّ البحث هو الأوّل، و هو المسمّى بالحكم الظاهري، فلا يصحّ النقض باحتمال حصول مفسدة الحرمة في إباحة ما يحتمل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الخروج عن الإطلاقات المقتضية للتكليف بالواقع، إلّا فيما ثبت تقييدها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تمهّد ذلك، فنقول صرّح جماعة من الأصوليين، بل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الجميع في الشبهة المحصورة، و لزوم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جمع من الأجلّة، منهم المحقق القمّي، و والدي العلّامة </w:t>
      </w:r>
      <w:r>
        <w:rPr>
          <w:rStyle w:val="FootnoteAnchor"/>
          <w:rtl w:val="true"/>
        </w:rPr>
        <w:footnoteReference w:id="908"/>
      </w:r>
      <w:r>
        <w:rPr>
          <w:rFonts w:ascii="Amiri" w:hAnsi="Amiri" w:eastAsia="Amiri" w:cs="Amiri"/>
          <w:color w:val="111111"/>
          <w:sz w:val="28"/>
          <w:sz w:val="28"/>
          <w:szCs w:val="28"/>
          <w:rtl w:val="true"/>
          <w:lang w:bidi="ar-SA"/>
        </w:rPr>
        <w:t>إلى حلّية غير ما يساوي الحرام تخييرا، فلا يجب القطع بالموافقة، بل يحرم المخالفة القطعية، و عن بعضهم حلّية الجميع تدريجا و عدم حرمة المخالفة القطعية، و نسب ذلك إلى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عدم وجوب الموافقة القطعية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التكليف بالمعلوم الإجمالي الواقعي بعينه بالنسبة إلى الجاهل، لأدلّة البراءة عما لا يعلم حرمته،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 بعينه</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لك حلال حتى تعرف الحرام منه بعينه</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المخصّصة لعموم دليل تحريم العنوان المشتبه،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الخمر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المطلق بالنسبة إلى علم المكلف و جهله، فيقيد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خصوصية موضوعه في الخطاب بالنسبة إلى موضوع أدلّة البراءة لا يرفع حكم التقييد بها لعدم مدخلية خصوصية العنوان في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و أمثالها لا يصلح للمنع، لأنها كما تدلّ على حلّية كلّ واحد من المشتبهين، كذلك تدلّ على حرمة ذلك المعلوم الإجمالي، لأنّه شي‌ء يعلم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المعلوم الإجماليّ ليس إلّا الموضوع الخاصّ الواقع المجهولة بشخصه عندنا، المردّد بين أحد المشتبهين، فيصدق على كلّ منهما أنّه لا يعلم حرمته بعينه، و لازمه عدم التكليف باجتناب الموضوع الواقعي، و تقييد خطاب 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العلم بصدقه على الموجود الخارجيّ، لما عرفت في المقدمة، أنّ التكليف بشي‌ء لا ينفكّ عن التكليف بما هو طريق العلم بامتثاله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الشارع بإباحته يلزم الحكم بعدم حرمة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و إن علم حرمته بحسب مفهومه الكلّي، كيف و إلّا لزم الحكم بحرمة الشبهة المجرّدة عن العلم الإجمالي أيضا، كما إذا وقع شكّ في كونه خلّا أو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العلم بحرمة الخمر الواقعي الكلّي الصادق على جميع أفراده لا ينفكّ عن وجوب الاجتناب عما يحتمل كونه الواقع،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لزم جواز التخلف عنه،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أنّ أخبار التوسعة في الموضوع المشتبه تقدّم على دليل حرمة ما في الواقع و تقيّده، دون العكس، و إلّا لم يبق مورد لأدلّة البراءة، مضافا إلى كونها أخصّ منها،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أريد بالمعلوم الإجمالي موضوع الخطاب الشرعي المعين في الواقع، حيث يعلم حرمته، فينتقض بالشبهة المجرّدة، و إن أريد خصوص المعلوم في مورد الشكّ المردّد بين المشتبهين، فليس هو عنوانا لموضوع الحرام في الخطاب، حتى يستدلّ بتحريمه بالخطاب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منع كون المعلوم الإجماليّ شيئا يعلم حرمته بعينه حيث كان خارجا عن موضوع الأخبار المذكورة، لصحّة سلبه عنه عرفا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أعني كلّ شي‌ء حلال حتى تعلم أنّه</w:t>
      </w:r>
    </w:p>
    <w:p>
      <w:pPr>
        <w:pStyle w:val="BookText"/>
        <w:rPr/>
      </w:pPr>
      <w:r>
        <w:rPr>
          <w:rFonts w:ascii="Amiri" w:hAnsi="Amiri" w:eastAsia="Amiri" w:cs="Amiri"/>
          <w:color w:val="111111"/>
          <w:sz w:val="28"/>
          <w:sz w:val="28"/>
          <w:szCs w:val="28"/>
          <w:rtl w:val="true"/>
          <w:lang w:bidi="ar-SA"/>
        </w:rPr>
        <w:t>حرام بعينه، تأكيد للضمير للاهتمام في اعتبار العلم،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بعينه، لدفع توهّم الاشتباه في الرؤية، فالمعيّن الواقعي المردّد بينهما يصدق عليه أنّه معلوم الحرمة بعينه، مدفوع، بأنّ هذا مبنيّ على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الظاهر في المقام، سيما مع ملاحظة الخبر الثاني و إطلاق الأمثلة المذكورة في بعض هذه الروايات، مثل الثوب المحتمل للسرقة، و المملوك المحتمل للحرّية، و المرأة المحتملة للرضيعية، فإنّ إطلاقها يشمل الاشتباه مع العلم الإجماليّ، بل الظاهر أنّ المراد به ما يرادف بشخصه الخارجي أي يتميز عند العالم عن غيره في مقابل لا بعينه، فإنّه يصدق على الحرام الواقعي المجهول بشخصه أنّه غير معلوم بعينه، و أنّ الحرام منهما معلوم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ذلك متأمّلا فانظر إلى متفاهم العرف في نظائر ما نحن فيه، من الخطابات العرفية الصادرة عن الموالي، فإنّه 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اليوم لحم البقر، و اشتر ما لم تعلم أنه لحم البقر، إذا اشترى أحد المشتبهين خاصة، مع علمه بكون أحدهما لحم البقر، لا يعدّ عاصيا، و لو عاقبه عليه يلام قطعا، مع رخصته في شراء المجهول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يدلّ أيضا، على حلّية البعض خصوص بعض الأخبار في الشبهة المحصورة،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9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أصاب مالا من عمّال بني أمية، و هو يتصدّق منه و يصل قرابته و يحج ليغفر له ما اكتسب، و يقول إِنَّ الْحَسَنٰاتِ يُذْهِبْنَ السَّيِّئٰاتِ </w:t>
      </w:r>
      <w:r>
        <w:rPr>
          <w:rStyle w:val="FootnoteAnchor"/>
          <w:rtl w:val="true"/>
        </w:rPr>
        <w:footnoteReference w:id="912"/>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الخطيئة لا يكفّر</w:t>
      </w:r>
    </w:p>
    <w:p>
      <w:pPr>
        <w:pStyle w:val="BookText"/>
        <w:rPr/>
      </w:pPr>
      <w:r>
        <w:rPr>
          <w:rFonts w:ascii="Amiri" w:hAnsi="Amiri" w:eastAsia="Amiri" w:cs="Amiri"/>
          <w:color w:val="111111"/>
          <w:sz w:val="28"/>
          <w:sz w:val="28"/>
          <w:szCs w:val="28"/>
          <w:rtl w:val="true"/>
          <w:lang w:bidi="ar-SA"/>
        </w:rPr>
        <w:t>الخطيئة و إنّ الحسنة يحبط الخطيئة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 فإنّ ظاهره عدم صرف الجميع، بل بعضه المشتبه بالاختلاط، فلا يدلّ على جواز صرف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 جواز التصرف في الجميع بصرف بعضه في القربات المذكورة و إمساك الباقي، فقد تصرف في الجميع، فلا بدّ من صرفه عن ظاهره، لئلا يلزم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ينحصر المصروف إليه في ترك ما يساوي مقدار الحرام، بل يحتمل حمل الخبر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الظهور جدّا، إذ ليس الباقي محل السؤال، بل هو مسكوت عنه، مع أنّ الأخبار الآمرة بإخراج الخمس في المختلط بالحرام قرينة ظاهرة لصرفه عن الظهور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التكليف بالمعيّن الواقعي، فثبوته لا يقتضي الاجتناب عن كلا المشتبهين، إلّا بقاعدة استدعاء الشغل اليقيني البراءة اليقينية، كما تقدّم في المقدّمة، و هي تعمّ التعيّن الشرعي الثابت بالاستصحاب، لقيامه مقام التعيّن الوجداني في الشرعيات، و لما كان الامتثال هنا بالترك و هو معلوم الثبوت أوّلا، فالاستصحاب يقتضي بقائه إلى أن يعلم العصيان، و هو بفعلهما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يحصل الفرق بين الواجب و الحرام، فإنّ الاستصحاب في الواجب بين المشتبهين تقتضي عدم الإتيان به إلى أن يحصل اليقين به الحاصل بإتيانهما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الإتيان بالحرام الواقعي المشتغل به يعارض استصحاب عدم الآخر، كما في المائع المردّد بين الخمر و الخلّ، فلا يحصل بالاستصحاب هنا العلم الشرعي بالامتثال، فوجب تحصيل العلم الوجداني به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تعارض الاستصحابين و تساقطهما، الرجوع في خصوص الآثار و اللوازم إلى ما يقتضيه الاستصحاب في أنفسها، كما بيّناه فيما أسلفنا في محلّه، كما</w:t>
      </w:r>
    </w:p>
    <w:p>
      <w:pPr>
        <w:pStyle w:val="BookText"/>
        <w:rPr/>
      </w:pPr>
      <w:r>
        <w:rPr>
          <w:rFonts w:ascii="Amiri" w:hAnsi="Amiri" w:eastAsia="Amiri" w:cs="Amiri"/>
          <w:color w:val="111111"/>
          <w:sz w:val="28"/>
          <w:sz w:val="28"/>
          <w:szCs w:val="28"/>
          <w:rtl w:val="true"/>
          <w:lang w:bidi="ar-SA"/>
        </w:rPr>
        <w:t>إذا علم حدوث عقد مردّد في كونه إجارة بعشرة أو بيعا بمائة، فإنّه بعد تعارض استصحابي عدم كلّ منهما، يرجع إلى استصحاب عدم اشتغال ذمّة المتعاقدين له بالزائد عن العشرة لعدم العلم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 المشتبهين، و إن لم نحكم بعدم تناول الخمر، نظرا إلى معارضته لاستصحاب عدم تناول الخلّ، إلّا أنّه يستصحب عدم حصول العصيان و عدم حدوث استحقاق العقاب، و تلازمه للخلّ إنّما هو بحسب الوجود الواقعي لا الظاهري الاستصحابي، فلا يستلزم الحكم بعدم العصيان الحكم بكونه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فروع ذلك في المقام أمور كثيرة هي 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القائلين بالاجتناب عن الجميع، فلا يحكم بوجوب الحدّ لشرب أحد المشتبهين في المثال المذكور، و لا باشتغال الذمة بحق الغير إذا اشتبه ماله بمال الغير فأتلف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إذا لاقى أحد المشتبهين بالنجاسة شيئا ثالثا، فمقتضى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تنجس الملاقي و لو على البناء على وجوب الاجتناب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 بعض القائلين به، كما هو ظاهر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 الاجتناب عن النجس الاستصحابي المنجّس للملاقي إجماعا، و الاجتناب عن أحد المشتبهين في الشبهة المحصورة، فإنّ الأوّل من جهة الحكم بالنجاسة شرعا، فيترتّب عليها آثارها، و الثاني من باب المقدمة، و سنبيّنه على مزيد بيان في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نظر القوم في الشبهة المحصورة تحريما و جوازا، من جهة نفس المشتبه من حيث كونه مشتبها، مع قطع النظر عن الآثار الخارجة، فإنّها موكولة إلى ما يقتضيه الأصل باعتبار نفس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لزم القول باستصحاب اشتغال الذمّة بالصلاة في أحد الثوبين المشتبهين، و لو على المختار في المسألة من عدم وجوب الاجتناب عن الجميع، مع أنّه لا يقال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الثابت من الشرع كون النجاسة مانعة للصلاة، لا أنّ الطهارة مبيحة لها، فالحكم بالبطلان يستدعي اليقين بوجود المانع و لو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حرمة المخالفة القطعية التي هي بارتكاب الجميع و لو تدريجا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المشتملة على الحرام اليقيني حرام قطعا، و إن لم يعلم الحرام منها بشخصه، فيحرم ارتكاب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ذكرت سابقا من جواز ارتكاب أحد المشتبهين خاصة لعدم العلم بحرمته بخصوصه، جاز ارتكاب الآخر أيضا، لاستواء حاله في ذلك مع الأوّل، و حصول العلم بارتكاب محرّم بعد فعله غير ضائر، لعدم اتصاف الفعل بالحرمة بعد العمل، مع فرض كونه محكوما بالجواز عند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المجموع غير حكم كلّ واحد كما مرّ و هو يحصل بارتكاب الأخير، فهو مقدّمة وجودية للحرام حقيقة لا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البراءة النافية لحرمة كلّ واحد يستلزم عدم حرمة المعلوم الإجمالي الواقعي، بالتقريب المتقدّم، فلا يكون المشتمل عليه حراما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له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خاصة في نفسه، و هو محكوم بالحلّية، و جهة اجتماعية تحصل من تداركهما الجميع </w:t>
      </w:r>
      <w:r>
        <w:rPr>
          <w:rStyle w:val="FootnoteAnchor"/>
          <w:rtl w:val="true"/>
        </w:rPr>
        <w:footnoteReference w:id="913"/>
      </w:r>
      <w:r>
        <w:rPr>
          <w:rFonts w:ascii="Amiri" w:hAnsi="Amiri" w:eastAsia="Amiri" w:cs="Amiri"/>
          <w:color w:val="111111"/>
          <w:sz w:val="28"/>
          <w:sz w:val="28"/>
          <w:szCs w:val="28"/>
          <w:rtl w:val="true"/>
          <w:lang w:bidi="ar-SA"/>
        </w:rPr>
        <w:t>، فهو محرّم، من قبيل ارتكاب أجزاء الحرام، فإنّ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بعينه، فلا تشمله أدلّة البراءة و تعيّن شخص الحرام من بين الجملة المشتملة عليه غير لازم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تلك الجهة، أعني</w:t>
      </w:r>
    </w:p>
    <w:p>
      <w:pPr>
        <w:pStyle w:val="BookText"/>
        <w:rPr/>
      </w:pPr>
      <w:r>
        <w:rPr>
          <w:rFonts w:ascii="Amiri" w:hAnsi="Amiri" w:eastAsia="Amiri" w:cs="Amiri"/>
          <w:color w:val="111111"/>
          <w:sz w:val="28"/>
          <w:sz w:val="28"/>
          <w:szCs w:val="28"/>
          <w:rtl w:val="true"/>
          <w:lang w:bidi="ar-SA"/>
        </w:rPr>
        <w:t>الهيئة المركّبة تحصل بالأخير، فهو محكوم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فإن قصد به اقترانه بالأخير أيضا، فلا يبعد الحكم بحرمته مع هذا القصد أيضا، بل هو الظاهر، فإذن المشهور في أحدهما إنما هو بعد الأمر بالاجتناب عن الآخر، لئلا يلزم ارتكاب الجميع، فيكون الحلال الظاهريّ هو أحدهما على التخيير، و هو من قبيل التخيير الاستمراري في تقليد أحد المجتهدين المتخالفين فيما يقلّد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المجموع من حيث هو ليس عنوانا للحرام الواقعي المقصود من الخطاب الشرعي، بل هو أحدهما بخصوصه، و حيث إنّه حلال ظاهريّ بسبب الجهل، فيسقط التكليف عن الحرام الواقعي، فلا يضرّ العلم بالمخالفة القطعية، كما وقع نظائرها في الشرعيات فوق الإحصاء، كما في الرجوع في التقليد في المثال المذكور، و كما في إقرار ذي اليد لزيد و قيام البيّنة لعمرو، فتؤخذ المال منه لعمرو و قيمته لزيد، أو قال هذا لزيد بل لعمرو بل لخالد، حيث يغرم لكلّ من الأخيرين تمام القيمة، مع أن حكم الحاكم في الجميع مخالف للواقع، و أمثال ذلك من صور الأقارير و التحالف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المجموع عنوان الحرام الواقعي، بل هو أحدهما الخاص، إلّا أنّه لاشتماله عليه و عدم العلم بالخاصّ بعينه صار عنوانا له في الظاهر، و حلّية كلّ واحد بالخصوص بدليل البراءة لا يقتضي حلّيته مقترنا بالآخر، و لا يساعده دليل البراءة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النقض بالمخالفة القطعية في أمثال ما ذكر غير متّجه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التقليد الذي يتبدّل بتقليد مجتهد آخر، فلأنّ التقليد لكونه طريق الواقع في حقّ المقلّد، و لو تعبّدا، فهو من باب تغيّر الواقع في حقّه، نظير تغيّر رأى المجتهد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فلا يلزم جواز المخالفة القطعية في حكم شخص واحد، من قبيل واجد المني في ثوب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الحاكم، فوظيفته أخذ ما يستحقه المحكوم له على المحكوم عليه بالأسباب الظاهرية كالإقرار و الحلف و البيّنة و غيرهما، فهو قائم مقام المستحقّ في أخذ حقّه، و لا عبرة بعلمه الإجمالي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على ما ذكرناه، كما يشاهد في نظائر ما نحن فيه من الأحكام الصادرة عن الموالي و حكمهم به، فإنّه إذا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اليوم لحم البقر و يجوز لك شراء ما لم يعلم كونه لحمه، إذا اشترى المشتبهين و لو بصفقتين، يعد عاصيا و يعاقب عليه، كما لا يعاقب إذا اقتصر على أحدهما كما أشرنا إليه، و ما هو إلّا لكونه لازم الخطابين معا، و هو حجّة في الشرع، بل يحكم بذلك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بحرمة الجميع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تحريم المحرمات شاملة للمعلوم الإجمالي، فلزم بحكم العقل التحرز عن ارتكاب ذلك المحرّم بالاجتناب عن كلا المشتبهين، و إلّا لزم تجويز ارتكاب ما هو الحرام الواقعي إذا اتفق كونه المرتكب به و عدم العقاب، إذ المفروض ثبوت التكليف هنا بما هو في الواقع، لمكان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بالمعلوم الإجمالي، إن كان ما هو موضوع الخطاب الشرعي، أعني الماهيّة الكلّية، فلا كلام في كونه مكلّفا به، لكن بشرط العلم بمصداقه الخارجي، و أمّا مع عدمه فلا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ذلك بينه و بين الشبهة الابتدائية الموضوعية، فإنّ نسبة الجهل إلى كلّ واحد من المشتبهين، كنسبته إلى المشتبه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الفرد الواقعي المردّد بينهما، فهو أوّل الكلام، و شمول الخطاب المحمول على المعنى النفس الأمريّ له و إن كان مسلما، إلّا أنّ تكليفنا به مقيّد بالعلم بنفس الحكم و موضوعه بملاحظة أدلّة البراءة،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مصاديق الموضوع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الشبهة المحصورة و الابتدائية، مع صدق العلم فيهما بنفس الحكم الثابت من الخطاب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المجتمع من المشتبهين المشتمل على المعلوم الإجماليّ، فحرمته مسلمة، بل هو حرام تفصيليّ لا يجوز تناولهما جميعا، فإنّ المركّب من الحرام حرام كما بيّناه، و أين هو من كلّ واحد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التكليف التحريمي بالنسبة إلى أحدهما المعين الواقعي، فغاية الأمر وجوب تحصيل العلم الشرعي بامتثاله الشامل للعلم الاستصحابي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الاستصحاب عدم حصول العصيان و استحقاق العقاب بفعل أحدهما، و إن تعارض الاستصحابان فيهما بملاحظة نفس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الاستناد بحال العبد إذا 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الخمر المردّد بين هذين الإنائين، حيث لا يرتاب في وجوب الاحتياط حينئذ، ليس كما ينبغي، فإنّه لو سلم كون المبحوث عنه من هذا القبيل، مع أنّه غير مسلّم كما عرفت، فهو إذا لم يقترن به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وقوعك في العصيان، فلا حرج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اجتناب الجميع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المرسل </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اتركوا ما لا بأس به حذرا عمّا به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الخبر</w:t>
      </w:r>
    </w:p>
    <w:p>
      <w:pPr>
        <w:pStyle w:val="BookText"/>
        <w:rPr/>
      </w:pPr>
      <w:r>
        <w:rPr>
          <w:rFonts w:ascii="Amiri" w:hAnsi="Amiri" w:eastAsia="Amiri" w:cs="Amiri"/>
          <w:color w:val="111111"/>
          <w:sz w:val="28"/>
          <w:sz w:val="28"/>
          <w:szCs w:val="28"/>
          <w:rtl w:val="true"/>
          <w:lang w:bidi="ar-SA"/>
        </w:rPr>
        <w:t xml:space="preserve">المنجبر بالشهرة </w:t>
      </w:r>
      <w:r>
        <w:rPr>
          <w:rStyle w:val="FootnoteAnchor"/>
          <w:rtl w:val="true"/>
        </w:rPr>
        <w:footnoteReference w:id="9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الحرام و الحلال إلّا غلب الحرام على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رواية ضريس </w:t>
      </w:r>
      <w:r>
        <w:rPr>
          <w:rStyle w:val="FootnoteAnchor"/>
          <w:rtl w:val="true"/>
        </w:rPr>
        <w:footnoteReference w:id="916"/>
      </w:r>
      <w:r>
        <w:rPr>
          <w:rFonts w:ascii="Amiri" w:hAnsi="Amiri" w:eastAsia="Amiri" w:cs="Amiri"/>
          <w:color w:val="111111"/>
          <w:sz w:val="28"/>
          <w:sz w:val="28"/>
          <w:szCs w:val="28"/>
          <w:rtl w:val="true"/>
          <w:lang w:bidi="ar-SA"/>
        </w:rPr>
        <w:t>، عن السمن و الجبن في أرض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قد خلطه الحرام فلا يحلّ، و ما لم تعلم فكل، و الخلط يصدق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رواية ابن سنان </w:t>
      </w:r>
      <w:r>
        <w:rPr>
          <w:rStyle w:val="FootnoteAnchor"/>
          <w:rtl w:val="true"/>
        </w:rPr>
        <w:footnoteReference w:id="9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يجيئك شاهدان أنّ فيه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يصدق على المجموع لحمان فيه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الحلال و الحرام، إن كان محمولا على معنى الاشتباه، فينقض بالشبهة الابتدائية و غير المحصورة، و مع ذلك مجاز لا يصار إليه إلّا بدليل، و إن كان على الحقيقة، فالمراد بالغلبة، إن كان بالنسبة إلى كلّ جزء فينتقض بمعلوم الحلّية في المجتمع منهما، و مع ذلك فخلاف الظاهر أيضا، و إن كان بالنسبة إلى الكلّ فهو كذلك، و لا يحصل إلّا بتناول الأخير، فلا يتمّ المدّعى</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إن كان صورة الشكّ، فهو كسائر أدلّة الاحتياط محمول على الاستحباب، لمعارضتها لأدلّة البراءة الراجحة عليها، على ما تقرّر في محلّه، و إن كان المراد منه صورة العلم بالبأس، فلا يصدق إلّا على المجموع كما ذكرنا</w:t>
      </w:r>
      <w:r>
        <w:rPr>
          <w:rFonts w:eastAsia="Amiri" w:cs="Amiri" w:ascii="Amiri" w:hAnsi="Amiri"/>
          <w:color w:val="111111"/>
          <w:sz w:val="28"/>
          <w:szCs w:val="28"/>
          <w:rtl w:val="true"/>
          <w:lang w:bidi="ar-SA"/>
        </w:rPr>
        <w:t>.</w:t>
      </w:r>
      <w:bookmarkStart w:id="415" w:name="pg2497_12334"/>
    </w:p>
    <w:p>
      <w:pPr>
        <w:pStyle w:val="BookText"/>
        <w:rPr/>
      </w:pPr>
      <w:bookmarkEnd w:id="415"/>
      <w:r>
        <w:rPr>
          <w:rFonts w:ascii="Amiri" w:hAnsi="Amiri" w:eastAsia="Amiri" w:cs="Amiri"/>
          <w:color w:val="111111"/>
          <w:sz w:val="28"/>
          <w:sz w:val="28"/>
          <w:szCs w:val="28"/>
          <w:rtl w:val="true"/>
          <w:lang w:bidi="ar-SA"/>
        </w:rPr>
        <w:t>و إرادة المعلوم الإجمالي المردّد بين المشتبهين ليست بأظهر من حمله على المباح المعد لارتكاب الحرام، ككثير من الشهوات النفسانية، و استلزام حمل الأمر على الاستحباب من باب الإرشاد و الوعظ الوارد أمثاله في الأخبار بما لا يحصي، ليس بأدون من التجوّز الحاصل على الحمل على المبحوث عنه، فيما إذا ارتكب أحد المشتبهين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الخلط حقيقة في الامتزاج دون الاشتباه، فهو على خلاف المقصود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و ما تقدم يظهر ما في الرابع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بحلّية الجميع تدريجا يظهر مما قدمنا مع جوابه، و مع ذلك يمنعه بعض ما تقدّم من الأخبار، مضافا إلى كونه خلاف ظاهر الأصحاب، و لم يجترأ على القول به صريحا من مال إليه، بل يترتّب عليه من المفاسد ما لا ينبغي الشبهة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القول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المشتبه يتخلّص بها، لما ورد أنها لكلّ أمر مشكل، و خصوص الخبر الحاكم بالقرعة في قطع غنم نزى </w:t>
      </w:r>
      <w:r>
        <w:rPr>
          <w:rStyle w:val="FootnoteAnchor"/>
          <w:rtl w:val="true"/>
        </w:rPr>
        <w:footnoteReference w:id="918"/>
      </w:r>
      <w:r>
        <w:rPr>
          <w:rFonts w:ascii="Amiri" w:hAnsi="Amiri" w:eastAsia="Amiri" w:cs="Amiri"/>
          <w:color w:val="111111"/>
          <w:sz w:val="28"/>
          <w:sz w:val="28"/>
          <w:szCs w:val="28"/>
          <w:rtl w:val="true"/>
          <w:lang w:bidi="ar-SA"/>
        </w:rPr>
        <w:t>الراعي على واحدة منها ثم أرسلها في الغنم فاشتبه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بعد ما عرفت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الوجوب، بل غايته الاستحباب، كما احتمله بعض الأصحاب، سيما مع عدم صراحته فيه و ندرة القول بها بل شذوذه، فلا ينهض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بعضهم اختصاص العمل به في مورد الخبر مع عدم ما يفيد العموم فيه</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3862073_3804643083"/>
      <w:bookmarkStart w:id="417" w:name="_Toc159"/>
      <w:bookmarkEnd w:id="416"/>
      <w:r>
        <w:rPr>
          <w:rtl w:val="true"/>
        </w:rPr>
        <w:t>تنبيهات</w:t>
      </w:r>
      <w:r>
        <w:rPr>
          <w:rtl w:val="true"/>
        </w:rPr>
        <w:t>:</w:t>
      </w:r>
      <w:bookmarkEnd w:id="417"/>
    </w:p>
    <w:p>
      <w:pPr>
        <w:pStyle w:val="Heading5"/>
        <w:numPr>
          <w:ilvl w:val="4"/>
          <w:numId w:val="1"/>
        </w:numPr>
        <w:rPr/>
      </w:pPr>
      <w:bookmarkStart w:id="418" w:name="__RefHeading___Toc3862075_3804643083"/>
      <w:bookmarkStart w:id="419" w:name="_Toc160"/>
      <w:bookmarkEnd w:id="418"/>
      <w:r>
        <w:rPr>
          <w:rtl w:val="true"/>
        </w:rPr>
        <w:t>الأوّل</w:t>
      </w:r>
      <w:r>
        <w:rPr>
          <w:rtl w:val="true"/>
        </w:rPr>
        <w:t xml:space="preserve">: </w:t>
      </w:r>
      <w:r>
        <w:rPr>
          <w:rtl w:val="true"/>
        </w:rPr>
        <w:t>ما ذكرنا من حلّيته ما عدا مقدار الحرام تخييرا</w:t>
      </w:r>
      <w:bookmarkEnd w:id="41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فيما لا يقتضي</w:t>
      </w:r>
      <w:bookmarkStart w:id="420" w:name="pg2497_12336"/>
    </w:p>
    <w:p>
      <w:pPr>
        <w:pStyle w:val="BookText"/>
        <w:rPr/>
      </w:pPr>
      <w:bookmarkEnd w:id="420"/>
      <w:r>
        <w:rPr>
          <w:rFonts w:ascii="Amiri" w:hAnsi="Amiri" w:eastAsia="Amiri" w:cs="Amiri"/>
          <w:color w:val="111111"/>
          <w:sz w:val="28"/>
          <w:sz w:val="28"/>
          <w:szCs w:val="28"/>
          <w:rtl w:val="true"/>
          <w:lang w:bidi="ar-SA"/>
        </w:rPr>
        <w:t>الاستصحاب حرمتها أو حرمة أحدهما بخصوصه، و إلّا فيبنى على ما يقتضيه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فلرجوعه إلى تعارض الاستصحابين في موضوعين لا نسبة بينهما بالسببية، فإنه يجب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على القول بالعمل بهما، كما هو غير بعيد على ما تقرر في محلّه، كما إذا اشتبه المغسول من المتنجّسين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يعمل باستصحابي الطهارة إذا علم تنجّس أحدهما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و ارتكاب الجميع، لحصول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بارتكاب الحرام، بخلاف استصحابي الطهارة، إذ غاية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بترك الحلال المردّد بينهما،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إذا اشتبهت زوجته بالأجنبية في امرأتين، فيحرم وطؤها، مضافا إلى ظهور الإجماع فيه، فإذا طلقت إحدى زوجتيه ثم اشتبهتا، فمقتضى ما اخترناه و إن كان حلّية أحدهما، إلّا أنّه لا يبعد الإجماع على حرمتهما في خصوص المورد، كما في الإنائين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فلتعين الحرام من بينهما بالاستصحاب الذي هو دليل شرعي، كما إذا دار الأمر بين تنجّس هذا و زوال نجاسة ذلك، فيبنى على استصحابي النجاسة و الطهارة فيهما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3862077_3804643083"/>
      <w:bookmarkStart w:id="422" w:name="_Toc161"/>
      <w:bookmarkEnd w:id="421"/>
      <w:r>
        <w:rPr>
          <w:rtl w:val="true"/>
        </w:rPr>
        <w:t>الثاني</w:t>
      </w:r>
      <w:r>
        <w:rPr>
          <w:rtl w:val="true"/>
        </w:rPr>
        <w:t xml:space="preserve">: </w:t>
      </w:r>
      <w:r>
        <w:rPr>
          <w:rtl w:val="true"/>
        </w:rPr>
        <w:t>قال بعض القائلين باجتناب الجميع</w:t>
      </w:r>
      <w:r>
        <w:rPr>
          <w:rtl w:val="true"/>
        </w:rPr>
        <w:t xml:space="preserve">: </w:t>
      </w:r>
      <w:r>
        <w:rPr>
          <w:rtl w:val="true"/>
        </w:rPr>
        <w:t>لو كان المشتبهان مما يوجد تدريجا،</w:t>
      </w:r>
      <w:bookmarkEnd w:id="42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كانت زوجة الرجل مضطربة في حيضها بأن نسيت وقتها و إن حفظت عددها، فتعلم أنها حائض في الشهر ثلاثة أيام مثلا، فهل يجب على الزوج الاجتناب عنها في تمام الشهر، و يجب على الزوجة أيضا الإمساك عن دخول المسجد و قراءة العزيمة تمام الشهر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الموجودات فعلا و الموجودات تدريجا في وجوب الاجتناب عن الحرام المردّد بينهما إذا كان الابتلاء دفعة و عدمه، لاتّحاد المناط في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الابتلاء دفعة في التدريجيات كما في مثل الحيض، فإن تنجّز تكليف الزوج بترك وطء الحائض قبل زمان حيضها ممنوع، فإنّ قول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فَاعْتَزِلُوا النِّسٰاءَ فِي الْمَحِيضِ وَ لٰا تَقْرَبُوهُنَّ حَتّٰى يَطْهُرْنَ </w:t>
      </w:r>
      <w:r>
        <w:rPr>
          <w:rStyle w:val="FootnoteAnchor"/>
          <w:rtl w:val="true"/>
        </w:rPr>
        <w:footnoteReference w:id="919"/>
      </w:r>
      <w:r>
        <w:rPr>
          <w:rFonts w:ascii="Amiri" w:hAnsi="Amiri" w:eastAsia="Amiri" w:cs="Amiri"/>
          <w:color w:val="111111"/>
          <w:sz w:val="28"/>
          <w:sz w:val="28"/>
          <w:szCs w:val="28"/>
          <w:rtl w:val="true"/>
          <w:lang w:bidi="ar-SA"/>
        </w:rPr>
        <w:t>ظاهر في وجوب الكفّ عند الابتلاء بالحائض، إذ الترك قبل الابتلاء حاصل بنفس عدم الابتلاء، فلا يطلق بهذا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الفرق بين هذا و بين ما إذا نذر أو حلف ترك الوطء في ليلة خاصة، ثم اشتبهت بين ليلتين أو أزيد، و لكنّ الأظهر هنا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يجب الاحتياط في الشبهة التدريجية، فالظاهر جواز المخالفة القطعية، لأنّ المفروض عدم تنجز التكليف الواقعي بالنسبة إليه، فالواجب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في كل مشتبه إلى الأصل الجاري في خصوص ذلك المشتبه إباحة و تحريما، فيرجع في مثال المضطربة إلى استصحاب الطهر إلى أن يبقى مقدار الحيض، فيرجع فيه إلى أصالة الإباحة، لعدم جريان استصحاب الطهر،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للنظر فيه مجال، لأنّ الابتلاء بالمعلوم الإجمالي لا يتفاوت فيه الحال بين الدفعي و التدريجي مع العلم بحصوله، بل تناول الدفعيات أيضا تدريجي حقيقة، فإنّ قطيع غنم في الشبهة المحصورة لا يمكن أكل كلّه دفعة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أيّ فرق فيما إذا علم وجود شخص كافر في جملة عدد محصور يأتيك متعاقبا، و حيض ناسية الوقت في الشهر، فكيف يمنع تنجّز التكليف بترك</w:t>
      </w:r>
      <w:bookmarkStart w:id="423" w:name="pg2497_12340"/>
    </w:p>
    <w:p>
      <w:pPr>
        <w:pStyle w:val="BookText"/>
        <w:rPr/>
      </w:pPr>
      <w:bookmarkEnd w:id="423"/>
      <w:r>
        <w:rPr>
          <w:rFonts w:ascii="Amiri" w:hAnsi="Amiri" w:eastAsia="Amiri" w:cs="Amiri"/>
          <w:color w:val="111111"/>
          <w:sz w:val="28"/>
          <w:sz w:val="28"/>
          <w:szCs w:val="28"/>
          <w:rtl w:val="true"/>
          <w:lang w:bidi="ar-SA"/>
        </w:rPr>
        <w:t>وطء الحائض قبل زمان حيضها، و تجوز المخالفة القطعية فيه استنادا إلى استصحاب الطهر في غير مقدار زمان الحيض، و فيه إلى أصالة الإباحة، و لا يمنع تنجّزه بترك ملاقاة الكافر قبل وصوله و حضوره، و قد يقتضي الاستصحاب في التدريجي ترك الجميع و تحصل الموافقة القطعية، كما إذا شكّ في صيرورة أحد الخمرين خلّا، ثم شك في صيرورة الآخر كذلك، مع العلم الإجمالي بصيرورة أحدهما خلّا، فلا ينبغي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المخالفة القطعية في التدريجيات، و كيف تبنى الزوجة على الطهر في تمام الشهر مع العلم باشتغال ذمّتها بقضاء صوم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يستثنى ذلك عن حكمة </w:t>
      </w:r>
      <w:r>
        <w:rPr>
          <w:rStyle w:val="FootnoteAnchor"/>
          <w:rtl w:val="true"/>
        </w:rPr>
        <w:footnoteReference w:id="920"/>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أنّ مقتضى تأخر الحادث، الحكم بتجدد موضوع الحرمة في آخر الأزمنة المشتبهة، كما في مثال حيض الناسية، و هكذا </w:t>
      </w:r>
      <w:r>
        <w:rPr>
          <w:rStyle w:val="FootnoteAnchor"/>
          <w:rtl w:val="true"/>
        </w:rPr>
        <w:footnoteReference w:id="921"/>
      </w:r>
      <w:r>
        <w:rPr>
          <w:rFonts w:ascii="Amiri" w:hAnsi="Amiri" w:eastAsia="Amiri" w:cs="Amiri"/>
          <w:color w:val="111111"/>
          <w:sz w:val="28"/>
          <w:sz w:val="28"/>
          <w:szCs w:val="28"/>
          <w:rtl w:val="true"/>
          <w:lang w:bidi="ar-SA"/>
        </w:rPr>
        <w:t>في غير صورة تجدّد موضوع الحرام، أيضا، نظرا إلى تجدّد الحكم التكليفي فيه، فيعمل أيضا، بأصل التأخر بناء على القول بهذا مطلقا</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3862079_3804643083"/>
      <w:bookmarkStart w:id="425" w:name="_Toc162"/>
      <w:bookmarkEnd w:id="424"/>
      <w:r>
        <w:rPr>
          <w:rtl w:val="true"/>
        </w:rPr>
        <w:t>الثالث</w:t>
      </w:r>
      <w:r>
        <w:rPr>
          <w:rtl w:val="true"/>
        </w:rPr>
        <w:t xml:space="preserve">: </w:t>
      </w:r>
      <w:r>
        <w:rPr>
          <w:rtl w:val="true"/>
        </w:rPr>
        <w:t>لا فرق في حكم الشبهة المحصورة في اتحاد حقيقة المشتبهات و اختلافها موضوعا أو فعلا متعلّقا به</w:t>
      </w:r>
      <w:r>
        <w:rPr>
          <w:rtl w:val="true"/>
        </w:rPr>
        <w:t>.</w:t>
      </w:r>
      <w:bookmarkEnd w:id="42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 يستظهر من صاحب الحدائق في جواب صاحب المدارك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قواعد الأصحاب أنّه لو تعلق الشك بوقوع النجاسة في الإناء و خارجه لم يمنع من استعماله، من التفصيل بين الصورتين و تخصيص الاجتناب عن المشتبهين بالأولى دون الثانية، لا عبرة به، لعموم المناط، فلا يختلف حكم المشتبه في تردّد النجس بين الماء و مائع آخر، أو بين ماء و ثوب، أو بين السجدة في خارج الإناء و شرب الماء في مثال المدارك، و التلبّس بالثوب و الشرب عند التردّد في</w:t>
      </w:r>
      <w:bookmarkStart w:id="426" w:name="pg2497_12342"/>
    </w:p>
    <w:p>
      <w:pPr>
        <w:pStyle w:val="BookText"/>
        <w:rPr/>
      </w:pPr>
      <w:bookmarkEnd w:id="426"/>
      <w:r>
        <w:rPr>
          <w:rFonts w:ascii="Amiri" w:hAnsi="Amiri" w:eastAsia="Amiri" w:cs="Amiri"/>
          <w:color w:val="111111"/>
          <w:sz w:val="28"/>
          <w:sz w:val="28"/>
          <w:szCs w:val="28"/>
          <w:rtl w:val="true"/>
          <w:lang w:bidi="ar-SA"/>
        </w:rPr>
        <w:t>نجاسة أحدهما، بل و لو كان المحرم على كلّ تقدير عنوانا غيره على التقدير الآخر، كما لو دار الأمر بين كون أحد الثوبين نجسا و كون الآخر مال الغير، لاندراج ذلك كلّه في وجوب الاجتناب عن الحرام، و النواهي الشرعية كلها مشتركة فيه، فلا يتفاوت الحال في ذلك باختلاف العنوانات</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862081_3804643083"/>
      <w:bookmarkStart w:id="428" w:name="_Toc163"/>
      <w:bookmarkEnd w:id="427"/>
      <w:r>
        <w:rPr>
          <w:rtl w:val="true"/>
        </w:rPr>
        <w:t>الرابع</w:t>
      </w:r>
      <w:r>
        <w:rPr>
          <w:rtl w:val="true"/>
        </w:rPr>
        <w:t xml:space="preserve">: </w:t>
      </w:r>
      <w:r>
        <w:rPr>
          <w:rtl w:val="true"/>
        </w:rPr>
        <w:t>آثار الحرام الواقعي و أحكامه الشرعية لا يترتّب عليه إلّا باستيعاب الجميع دون البعض على ما اخترناه</w:t>
      </w:r>
      <w:r>
        <w:rPr>
          <w:rtl w:val="true"/>
        </w:rPr>
        <w:t>.</w:t>
      </w:r>
      <w:bookmarkEnd w:id="428"/>
    </w:p>
    <w:p>
      <w:pPr>
        <w:pStyle w:val="BookText"/>
        <w:rPr/>
      </w:pPr>
      <w:r>
        <w:rPr>
          <w:rFonts w:ascii="Amiri" w:hAnsi="Amiri" w:eastAsia="Amiri" w:cs="Amiri"/>
          <w:color w:val="111111"/>
          <w:sz w:val="28"/>
          <w:sz w:val="28"/>
          <w:szCs w:val="28"/>
          <w:rtl w:val="true"/>
          <w:lang w:bidi="ar-SA"/>
        </w:rPr>
        <w:t>و أمّا على القول باجتناب الجميع، فصريح بعض من عاصرناه عدم ترتّبها أيضا، بل ظاهر إطلاقه على الاستيعاب أيضا، لأنّ وجوب الاجتناب على مختارهم من باب المقدمة للمعلوم الإجمالي الواقعي، و لا ينهض ذلك في الآثار، فيرجع فيها إلى الأصول الجارية في كلّ واحد بخصوصه، و أنت خبير بأنّ الآثار تابعة للحرام الواقعي، و حيث التزم القائل به بثبوت التكليف به و إيجاب الجميع من باب الاحتياط و تحصيل العلم بامتثاله، فيجري هذا الكلام بعينه في الآثار التكليفية له أيضا،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نجاسة أحد المائين، و حكم بوجوب الاجتناب عنهما تحصيلا للعلم بدرك الواقع، فكذا يلزمه بذلك الحكم ببطلان الصلاة بإصابة أحدهما إلى الثوب، و حصول الحنث بلبس الملاقي له إذا كان منذورا و بطلان بيعه،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 التكليف بمجرد الاجتناب عن العين تحكم محض،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الواقعي، أيضا، معلوم إجمالي، و بقاء التكليف به يقتضي الاحتياط في أمثاله،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أمر وجدانيّ حقيقة، هو البناء على نجاسة المعلوم الإجمالي أو حرمته، و الجري عليه و جعله بمنزلة المعلوم التفصيلي، كما عساه يظهر من كثير من القائلين باجتناب الجميع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باجتناب العين منجّز غير مشروط بشي‌ء، و أمّا بالآثار،</w:t>
      </w:r>
    </w:p>
    <w:p>
      <w:pPr>
        <w:pStyle w:val="BookText"/>
        <w:rPr/>
      </w:pPr>
      <w:r>
        <w:rPr>
          <w:rFonts w:ascii="Amiri" w:hAnsi="Amiri" w:eastAsia="Amiri" w:cs="Amiri"/>
          <w:color w:val="111111"/>
          <w:sz w:val="28"/>
          <w:sz w:val="28"/>
          <w:szCs w:val="28"/>
          <w:rtl w:val="true"/>
          <w:lang w:bidi="ar-SA"/>
        </w:rPr>
        <w:t>فمعلق بوجود المعلوم الإجمالي الذي يتفرّع عليه، و لا علم بها بوجود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اعتراض وارد على أصل هذا القول و إلّا فعلى البناء على كون المعلّق عليه كنجاسة المشتبه محكوما بوجوده، لزمه الحكم بوجود ما 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بنجاسة كلّ منهما في حقه، بل بوجوب الاجتناب عنه من باب المقدّمة للاجتناب عن النجس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أيضا من أحكام النجس و الحرام و آثارهما الشرعية، كما أنّ بطلان الصلاة فيه و وجوب تطهيره عند الضرورة و بطلان البيع و حرمة التصرف و أمثالها من آثارهما، فلا وجه لتخصيص التكليف عند العلم الإجمالي بالاجتناب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استظهروا به للتكليف بالواقع المعلوم إجمالا، يقتضي التكليف بنفس المتبوع المستتبع لآثاره و أحكامه الشرعية، أى وجوب البناء و الجري عليه، لا خصوص بعض مقتضياته، فالعلم بامتثال المتبوع الواجب بحكم المقدمة لا يحصل إلّا بالبناء عليه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الآثار الوضعية ما يشترط في ثبوته مصادفة المأتي به للواقع، فلا يحكم في خصوص مثله باعتبار وجوب المقدمة العلمية الذي هو حكم ثانوي، كاشتغال الذمّة بحق الغير إذا اشتبه ماله بمال نفسه، فإثباته متوقف على العلم بحصول السبب، و هو عند ارتكابهما جميعا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استحقاق خصوص العقاب المقرّر للحرام الواقعي، فلا يستحقه إلّا بمصادفة المأتيّ به للواقع أو بارتكابهما جميعا، و إلّا فمع عدم المصادفة كان عليه عقاب المخالفة </w:t>
      </w:r>
      <w:r>
        <w:rPr>
          <w:rStyle w:val="FootnoteAnchor"/>
          <w:rtl w:val="true"/>
        </w:rPr>
        <w:footnoteReference w:id="922"/>
      </w:r>
      <w:r>
        <w:rPr>
          <w:rFonts w:ascii="Amiri" w:hAnsi="Amiri" w:eastAsia="Amiri" w:cs="Amiri"/>
          <w:color w:val="111111"/>
          <w:sz w:val="28"/>
          <w:sz w:val="28"/>
          <w:szCs w:val="28"/>
          <w:rtl w:val="true"/>
          <w:lang w:bidi="ar-SA"/>
        </w:rPr>
        <w:t>للحكم الثانوي التوصّلي</w:t>
      </w:r>
      <w:r>
        <w:rPr>
          <w:rFonts w:eastAsia="Amiri" w:cs="Amiri" w:ascii="Amiri" w:hAnsi="Amiri"/>
          <w:color w:val="111111"/>
          <w:sz w:val="28"/>
          <w:szCs w:val="28"/>
          <w:rtl w:val="true"/>
          <w:lang w:bidi="ar-SA"/>
        </w:rPr>
        <w:t>.</w:t>
      </w:r>
      <w:bookmarkStart w:id="429" w:name="pg2497_12346"/>
    </w:p>
    <w:p>
      <w:pPr>
        <w:pStyle w:val="Heading5"/>
        <w:numPr>
          <w:ilvl w:val="4"/>
          <w:numId w:val="1"/>
        </w:numPr>
        <w:rPr/>
      </w:pPr>
      <w:bookmarkStart w:id="430" w:name="__RefHeading___Toc3862083_3804643083"/>
      <w:bookmarkStart w:id="431" w:name="_Toc164"/>
      <w:bookmarkEnd w:id="429"/>
      <w:bookmarkEnd w:id="430"/>
      <w:r>
        <w:rPr>
          <w:rtl w:val="true"/>
        </w:rPr>
        <w:t>الخامس</w:t>
      </w:r>
      <w:r>
        <w:rPr>
          <w:rtl w:val="true"/>
        </w:rPr>
        <w:t xml:space="preserve">: </w:t>
      </w:r>
      <w:r>
        <w:rPr>
          <w:rtl w:val="true"/>
        </w:rPr>
        <w:t>إذا لاقى أحد المشتبهين شي‌ء ثالث، لم يحكم بنجاسته على المختار معينا،</w:t>
      </w:r>
      <w:bookmarkEnd w:id="431"/>
    </w:p>
    <w:p>
      <w:pPr>
        <w:pStyle w:val="BookText"/>
        <w:rPr/>
      </w:pPr>
      <w:r>
        <w:rPr>
          <w:rFonts w:ascii="Amiri" w:hAnsi="Amiri" w:eastAsia="Amiri" w:cs="Amiri"/>
          <w:color w:val="111111"/>
          <w:sz w:val="28"/>
          <w:sz w:val="28"/>
          <w:szCs w:val="28"/>
          <w:rtl w:val="true"/>
          <w:lang w:bidi="ar-SA"/>
        </w:rPr>
        <w:t>سواء كان قبل استعمال أحدهما أو بعده، لعدم حصول العلم بها و لو بعد استعمال الجميع، و إنما يحكم بالآثار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بنجاسة أحدهما من باب التخيير الناشئ عن عدم المرجّح، فلا يبعد القول بنجاسة ما لاقاه إذا اختاره المكلّف من بينهما، و كذا على القول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ذكرناه، عدم جواز الجمع بين ملاقي أحدهما مع عين الآخر، و كذا بين ملاقيهما، و 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بالاجتناب عن الجميع، فقال بعض من عاصرناه، فيه وجهان، بل قولان، و اختار عدم التنجّس الملاقي، استنادا إلى أنّ الاجتناب عن النجس لا يراد به إلّا الاجتناب عن العين، و تنجّس الملاقي للنجس حكم وضعي سببي يترتّب للعنوان الواقعي من النجاسات، فإنّه إذا شكّ في ثبوته للملاقي جرى فيه أصل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الإحاطة بما تقدّم بيانه، يظهر لك ضعفه جدّا، فإن ما يترتّب للعنوان الواقعي هو التنجّس الواقعي للملاقي، و لا نعني به، كما لا نحكم به لغير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التنجّس الظاهري، فيترتّب على تنجّس العين ظاهرا، كتنجّس الملاقي للنجس الاستصحابي، و المفروض كون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بالنجاسة، و إن كان من باب المقدمة، و يلزمها نجاسة ما لاقاه كما تبيّن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اعترض على نفسه، بأنّ وجوب الاجتناب عن ملاقي المشتبه، و إن لم يكن من حيث ملاقاته، إلّا أنّه يصير كملاقاته في العلم الإجمالي بنجاسته أو نجاسة المشتبه الآخر، فلا فرق بين المتلاقيين في كون كل منهما أحد طرفي الشبهة</w:t>
      </w:r>
      <w:r>
        <w:rPr>
          <w:rFonts w:eastAsia="Amiri" w:cs="Amiri" w:ascii="Amiri" w:hAnsi="Amiri"/>
          <w:color w:val="111111"/>
          <w:sz w:val="28"/>
          <w:szCs w:val="28"/>
          <w:rtl w:val="true"/>
          <w:lang w:bidi="ar-SA"/>
        </w:rPr>
        <w:t>.</w:t>
      </w:r>
      <w:bookmarkStart w:id="432" w:name="pg2497_12348"/>
    </w:p>
    <w:p>
      <w:pPr>
        <w:pStyle w:val="BookText"/>
        <w:rPr/>
      </w:pPr>
      <w:bookmarkEnd w:id="432"/>
      <w:r>
        <w:rPr>
          <w:rFonts w:ascii="Amiri" w:hAnsi="Amiri" w:eastAsia="Amiri" w:cs="Amiri"/>
          <w:color w:val="111111"/>
          <w:sz w:val="28"/>
          <w:sz w:val="28"/>
          <w:szCs w:val="28"/>
          <w:rtl w:val="true"/>
          <w:lang w:bidi="ar-SA"/>
        </w:rPr>
        <w:t>و أجاب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بين المتعارضين إذا كانا في مرتبة واحدة من غير سببية أحد المستصحبين لخلاف </w:t>
      </w:r>
      <w:r>
        <w:rPr>
          <w:rStyle w:val="FootnoteAnchor"/>
          <w:rtl w:val="true"/>
        </w:rPr>
        <w:footnoteReference w:id="923"/>
      </w:r>
      <w:r>
        <w:rPr>
          <w:rFonts w:ascii="Amiri" w:hAnsi="Amiri" w:eastAsia="Amiri" w:cs="Amiri"/>
          <w:color w:val="111111"/>
          <w:sz w:val="28"/>
          <w:sz w:val="28"/>
          <w:szCs w:val="28"/>
          <w:rtl w:val="true"/>
          <w:lang w:bidi="ar-SA"/>
        </w:rPr>
        <w:t>الآخر، يتساقطان و يرجع في الأحكام و المسببات في كلّ منهما بما يقتضيه الأصل و الاستصحاب في أنفسهما، ففي المورد يتعارض أصلا الطهارة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المشتبه الآخر و يسقطان، و يبقى أصالة الطهارة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المسبّبات سليما عن معارضة أصالة طهارة المشتبه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القاعدة المذكورة مسلّمة مقبولة، كما حقّقناه في مقامه و أشرنا إليه، إلّا أنها لا يتمّ المدعى على القول المذكور، لأنّه </w:t>
      </w:r>
      <w:r>
        <w:rPr>
          <w:rStyle w:val="FootnoteAnchor"/>
          <w:rtl w:val="true"/>
        </w:rPr>
        <w:footnoteReference w:id="924"/>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تساقط الاستصحابين المتعارضين في موضوعين مختلفين مع انتفاء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تنجّس الملاقي إنّما نشأ من تنجّس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سواء كان لاستصحابه أو لجهة كونه مقدّمة، و تخصيص حكم المقدّمة بمجرّد اجتناب العين دون البناء على نجاسته فقد عرفت ضعفه، بل لعلّه خلاف ظاهر أكثر القائلين بحرمة الجميع في الشبهة المحصورة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862085_3804643083"/>
      <w:bookmarkStart w:id="434" w:name="_Toc165"/>
      <w:bookmarkEnd w:id="433"/>
      <w:r>
        <w:rPr>
          <w:rtl w:val="true"/>
        </w:rPr>
        <w:t>السادس</w:t>
      </w:r>
      <w:r>
        <w:rPr>
          <w:rtl w:val="true"/>
        </w:rPr>
        <w:t xml:space="preserve">: </w:t>
      </w:r>
      <w:r>
        <w:rPr>
          <w:rtl w:val="true"/>
        </w:rPr>
        <w:t>إذا فقد بعض المحتملات، لم يحرم ارتكاب الباقي على القولين</w:t>
      </w:r>
      <w:r>
        <w:rPr>
          <w:rtl w:val="true"/>
        </w:rPr>
        <w:t>:</w:t>
      </w:r>
      <w:bookmarkEnd w:id="434"/>
    </w:p>
    <w:p>
      <w:pPr>
        <w:pStyle w:val="BookText"/>
        <w:rPr/>
      </w:pPr>
      <w:r>
        <w:rPr>
          <w:rFonts w:ascii="IRNazanin" w:hAnsi="IRNazanin" w:eastAsia="IRNazanin"/>
          <w:color w:val="111111"/>
          <w:sz w:val="28"/>
          <w:sz w:val="28"/>
          <w:szCs w:val="28"/>
          <w:rtl w:val="true"/>
          <w:lang w:bidi="fa-IR"/>
        </w:rPr>
        <w:t>أمّا على قولنا فظاهر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الآخر، فلعدم العلم بالتكليف الواقعي، إذ لعلّ المفقود هو المعلوم الإجمالي، فالتكليف به معلّق على وجوديهما و تحقق شرائط التكليف به، و لذا لو اضطرّ إلى ارتكاب بعض المحتملات، فالظاهر على المختار، عدم حرمة المختار فيه، لعدم دليل على حرمة ضمّه إلى المضطرّ فيه، و على القول الآخر ففيه تفصيلات و فروع يستبعدها الأنظار السليمة</w:t>
      </w:r>
      <w:r>
        <w:rPr>
          <w:rFonts w:eastAsia="Amiri" w:cs="Amiri" w:ascii="Amiri" w:hAnsi="Amiri"/>
          <w:color w:val="111111"/>
          <w:sz w:val="28"/>
          <w:szCs w:val="28"/>
          <w:rtl w:val="true"/>
          <w:lang w:bidi="ar-SA"/>
        </w:rPr>
        <w:t>.</w:t>
      </w:r>
      <w:bookmarkStart w:id="435" w:name="pg2497_12350"/>
    </w:p>
    <w:p>
      <w:pPr>
        <w:pStyle w:val="Heading3"/>
        <w:numPr>
          <w:ilvl w:val="2"/>
          <w:numId w:val="1"/>
        </w:numPr>
        <w:rPr/>
      </w:pPr>
      <w:bookmarkStart w:id="436" w:name="__RefHeading___Toc3862087_3804643083"/>
      <w:bookmarkStart w:id="437" w:name="_Toc166"/>
      <w:bookmarkEnd w:id="435"/>
      <w:bookmarkEnd w:id="436"/>
      <w:r>
        <w:rPr>
          <w:rtl w:val="true"/>
        </w:rPr>
        <w:t>المقام الثاني</w:t>
      </w:r>
      <w:r>
        <w:rPr>
          <w:rtl w:val="true"/>
        </w:rPr>
        <w:t xml:space="preserve">: </w:t>
      </w:r>
      <w:r>
        <w:rPr>
          <w:rtl w:val="true"/>
        </w:rPr>
        <w:t>في الشبهة الغير المحصورة</w:t>
      </w:r>
      <w:r>
        <w:rPr>
          <w:rtl w:val="true"/>
        </w:rPr>
        <w:t>.</w:t>
      </w:r>
      <w:bookmarkEnd w:id="437"/>
    </w:p>
    <w:p>
      <w:pPr>
        <w:pStyle w:val="BookText"/>
        <w:rPr/>
      </w:pPr>
      <w:r>
        <w:rPr>
          <w:rFonts w:ascii="Amiri" w:hAnsi="Amiri" w:eastAsia="Amiri" w:cs="Amiri"/>
          <w:color w:val="111111"/>
          <w:sz w:val="28"/>
          <w:sz w:val="28"/>
          <w:szCs w:val="28"/>
          <w:rtl w:val="true"/>
          <w:lang w:bidi="ar-SA"/>
        </w:rPr>
        <w:t>و العبارات في تفسيرها مختلفة غير منتظمة، كجعل المناط فيها لزوم المشقة في الاجتناب عنها أو عدم إمكان ارتكاب الجميع عادة، أو تعسّر عدّه مطلقا أو في زمان قصير أو ما يعد غير محصورة عرفا، أو استهلاك العلم الإجمالي بالحرام فيها لكثرة المحتملات، و أمثال ذلك فإنّ كلّ ذلك يختلف باختلاف الوقائع و مقدار المعلوم الإجمالي و الفعل المتعلّق بها دفعة أو تدريجا، و كذا باختلاف الأشخاص، كصحراء وسيعة يتنجّس بعضها بالنسبة إلى من يزاولها برطوبة و احتاج إلى مزاولتها، و من لا يزاولها و لا يحتاج إليها و أقواها اعتبارا، ما ذكره الشهيد و المحقّق الثانيان و غيرهما، من كونها ما يعسر عدّه، إلّا أنّه لا ينبغي التقييد بذلك بالنسبة إلى الفعل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فالخطب سهل، بناء على عدم الفرق في الحكم بين الشبهتين كما هو الحقّ، فيحلّ ما عدا مقدار الحرام، و يحرم ما يساويه، لما تقدّم من الأدلّة، مضافا إلى ظهور الإجماع هنا على حلّ ما عدا مقدار الحرام المصرّح به في كلام غير واحد، بل عن بعضهم دعوى الضرورة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أكثرهم إطلاق القول بعدم وجوب الاجتناب إلى آخر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عليه بوجوه قاصرة،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هو في غير مقدار الحرام مسلم، و أمّا فيه فغير ثابت، كما اعترف به بعض القائلين به، بل الظاهر عدمه، و إن كان في إطلاق قولهم بعدم وجوب الاجتناب فيها ظهور شموله له، إلّا أنّه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 المصرّحين به، عدم وجوب الاجتناب فيها، في مقابل القول بوجوبه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المشقّة المنفية في الشريعة في الاجتناب عن المشتبهات الغير</w:t>
      </w:r>
    </w:p>
    <w:p>
      <w:pPr>
        <w:pStyle w:val="BookText"/>
        <w:rPr/>
      </w:pPr>
      <w:r>
        <w:rPr>
          <w:rFonts w:ascii="Amiri" w:hAnsi="Amiri" w:eastAsia="Amiri" w:cs="Amiri"/>
          <w:color w:val="111111"/>
          <w:sz w:val="28"/>
          <w:sz w:val="28"/>
          <w:szCs w:val="28"/>
          <w:rtl w:val="true"/>
          <w:lang w:bidi="ar-SA"/>
        </w:rPr>
        <w:t>المحصورة، لظهور عدم اطّرادها في موارد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 في توجيهه بعضهم باحتمال كون المراد لزومها في أغلب أفراد هذه الشبهة لأغلب أفراد المكلّفين، فيشمله عموم قوله تعالى يُرِيدُ اللّٰهُ بِكُمُ الْيُسْرَ وَ لٰا يُرِيدُ بِكُمُ الْعُسْرَ </w:t>
      </w:r>
      <w:r>
        <w:rPr>
          <w:rStyle w:val="FootnoteAnchor"/>
          <w:rtl w:val="true"/>
        </w:rPr>
        <w:footnoteReference w:id="925"/>
      </w:r>
      <w:r>
        <w:rPr>
          <w:rFonts w:ascii="Amiri" w:hAnsi="Amiri" w:eastAsia="Amiri" w:cs="Amiri"/>
          <w:color w:val="111111"/>
          <w:sz w:val="28"/>
          <w:sz w:val="28"/>
          <w:szCs w:val="28"/>
          <w:rtl w:val="true"/>
          <w:lang w:bidi="ar-SA"/>
        </w:rPr>
        <w:t>بضميمة ما ورد من إناطة الأحكام الشرعية وجودا و عدما بالعسر و اليسر الغالبيين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مشقّة في ترك مقدار الحرام كما هو المفروض، فلا يتم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الغير المحصورة ليست عنوانا للحكم في الأخبار حتى يلحق النادر منها بالغالب في حكم العسر، بل هو عنوان مخترع في كتب الفقهاء لموضوعات متعدّدة في أحكام مختلفة يتفاوت أغلبها في استلزامه المشقة لأغلب أفرادها بالنسبة إلى أغلب المكلّفين و عدمه، و ليست هي واقعة واحدة، فلو سلّم ملاحظة الأغلب في لزوم العسر، فالمناط ملاحظته في كلّ موضوع بعنوانه المختصّ به، بالنظر إلى اجتناب الحرام المردّد بين أفراده، لكونه المقتضي للاجتناب عنها على القول به، لا كثرة الأفراد و قلّتها، و هذا يختلف باختلاف مواضع الشبهة و أحوال المكلّفين فيها و الأفعال المحرمة المتعلّقة بها، كما أشرنا إليه، بل قد يكون الاجتناب عن الشبهة المحصورة موجبا للمشقة، فعلى ذلك لزمه جعل العنوان الكلّي للزوم المشقة الغالبة مطلق الشبهة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الشبهة هو الحكم الثانويّ الظاهريّ في الحلّية و الطهارة و الملكية، فحلّيتها أو حرمتها مبنيّة على أصل البراءة أو وجوب الاحتياط من باب المقدّمة، فهو رفع لحكم ثابت لا تأسيس حكم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التمسّك بنفي العسر في مثل ذلك لا يفيد أزيد من جواز الارتكاب، من قبيل الاضطرار في أكل الميتة و تناول مال الغير في المخمصة، لا الطهارة و الملكية، و عدم النجاسة و عدم الاشتغال بحق الغير أو صحّة البيع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يختصّ الرخصة المستفادة منه بموارد تلك المخمصة و تدور مدارها،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قبيل تمسّك بعضهم لطهارة الحديد بنفي العسر و الحرج، فإنّه تعليل و إبداء حكمة لتأسيس حكم واقعي لا لرفع حكم ثابت، و بينهما فرق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 مقتضاها في الشبهة المحصورة، إنّما هو لإمكان ارتكاب الجميع عادة، فيحصل اليقين باستعمال الحرام إذا تنجّس، بخلاف غير المحصور، فلا يتحقّق العلم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يجري في غير مقدار الحرام في المحصور أيضا، فلا يحصل به الفرق بينهما، و أمّا في مقداره، فعدم إمكان وقوع موضوعه في غير المحصور لا يوجب الحكم بالحلّية، لتعليقها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الاجتناب عن الكلّ إنّما هو مع تنجّز التكليف بالحرام الواقعي، و هو حاصل في المحصور، للعلم بوقوعه فيما يمكن ارتكابه، أعني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 بخلاف غير المحصور، فإنّ ما يمكن من المحتملات فيه لا يعلم منه الحرمة، فلا تكليف به حتّى يستدعي اليقين بالبراءة، و ما علم وقوعه منه غير ممكن الاستعمال، فلا يتعلّق التكليف بالمعلوم الإجمالي الواقع منه حتّى يستدعي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يظهر مما تقدّم</w:t>
      </w:r>
      <w:r>
        <w:rPr>
          <w:rFonts w:eastAsia="Amiri" w:cs="Amiri" w:ascii="Amiri" w:hAnsi="Amiri"/>
          <w:color w:val="111111"/>
          <w:sz w:val="28"/>
          <w:szCs w:val="28"/>
          <w:rtl w:val="true"/>
          <w:lang w:bidi="ar-SA"/>
        </w:rPr>
        <w:t>.</w:t>
      </w:r>
      <w:bookmarkStart w:id="438" w:name="pg2497_12358"/>
    </w:p>
    <w:p>
      <w:pPr>
        <w:pStyle w:val="Heading2"/>
        <w:numPr>
          <w:ilvl w:val="1"/>
          <w:numId w:val="1"/>
        </w:numPr>
        <w:rPr/>
      </w:pPr>
      <w:bookmarkStart w:id="439" w:name="__RefHeading___Toc3862089_3804643083"/>
      <w:bookmarkStart w:id="440" w:name="_Toc167"/>
      <w:bookmarkEnd w:id="438"/>
      <w:bookmarkEnd w:id="439"/>
      <w:r>
        <w:rPr>
          <w:rtl w:val="true"/>
        </w:rPr>
        <w:t>[</w:t>
      </w:r>
      <w:r>
        <w:rPr>
          <w:rtl w:val="true"/>
        </w:rPr>
        <w:t>المشرق الثاني و عشرون</w:t>
      </w:r>
      <w:r>
        <w:rPr>
          <w:rtl w:val="true"/>
        </w:rPr>
        <w:t>] [</w:t>
      </w:r>
      <w:r>
        <w:rPr>
          <w:rtl w:val="true"/>
        </w:rPr>
        <w:t>في بيان كيفية الاحتياط</w:t>
      </w:r>
      <w:r>
        <w:rPr>
          <w:rtl w:val="true"/>
        </w:rPr>
        <w:t>]</w:t>
      </w:r>
      <w:bookmarkEnd w:id="440"/>
    </w:p>
    <w:p>
      <w:pPr>
        <w:pStyle w:val="Heading3"/>
        <w:numPr>
          <w:ilvl w:val="2"/>
          <w:numId w:val="1"/>
        </w:numPr>
        <w:rPr/>
      </w:pPr>
      <w:bookmarkStart w:id="441" w:name="__RefHeading___Toc3862091_3804643083"/>
      <w:bookmarkStart w:id="442" w:name="_Toc168"/>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الاحتياط فيما وجب أو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على ما اصطلح عليه هو العمل بما يحصل القطع به بدرك الواقع و إحرازه على ما عليه في نفس الأمر عند الشكّ، و لو بتكرير العمل، سواء كان الشكّ في نفس التكليف، أو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شكّ في صحّته، و لا يحتاج إلى تجشّم الدليل عليه على شرعيته، لمكان القطع بمطابقة العمل لما في الواقع، و الضرورة قاضية بخروج العهدة حينئذ، إلّا أنّ تحقّق الاحتياط بهذا المعنى لا يتصوّر مع حصول الشكّ في الواقع فيما يفتقر إلى النية، كالعبادات، لمنافاة الشك لقصد ما في الواقع على ما هو عليه، فيما دار الأمر بين متنافيين، أو على وجهه من الوجوب و عدمه، فيما كان الشك بين الأقل و الأكثر، كما في جزء العبادة و شرطها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إخطار القربة أو خصوص الوجوب مع عدم الإذعان به ليس من النية المعتبرة في العبادة، فمرادهم من الاحتياط المجمع على رجحانه وجوبا أو استحبابا في العبادات المؤكّد به في الأخبار إنّما هو في غير النية، بل هو إحراز</w:t>
      </w:r>
    </w:p>
    <w:p>
      <w:pPr>
        <w:pStyle w:val="BookText"/>
        <w:rPr/>
      </w:pPr>
      <w:r>
        <w:rPr>
          <w:rFonts w:ascii="Amiri" w:hAnsi="Amiri" w:eastAsia="Amiri" w:cs="Amiri"/>
          <w:color w:val="111111"/>
          <w:sz w:val="28"/>
          <w:sz w:val="28"/>
          <w:szCs w:val="28"/>
          <w:rtl w:val="true"/>
          <w:lang w:bidi="ar-SA"/>
        </w:rPr>
        <w:t>الواقع بالنسبة إلى سائر الأجزاء و الشروط، فإذا شكّ في القصر أو الإتمام على رأس أربعة فراسخ لم يعلم شرعية أحدهما بالخصوص و تعلّق الأمر به بحسب الواقع، فكيف يتصوّر قصد التقرب به بحسب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ينطبق العمل الاحتياطي على ما هو عليه في الواقع، يحتاج الحكم بصحّة الاحتياط و شرعيته إلى إقامة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 لا كلام في صحّته بهذا المعنى و شرعيته بعد الفحص عن الواقع، و لعلّه إلى هذا تنظر المحكيّ عن المشهور بين أصحابنا من أنّ عبادة تارك طريقي الاجتهاد و التقليد غير صحيحة، و إن علم إجمالا مطابقتها للواقع، للإجماع على صحته بعد الاجتهاد الكاشف عن الواقع بالدليل الظنّي المعتبر، كالخبر الصحيح، و إن كان في إطلاق هذا قبل الفحص، أيضا نظر سترى وجهه، و كيف كان، 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يحتاط فيه، إمّا يفتقر صحّته و خروج العهدة عنه إلى نية القربة، كالعبادات البدنية، أو لا، كالواجبات المالية، مثل المنذور و المحلوف عليه و الزكاة و الخمس، بالنسبة إلى اشتغال الذمّة بحق الغير، بحيث يحصل البراءة عنه و لو بالإجبار عليها، و كالواجبات التوصّلية التعبّدية، كتطهير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إمّا بين الأقلّ و الأكثر، كوجوب السورة في الفريضة، فإحراز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 الأكثر، أو بين متنافيين، كالظهر و الجمعة، و القصر و الإتمام، فهو بتكرير العمل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فالأصحّ صحّة الاحتياط قبل الفحص بإتيان الأكثر، بناء على عدم اشتراط نية الوجه، كما هو الأقوى، لمطابقة العمل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الاحتمالين، بمجرّد نية القربة، فيحصل به الاحتياط المجمع على صحّته و رجحانه، لعدم توقّفه على 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اعتبار 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الشكّ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تحقق الاحتياط بإتيان الأكثر قبل الفحص عن وجه العمل بالدليل المعتبر، لمقام الشكّ في حصول الإطاعة الموجبة للخروج عن العهدة، و الشكّ في شرعية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الفحص، فقد عرفت الدليل عليه من 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 يظهر أنّ المعتبر في الاحتياط المطلوب المرغوب فيه هو العلم بالخروج عن العهدة في الواقع، و إن لم يقطع بمطابقة العمل للمأمور به الواقعيّ، فإذا دار الواجب بين أمرين، أحدهما غير مقدور، فالاحتياط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الآخر خاصة و إن لم يعلم كونه الواقعي، و بالجملة فالدليل على صحّة الاحتياط 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بعد الفحص عن الواقع، و أمّا قبله مع إمكانه، فلا دليل على شرعية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باعتبار 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نية الوجه محلّ الاختلاف، بل عن المشهور، كما قيل اعتباره فلا يتحقّق الاحتياط قبل الفحص على القول المختار من عدم اعتبارها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مقطوع بها لنا بملاحظة الإطاعة العرفية الدائرة عليها الإطاعة الشرعية، و نحن نتكلّم في البحث على زعمنا، فمن وافقنا في هذا الجزم حصل له الاحتياط قبل الفحص بنية القربة في الترديد بين الأقلّ و الأكثر، و من خالفنا لم يحصل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فالأصحّ عدم حصول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عن العلم التفصيلي أو الظنّ المعتبر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بالتكرار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استظهر من الحدائق </w:t>
      </w:r>
      <w:r>
        <w:rPr>
          <w:rStyle w:val="FootnoteAnchor"/>
          <w:rtl w:val="true"/>
        </w:rPr>
        <w:footnoteReference w:id="926"/>
      </w:r>
      <w:r>
        <w:rPr>
          <w:rFonts w:ascii="Amiri" w:hAnsi="Amiri" w:eastAsia="Amiri" w:cs="Amiri"/>
          <w:color w:val="111111"/>
          <w:sz w:val="28"/>
          <w:sz w:val="28"/>
          <w:szCs w:val="28"/>
          <w:rtl w:val="true"/>
          <w:lang w:bidi="ar-SA"/>
        </w:rPr>
        <w:t>دعوى الاتّفاق على عدم مشروعية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 فيه الحلّي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 العبادة نية القربة، و هو فرع العلم بالأمر به، و الفرض عدم العلم بالنسبة إلى كلّ واحد بخصوصه ليطابق العمل الواقعي، و عدم دليل آخر على شرعية هذا الاحتياط الناقص الغير المحصّل للقطع بإحراز الواقع،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نية القربة بقصد الاحتياط فرع الدليل على صحته و الخروج به عن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فساد عبادة الجاهل التارك لطريقي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الاحتياط و لو بتكرار العمل، بمعنى حصول البراءة عن الواجب، إذ المفروض تحقق إحراز الواقع، و عدم توقف البراءة منه على نية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ترتّب الثواب يحتاج إلى قصد القربة، فلا يترتّب بدونها، كما إذا أجبر الممتنع عن الزكاة على أخذها منه، إلّا أنّه يلزم تخصيص منع الثواب بما إذا لم يقصد من الفعل تحصيل البراءة عن حقّ المستحقّ، إذ المفروض حصولها بدون العلم التفصيلي أيضا، و لو مع التمكن منه، و قصد إبراء الذمّة من الحق المعلوم إجمالا ممدوح مشكور قطعا، فيصحّ قصد التقرب بكلّ منهما، كما إذا لم يعلم أنّ الواجب عليه في الزكاة، الإبل أو الغنم، فيبذل كليهما، سواء كانت الشبهة حكمية أو موضوعية، حصلت من نسيان و نحوه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حكم الاحتياط في الشبهة الابتدائية الاستقلالية أيضا و لا شبهة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يحتاج حصول البراءة فيه إلى النية، و صحّته بعد الفحص كذلك مطلقا و عدمها ظاهرا قبله مع احتمال صحّته أيضا في شبهة الموضوع مطلقا قبل الفحص لمظنّة الإجماع كما إذا شكّ في وجوب فائتة معينة عليه لنسيان و نحوه</w:t>
      </w:r>
      <w:r>
        <w:rPr>
          <w:rFonts w:eastAsia="Amiri" w:cs="Amiri" w:ascii="Amiri" w:hAnsi="Amiri"/>
          <w:color w:val="111111"/>
          <w:sz w:val="28"/>
          <w:szCs w:val="28"/>
          <w:rtl w:val="true"/>
          <w:lang w:bidi="ar-SA"/>
        </w:rPr>
        <w:t>.</w:t>
      </w:r>
      <w:bookmarkStart w:id="443" w:name="pg2497_12366"/>
    </w:p>
    <w:p>
      <w:pPr>
        <w:pStyle w:val="Heading3"/>
        <w:numPr>
          <w:ilvl w:val="2"/>
          <w:numId w:val="1"/>
        </w:numPr>
        <w:rPr/>
      </w:pPr>
      <w:bookmarkStart w:id="444" w:name="__RefHeading___Toc3862093_3804643083"/>
      <w:bookmarkStart w:id="445" w:name="_Toc169"/>
      <w:bookmarkEnd w:id="443"/>
      <w:bookmarkEnd w:id="444"/>
      <w:r>
        <w:rPr>
          <w:rtl w:val="true"/>
        </w:rPr>
        <w:t>تنبيهات</w:t>
      </w:r>
      <w:r>
        <w:rPr>
          <w:rtl w:val="true"/>
        </w:rPr>
        <w:t>:</w:t>
      </w:r>
      <w:bookmarkEnd w:id="445"/>
    </w:p>
    <w:p>
      <w:pPr>
        <w:pStyle w:val="Heading4"/>
        <w:numPr>
          <w:ilvl w:val="3"/>
          <w:numId w:val="1"/>
        </w:numPr>
        <w:rPr/>
      </w:pPr>
      <w:bookmarkStart w:id="446" w:name="__RefHeading___Toc3862095_3804643083"/>
      <w:bookmarkStart w:id="447" w:name="_Toc170"/>
      <w:bookmarkEnd w:id="446"/>
      <w:r>
        <w:rPr>
          <w:rtl w:val="true"/>
        </w:rPr>
        <w:t>الأوّل</w:t>
      </w:r>
      <w:r>
        <w:rPr>
          <w:rtl w:val="true"/>
        </w:rPr>
        <w:t xml:space="preserve">: </w:t>
      </w:r>
      <w:r>
        <w:rPr>
          <w:rtl w:val="true"/>
        </w:rPr>
        <w:t>هل يصحّ الاحتياط قبل الفحص عما يوجب الظنّ المعتبر الاجتهادي مع اليأس عن التمكن من تحصيل العلم بالواقع،</w:t>
      </w:r>
      <w:bookmarkEnd w:id="447"/>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مناط المنع إمكان تحصيل العلم التفصيلي بالواقع كما عرفت، و مع اليأس عن تأثير الفحص في حصوله لم يكن ممنوعا، و لذا يصحّ اتفاقا مع حصول الظن الاجتهادي على خلافه،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عدم الدليل على شرعيته مع عدم إحراز الواقع، خرج صورة ما بعد الاجتهاد في تحصيل الظنّ المعتبر،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يوافقه ما حكي عن المشهور، من بطلان عبادة الجاهل التارك للطريقين، ضرورة عدم حصول العلم من 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تخلو عن إشكال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3862097_3804643083"/>
      <w:bookmarkStart w:id="449" w:name="_Toc171"/>
      <w:bookmarkEnd w:id="448"/>
      <w:r>
        <w:rPr>
          <w:rtl w:val="true"/>
        </w:rPr>
        <w:t>الثاني</w:t>
      </w:r>
      <w:r>
        <w:rPr>
          <w:rtl w:val="true"/>
        </w:rPr>
        <w:t xml:space="preserve">: </w:t>
      </w:r>
      <w:r>
        <w:rPr>
          <w:rtl w:val="true"/>
        </w:rPr>
        <w:t>مقتضى ما ذكرنا صحّة الاحتياط فيما إذا دار الأمر بين الوجوب و الاستحباب مطلقا</w:t>
      </w:r>
      <w:r>
        <w:rPr>
          <w:rtl w:val="true"/>
        </w:rPr>
        <w:t>.</w:t>
      </w:r>
      <w:bookmarkEnd w:id="449"/>
    </w:p>
    <w:p>
      <w:pPr>
        <w:pStyle w:val="BookText"/>
        <w:rPr/>
      </w:pPr>
      <w:r>
        <w:rPr>
          <w:rFonts w:ascii="Amiri" w:hAnsi="Amiri" w:eastAsia="Amiri" w:cs="Amiri"/>
          <w:color w:val="111111"/>
          <w:sz w:val="28"/>
          <w:sz w:val="28"/>
          <w:szCs w:val="28"/>
          <w:rtl w:val="true"/>
          <w:lang w:bidi="ar-SA"/>
        </w:rPr>
        <w:t>سواء كان قبل الفحص أو بعده، للعلم بالقربة، و كفاية نية التقرّب في إحراز الواقع على كلّ تقدير</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862099_3804643083"/>
      <w:bookmarkStart w:id="451" w:name="_Toc172"/>
      <w:bookmarkEnd w:id="450"/>
      <w:r>
        <w:rPr>
          <w:rtl w:val="true"/>
        </w:rPr>
        <w:t>الثالث</w:t>
      </w:r>
      <w:r>
        <w:rPr>
          <w:rtl w:val="true"/>
        </w:rPr>
        <w:t xml:space="preserve">: </w:t>
      </w:r>
      <w:r>
        <w:rPr>
          <w:rtl w:val="true"/>
        </w:rPr>
        <w:t>هل يصحّ الاحتياط قبل الفحص مع إمكانه في مثل كلمات القرآن و الأدعية</w:t>
      </w:r>
      <w:r>
        <w:rPr>
          <w:rtl w:val="true"/>
        </w:rPr>
        <w:t>-</w:t>
      </w:r>
      <w:bookmarkEnd w:id="451"/>
    </w:p>
    <w:p>
      <w:pPr>
        <w:pStyle w:val="BookText"/>
        <w:rPr/>
      </w:pPr>
      <w:r>
        <w:rPr>
          <w:rFonts w:ascii="Amiri" w:hAnsi="Amiri" w:eastAsia="Amiri" w:cs="Amiri"/>
          <w:color w:val="111111"/>
          <w:sz w:val="28"/>
          <w:sz w:val="28"/>
          <w:szCs w:val="28"/>
          <w:rtl w:val="true"/>
          <w:lang w:bidi="ar-SA"/>
        </w:rPr>
        <w:t>إذا اشتبه كلمة منها أو إعرابها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بتكريرهما أم لا؟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عدم صحّة ذلك في قراءة الصلاة و أدعيتها، للعلم الإجمالي ببطلان أحدهما، فالتكلّم به فيها غلط يبطل الصلاة، و أمّا في غيرها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بإحراز الواقع بالتكرير، إذا كان يسيرا لم يخرج بزيادة غير الواقع عن القراءة و الدعاء عرفا، سواء كانت واجبة بنذر أو مندوبة، لعدم اشتراط نية القربة الفعلية التفصيلية في كلّ جزء، بل يكفي الحكمية الإجمالية في ضمن نية الكلّ، و هذا القدر من نية القربة يحصل بإحراز الواقع بتكرير كل ما يحتمل كونه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نية</w:t>
      </w:r>
      <w:bookmarkStart w:id="452" w:name="pg2497_12368"/>
    </w:p>
    <w:p>
      <w:pPr>
        <w:pStyle w:val="BookText"/>
        <w:rPr/>
      </w:pPr>
      <w:bookmarkEnd w:id="452"/>
      <w:r>
        <w:rPr>
          <w:rFonts w:ascii="Amiri" w:hAnsi="Amiri" w:eastAsia="Amiri" w:cs="Amiri"/>
          <w:color w:val="111111"/>
          <w:sz w:val="28"/>
          <w:sz w:val="28"/>
          <w:szCs w:val="28"/>
          <w:rtl w:val="true"/>
          <w:lang w:bidi="ar-SA"/>
        </w:rPr>
        <w:t>الجزئية فلو سلّم اشتراطها فهو لا ينافي الترديد بإحراز الجزء الواقعي، في غير ما يخلّ الزائد بالعبادة</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862101_3804643083"/>
      <w:bookmarkStart w:id="454" w:name="_Toc173"/>
      <w:bookmarkEnd w:id="453"/>
      <w:r>
        <w:rPr>
          <w:rtl w:val="true"/>
        </w:rPr>
        <w:t>الرابع</w:t>
      </w:r>
      <w:r>
        <w:rPr>
          <w:rtl w:val="true"/>
        </w:rPr>
        <w:t xml:space="preserve">: </w:t>
      </w:r>
      <w:r>
        <w:rPr>
          <w:rtl w:val="true"/>
        </w:rPr>
        <w:t>إذا كان الشك في جزئية شي‌ء للعبادة أو شرطيته مع احتمال مانعيته،</w:t>
      </w:r>
      <w:bookmarkEnd w:id="45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فيرجع إلى الشكّ بين المتباينين، فلا يحصل الاحتياط بتكريرها خالية عنها و مشتملة عليها قبل الفحص مع إمكانه، لما حرّرنا من عدم حصول نية القربة في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الشبهة حكمية أو موضوعية، فإذا شكّ في القبلة في إحدى الجهتين أو أكثر، مع التمكن من الفحص عنها، لا يخرج عن عهدة التكليف بإتيانها في كلّ جهة، أو انحصر لباس الساتر في النجس، مع إمكان تطهيره، و شكّ في أنّ تكليفه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العريان أو مع ثوب النجس، و أمّا إذا شكّ في مقدار الساتر، أنّ الواجب ستر ما بين الركبة و السرة، أو مجرّد المخرجين و الخصيتين، فإنّه يتحقق الاحتياط بستر الزائد، لما أشرنا من عدم اشتراط النية التفصيلية في الشرائط</w:t>
      </w:r>
      <w:r>
        <w:rPr>
          <w:rFonts w:eastAsia="Amiri" w:cs="Amiri" w:ascii="Amiri" w:hAnsi="Amiri"/>
          <w:color w:val="111111"/>
          <w:sz w:val="28"/>
          <w:szCs w:val="28"/>
          <w:rtl w:val="true"/>
          <w:lang w:bidi="ar-SA"/>
        </w:rPr>
        <w:t>.</w:t>
      </w:r>
      <w:bookmarkStart w:id="455" w:name="pg2497_12370"/>
    </w:p>
    <w:p>
      <w:pPr>
        <w:pStyle w:val="Heading2"/>
        <w:numPr>
          <w:ilvl w:val="1"/>
          <w:numId w:val="1"/>
        </w:numPr>
        <w:rPr/>
      </w:pPr>
      <w:bookmarkStart w:id="456" w:name="__RefHeading___Toc3862103_3804643083"/>
      <w:bookmarkStart w:id="457" w:name="_Toc174"/>
      <w:bookmarkEnd w:id="455"/>
      <w:bookmarkEnd w:id="456"/>
      <w:r>
        <w:rPr>
          <w:rtl w:val="true"/>
        </w:rPr>
        <w:t>[</w:t>
      </w:r>
      <w:r>
        <w:rPr>
          <w:rtl w:val="true"/>
        </w:rPr>
        <w:t>المشرق الثالث و عشرون</w:t>
      </w:r>
      <w:r>
        <w:rPr>
          <w:rtl w:val="true"/>
        </w:rPr>
        <w:t>] [</w:t>
      </w:r>
      <w:r>
        <w:rPr>
          <w:rtl w:val="true"/>
        </w:rPr>
        <w:t>في حكم الإعراض عن الملك</w:t>
      </w:r>
      <w:r>
        <w:rPr>
          <w:rtl w:val="true"/>
        </w:rPr>
        <w:t>]</w:t>
      </w:r>
      <w:bookmarkEnd w:id="457"/>
    </w:p>
    <w:p>
      <w:pPr>
        <w:pStyle w:val="Heading3"/>
        <w:numPr>
          <w:ilvl w:val="2"/>
          <w:numId w:val="1"/>
        </w:numPr>
        <w:rPr/>
      </w:pPr>
      <w:bookmarkStart w:id="458" w:name="__RefHeading___Toc3862105_3804643083"/>
      <w:bookmarkStart w:id="459" w:name="_Toc175"/>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المالك عن ماله، فهل يوجب الخروج عن ملكه؟ و على خروجه هل يتملّكه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تعرض لعموم حكمه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منهم حكمه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البعير التي بقيت في فلاة لأجل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فحكي عن الأصحاب مشعرا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يتملّكه الآخذ، و استدلّوا عليه بصحيحة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 قامت و نسيها صاحبها لما لم ينفعه، فأخذها غيره، فأقام عليه و أنفق نفقة حتى أحياها من الكلال و من الموت، فهي له، و لا سبيل له عليها، 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و في معناها غيرها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تراب الصياغة، قال في المسالك </w:t>
      </w:r>
      <w:r>
        <w:rPr>
          <w:rStyle w:val="FootnoteAnchor"/>
          <w:rtl w:val="true"/>
        </w:rPr>
        <w:footnoteReference w:id="928"/>
      </w:r>
      <w:r>
        <w:rPr>
          <w:rFonts w:ascii="IRNazanin" w:hAnsi="IRNazanin" w:eastAsia="IRNazanin"/>
          <w:color w:val="111111"/>
          <w:sz w:val="28"/>
          <w:sz w:val="28"/>
          <w:szCs w:val="28"/>
          <w:rtl w:val="true"/>
          <w:lang w:bidi="fa-IR"/>
        </w:rPr>
        <w:t>و لو دلّت القرائن على إعراض</w:t>
      </w:r>
    </w:p>
    <w:p>
      <w:pPr>
        <w:pStyle w:val="BookText"/>
        <w:rPr/>
      </w:pPr>
      <w:r>
        <w:rPr>
          <w:rFonts w:ascii="Amiri" w:hAnsi="Amiri" w:eastAsia="Amiri" w:cs="Amiri"/>
          <w:color w:val="111111"/>
          <w:sz w:val="28"/>
          <w:sz w:val="28"/>
          <w:szCs w:val="28"/>
          <w:rtl w:val="true"/>
          <w:lang w:bidi="ar-SA"/>
        </w:rPr>
        <w:t>مالكه عنه، جاز للصائغ تملّكه، كغيره من الأموال المعرض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بالقرائن المفيدة للعلم أنّ صاحبه أعرض عنه، جاز للصائغ تملكه، كسائر الأموال المعرض عنها، خصوصا إذا كانت مما يتسامح فيها عادة، و لا يبعد الاكتفاء بالظنّ مع عدم قضاء العادة على خلافه، و إلّا، فإن كان أربابها معلومين، استحلّهم أو ردّه إليهم، و لو كان بعضهم معلوما فلا بدّ من الاستحلال، و إلّا، فالظاهر جواز بيعه و الصدقة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بروايتي عليّ بن ميمون الصائغ، حملا لإطلاقه على ما لم يعلم إعراض المالك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السفينة المنكسرة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يخرج بالغوص فهو لمن أخرجه، و ما أخرجه البحر فهو لصاحبه، لرواية الشعيري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سفينة انكسرت في البحر، فأخرج بعضه بالغوص، و أخرج بعض ما غرق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أخرجه البحر فهو لأهله، اللّه أخرجه، و أما ما أخرج بالغوص فهو لهم، و هم أحقّ، و في السرائر </w:t>
      </w:r>
      <w:r>
        <w:rPr>
          <w:rStyle w:val="FootnoteAnchor"/>
          <w:rtl w:val="true"/>
        </w:rPr>
        <w:footnoteReference w:id="931"/>
      </w:r>
      <w:r>
        <w:rPr>
          <w:rFonts w:ascii="Amiri" w:hAnsi="Amiri" w:eastAsia="Amiri" w:cs="Amiri"/>
          <w:color w:val="111111"/>
          <w:sz w:val="28"/>
          <w:sz w:val="28"/>
          <w:szCs w:val="28"/>
          <w:rtl w:val="true"/>
          <w:lang w:bidi="ar-SA"/>
        </w:rPr>
        <w:t>بعد نقل هذه الرواية في كتاب القضاء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الفقه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أخرجه البحر فهو لأصحابه، و ما تركه أصحابه آيسين منه فهو لمن أخذه و غاص عليه، لأنّه صار بمنزلة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ترك بعيره من جهد في غير كلاء و لا ماء، فهو لمن أخذه، لأنّه خلّاه آيسا منه، و رفع يده عنه، فصار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قياسا، لأنّ مذهبنا ترك القياس، و إنما هذا على جهة المثال و المرجع فيه إلى الإجماع و تواتر النصوص، دون القياس و الاجتهاد، و على الخبرين إجماع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من القياس المتوهّم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باب استنباط علة الإباحة للتملّك من الرواية الصحيحة المتقدّمة، معتذرا للعلّية </w:t>
      </w:r>
      <w:r>
        <w:rPr>
          <w:rStyle w:val="FootnoteAnchor"/>
          <w:rtl w:val="true"/>
        </w:rPr>
        <w:footnoteReference w:id="932"/>
      </w:r>
      <w:r>
        <w:rPr>
          <w:rFonts w:ascii="Amiri" w:hAnsi="Amiri" w:eastAsia="Amiri" w:cs="Amiri"/>
          <w:color w:val="111111"/>
          <w:sz w:val="28"/>
          <w:sz w:val="28"/>
          <w:szCs w:val="28"/>
          <w:rtl w:val="true"/>
          <w:lang w:bidi="ar-SA"/>
        </w:rPr>
        <w:t>بكونه معقد الإجماع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اطلاق الصيد بعد التملّك و قصد الخروج عنه، حيث اختلفوا فيه، و الأكثر على عدم الخروج كما في المسالك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بعضهم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في الكفاية </w:t>
      </w:r>
      <w:r>
        <w:rPr>
          <w:rStyle w:val="FootnoteAnchor"/>
          <w:rtl w:val="true"/>
        </w:rPr>
        <w:footnoteReference w:id="934"/>
      </w:r>
      <w:r>
        <w:rPr>
          <w:rFonts w:ascii="Amiri" w:hAnsi="Amiri" w:eastAsia="Amiri" w:cs="Amiri"/>
          <w:color w:val="111111"/>
          <w:sz w:val="28"/>
          <w:sz w:val="28"/>
          <w:szCs w:val="28"/>
          <w:rtl w:val="true"/>
          <w:lang w:bidi="ar-SA"/>
        </w:rPr>
        <w:t>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عليه جواز اصطياده للغير بقصد التملك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فاستدلّ المحقق القمّي، في المسألة في أجوبة مسائله لما اختاره من كون الإعراض موجبا للخروج عن ملك المالك و تملك الآخذ، سيما في الشي‌ء الدون،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بملاحظة عمل الناس في كل عصر و مصر، من التقاط السنابل بعد الإعراض، من الصلحاء و المتدينين و غيرهم، و لم ينكر عليهم أحد من العلماء في جميع الأعصار و الأمصار، و التقاط جلّات البعير و الأغنام في المفاوز و الصحاري، و يجرون فيها أحكام الملك للملتقط، من البيع و الشراء، ضرورة أن ليس بيع الملتقط بالنيابة عن المالك، و لا بالإجازة منه، فإنهم يبيعون لأنفسهم، فليس الإعراض منزلة الإباحة المحضة، و مجرّد رضى البائع بأخذه و بيعه لنفسه ليس كافيا في انعقاد العقود، بل يحتاج إلى الإنشاء، و لو بالمعاطاة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في كلام ابن إدريس </w:t>
      </w:r>
      <w:r>
        <w:rPr>
          <w:rStyle w:val="FootnoteAnchor"/>
          <w:rtl w:val="true"/>
        </w:rPr>
        <w:footnoteReference w:id="935"/>
      </w:r>
      <w:r>
        <w:rPr>
          <w:rFonts w:ascii="Amiri" w:hAnsi="Amiri" w:eastAsia="Amiri" w:cs="Amiri"/>
          <w:color w:val="111111"/>
          <w:sz w:val="28"/>
          <w:sz w:val="28"/>
          <w:szCs w:val="28"/>
          <w:rtl w:val="true"/>
          <w:lang w:bidi="ar-SA"/>
        </w:rPr>
        <w:t>، مضافا إلى شواهد الموارد المذكورة في كلمات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المستفادة من صحيحة عبد اللّه بن سنان المتقدمة </w:t>
      </w:r>
      <w:r>
        <w:rPr>
          <w:rStyle w:val="FootnoteAnchor"/>
          <w:rtl w:val="true"/>
        </w:rPr>
        <w:footnoteReference w:id="936"/>
      </w:r>
      <w:r>
        <w:rPr>
          <w:rFonts w:ascii="Amiri" w:hAnsi="Amiri" w:eastAsia="Amiri" w:cs="Amiri"/>
          <w:color w:val="111111"/>
          <w:sz w:val="28"/>
          <w:sz w:val="28"/>
          <w:szCs w:val="28"/>
          <w:rtl w:val="true"/>
          <w:lang w:bidi="ar-SA"/>
        </w:rPr>
        <w:t>، و ملاحظة الأخبار الواردة في خصوص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إطلاق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مقصوده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المعرض عنه عن الملك بمجرّد الإعراض، و لو قبل أخذ الغير و تملكه، بحيث لا يسعه الرجوع عن إعراضه، و منعه الغير عن أخذه، و حصول التملّك للغير فيما يعم الأموال العظيمة و العقار و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دلالتها على جملة ذلك نظر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خروج الملك بمجرّد الإعراض قبل التقاط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يستفاد من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حصول الملك للآخذ، و أنّى هو و الخروج عن ملك المالك قبل التقاط المتملك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تعليل الصحيحة بكونه مثل الشي‌ء المباح، إنّما هو لملك من أخذه، لا للخروج قبله، إذ المراد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الأصلي الذي لم يجر عليه ملك أحد،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الشي‌ء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 التشبيه كونه في تملك الآخذ، لا للخروج عن يد المالك، اذ لا يستقيم ذلك في المباح المالكي، إلّا في الإعراض، و هو عين المشبّه به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عموم هذا الحكم بالنسبة إلى الأموال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إفادة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إذ لم يعهد من الناس في سيرتهم في عصر أو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الأمصار و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حكم الملك لمن تصرّف في الدار المعمورة أو المزرعة الدائرة بمجرد إعراض مالكها عنها، و الإجماع المحكيّ عن الحلّي غير مصرّح و لا</w:t>
      </w:r>
    </w:p>
    <w:p>
      <w:pPr>
        <w:pStyle w:val="BookText"/>
        <w:rPr/>
      </w:pPr>
      <w:r>
        <w:rPr>
          <w:rFonts w:ascii="Amiri" w:hAnsi="Amiri" w:eastAsia="Amiri" w:cs="Amiri"/>
          <w:color w:val="111111"/>
          <w:sz w:val="28"/>
          <w:sz w:val="28"/>
          <w:szCs w:val="28"/>
          <w:rtl w:val="true"/>
          <w:lang w:bidi="ar-SA"/>
        </w:rPr>
        <w:t>ظاهر في العموم، بل لو عمّ فهو بالنسبة إلى المال الآيس عنه صاحبه، كالواقع في البحر، لا مطلقا، و نحوه الصحيحة، مع أنّ البعير المسؤول عنها لكلالها في فلاة الأرض و عجزها عن السير من الأموال الحقيرة التي لا يعتني بها صاحبها، و لذا قيد الأصحاب حكمه بما إذا كانت متروكة في غير كلاء و لا ماء، بحيث كانت في حكم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الموارد المتقدمة لا يشهد بالعموم، خصوصا بملاحظة اختصاص الوفاق و الخلاف في كلماتهم بها، فإنّك تريهم لا يتجاوزون عن حكم البعير المتروكة في فلاة عن جهد إلى الشاة و سائر الدوابّ بحكم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المسالك في إطلاق الصيد مع الإعراض و قصد الخروج عن التملك، نسبة القول بعدم الخروج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الحكم بالتفصيل في السفينة المنكسرة، بين ما أخرجه البحر و ما أخرجه بالعوض، من جهة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يترجّح عندي في تحقيق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المالك يده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اختياري، بإعراضه عنه و قصده عدم تملكه، أو اضطراري، بأن يحصل له اليأس عنه عادة، كالواقع في البحر، و فرار الطير عن القفس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خروجه عن ملك المالك بمجرّد الإعراض أو اليأس، أو في ملكه للآخذ بقصد التملك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النظر بقاؤه على ملك المالك، و إن خرج عن المالية، للاستصحاب، فإنّ الملك أمر شرعي و حكم وضعي، فكما يحتاج في حدوثه و ثبوته إلى سبب شرعي، كذا يحتاج في خروجه إلى ناقل شرعي، و لم يثبت من الشرع أنّ نية الخروج عن الملك أو اليأس عنه من القواطع الشرعية، و إن قلنا بصيرورته بها مثل المباحات التي يجوز أخذه بقصد التملك، لما عرفت من ضعف ما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الثمرة في رجوع المالك عن نية الخروج قبل تملّك الغير، و لو بشهادة الحال، كما إذا اتفق اجتماع الحبوب بهبوب الرياح و نحوه، حتى صارت كثيرة لا يتسامح عنها عادة، أو ارتفع اليأس عنه و حصل الرجاء قبل أخذه الغير، كما إذا أخرجه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اختيارا، فالظاهر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بين الأشياء الحقيرة التي يتسامح بها الملّاك عادة، و لو لتوقف ماليتها على مشقّة لا يتحمل في مثلها غالبا، أو لجريان العادة عليه، كالحبوب المتشتة الملقاة في الأرض عند الحصاد، و جلّات البعير و الأغنام في المفاوز، و الحشيشات و قشور الفواكه و الجوزات في الشوارع و من ذلك البعير التي كلّت من جهد في فلاة في غير كلاء و لا ماء، و أمثال هذه، فيتملكها الآخذ، و بين الأموال العظيمة، فلا يتملك بأخذ الغير، لاستمرار السيرة القطعية في الأمصار و الأعصار في الأوّل على كونه ملكا لآخذه، مضافا إلى ظاهر التعليل في صحيح ابن سنان، دون الثاني، فنقتصر في الحكم المخالف للأصل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العلم بإعراض المالك و إباحته لمن يتملك؟</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عدم اشتراط التلفظ به منه، بل و لا الالتفات و الشعور به و لا بالمعرض عنه، بل يكفي شاهد الحال المعلوم بالسيرة العادية، فلا يتوقف إباحته على إنشاء لفظي و لا فعلي، 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العلم برضى المالك ما لم يعلم عدمه، اكتفاء بحكم السيرة بالشهادة الحالية النوعية في عموم الحكم، و إن فقدت الشهادة الشخصية في مورد مشخّص لمانع، فإنّ اكتفاء الشارع في عموم الحكم في خصوص الأشخاص بما يقتضيه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العوارض الشخصية المانعة عند عدم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عزيز، بل كثير في الأحكام الشرعية،</w:t>
      </w:r>
    </w:p>
    <w:p>
      <w:pPr>
        <w:pStyle w:val="BookText"/>
        <w:rPr/>
      </w:pPr>
      <w:r>
        <w:rPr>
          <w:rFonts w:ascii="Amiri" w:hAnsi="Amiri" w:eastAsia="Amiri" w:cs="Amiri"/>
          <w:color w:val="111111"/>
          <w:sz w:val="28"/>
          <w:sz w:val="28"/>
          <w:szCs w:val="28"/>
          <w:rtl w:val="true"/>
          <w:lang w:bidi="ar-SA"/>
        </w:rPr>
        <w:t>كالخبر الصحيح المنوط حجيته بالظن المخصوص أو المطلق، فإنه لا يتأمّل أحد في حجيته، و لو تعارضه القياس الظني، و زال به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في جواز التملك للغير، بعد قطع المالك يده عنه، كونه متسامحا فيه و سبيلا على الإطلاق غالبا في العرف و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عدم العلم بكراهة المالك و قصده بقائه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يصحّ توجيه مناط جواز الأخذ و التملك في مال الصغار، و لا يتفحّص في السيرة المستمرّة عن كونه من الصغير أو المجنون أو الكبير الرشيد، لجريان هذا الحكم في السيرة في مال الصغار أيضا، و لا يجب على الولي المنع رعاية لمصلحة مال المولّى عليه، لأنّه حكم شرعي، و إن كان منعه بيد الولي، كما يستحب له الزكاة في مال الصغير، و إن كان خلاف مصلحته، و له المنع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يظهر ضعف المحكيّ عن ظاهر الأكثر من اشتراط بقاء العلم بالرضا، بشاهد الحال، و هو مبنيّ على كون الإعراض موجبا للإباحة، دون الخروج عن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اعترض عليه المحقق القمّي، بأنّه لو فرض أن أحدا جمع السنابل في مزرعة أحد بعد الإعراض عنه على سبيل التدريج، حتى بلغ ثلاثمائة منّ من الحنطة، ففي الآن، لو علم المالك أنّه لم يخرج عن ملكه بالإعراض، لا يحصل العلم برضاه، مع أنّه خلاف ما يقتضيه الإجماع المستنبط من سيرة الناس، فيشهد ذلك بخروجه عن الملك بمجرّد الإعراض، و أنّ المعتبر هو العلم بالرضا حين الإعراض خاصة، فتأمل جدّا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اضطرارا من جهة اليأس عن المعرض</w:t>
      </w:r>
      <w:bookmarkStart w:id="460" w:name="pg2497_12384"/>
    </w:p>
    <w:p>
      <w:pPr>
        <w:pStyle w:val="BookText"/>
        <w:rPr/>
      </w:pPr>
      <w:bookmarkEnd w:id="460"/>
      <w:r>
        <w:rPr>
          <w:rFonts w:ascii="Amiri" w:hAnsi="Amiri" w:eastAsia="Amiri" w:cs="Amiri"/>
          <w:color w:val="111111"/>
          <w:sz w:val="28"/>
          <w:sz w:val="28"/>
          <w:szCs w:val="28"/>
          <w:rtl w:val="true"/>
          <w:lang w:bidi="ar-SA"/>
        </w:rPr>
        <w:t xml:space="preserve">عنه عادة، كالواقع في البحر، و الطائر عن القفس، فمقتضى رواية الشعيري </w:t>
      </w:r>
      <w:r>
        <w:rPr>
          <w:rStyle w:val="FootnoteAnchor"/>
          <w:rtl w:val="true"/>
        </w:rPr>
        <w:footnoteReference w:id="937"/>
      </w:r>
      <w:r>
        <w:rPr>
          <w:rFonts w:ascii="Amiri" w:hAnsi="Amiri" w:eastAsia="Amiri" w:cs="Amiri"/>
          <w:color w:val="111111"/>
          <w:sz w:val="28"/>
          <w:sz w:val="28"/>
          <w:szCs w:val="28"/>
          <w:rtl w:val="true"/>
          <w:lang w:bidi="ar-SA"/>
        </w:rPr>
        <w:t>الدال على خروج ما غرق عن ملك المالك إلى ملك من أخرجه بالغوص، و عدم سبيل المالك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كالمعرض عنه اختيارا في تملكه للآخذ، غير أنّ الأوّل يختصّ بالحقير، كما عرفت، و هذا يعم الحقير و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و إن كانت مختصّة بموردها، إلّا أن الظاهر كون العلّة صيرورة ما غرق بمنزلة المباح، كما استشعره منها الحلّي </w:t>
      </w:r>
      <w:r>
        <w:rPr>
          <w:rStyle w:val="FootnoteAnchor"/>
          <w:rtl w:val="true"/>
        </w:rPr>
        <w:footnoteReference w:id="938"/>
      </w:r>
      <w:r>
        <w:rPr>
          <w:rFonts w:ascii="Amiri" w:hAnsi="Amiri" w:eastAsia="Amiri" w:cs="Amiri"/>
          <w:color w:val="111111"/>
          <w:sz w:val="28"/>
          <w:sz w:val="28"/>
          <w:szCs w:val="28"/>
          <w:rtl w:val="true"/>
          <w:lang w:bidi="ar-SA"/>
        </w:rPr>
        <w:t>، مستدلا له بالأخبار المتواترة و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إطلاق الحكم عموم العلّة المستفادة من صحيحه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جواز تملك المغصوب المتعذّر للمالك أخذه عن الغاصب، إذا أخذه عنه غير المالك، و جواز تملك المفقود في المفاوز، مع أنّه يجب ردّهما إلى المالك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باليأس الموجب لتملك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كذلك في العادة، بالنسبة إلى جميع الناس، فكان مأيوسا عنه في نفسه، لا بالنسبة إلى المالك خاصّة أو أمثاله، بحيث عدّ المال هالكا و تالفا عرفا على سبيل الإطلاق، فلا يرد النقض بما ذكر</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862107_3804643083"/>
      <w:bookmarkStart w:id="462" w:name="_Toc176"/>
      <w:bookmarkEnd w:id="461"/>
      <w:r>
        <w:rPr>
          <w:rtl w:val="true"/>
        </w:rPr>
        <w:t>فرع</w:t>
      </w:r>
      <w:r>
        <w:rPr>
          <w:rtl w:val="true"/>
        </w:rPr>
        <w:t xml:space="preserve">: </w:t>
      </w:r>
      <w:r>
        <w:rPr>
          <w:rtl w:val="true"/>
        </w:rPr>
        <w:t>إذ انبتت الحبوب المتشتة في شقوق الأرض حتى صارت زرعا،</w:t>
      </w:r>
      <w:bookmarkEnd w:id="46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ما ذكرناه أنّه لمالك الأرض، و لا يجوز لأحد حيازته و هو ظاهر الفاضل في القواعد </w:t>
      </w:r>
      <w:r>
        <w:rPr>
          <w:rStyle w:val="FootnoteAnchor"/>
          <w:rtl w:val="true"/>
        </w:rPr>
        <w:footnoteReference w:id="939"/>
      </w:r>
      <w:r>
        <w:rPr>
          <w:rFonts w:ascii="Amiri" w:hAnsi="Amiri" w:eastAsia="Amiri" w:cs="Amiri"/>
          <w:color w:val="111111"/>
          <w:sz w:val="28"/>
          <w:sz w:val="28"/>
          <w:szCs w:val="28"/>
          <w:rtl w:val="true"/>
          <w:lang w:bidi="ar-SA"/>
        </w:rPr>
        <w:t>حيث قال في باب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تناثر من الحاصل حبّ فنبت في العام الثاني، فهو لصاحب البذر، و لو كان من مال المزارعة فهو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أخذها غيره قبل صيرورتها زرعا، و ربّاها في أرضه، فهو للمربّي، و عليه أجرة الأرض</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بكون الزرع لمالك الأرض، من جهة كونه شيئا مباحا دخل في أرضه و تولد منه زرع، و ليس بشي‌ء، و اللّه العالم</w:t>
      </w:r>
      <w:r>
        <w:rPr>
          <w:rFonts w:eastAsia="Amiri" w:cs="Amiri" w:ascii="Amiri" w:hAnsi="Amiri"/>
          <w:color w:val="111111"/>
          <w:sz w:val="28"/>
          <w:szCs w:val="28"/>
          <w:rtl w:val="true"/>
          <w:lang w:bidi="ar-SA"/>
        </w:rPr>
        <w:t>.</w:t>
      </w:r>
      <w:bookmarkStart w:id="463" w:name="pg2497_12390"/>
    </w:p>
    <w:p>
      <w:pPr>
        <w:pStyle w:val="Heading2"/>
        <w:numPr>
          <w:ilvl w:val="1"/>
          <w:numId w:val="1"/>
        </w:numPr>
        <w:rPr/>
      </w:pPr>
      <w:bookmarkStart w:id="464" w:name="__RefHeading___Toc3862109_3804643083"/>
      <w:bookmarkStart w:id="465" w:name="_Toc177"/>
      <w:bookmarkEnd w:id="463"/>
      <w:bookmarkEnd w:id="464"/>
      <w:r>
        <w:rPr>
          <w:rtl w:val="true"/>
        </w:rPr>
        <w:t>[</w:t>
      </w:r>
      <w:r>
        <w:rPr>
          <w:rtl w:val="true"/>
        </w:rPr>
        <w:t>المشرق الرابع و عشرون</w:t>
      </w:r>
      <w:r>
        <w:rPr>
          <w:rtl w:val="true"/>
        </w:rPr>
        <w:t>] [</w:t>
      </w:r>
      <w:r>
        <w:rPr>
          <w:rtl w:val="true"/>
        </w:rPr>
        <w:t>في بيان قاعدة الضمان</w:t>
      </w:r>
      <w:r>
        <w:rPr>
          <w:rtl w:val="true"/>
        </w:rPr>
        <w:t>]</w:t>
      </w:r>
      <w:bookmarkEnd w:id="465"/>
    </w:p>
    <w:p>
      <w:pPr>
        <w:pStyle w:val="Heading3"/>
        <w:numPr>
          <w:ilvl w:val="2"/>
          <w:numId w:val="1"/>
        </w:numPr>
        <w:rPr/>
      </w:pPr>
      <w:bookmarkStart w:id="466" w:name="__RefHeading___Toc3862111_3804643083"/>
      <w:bookmarkStart w:id="467" w:name="_Toc178"/>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قاعدة الضمان، و الضابطة الكلّية لما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الضمان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اليد الغير المحقّة، و المباشرة للإتلاف، 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كلماتهم في ضبط الأخيرين و تفسيرهما و ما يفترق به بين السبب و العلّة و الشرط غير محرّرة غالبا، أردنا ضبط قاعدة كلية مستفادة من أدلّة الضمان، ينكشف بها موارد الضمان، و ما هو المراد من الموجبات المذكورة و الفرق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إثبات اليد و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بحثان</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862113_3804643083"/>
      <w:bookmarkStart w:id="469" w:name="_Toc179"/>
      <w:bookmarkEnd w:id="468"/>
      <w:r>
        <w:rPr>
          <w:rtl w:val="true"/>
        </w:rPr>
        <w:t>البحث الأوّل</w:t>
      </w:r>
      <w:r>
        <w:rPr>
          <w:rtl w:val="true"/>
        </w:rPr>
        <w:t xml:space="preserve">: </w:t>
      </w:r>
      <w:r>
        <w:rPr>
          <w:rtl w:val="true"/>
        </w:rPr>
        <w:t>في إثبات اليد الموجب للضمان،</w:t>
      </w:r>
      <w:bookmarkEnd w:id="469"/>
    </w:p>
    <w:p>
      <w:pPr>
        <w:pStyle w:val="Heading4"/>
        <w:numPr>
          <w:ilvl w:val="3"/>
          <w:numId w:val="1"/>
        </w:numPr>
        <w:rPr/>
      </w:pPr>
      <w:bookmarkStart w:id="470" w:name="__RefHeading___Toc3862115_3804643083"/>
      <w:bookmarkStart w:id="471" w:name="_Toc180"/>
      <w:bookmarkEnd w:id="470"/>
      <w:r>
        <w:rPr>
          <w:rtl w:val="true"/>
        </w:rPr>
        <w:t>اشارة</w:t>
      </w:r>
      <w:bookmarkEnd w:id="47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عبارة عن الاستيلاء على مال الغير، عينا أو منفعة، بغير إذن من ذي الحقّ، و لا استحقاق في التصرف فيه، عمدا و عدوانا كان، و هو المسمّى بالغصب، أو جهلا، فلا يشمل ما فيه إذن المالك، من الأمانات المالكية لزوما أو جوازا، بالعقود اللازمة أو الجائزة، كالإقراض و الوكالة و العارية و الوديعة و نحوها، أو إذن الشارع من الأمانات الشرعية، كالملتقط و المأخوذ من الغاصب لإيصاله إلى المالك، و ما ليس فيه استيلاء، كوضع اليد على</w:t>
      </w:r>
    </w:p>
    <w:p>
      <w:pPr>
        <w:pStyle w:val="BookText"/>
        <w:rPr/>
      </w:pPr>
      <w:r>
        <w:rPr>
          <w:rFonts w:ascii="Amiri" w:hAnsi="Amiri" w:eastAsia="Amiri" w:cs="Amiri"/>
          <w:color w:val="111111"/>
          <w:sz w:val="28"/>
          <w:sz w:val="28"/>
          <w:szCs w:val="28"/>
          <w:rtl w:val="true"/>
          <w:lang w:bidi="ar-SA"/>
        </w:rPr>
        <w:t>ثوب لابسه، و العبور عن ملك الغير بدون إذنه، و إن كان آثما، و ما فيه استيلاء على مال نفسه و فيه حق الغير، كالمرهون، أو في غير المال، و إن كان فيه حق الانتفاع لآدمي، كالبضع، و مكان الجلوس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اقتضاء اليد الضمان، بعد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النبويّ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اشتهاره في كتب الأصحاب رواية و عملا، و تلقّيهم بالقبول، و استدلالهم به في موارده من غير نكير، الجابر لضعفه بالإرسال، يكفي عن مئونة البحث عن سنده، بل لا يقصر عن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دلالته كونه متبادرا، سيما بملاحظة فهم العلماء سلفا و خلفا في ضمان عهدة المال، بإرادة ذي اليد من اليد، من باب تسمية الكل باسم جزئه، المناسب للمقام، نظرا إلى كون الأخذ غالبا باليد كتسمية الجاسوس بالعين، و الترجمان باللسان، و بإرادة الضمان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للضرر، فإنّ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العهدة إذا كان متعلّقه مالا، شائع متعارف في محاورة أهل اللسان،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لفلان عشرة دراهم، المتّفق على كونه إقرارا، و حصول الضمان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فلان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فاحتمال كونه إنشاء في إيجاب الردّ أو الحفظ، بتقدير أحدهما، بملاحظة الغاية، خروج عن ظاهر اللفظ، بل 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الصلاة حتى تصلي، إلّا على كونه إخبارا عن الوجوب، و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التقدير المخالف للأصل، بل التقييد بالعلم، إذ لا تكليف مع الجهل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 المراد من الحديث المنساق المتفاهم للأصحاب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العين مضمونة على صاحب اليد ما لم يردّ إلى صاحبه، و معنى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بحيث لو</w:t>
      </w:r>
      <w:bookmarkStart w:id="472" w:name="pg2497_12394"/>
    </w:p>
    <w:p>
      <w:pPr>
        <w:pStyle w:val="BookText"/>
        <w:rPr/>
      </w:pPr>
      <w:bookmarkEnd w:id="472"/>
      <w:r>
        <w:rPr>
          <w:rFonts w:ascii="IRNazanin" w:hAnsi="IRNazanin" w:eastAsia="IRNazanin"/>
          <w:color w:val="111111"/>
          <w:sz w:val="28"/>
          <w:sz w:val="28"/>
          <w:szCs w:val="28"/>
          <w:rtl w:val="true"/>
          <w:lang w:bidi="fa-IR"/>
        </w:rPr>
        <w:t>تلفت لزمه العوض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إطلاقه يشتمل صورتي العلم و الجهل، كما هو معقد الإجماع و إن رجع الجاهل على من غرّه على القاعدة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يقيد بغير الإذن إجماعا</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862117_3804643083"/>
      <w:bookmarkStart w:id="474" w:name="_Toc181"/>
      <w:bookmarkEnd w:id="473"/>
      <w:r>
        <w:rPr>
          <w:rtl w:val="true"/>
        </w:rPr>
        <w:t>تكميل و تفريع</w:t>
      </w:r>
      <w:r>
        <w:rPr>
          <w:rtl w:val="true"/>
        </w:rPr>
        <w:t>:</w:t>
      </w:r>
      <w:bookmarkEnd w:id="474"/>
    </w:p>
    <w:p>
      <w:pPr>
        <w:pStyle w:val="BookText"/>
        <w:rPr/>
      </w:pPr>
      <w:r>
        <w:rPr>
          <w:rFonts w:ascii="Amiri" w:hAnsi="Amiri" w:eastAsia="Amiri" w:cs="Amiri"/>
          <w:color w:val="111111"/>
          <w:sz w:val="28"/>
          <w:sz w:val="28"/>
          <w:szCs w:val="28"/>
          <w:rtl w:val="true"/>
          <w:lang w:bidi="ar-SA"/>
        </w:rPr>
        <w:t>فرّعوا على عموم على اليد، ضمان الكلّ في الأيدي المتعاقبة، سواء علموا جميعا الغصب أم جهلوه، أو بالتفريق، لاشتراك الكلّ في تصرّف مال الغير بغير إذن مالكه، فيدخل في العموم غير أنّ الجاهل غير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المالك يتخير في تضمين من شاء منهم بالعين و المنفعة، أو الجميع بالتقسيط، و لو بالتفاوت، و له تقسيط أكثر من واحد و ترك الباقي، و تضمين بعضهم بالعين و الآخر بالمنفعة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الجاهل منهم بالغصب إذا رجع عليه المالك على من غرّه و سلّطه على العين أو المنفعة و لم يعلمه بالحال، و هكذا الآخر، إلى أن يستقر الضمان على الغاصب العالم، و إن لم تتلف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المالك في الزيادة على من تلفت عنده قبل وصول العين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يد الجاهل الذي تلفت عنده يد ضمان، بل يد أمانة، كالوديعة و الرهن و الوكالة، و إلّا كما في العارية المضمونة، فلا يرجع على غيره، و يستقرّ عليه الضمان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استثنى من رجوع الجاهل الأمين إلى العالم، ما لم يكن الجاهل متلفا، و إلّا فيستقرّ عليه، استنادا إلى أنّ مباشرة الإتلاف أقوى من إثبات اليد العادية، إلّا إذا كان المتلف مغرورا، كما إذا قدمه ضيافة فأكله، حيث إنّه أوهمه أنّه لا تبعة عليه، فلو رجع المالك على الآكل، رجع هو على الغاصب على الأشهر، لتغريره الآكل</w:t>
      </w:r>
    </w:p>
    <w:p>
      <w:pPr>
        <w:pStyle w:val="BookText"/>
        <w:rPr/>
      </w:pPr>
      <w:r>
        <w:rPr>
          <w:rFonts w:ascii="Amiri" w:hAnsi="Amiri" w:eastAsia="Amiri" w:cs="Amiri"/>
          <w:color w:val="111111"/>
          <w:sz w:val="28"/>
          <w:sz w:val="28"/>
          <w:szCs w:val="28"/>
          <w:rtl w:val="true"/>
          <w:lang w:bidi="ar-SA"/>
        </w:rPr>
        <w:t xml:space="preserve">على كون الأكل مجانا لا يتعقبه الضمان، و أقامه </w:t>
      </w:r>
      <w:r>
        <w:rPr>
          <w:rStyle w:val="FootnoteAnchor"/>
          <w:rtl w:val="true"/>
        </w:rPr>
        <w:footnoteReference w:id="941"/>
      </w:r>
      <w:r>
        <w:rPr>
          <w:rFonts w:ascii="Amiri" w:hAnsi="Amiri" w:eastAsia="Amiri" w:cs="Amiri"/>
          <w:color w:val="111111"/>
          <w:sz w:val="28"/>
          <w:sz w:val="28"/>
          <w:szCs w:val="28"/>
          <w:rtl w:val="true"/>
          <w:lang w:bidi="ar-SA"/>
        </w:rPr>
        <w:t>على إتلاف الطعام على كونه ملكه، في احضاره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تغريره في الأمر بذبح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الأحكام اكثرها معقد الإجماع، بل لم ينقل خلاف فيما عدا الأخير، و إن تأمّل بعضهم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أثبتوها بوجوه لا يخلو بعضها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تعدّد الأيدي و رجوع المالك على بعضها عند التلف، على وجوه ثمانية، لأنّه إما يرجع المالك على الثاني الذي تلفت العين عنده، أو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يكونان عالمين، أو جاهلين، أو الثاني عالما و الأوّل جاهلا،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فظاهرهم الاتفاق على استقرار الضمان على من تلفت عنده، إلّا إذا كان جاهلا، فيرجع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المالك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غرّه عالما، إلّا إذا كان هذا الجاهل متلفا للعين من غير 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في تلك الصورة على ما يقتضيه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إن رجع على الثاني، و هما عالمان، لم يرجع الثاني على الأوّل إجماعا، لاشتراكهما في إثبات اليد و العلم بالغصب، فلا يغرم ما غرم للمالك، مع حصول التلف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الأوّل جاهلا و هو عالم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جهلهما، لتساويهما في الجهة المقتضية لتخير المالك في الرجوع على ما شاء منهما، و اختصاص الثاني بحصول التلف في يده، الموجب الانتقال العين إلى البدل في ذمّته قطعا، و عدم استحقاق المالك إلّا بدلا واحدا استوفاه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رجوع الثاني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و مقتضى الأصل براءته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الأوّل عالما و الثاني الغارم جاهلا، فإن كان التلف سماويا و يده أمانة، كالوديعة و الوكالة، دون يد ضمان، الموجبة للرجوع مطلقا، كالعارية المضمونة،</w:t>
      </w:r>
    </w:p>
    <w:p>
      <w:pPr>
        <w:pStyle w:val="BookText"/>
        <w:rPr/>
      </w:pPr>
      <w:r>
        <w:rPr>
          <w:rFonts w:ascii="Amiri" w:hAnsi="Amiri" w:eastAsia="Amiri" w:cs="Amiri"/>
          <w:color w:val="111111"/>
          <w:sz w:val="28"/>
          <w:sz w:val="28"/>
          <w:szCs w:val="28"/>
          <w:rtl w:val="true"/>
          <w:lang w:bidi="ar-SA"/>
        </w:rPr>
        <w:t>يرجع فيما غرم على العالم، لتغريره و سببيته عدوانا لضمانه، إلّا إذا كان الجاهل متلفا غير مغرور، فلا يرجع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اغترّ في إتلافه، كما إذا قدمه ضيافة، فأكله، فيرجع أيضا على الغارّ، على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إتلافه على الأوّل، كان على كون العين لنفسه و ضرره عليه، فالمباشر هنا أقوى، و إن كان جاهلا من اليد العادية،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فإقدامه على الإتلاف لتغرير الغاصب إيّاه على كونه مجانا لا يلحقه به ضرر، كما في إطعام الضيف المغرور بأنّ أكله غير موجب لضرره، فالعهدة على العالم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المالك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جاهلين،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 على الثاني الذي تلفت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الضمان عليه، و إن كان التلف سماويا، و اليد أمانية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 من 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تلف العين عنده بالبدل، بحكم ضمان إثبات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أخذه المالك من الأوّل باعتبار إثبات يده، مجرّد خطاب شرعي، لا ذمّي، إذ لا دليل على شغل ذمم متعدّدة بمال واحد، فحينئذ يرجع المالك على الأوّل بما اشتغلت ذمة الثاني، فيملك بأدائه ما للمالك على الثاني بالمعاوضة القهرية الشرعية، لإمكان المناقشة فيه بأنّ ما في الذمّة عند التلف بدل العين، و لا ينافي وحدته اشتغال ذمّتهما به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تخير المالك في استيفائه عمّن شاء منهما، فإذا أداه أحدهما يسقط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الضمان على الثاني، مع تساويهما في الجهل و إثبات اليد المضمون به و حصول التلف لا عن اختيار، يحتاج إلى الدليل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لاستصحاب الاشتغال في الثاني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الجملة، إلى اليقين بالفراغ عنه، الحاصل بأدائه البدل إلى المالك، أو إلى من أدّي إليه، بخلاف الأوّل، لعدم العلم باشتغاله أوّلا، و احتمال كون ما أداه إلى المالك من باب الخطاب الشرعي لا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ذمّة الثاني بالبدل المعلوم أوّلا، إنّما هو للمالك، و هو فرع بقاء حقّه، و قد ارتفع باستيفائه من الأوّل، فلا يجري الاستصحاب، لتغير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الحق أوّلا على الثاني مردّد بين كونه المالك خاصة، أو هو و من في حكمه،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عند أدائه للمالك، فالشغل المعلوم أوّلا مجمل بين أحد الاحتمالين، فهو من قبيل ما إذا تردّد صاحب الحق على زيد بين كونه عمروا مطلقا، أو بكرا مع فقدانه، فلا يحصل يقين الفراغ له بسقوط حق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هذا الاستصحاب، استصحاب عدم اشتغال ذمّته للأوّل قبل رجوع المالك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بالمزيلية و السببية، و المزالية و الكاشفية، فإنّ بقاء الشغل المعلوم مجملا للثاني، سبب لتعلّق وجوب الأداء عليه على الأوّل، عند استيفاء المالك منه، و انتقال الحقّ المشتغل به له، و لا هكذا عدم شغل الأوّل قبل استيفاء المالك، فإنّه ليس سببا لزوال الشغل المعلوم الإجمالي، بل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السبب مقدم على استصحاب الكاشف،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إجراء هذا الاستصحاب في حق الأوّل الذي لم يتلف العين عنده، لعدم العلم باشتغال ذمّته بالبدل عند تلفها عند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كونه مخاطبا بالخطاب الشرعي، متعبّدا بالأداء إلى المالك عند مطالبته عوض العين، بإثبات يده عليه، فلا يمكن استصحاب الشغل المجمل في حقّه، بخلاف الثاني المعلوم على كل تقدير اشتغال ذمّته بالبدل بعينه أو بالبدلية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ثبت جواز رجوع الأوّل على الثاني فيما اغترم، في صورتي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الأوّل و علم الثاني، و علمهما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علم الأوّل و جهل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نفي الضرر عنه، لتغريره العالم في إثبات اليد جواز رجوعه فيما اغترم على الأوّل العالم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ينتقض استصحاب الاشتغال في الثاني</w:t>
      </w:r>
      <w:r>
        <w:rPr>
          <w:rFonts w:eastAsia="Amiri" w:cs="Amiri" w:ascii="Amiri" w:hAnsi="Amiri"/>
          <w:color w:val="111111"/>
          <w:sz w:val="28"/>
          <w:szCs w:val="28"/>
          <w:rtl w:val="true"/>
          <w:lang w:bidi="ar-SA"/>
        </w:rPr>
        <w:t>.</w:t>
      </w:r>
      <w:bookmarkStart w:id="475" w:name="pg2497_12402"/>
    </w:p>
    <w:p>
      <w:pPr>
        <w:pStyle w:val="Heading3"/>
        <w:numPr>
          <w:ilvl w:val="2"/>
          <w:numId w:val="1"/>
        </w:numPr>
        <w:rPr/>
      </w:pPr>
      <w:bookmarkStart w:id="476" w:name="__RefHeading___Toc3862119_3804643083"/>
      <w:bookmarkStart w:id="477" w:name="_Toc182"/>
      <w:bookmarkEnd w:id="475"/>
      <w:bookmarkEnd w:id="476"/>
      <w:r>
        <w:rPr>
          <w:rtl w:val="true"/>
        </w:rPr>
        <w:t>البحث الثاني</w:t>
      </w:r>
      <w:r>
        <w:rPr>
          <w:rtl w:val="true"/>
        </w:rPr>
        <w:t xml:space="preserve">: </w:t>
      </w:r>
      <w:r>
        <w:rPr>
          <w:rtl w:val="true"/>
        </w:rPr>
        <w:t>في المباشرة و التسبيب،</w:t>
      </w:r>
      <w:bookmarkEnd w:id="477"/>
    </w:p>
    <w:p>
      <w:pPr>
        <w:pStyle w:val="Heading4"/>
        <w:numPr>
          <w:ilvl w:val="3"/>
          <w:numId w:val="1"/>
        </w:numPr>
        <w:rPr/>
      </w:pPr>
      <w:bookmarkStart w:id="478" w:name="__RefHeading___Toc3862121_3804643083"/>
      <w:bookmarkStart w:id="479" w:name="_Toc183"/>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فيما له مدخل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الضمان، عموما و خصوصا، ظهورا و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نبيّن منها قواعد الضمان، فيما ذكروه من العلّة و السبب و الشرط، عدا ما يختصّ بموارد خاصّة، مثل الأمانة عند التعدّي عن الإذن أو التفريط و المقبوض بالعقد الفاسد، و نحوهما، مما هو خارج عما نحن بصدده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الأدلّة كثيرة،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بل الضرورة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نفي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رجوع المغرور على من غرّه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ضمان إتلاف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تسبيب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النصوص المستفيضة في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السكوني </w:t>
      </w:r>
      <w:r>
        <w:rPr>
          <w:rStyle w:val="FootnoteAnchor"/>
          <w:rtl w:val="true"/>
        </w:rPr>
        <w:footnoteReference w:id="942"/>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ميزابا أو كنيفا، أو أوتد وتدا، أو أوثق دابّة، أو حضر شيئا في طريق المسلمين، فأصاب فعطب،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الحلبي </w:t>
      </w:r>
      <w:r>
        <w:rPr>
          <w:rStyle w:val="FootnoteAnchor"/>
          <w:rtl w:val="true"/>
        </w:rPr>
        <w:footnoteReference w:id="943"/>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الشي‌ء يوضع على الطريق، فتمرّ به الدابّة، فتنفر بصاحبها، فتعقره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الصباح الكناني </w:t>
      </w:r>
      <w:r>
        <w:rPr>
          <w:rStyle w:val="FootnoteAnchor"/>
          <w:rtl w:val="true"/>
        </w:rPr>
        <w:footnoteReference w:id="944"/>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زرارة </w:t>
      </w:r>
      <w:r>
        <w:rPr>
          <w:rStyle w:val="FootnoteAnchor"/>
          <w:rtl w:val="true"/>
        </w:rPr>
        <w:footnoteReference w:id="945"/>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حفر بئرا في ملكه، فمرّ عليها رجل، فوقع فيها،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الضمان، لأن كلّ من حفر بئرا في غير ملكه كان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سماعة </w:t>
      </w:r>
      <w:r>
        <w:rPr>
          <w:rStyle w:val="FootnoteAnchor"/>
          <w:rtl w:val="true"/>
        </w:rPr>
        <w:footnoteReference w:id="946"/>
      </w:r>
      <w:r>
        <w:rPr>
          <w:rFonts w:ascii="Amiri" w:hAnsi="Amiri" w:eastAsia="Amiri" w:cs="Amiri"/>
          <w:color w:val="111111"/>
          <w:sz w:val="28"/>
          <w:sz w:val="28"/>
          <w:szCs w:val="28"/>
          <w:rtl w:val="true"/>
          <w:lang w:bidi="ar-SA"/>
        </w:rPr>
        <w:t>عنه عليه السّلام، عن الرجل يحفر البئر في داره،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حفر في داره و ملكه ليس عليه الضمان، و ما حفر في الطريق أو في غير ملكه فهو ضامن لما يسقط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كالمعتبرة المستفيضة الدالّة على غرامة الشاهد إذا رجع عن شهادته، بعد ما يغرم بها للأوّل قدر ما أتلفه من مال الرجل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أنّه يقتل إذا قتل بشهادته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غرامة دية اليد لو شهد عليه بالسرقة و رجع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غرامة المهر إذا شهد بطلاق زوجته، ثم تزوّجت أو يموت زوجها، ثم جاء زوجها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المفهوم عرفا، بل إجماعا، عدم خصوصية ما في تلك النصوص من جزئيات الأمثلة، في الضمان، و إن ذكرها على سبيل المثال و القياس و الحاجة، ككونه في الطريق، أو حفر البئر، أو رجوع الشاهد، و غيرها، بل يتعدّى منها إلى ما هو من سنخها في سببية الإضرار على الوجه الذي اعتبر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تلك الأدلّة و النصوص و غيرها، مما صرّح فيها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حصوله للعين أو المنفعة بأحد الوجوه الثلاثة، بشرائطها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علّة التلف، أو إيجاد سببه، أو إيجاد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بمباشرة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بالعلّة ما هو المؤثر في التلف، و هو أثره، فهو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العلّة بلا واسطة، كقتل الحيوان بالسيف، و إهراق اللبن، و خرق الثوب، و سكنى الدار، و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علّة علّة التلف، بأن كان فعله علّة مؤثرة له، كالجرح المولّد للمرض المولّد للموت، و إيجاد السمّ في الحلق، و الصياح على الطفل، و سدّ مجرى النفس، و الرمي بالسهم، و إغراء الكلب العقور، و أمثال ذلك، فإنّه يصدق على القسمين المباشرة عرفا، و لا يصحّ سلب الإهلاك عنه، باعتبار أنّ مناط الصدق كون التلف أثر فعل المباشر أو أثر أثره، و عدم مشاركة غير فعله أو أثر فعله في التأثير، و إن توقف التأثير على شرط، كحرارة الهواء في الجرح، و غفلة الطفل في الصياح عليه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الضمان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بين المسلمين، أن من باشر الإتلاف عمدا أو خطاء، بشرط صدور الفعل عنه عن قصد، كما في الأمثلة المذكورة، ضمن، و إن لم يكن هناك غصب و استقلال يد مطلقا و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إطلاق أكثر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الضرر المقتضية لنفيه عن المالك شرعا، المثبت بالإجماع المركّب لضمان المباشر، دون نفيه عن المباشر، لصدور الفعل عن نفسه، و لو مع جهله، لكونه عند الجهل بالنسبة إليه كالآفة السماوية الغير المنفية ضررها، سيما إذا استفاد بالإتلاف، كالأكل و الاستعمال، أو</w:t>
      </w:r>
    </w:p>
    <w:p>
      <w:pPr>
        <w:pStyle w:val="BookText"/>
        <w:rPr/>
      </w:pPr>
      <w:r>
        <w:rPr>
          <w:rFonts w:ascii="Amiri" w:hAnsi="Amiri" w:eastAsia="Amiri" w:cs="Amiri"/>
          <w:color w:val="111111"/>
          <w:sz w:val="28"/>
          <w:sz w:val="28"/>
          <w:szCs w:val="28"/>
          <w:rtl w:val="true"/>
          <w:lang w:bidi="ar-SA"/>
        </w:rPr>
        <w:t>قدم عليه على كونه ضررا عليه، زعما له أنّه من مال نفسه، أو مأذون فيه من مالكه، أو عدم مالكيته،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سبب التلف، و المراد به ما يستلزم وجود علّة التلف عقيبه عادة، لا بعليته، بل بعلّة أخرى، فهو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مباشرة غيره، كإلقاء الثوب في النار، و تلهيب النار قرب متاع الغير، في الريح العاصف المهيج للإحراق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رفع المانع عن العلّة الموجودة أو المتوقعة، كحبس الحيوان عن الطعام و الشراب، و القائه في المسبعة مع عجزه عن الخلاص، و فتح باب القفس عن الطير، و فتح رأس وكاء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بمداخلة مباشرة الغير، بحيث كان السبب له أثر في توليد مباشرته، كإقدام الطعام المسموم عند الضيف الجاهل، و الإكراه على التلف، و شهادة الزور عند القاضي، و تغطية رأس البئر في معبر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أكثر ما تقدم من الأدلّة، ضمان فاعل السبب في القسمين، لصحّة إسناد التلف عرفا إلى الفاعل، مع جهل المباشر، باعتبار كونه مستندا إلى ما لا ينفك عادة عن فعله في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أتلف شيئا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يثبت القود في النفس عند العمد، و يعقل العاقلة عند الخطاء، فإنّ الجهل لا يقدح الضمان في حكم الوضع، إذا كان التلف مستندا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أكثر النصوص السابقة بمثل الطريق و حفر البئر، قد عرفت كونه منساقا 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يتمّ بعدم القول بالفرق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نفي الضرر لا يقتضي عدم ضمان الجاهل، بل لضمانه حجّة أخرى، لما أشرنا</w:t>
      </w:r>
    </w:p>
    <w:p>
      <w:pPr>
        <w:pStyle w:val="BookText"/>
        <w:rPr/>
      </w:pPr>
      <w:r>
        <w:rPr>
          <w:rFonts w:ascii="Amiri" w:hAnsi="Amiri" w:eastAsia="Amiri" w:cs="Amiri"/>
          <w:color w:val="111111"/>
          <w:sz w:val="28"/>
          <w:sz w:val="28"/>
          <w:szCs w:val="28"/>
          <w:rtl w:val="true"/>
          <w:lang w:bidi="ar-SA"/>
        </w:rPr>
        <w:t>آنفا، و فصّلنا سابقا، من أنّ الضرر المسبب عن فعل الشخص نفسه غير منفيّ عنه في الشرع، و لازمه بالإجماع المركّب ثبوت الغرامة، لضرر المالك المنفيّ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القسم الثاني، الذي حصل التلف منه بفعل المباشر الجاهل، إذا كان فاعل السبب أيضا جاهلا، كإحضاره الطعام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الضيف الجاهل،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الفاعل، لعدم حصول التغرير منه، و عدم مباشرته للإتلاف، فالضرر يلحق بالمباشر المتلف، مثل ما تقدم في الأيدي المتعاقبة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تساوي نسبتهما إلى عمومات نفي الضرر، فيخرج المفروض عنها، لاستلزامه عدمه، فالمرجع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إذا قدم الضيف مال نفسه مع جهلهما، بل هو أولى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المقدّم حينئذ، دون الضيف، فلا يبعد الضمان، لقوة السبب، إلّا إذا غلب على الظن كونه بحيث يأكله، و لو مع علمه بأنّه من نفسه، ففيه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الشرط، و هو ما لولاه لما حصل التلف، و لكن لم يكن له تأثير و لا استلزام له، فالمعروف بينهم كونه متعقّبا للضمان بالمال دون النفس، إذا كان عاديا في فعله، كحفر البئر في الطريق المسلوك أو ملك الغير، و وضع السكّين فيه، و عدمه، إذا كان سائغا، كحفره في ملكه، أو وضع شي‌ء في الطريق، مما لا يضرّ غالبا، فاتفق أحيانا ضرره، كطرح قشر فاكهة فيه، فحصل به العثار لأحد، لما تقدم من الأخبار المقتضي للعموم، بتقريب كون الخصوصية من باب التمثيل، كما ذكره غير واحد، و لعدم القائل بالفصل، إلّا إذا كان الواقع فيه عالما، أو دفعه فيه غيره، لكون المباشر أقوى إجماعا، و لأصل البراءة و إباحة التصرف، فلا يتعقبه الضمان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المتداول في كتبهم، التمثيل بحفر البئر، لتفصيل الضمان له في غير الملك</w:t>
      </w:r>
    </w:p>
    <w:p>
      <w:pPr>
        <w:pStyle w:val="BookText"/>
        <w:rPr/>
      </w:pPr>
      <w:r>
        <w:rPr>
          <w:rFonts w:ascii="Amiri" w:hAnsi="Amiri" w:eastAsia="Amiri" w:cs="Amiri"/>
          <w:color w:val="111111"/>
          <w:sz w:val="28"/>
          <w:sz w:val="28"/>
          <w:szCs w:val="28"/>
          <w:rtl w:val="true"/>
          <w:lang w:bidi="ar-SA"/>
        </w:rPr>
        <w:t>و عدمه في الملك مطابقا لإطلاق بعض ما ذكر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مرادهم من نفي الضمان في الملك، إنّما هو في غير ما علم كونه سببا لتلف النفس المعصومة، و إلّا فيتّجه الضمان في النفس فضلا عن المال، و لعله لإيجاده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العلّة الذي تقدم أنّ حكمه الضمان، كما إذا حفر البئر في معبر داره، و دخل المأذون، فوقع فيه، لكونه أعمى، أو لكون الموضع مظلما، أو لتغطية رأس البئر في دهليز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نسب الضمان فيه إلى جماعة من المتأخرين، الظاهر في اتفاق غيرهم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الناقل ما كان من شأنه حصول التلف واقعا في مظنته لا مع العلم به، لأنّ إذنه في الدخول حينئذ، و لو لعموم العابرين، بل و لو بشاهد الحال، و عدم اخبارهم بالكيفية، من باب التغرير القوليّ أو الفعليّ الموجب للضمان، كما مرّت الإشارة إليه، الصادق عليه الظلم المحرّم، بل الظاهر انعقاد الإجماع عليه، و يكون من قبيل الصياح على الطفل الغافل، و تقديم الطعام المسموم عند الضيف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وقع فيه الخلاف في الضمان، في تأجيج النار، أو ارسال الماء في ملكه، المؤدّي إلى ضرر الجار، و لو مع العلم بالضرر، فهو فيما تضرّر المالك بترك التصرف أيضا، و إلّا فلا خلاف في الضمان مع عدمه و علمه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يعارض في مثله قاعدة نفي الضرر بقاعدة التسليط على المال، و حقّقنا فيما تقدم تقدّم الأولى على الثانية، و كونها واردة عليها بالسببية الطارية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تضرّر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التصرف، تعارض الضرران، و مضى تفصيله في محلّه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الظن الغالب المعتبر عادة بالعلم فيما ذكر، فلو وضع الطعام</w:t>
      </w:r>
    </w:p>
    <w:p>
      <w:pPr>
        <w:pStyle w:val="BookText"/>
        <w:rPr/>
      </w:pPr>
      <w:r>
        <w:rPr>
          <w:rFonts w:ascii="Amiri" w:hAnsi="Amiri" w:eastAsia="Amiri" w:cs="Amiri"/>
          <w:color w:val="111111"/>
          <w:sz w:val="28"/>
          <w:sz w:val="28"/>
          <w:szCs w:val="28"/>
          <w:rtl w:val="true"/>
          <w:lang w:bidi="ar-SA"/>
        </w:rPr>
        <w:t>المسموم في مكان مباح، فيه مظنة أكل الجاهل، لم يبعد الضمان، نظرا إلى حصول التغرير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بذلك فعل ما يحتمل فيه ذلك قصدا للتلف؟</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فعلا سائغا، فلا يتعقّبه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قصده الهلاك، فيشبه المباشرة بآلة غير قتالة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فصّلناه من مفاد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موجبات الضمان على الضابطة الكلّية، في غير إثبات اليد الغير المحقة،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علّة التلف بلا واسطة، أو بواسطة معلولها، و هذا يسمّى بقسميه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ما يستلزم علّة التلف عادة من غير علّة مطلقا، أو بتأثيره في مباشرة غيره المختار في فعله لجهله، و هذا بقسميه يسمّى بالتسبيب بالمعنى الأخصّ و يسمّى الملزوم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القسمين يصحّ إضافة التلف عرفا إلى المباشر أو ذي السبب، و لو اتّساعا شائعا في الثاني، و لذا يوجبان القود عمدا في النفس و الغرامة في المال مطلقا،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ما يتوقف تأثير علّة التلف على وجوده من غير تأثير و لا استلزام، و يسمّى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يوجب الضمان المالي، إذا كان عاديا مطلقا، نفسا كان التالف أو مالا، و لا يوجب الضمان مطلقا، إن لم يكن عاديا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ترى كلماتهم غالبا مختلفة في تعريف السبب، و في الفرق بينه و بين الشرط، حتى من مصنّف واحد في كتاب واحد، كما وقع للعلّامة، في القواعد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تفسيره السبب في كتاب الغصب بما يعمّ القسمين الأخيرين،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إيجاد ما يوجد التلف عنده لعلّة أخرى، إذا كان مما يقصد به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بحفر البئر في الطريق، و فتح رأس الظرف، و الإكراه على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مراده مما يقصد به التلف، ما كان من شأنه و محتملا له </w:t>
      </w:r>
      <w:r>
        <w:rPr>
          <w:rStyle w:val="FootnoteAnchor"/>
          <w:rtl w:val="true"/>
        </w:rPr>
        <w:footnoteReference w:id="952"/>
      </w:r>
      <w:r>
        <w:rPr>
          <w:rFonts w:ascii="Amiri" w:hAnsi="Amiri" w:eastAsia="Amiri" w:cs="Amiri"/>
          <w:color w:val="111111"/>
          <w:sz w:val="28"/>
          <w:sz w:val="28"/>
          <w:szCs w:val="28"/>
          <w:rtl w:val="true"/>
          <w:lang w:bidi="ar-SA"/>
        </w:rPr>
        <w:t>عادة، كما فهمه من تأخّر عنه، احترازا عما لا يحتمل كذلك، كوضع حجر صغير، أو طرح قشر فاكهة في الطريق، فاتفق العثار به لأحد أحيانا، فإنّه لا 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نشأ الخلاف في الصياح على العاقل البالغ في حصول الضمان به و عدمه، نظرا إلى عدم توقع الإتلاف منه، بخلاف الطفل أو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قصاص القواعد </w:t>
      </w:r>
      <w:r>
        <w:rPr>
          <w:rStyle w:val="FootnoteAnchor"/>
          <w:rtl w:val="true"/>
        </w:rPr>
        <w:footnoteReference w:id="953"/>
      </w:r>
      <w:r>
        <w:rPr>
          <w:rFonts w:ascii="Amiri" w:hAnsi="Amiri" w:eastAsia="Amiri" w:cs="Amiri"/>
          <w:color w:val="111111"/>
          <w:sz w:val="28"/>
          <w:sz w:val="28"/>
          <w:szCs w:val="28"/>
          <w:rtl w:val="true"/>
          <w:lang w:bidi="ar-SA"/>
        </w:rPr>
        <w:t>خصّه بالقسم الثاني، حيث مثله بعد حكمه بثبوت القصاص بإتلاف النفس المعصومة ظلما بالمباشرة، أو التسبيب بالاختناق بالحبل، و سدّ الفم عن جريان النفس، و الرمي بالحجارة، و الحبس عن الماء و الطعام، و تقديم الطعام المسموم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الأسباب المهلكة ثلاثة الشرط، و العلّة، 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ما يتوقّف تأثير المؤثر عليه، و لا مدخل له في العلّة، كحفر البئر، و لا قصاص فيه، بل الدية و العلّة ما أسند إليه الفعل، كالجراحات المولدة للسراية المولدة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ما له مدخل في التأثير في الجملة، كالعلّة، و يشبه الشرط في عدمه، و له مراتب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الإكراه بالقتل، و شهادة الزور في القتل، و إطعام المسموم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تخصيصه هنا مراتب السبب بكل ما يتوسّط بمباشرة الغير لا وجه 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فوجه اختلاف تفسيريه للسبب في كتاب القصاص و غيره، لعلّه</w:t>
      </w:r>
    </w:p>
    <w:p>
      <w:pPr>
        <w:pStyle w:val="BookText"/>
        <w:rPr/>
      </w:pPr>
      <w:r>
        <w:rPr>
          <w:rFonts w:ascii="Amiri" w:hAnsi="Amiri" w:eastAsia="Amiri" w:cs="Amiri"/>
          <w:color w:val="111111"/>
          <w:sz w:val="28"/>
          <w:sz w:val="28"/>
          <w:szCs w:val="28"/>
          <w:rtl w:val="true"/>
          <w:lang w:bidi="ar-SA"/>
        </w:rPr>
        <w:t>ملاحظة اتحاده مع الشرط العادي في حكم الضمان في الغصب و الديات، فسمّاهما بعنوان واحد، بخلاف ضمان النفس في القصاص، فأفرده بتسمية السبب، في مقابل الشرط الذي لا يتعقّبه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w:t>
      </w:r>
      <w:r>
        <w:rPr>
          <w:rStyle w:val="FootnoteAnchor"/>
          <w:rtl w:val="true"/>
        </w:rPr>
        <w:footnoteReference w:id="954"/>
      </w:r>
      <w:r>
        <w:rPr>
          <w:rFonts w:ascii="Amiri" w:hAnsi="Amiri" w:eastAsia="Amiri" w:cs="Amiri"/>
          <w:color w:val="111111"/>
          <w:sz w:val="28"/>
          <w:sz w:val="28"/>
          <w:szCs w:val="28"/>
          <w:rtl w:val="true"/>
          <w:lang w:bidi="ar-SA"/>
        </w:rPr>
        <w:t>، عن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فعل ما يحصل الهلاك عنده لعلّة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 لما أثرت العلة، و جعله أولى، و هو يعمّ ظاهر السبب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غاية المراد </w:t>
      </w:r>
      <w:r>
        <w:rPr>
          <w:rStyle w:val="FootnoteAnchor"/>
          <w:rtl w:val="true"/>
        </w:rPr>
        <w:footnoteReference w:id="955"/>
      </w:r>
      <w:r>
        <w:rPr>
          <w:rFonts w:ascii="Amiri" w:hAnsi="Amiri" w:eastAsia="Amiri" w:cs="Amiri"/>
          <w:color w:val="111111"/>
          <w:sz w:val="28"/>
          <w:sz w:val="28"/>
          <w:szCs w:val="28"/>
          <w:rtl w:val="true"/>
          <w:lang w:bidi="ar-SA"/>
        </w:rPr>
        <w:t>، عن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إيجاد ملزوم العلة قاصدا لتوقع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القيد الأخير غير منطبق على شي‌ء من إطلاقاته، إلّا أن يكون مراده السبب في قصاص النفس، أو لعدم تخلّف العلم بالملازمة عن توقع العلة، فيختصّ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البرهان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إيجاد ملزوم العلة المتلفة، و هو ظاهر فيما تقدّم في مقابل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ما لا يضاف إليه الهلاك، و لا يكون من شأنه أن يقصد بتحصيله ما يضاف إليه، و لا يمكن تطبيقه بما مرّ من القسم الثاني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أوضح منه ما فسره الشهيد في شرح الإرشاد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إيجاد ملزوم العلّة الذي شأنه أن يقصد معه توقع تلك العلة</w:t>
      </w:r>
      <w:r>
        <w:rPr>
          <w:rFonts w:eastAsia="Amiri" w:cs="Amiri" w:ascii="Amiri" w:hAnsi="Amiri"/>
          <w:color w:val="111111"/>
          <w:sz w:val="28"/>
          <w:szCs w:val="28"/>
          <w:rtl w:val="true"/>
          <w:lang w:bidi="ar-SA"/>
        </w:rPr>
        <w:t>.</w:t>
      </w:r>
      <w:bookmarkStart w:id="480" w:name="pg2497_12422"/>
    </w:p>
    <w:p>
      <w:pPr>
        <w:pStyle w:val="Heading4"/>
        <w:numPr>
          <w:ilvl w:val="3"/>
          <w:numId w:val="1"/>
        </w:numPr>
        <w:rPr/>
      </w:pPr>
      <w:bookmarkStart w:id="481" w:name="__RefHeading___Toc3862123_3804643083"/>
      <w:bookmarkStart w:id="482" w:name="_Toc184"/>
      <w:bookmarkEnd w:id="480"/>
      <w:bookmarkEnd w:id="481"/>
      <w:r>
        <w:rPr>
          <w:rtl w:val="true"/>
        </w:rPr>
        <w:t>تتميم</w:t>
      </w:r>
      <w:r>
        <w:rPr>
          <w:rtl w:val="true"/>
        </w:rPr>
        <w:t xml:space="preserve">: </w:t>
      </w:r>
      <w:r>
        <w:rPr>
          <w:rtl w:val="true"/>
        </w:rPr>
        <w:t>اختلفوا في الضمان في موارد من باب الشروط ذكروا أمثلتها</w:t>
      </w:r>
      <w:r>
        <w:rPr>
          <w:rtl w:val="true"/>
        </w:rPr>
        <w:t>.</w:t>
      </w:r>
      <w:bookmarkEnd w:id="482"/>
    </w:p>
    <w:p>
      <w:pPr>
        <w:pStyle w:val="BookText"/>
        <w:rPr/>
      </w:pPr>
      <w:r>
        <w:rPr>
          <w:rFonts w:ascii="Amiri" w:hAnsi="Amiri" w:eastAsia="Amiri" w:cs="Amiri"/>
          <w:color w:val="111111"/>
          <w:sz w:val="28"/>
          <w:sz w:val="28"/>
          <w:szCs w:val="28"/>
          <w:rtl w:val="true"/>
          <w:lang w:bidi="ar-SA"/>
        </w:rPr>
        <w:t>و منشأ الخلاف 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الباعث للضرر تصرف المالك في ملكه، كما في تأجيج النار و إرسال الماء فيه الموجبين لضرر الجار، و فتح باب داره الموجب لخروج دابة الغير، و أمثال ذلك، نظرا إلى تعارض 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التسلط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يذهب عليك عدم منافاة هذا الخلاف لاتفاقهم على عدم الضمان في حفر البئر في ملكه، لأنّ السبب القريب لضرر الوقوع في البئر فعل المتضرّر نفسه، و هنا نفس الشرط، بل لا يبعد كون الضرر هنا من المباشرة أو السارية، و لذا لو علم ضرر الجار مع كون التصرف زائدا عن الحاجة حصل الضمان قولا واحدا، إمّا من جهة كونه من باب مباشرة الإتلاف، كما ذكر أو كونه من إيجاد السبب المستلزم لعلة التلف، و أيّهما كان يوجب الضمان بلا خلاف معروف، كما عرفت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عدم العلم بضرر الجار، أو تضرّر المالك بترك التصرف، فقد اختلفوا فيهما، باعتبار تعارض القاعدتين، و قد تقدّم منا مرارا تقدّم قاعدة الضرر، و كونها واردة على قاعدة التسليط، و نشير إلى وجهه هنا أيضا، و هو ظهور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منساقا في مقام بيان السلطنة المالكية بالأصالة، لا تشريع الآثار المترتبة على الملك، من اللوازم الشرعية، و عدم احتماله للعوارض اللاحقه المانعة و الأسباب الطارية الناسخة لآثاره، و قاعدة الضرر في بيان السبب العارض المزيل لبعض الآثار و التصرفات الأصلية، نظير التخمة الموجبة لحرمة أكل مال نفسه، و تنجّس طعامه المزيل لحلّيته، مضافا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الإباحة الشرعية و هي لا تنافي الضمان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ضرر الجار، مع العلم أو غلبة الظنّ بضرر نفسه في ترك التصرف، تعارض الضرران، و قد تقدم في بيان القاعدة تفصيل حكمهما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السبب للمباشرة، فاختلفوا في بعض الموارد فيما هو الأقوى منها، كفكّ القيد عن العبد الآبق، فإنه لا خلاف ظاهرا في الضمان في حلّ القيد عن العبد المجنون، لأنه في حكم حلّه عن فرس فشرد، و فتح قفس عن طائر فطار، و لضعف المباشر لعدم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w:t>
      </w:r>
      <w:r>
        <w:rPr>
          <w:rStyle w:val="FootnoteAnchor"/>
          <w:rtl w:val="true"/>
        </w:rPr>
        <w:footnoteReference w:id="959"/>
      </w:r>
      <w:r>
        <w:rPr>
          <w:rFonts w:ascii="Amiri" w:hAnsi="Amiri" w:eastAsia="Amiri" w:cs="Amiri"/>
          <w:color w:val="111111"/>
          <w:sz w:val="28"/>
          <w:sz w:val="28"/>
          <w:szCs w:val="28"/>
          <w:rtl w:val="true"/>
          <w:lang w:bidi="ar-SA"/>
        </w:rPr>
        <w:t>و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العاقل إذا فكّ و أبق، فالمعروف بينهم عدم الضمان، لقوة المباشر بالعقل و الاختيار، و استناد التلف إلى فعل العبد باختيار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المال الفائت عن المالك هنا هو العبد نفسه و اختياره الفرار مسبّب عن حلّ قيده، فيكون مضمونا على فاعله المولد لإرادته، كإحضار الطعام المسموم عند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ذلك بما إذا كان العبد مما يتوقع منه ذلك، و لو احتمالا يعتني به، كالعبد الآبق، كما أفتى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 والدي بعد نقله عن غيره أيضا، نافيا لشمول الإجماع المحكيّ عنهم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يتوقّع منه ذلك، و اتفق اباقه أحيانا بعد الفك، فهو من الشرط الذي لا يوجب الضمان، و لو عصى، لعدم إذن المالك،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القسم منظور القوم في نفي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استشكل في كونه مما يتوقع منه الضرر، فيوجب الضمان أم لا؟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فتح رأس ظرف لا يضيع ما فيه بفتحه متى كان في محلّه، فاتّفق سقوطه بهبوب ريح أو هبوط طائر، فضاع ما فيه، فاختلف في ضمان الفاتح، و لعل الأجود عدمه، كما اختاره الفاضل، لعدم كونه ممّا يتوقع منه و يقصد به التلف، إلّا إذا كان</w:t>
      </w:r>
    </w:p>
    <w:p>
      <w:pPr>
        <w:pStyle w:val="BookText"/>
        <w:rPr/>
      </w:pPr>
      <w:r>
        <w:rPr>
          <w:rFonts w:ascii="Amiri" w:hAnsi="Amiri" w:eastAsia="Amiri" w:cs="Amiri"/>
          <w:color w:val="111111"/>
          <w:sz w:val="28"/>
          <w:sz w:val="28"/>
          <w:szCs w:val="28"/>
          <w:rtl w:val="true"/>
          <w:lang w:bidi="ar-SA"/>
        </w:rPr>
        <w:t>في مظنة هبوب الريح و نحوه،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الضرر بمنع المالك عن ضبط ماله، كمنعه عن حفظ دابّته المرسلة، و القعود على بساطه، و حفظ ماشيته، فتلفت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ضمانه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المحكيّ عن الأكثر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Style w:val="FootnoteAnchor"/>
          <w:rtl w:val="true"/>
        </w:rPr>
        <w:footnoteReference w:id="960"/>
      </w:r>
      <w:r>
        <w:rPr>
          <w:rFonts w:ascii="Amiri" w:hAnsi="Amiri" w:eastAsia="Amiri" w:cs="Amiri"/>
          <w:color w:val="111111"/>
          <w:sz w:val="28"/>
          <w:sz w:val="28"/>
          <w:szCs w:val="28"/>
          <w:rtl w:val="true"/>
          <w:lang w:bidi="ar-SA"/>
        </w:rPr>
        <w:t xml:space="preserve">و الكفاية </w:t>
      </w:r>
      <w:r>
        <w:rPr>
          <w:rStyle w:val="FootnoteAnchor"/>
          <w:rtl w:val="true"/>
        </w:rPr>
        <w:footnoteReference w:id="96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إذا كان المنع سببا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التفصيل المتقدم، فإنّ المنع إن كان مما يتوقّع منه السببية بملاحظة المكان و الوقت يضمن، و إلّا فلا، فإذا منعه عن التوقف في داره في ليلة مثلا، فاتّفق لقيامه وقوع النار على بساطه و احتراقه لا يضمن، لأنّه من الشروط النادرة التي لا يستند الضرر و الإضرار إلى منعه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المالك حفظ حيوانه عمّا يجنيه، كما إذا أكلت بهيمته حشيش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التذكرة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صاحبها معها ضمن الحشيش مطلقا، و إن لم يكن معها ضمن إن كان ليلا و لم يضمن إن كان نهارا، لأنّ على الصاحب حفظها في الليل، فإذا لم يحفظ يضمن ما يجنيه، و على صاحب الزرع حفظه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الضمان بصدق الإضرار عرفا، كما سمعت، و هو منوط بصدق التقصير في الحفظ فيما تعارف فيه، المختلف باختلاف الأحوال و الأزمان و البلدان و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يتأتّى الكلام في وجوب الحفظ المتعارف على المالك، و عدم التقصير فيه، و لعله إجماعي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الفائت القيمة السوقية، كما إذا حبس إنسانا عن شراء، فنقصت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 الفائت ليس بمال، بل اكتسابه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الشهيد، في بعض فتاويه، و لا يخلو عن وجه، إذا كان حصول النقص متوقفا في العادة على الحبس، لإمكان المناقشة في ما 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المفروض منفعة فائتة، متعلقة بالمال عرفا، و الحبس سبب لفواته، فيوجب الضمان دفعا للضرر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زيادة القيمة من أوصاف العين، و إن لم تكن عينية، و هي مرغوبيته في العرف و العادة، و المضمون عليه الفائت أعمّ من العين و الوصف، و ينبغي ملاحظة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483" w:name="pg2497_12431"/>
    </w:p>
    <w:p>
      <w:pPr>
        <w:pStyle w:val="Heading2"/>
        <w:numPr>
          <w:ilvl w:val="1"/>
          <w:numId w:val="1"/>
        </w:numPr>
        <w:rPr/>
      </w:pPr>
      <w:bookmarkStart w:id="484" w:name="__RefHeading___Toc3862125_3804643083"/>
      <w:bookmarkStart w:id="485" w:name="_Toc185"/>
      <w:bookmarkEnd w:id="483"/>
      <w:bookmarkEnd w:id="484"/>
      <w:r>
        <w:rPr>
          <w:rtl w:val="true"/>
        </w:rPr>
        <w:t>[</w:t>
      </w:r>
      <w:r>
        <w:rPr>
          <w:rtl w:val="true"/>
        </w:rPr>
        <w:t>المشرق الخامس و عشرون</w:t>
      </w:r>
      <w:r>
        <w:rPr>
          <w:rtl w:val="true"/>
        </w:rPr>
        <w:t>] [</w:t>
      </w:r>
      <w:r>
        <w:rPr>
          <w:rtl w:val="true"/>
        </w:rPr>
        <w:t>في الوكالة</w:t>
      </w:r>
      <w:r>
        <w:rPr>
          <w:rtl w:val="true"/>
        </w:rPr>
        <w:t>]</w:t>
      </w:r>
      <w:bookmarkEnd w:id="485"/>
    </w:p>
    <w:p>
      <w:pPr>
        <w:pStyle w:val="Heading3"/>
        <w:numPr>
          <w:ilvl w:val="2"/>
          <w:numId w:val="1"/>
        </w:numPr>
        <w:rPr/>
      </w:pPr>
      <w:bookmarkStart w:id="486" w:name="__RefHeading___Toc3862127_3804643083"/>
      <w:bookmarkStart w:id="487" w:name="_Toc18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 من مسائل مهمّة متعلّقة بالوكالة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862129_3804643083"/>
      <w:bookmarkStart w:id="489" w:name="_Toc187"/>
      <w:bookmarkEnd w:id="488"/>
      <w:r>
        <w:rPr>
          <w:rtl w:val="true"/>
        </w:rPr>
        <w:t>مسألة</w:t>
      </w:r>
      <w:r>
        <w:rPr>
          <w:rtl w:val="true"/>
        </w:rPr>
        <w:t xml:space="preserve">: </w:t>
      </w:r>
      <w:r>
        <w:rPr>
          <w:rtl w:val="true"/>
        </w:rPr>
        <w:t>ظاهر الأصحاب</w:t>
      </w:r>
      <w:r>
        <w:rPr>
          <w:rtl w:val="true"/>
        </w:rPr>
        <w:t xml:space="preserve">: </w:t>
      </w:r>
      <w:r>
        <w:rPr>
          <w:rtl w:val="true"/>
        </w:rPr>
        <w:t>كون الوكالة من العقود،</w:t>
      </w:r>
      <w:bookmarkEnd w:id="489"/>
    </w:p>
    <w:p>
      <w:pPr>
        <w:pStyle w:val="Heading4"/>
        <w:numPr>
          <w:ilvl w:val="3"/>
          <w:numId w:val="1"/>
        </w:numPr>
        <w:rPr/>
      </w:pPr>
      <w:bookmarkStart w:id="490" w:name="__RefHeading___Toc3862131_3804643083"/>
      <w:bookmarkStart w:id="491" w:name="_Toc188"/>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و لذا أدرجوها في أبوابها، فتفتقر إنشاؤها إلى ايجاب لفظي بأيّ لفظ دلّ على القصد، و إن لم يكن من الصيغ المعتبرة، و قبول، و لو كان فعليا دلّ على الرضا، لكونها عقدا جائزا، لا مجرد الرضا النفساني، كما عن الشافعية </w:t>
      </w:r>
      <w:r>
        <w:rPr>
          <w:rStyle w:val="FootnoteAnchor"/>
          <w:rtl w:val="true"/>
        </w:rPr>
        <w:footnoteReference w:id="963"/>
      </w:r>
      <w:r>
        <w:rPr>
          <w:rFonts w:ascii="Amiri" w:hAnsi="Amiri" w:eastAsia="Amiri" w:cs="Amiri"/>
          <w:color w:val="111111"/>
          <w:sz w:val="28"/>
          <w:sz w:val="28"/>
          <w:szCs w:val="28"/>
          <w:rtl w:val="true"/>
          <w:lang w:bidi="ar-SA"/>
        </w:rPr>
        <w:t xml:space="preserve">، لافتقار العقد إلى إنشاء ما دلّ عليه من فعل أو لفظ، إلّا أن صريح المحقّق </w:t>
      </w:r>
      <w:r>
        <w:rPr>
          <w:rStyle w:val="FootnoteAnchor"/>
          <w:rtl w:val="true"/>
        </w:rPr>
        <w:footnoteReference w:id="96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الإشارة المفهمة في الإيجاب أيضا، بل في الرياض </w:t>
      </w:r>
      <w:r>
        <w:rPr>
          <w:rStyle w:val="FootnoteAnchor"/>
          <w:rtl w:val="true"/>
        </w:rPr>
        <w:footnoteReference w:id="965"/>
      </w:r>
      <w:r>
        <w:rPr>
          <w:rFonts w:ascii="Amiri" w:hAnsi="Amiri" w:eastAsia="Amiri" w:cs="Amiri"/>
          <w:color w:val="111111"/>
          <w:sz w:val="28"/>
          <w:sz w:val="28"/>
          <w:szCs w:val="28"/>
          <w:rtl w:val="true"/>
          <w:lang w:bidi="ar-SA"/>
        </w:rPr>
        <w:t>عدم وجدانه الخلاف، فيرجع إلى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دعوى الإجماع على صحّتها، فيكون مرادهم من عقد الوكالة ما هو بالمعنى الأعمّ الشامل للمعاطاة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تكون الوكالة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عقدية لفظية، و معاطاتية</w:t>
      </w:r>
      <w:r>
        <w:rPr>
          <w:rFonts w:eastAsia="Amiri" w:cs="Amiri" w:ascii="Amiri" w:hAnsi="Amiri"/>
          <w:color w:val="111111"/>
          <w:sz w:val="28"/>
          <w:szCs w:val="28"/>
          <w:rtl w:val="true"/>
          <w:lang w:bidi="ar-SA"/>
        </w:rPr>
        <w:t>.</w:t>
      </w:r>
      <w:bookmarkStart w:id="492" w:name="pg2497_12433"/>
    </w:p>
    <w:p>
      <w:pPr>
        <w:pStyle w:val="BookText"/>
        <w:rPr/>
      </w:pPr>
      <w:bookmarkEnd w:id="492"/>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معاطاة، حيث كان القبول فعلا، المتّفق على صحّته، و إن كان الإيجاب لفظيا، لو لا الإجماع على كونها عقدا حينئذ</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3862133_3804643083"/>
      <w:bookmarkStart w:id="494" w:name="_Toc189"/>
      <w:bookmarkEnd w:id="493"/>
      <w:r>
        <w:rPr>
          <w:rtl w:val="true"/>
        </w:rPr>
        <w:t>فروع</w:t>
      </w:r>
      <w:r>
        <w:rPr>
          <w:rtl w:val="true"/>
        </w:rPr>
        <w:t>:</w:t>
      </w:r>
      <w:bookmarkEnd w:id="494"/>
    </w:p>
    <w:p>
      <w:pPr>
        <w:pStyle w:val="Heading5"/>
        <w:numPr>
          <w:ilvl w:val="4"/>
          <w:numId w:val="1"/>
        </w:numPr>
        <w:rPr/>
      </w:pPr>
      <w:bookmarkStart w:id="495" w:name="__RefHeading___Toc3862135_3804643083"/>
      <w:bookmarkStart w:id="496" w:name="_Toc190"/>
      <w:bookmarkEnd w:id="495"/>
      <w:r>
        <w:rPr>
          <w:rtl w:val="true"/>
        </w:rPr>
        <w:t>الأوّل</w:t>
      </w:r>
      <w:r>
        <w:rPr>
          <w:rtl w:val="true"/>
        </w:rPr>
        <w:t xml:space="preserve">: </w:t>
      </w:r>
      <w:r>
        <w:rPr>
          <w:rtl w:val="true"/>
        </w:rPr>
        <w:t>إذا قال</w:t>
      </w:r>
      <w:r>
        <w:rPr>
          <w:rtl w:val="true"/>
        </w:rPr>
        <w:t xml:space="preserve">: </w:t>
      </w:r>
      <w:r>
        <w:rPr>
          <w:rtl w:val="true"/>
        </w:rPr>
        <w:t>بع فرسي، أو طلّق زوجتي، فلا شكّ أنه ليس من المعاطاة</w:t>
      </w:r>
      <w:r>
        <w:rPr>
          <w:rtl w:val="true"/>
        </w:rPr>
        <w:t>:</w:t>
      </w:r>
      <w:bookmarkEnd w:id="496"/>
    </w:p>
    <w:p>
      <w:pPr>
        <w:pStyle w:val="BookText"/>
        <w:rPr/>
      </w:pPr>
      <w:r>
        <w:rPr>
          <w:rFonts w:ascii="Amiri" w:hAnsi="Amiri" w:eastAsia="Amiri" w:cs="Amiri"/>
          <w:color w:val="111111"/>
          <w:sz w:val="28"/>
          <w:sz w:val="28"/>
          <w:szCs w:val="28"/>
          <w:rtl w:val="true"/>
          <w:lang w:bidi="ar-SA"/>
        </w:rPr>
        <w:t>فهل يكتفي بالأمر في الإيجاب اللفظي؟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 لا إشكال فيه على ما تقدّم من الاكتفاء بكلّ لفظ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استدلالهم على مشروعية الوكالة بالعمومات المتضمنة للأمر ظاهر في 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الإشكال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w:t>
      </w:r>
      <w:r>
        <w:rPr>
          <w:rStyle w:val="FootnoteAnchor"/>
          <w:rtl w:val="true"/>
        </w:rPr>
        <w:footnoteReference w:id="966"/>
      </w:r>
      <w:r>
        <w:rPr>
          <w:rFonts w:ascii="Amiri" w:hAnsi="Amiri" w:eastAsia="Amiri" w:cs="Amiri"/>
          <w:color w:val="111111"/>
          <w:sz w:val="28"/>
          <w:sz w:val="28"/>
          <w:szCs w:val="28"/>
          <w:rtl w:val="true"/>
          <w:lang w:bidi="ar-SA"/>
        </w:rPr>
        <w:t>عدم ظهور الخلاف فيه، فما يظهر من المحكيّ عن التذكرة، و صريح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كونه إيجاب الوكالة، بل هو إذن يترتّب عليه ما يترتّب على الوكالة، من صحة البيع و نحوه، و إن لم يكن وكيلا،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ينافي اطلاقهم في الاكتفاء في إيجاب الوكالة بكل لفظ دلّ عليه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3862137_3804643083"/>
      <w:bookmarkStart w:id="498" w:name="_Toc191"/>
      <w:bookmarkEnd w:id="497"/>
      <w:r>
        <w:rPr>
          <w:rtl w:val="true"/>
        </w:rPr>
        <w:t>الثاني</w:t>
      </w:r>
      <w:r>
        <w:rPr>
          <w:rtl w:val="true"/>
        </w:rPr>
        <w:t xml:space="preserve">: </w:t>
      </w:r>
      <w:r>
        <w:rPr>
          <w:rtl w:val="true"/>
        </w:rPr>
        <w:t>يتحقّق قبول الوكالة بنفس الفعل الموكّل فيه، و لا يلزم كونه أجنبيا،</w:t>
      </w:r>
      <w:bookmarkEnd w:id="498"/>
    </w:p>
    <w:p>
      <w:pPr>
        <w:pStyle w:val="BookText"/>
        <w:rPr/>
      </w:pP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الاستشكال فيه باستلزام الدور، موجها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 عن الشافعية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الرضا القلبي في القبول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بعد ما أحطت بما أجبناه عن إشكال لزوم الدور في حصول الفسخ الفعلي، بنقل ما فيه الخيار، كما هو المشهور، من أنّ الفسخ هو الإرادة القلبية، بشرط مقارنتها للنقل إلى الغير، يرتفع عنك المحذور، فإنّ القبول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الفعل، بشرط مقارنته للفعل، فلا يكون مجرّد الرضا القلبي قبولا، و لا نفس الفعل</w:t>
      </w:r>
      <w:bookmarkStart w:id="499" w:name="pg2497_12435"/>
    </w:p>
    <w:p>
      <w:pPr>
        <w:pStyle w:val="BookText"/>
        <w:rPr/>
      </w:pPr>
      <w:bookmarkEnd w:id="499"/>
      <w:r>
        <w:rPr>
          <w:rFonts w:ascii="Amiri" w:hAnsi="Amiri" w:eastAsia="Amiri" w:cs="Amiri"/>
          <w:color w:val="111111"/>
          <w:sz w:val="28"/>
          <w:sz w:val="28"/>
          <w:szCs w:val="28"/>
          <w:rtl w:val="true"/>
          <w:lang w:bidi="ar-SA"/>
        </w:rPr>
        <w:t>سببا أو جزء سبب، حتى يلزم الدور، بل هو 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 عزيز في الشرع، من قبيل غسل صلاة المغرب للمستحاضة لصحّة صومها المتقدم</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862139_3804643083"/>
      <w:bookmarkStart w:id="501" w:name="_Toc192"/>
      <w:bookmarkEnd w:id="500"/>
      <w:r>
        <w:rPr>
          <w:rtl w:val="true"/>
        </w:rPr>
        <w:t>الثالث</w:t>
      </w:r>
      <w:r>
        <w:rPr>
          <w:rtl w:val="true"/>
        </w:rPr>
        <w:t xml:space="preserve">: </w:t>
      </w:r>
      <w:r>
        <w:rPr>
          <w:rtl w:val="true"/>
        </w:rPr>
        <w:t>يجوز تأخر القبول الفعلي و لو إلى سنة إجماعا،</w:t>
      </w:r>
      <w:bookmarkEnd w:id="501"/>
    </w:p>
    <w:p>
      <w:pPr>
        <w:pStyle w:val="BookText"/>
        <w:rPr/>
      </w:pP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968"/>
      </w:r>
      <w:r>
        <w:rPr>
          <w:rFonts w:ascii="Amiri" w:hAnsi="Amiri" w:eastAsia="Amiri" w:cs="Amiri"/>
          <w:color w:val="111111"/>
          <w:sz w:val="28"/>
          <w:sz w:val="28"/>
          <w:szCs w:val="28"/>
          <w:rtl w:val="true"/>
          <w:lang w:bidi="ar-SA"/>
        </w:rPr>
        <w:t xml:space="preserve">و الروضة </w:t>
      </w:r>
      <w:r>
        <w:rPr>
          <w:rStyle w:val="FootnoteAnchor"/>
          <w:rtl w:val="true"/>
        </w:rPr>
        <w:footnoteReference w:id="969"/>
      </w:r>
      <w:r>
        <w:rPr>
          <w:rFonts w:ascii="Amiri" w:hAnsi="Amiri" w:eastAsia="Amiri" w:cs="Amiri"/>
          <w:color w:val="111111"/>
          <w:sz w:val="28"/>
          <w:sz w:val="28"/>
          <w:szCs w:val="28"/>
          <w:rtl w:val="true"/>
          <w:lang w:bidi="ar-SA"/>
        </w:rPr>
        <w:t>في جواز توكيل الغائب، و يدلّ عليه خصوص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للقياس بعدم جواز تأخّر القبول اللفظي،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بعد سنة، فيجرى مجرى الإذن المطلق، لا التوكيل،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تأخير القبول اللفظي في مخاطبة الإيجاب خلاف وضع المخاطبة في العرف و المحاورات، بخلاف الفعل، فيجرى مجرى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إفادته فهم الرضا بقبوله الوكالة غير كافية، لمنع حصول الإنشاء المعتبر في العقد بمثله، و مجرد فهم الرضا لو كان كافيا لاكتفى بفهمه بشهادة الحال، كما عن الشافعية، و قد عرفت ما فيه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862141_3804643083"/>
      <w:bookmarkStart w:id="503" w:name="_Toc193"/>
      <w:bookmarkEnd w:id="502"/>
      <w:r>
        <w:rPr>
          <w:rtl w:val="true"/>
        </w:rPr>
        <w:t>الرابع</w:t>
      </w:r>
      <w:r>
        <w:rPr>
          <w:rtl w:val="true"/>
        </w:rPr>
        <w:t xml:space="preserve">: </w:t>
      </w:r>
      <w:r>
        <w:rPr>
          <w:rtl w:val="true"/>
        </w:rPr>
        <w:t>للموكّل عزل الوكيل، بشرط إعلامه بالعزل،</w:t>
      </w:r>
      <w:bookmarkEnd w:id="503"/>
    </w:p>
    <w:p>
      <w:pPr>
        <w:pStyle w:val="BookText"/>
        <w:rPr/>
      </w:pPr>
      <w:r>
        <w:rPr>
          <w:rFonts w:ascii="Amiri" w:hAnsi="Amiri" w:eastAsia="Amiri" w:cs="Amiri"/>
          <w:color w:val="111111"/>
          <w:sz w:val="28"/>
          <w:sz w:val="28"/>
          <w:szCs w:val="28"/>
          <w:rtl w:val="true"/>
          <w:lang w:bidi="ar-SA"/>
        </w:rPr>
        <w:t>فلو لم يعلمه لم ينعزل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تعذّر إعلامه أشهد به على الأصح الأشهر، للمعتبرة المستفيضة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3862143_3804643083"/>
      <w:bookmarkStart w:id="505" w:name="_Toc194"/>
      <w:bookmarkEnd w:id="504"/>
      <w:r>
        <w:rPr>
          <w:rtl w:val="true"/>
        </w:rPr>
        <w:t>مسألة</w:t>
      </w:r>
      <w:r>
        <w:rPr>
          <w:rtl w:val="true"/>
        </w:rPr>
        <w:t xml:space="preserve">: </w:t>
      </w:r>
      <w:r>
        <w:rPr>
          <w:rtl w:val="true"/>
        </w:rPr>
        <w:t>يشترط في الوكالة وقوعها منجزّة، كسائر العقود،</w:t>
      </w:r>
      <w:bookmarkEnd w:id="505"/>
    </w:p>
    <w:p>
      <w:pPr>
        <w:pStyle w:val="Heading4"/>
        <w:numPr>
          <w:ilvl w:val="3"/>
          <w:numId w:val="1"/>
        </w:numPr>
        <w:rPr/>
      </w:pPr>
      <w:bookmarkStart w:id="506" w:name="__RefHeading___Toc3862145_3804643083"/>
      <w:bookmarkStart w:id="507" w:name="_Toc195"/>
      <w:bookmarkEnd w:id="506"/>
      <w:r>
        <w:rPr>
          <w:rtl w:val="true"/>
        </w:rPr>
        <w:t>اشارة</w:t>
      </w:r>
      <w:bookmarkEnd w:id="50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تصحّ معلّقة على شرط متوقّع، كقدوم الحاجّ، أو صفة مترقّبة، كطلوع الشمس، أو وقت متجدّد، إجماعا محقّقا و محكيا، فهو الدليل، مضافا إلى منافاته للسببية المستقلة للعقد الثابتة من الشرع لترتّب الأثر عقيبه، و تركّب السبب من غيره، و قصد الإنشاء بهما خلاف جعل الشارع</w:t>
      </w:r>
      <w:r>
        <w:rPr>
          <w:rFonts w:eastAsia="Amiri" w:cs="Amiri" w:ascii="Amiri" w:hAnsi="Amiri"/>
          <w:color w:val="111111"/>
          <w:sz w:val="28"/>
          <w:szCs w:val="28"/>
          <w:rtl w:val="true"/>
          <w:lang w:bidi="ar-SA"/>
        </w:rPr>
        <w:t>.</w:t>
      </w:r>
      <w:bookmarkStart w:id="508" w:name="pg2497_12437"/>
    </w:p>
    <w:p>
      <w:pPr>
        <w:pStyle w:val="BookText"/>
        <w:rPr/>
      </w:pPr>
      <w:bookmarkEnd w:id="508"/>
      <w:r>
        <w:rPr>
          <w:rFonts w:ascii="Amiri" w:hAnsi="Amiri" w:eastAsia="Amiri" w:cs="Amiri"/>
          <w:color w:val="111111"/>
          <w:sz w:val="28"/>
          <w:sz w:val="28"/>
          <w:szCs w:val="28"/>
          <w:rtl w:val="true"/>
          <w:lang w:bidi="ar-SA"/>
        </w:rPr>
        <w:t>و توهّم كون الإنشاء بنفس العقد إلّا أنّ اثره وكالة الزمان المتأخر، عملا بالشرط المشروع،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لو جعل متعلّق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عن وقت العقد، لا أصل الوكالة، و شتان ما بينهما، فإنّه إخراج السبب الشرعي عن سببيته، فيكون مخالفا للسنة المستثنى من الشروط السائغة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قوّة بطلان التعليق على أمر واقع،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 إن طلعت الشمس، لدلالته على إدخال ما ليس من السبب في السببية، و إنشاء العقد بهما، فيخالف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بطلان الأخير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جماعة في مطلق العقود، نظرا إلى وقوع المقارنة المطلوبة لترتّب الأثر على العقد، و قد علمت عدم انحصار جهة المنع فيه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862147_3804643083"/>
      <w:bookmarkStart w:id="510" w:name="_Toc196"/>
      <w:bookmarkEnd w:id="509"/>
      <w:r>
        <w:rPr>
          <w:rtl w:val="true"/>
        </w:rPr>
        <w:t>فروع</w:t>
      </w:r>
      <w:r>
        <w:rPr>
          <w:rtl w:val="true"/>
        </w:rPr>
        <w:t>:</w:t>
      </w:r>
      <w:bookmarkEnd w:id="510"/>
    </w:p>
    <w:p>
      <w:pPr>
        <w:pStyle w:val="Heading5"/>
        <w:numPr>
          <w:ilvl w:val="4"/>
          <w:numId w:val="1"/>
        </w:numPr>
        <w:rPr/>
      </w:pPr>
      <w:bookmarkStart w:id="511" w:name="__RefHeading___Toc3862149_3804643083"/>
      <w:bookmarkStart w:id="512" w:name="_Toc197"/>
      <w:bookmarkEnd w:id="511"/>
      <w:r>
        <w:rPr>
          <w:rtl w:val="true"/>
        </w:rPr>
        <w:t>الأوّل</w:t>
      </w:r>
      <w:r>
        <w:rPr>
          <w:rtl w:val="true"/>
        </w:rPr>
        <w:t xml:space="preserve">: </w:t>
      </w:r>
      <w:r>
        <w:rPr>
          <w:rtl w:val="true"/>
        </w:rPr>
        <w:t>لا خلاف ظاهرا في جواز تعليق الموكّل فيه،</w:t>
      </w:r>
      <w:bookmarkEnd w:id="51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بشرط أو زمان، إذا لم يكن تعليق في نفس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Style w:val="FootnoteAnchor"/>
          <w:rtl w:val="true"/>
        </w:rPr>
        <w:footnoteReference w:id="971"/>
      </w:r>
      <w:r>
        <w:rPr>
          <w:rFonts w:ascii="Amiri" w:hAnsi="Amiri" w:eastAsia="Amiri" w:cs="Amiri"/>
          <w:color w:val="111111"/>
          <w:sz w:val="28"/>
          <w:sz w:val="28"/>
          <w:szCs w:val="28"/>
          <w:rtl w:val="true"/>
          <w:lang w:bidi="ar-SA"/>
        </w:rPr>
        <w:t xml:space="preserve">و المسالك </w:t>
      </w:r>
      <w:r>
        <w:rPr>
          <w:rStyle w:val="FootnoteAnchor"/>
          <w:rtl w:val="true"/>
        </w:rPr>
        <w:footnoteReference w:id="972"/>
      </w:r>
      <w:r>
        <w:rPr>
          <w:rFonts w:ascii="Amiri" w:hAnsi="Amiri" w:eastAsia="Amiri" w:cs="Amiri"/>
          <w:color w:val="111111"/>
          <w:sz w:val="28"/>
          <w:sz w:val="28"/>
          <w:szCs w:val="28"/>
          <w:rtl w:val="true"/>
          <w:lang w:bidi="ar-SA"/>
        </w:rPr>
        <w:t>و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عمومات الوكالة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862151_3804643083"/>
      <w:bookmarkStart w:id="514" w:name="_Toc198"/>
      <w:bookmarkEnd w:id="513"/>
      <w:r>
        <w:rPr>
          <w:rtl w:val="true"/>
        </w:rPr>
        <w:t>الثاني</w:t>
      </w:r>
      <w:r>
        <w:rPr>
          <w:rtl w:val="true"/>
        </w:rPr>
        <w:t xml:space="preserve">: </w:t>
      </w:r>
      <w:r>
        <w:rPr>
          <w:rtl w:val="true"/>
        </w:rPr>
        <w:t>اختلفوا في صحّة التصرف في الوكالة المعلّقة عند حصول المعلق عليه</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اتفاقهم على بطلان الوكالة على قولين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الوكالة إذن خاصّ، و ببطلان الخصوصية لا ينتفي الإذن المطلق، و هو</w:t>
      </w:r>
    </w:p>
    <w:p>
      <w:pPr>
        <w:pStyle w:val="BookText"/>
        <w:rPr/>
      </w:pPr>
      <w:r>
        <w:rPr>
          <w:rFonts w:ascii="Amiri" w:hAnsi="Amiri" w:eastAsia="Amiri" w:cs="Amiri"/>
          <w:color w:val="111111"/>
          <w:sz w:val="28"/>
          <w:sz w:val="28"/>
          <w:szCs w:val="28"/>
          <w:rtl w:val="true"/>
          <w:lang w:bidi="ar-SA"/>
        </w:rPr>
        <w:t>كاف في صحّة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الثمرة في استحقاق الجعل المسمّى، نحو ما قالوه في القراض الباطل الذي حكموا فيه بأجرة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الإذن حصل في ضمن الوكالة، و بانتفاء الفصل ينتفي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يفهم من ذلك عرفا بقاء الأذن، و إن بطلت الوكالة الشرعية، و لم يترتّب عليه آثارها 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خصوصية العقد الوكالي هنا من العوارض الزائدة للإذن، لا مقوماته الوجودية، فلا ينتفي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القمّي </w:t>
      </w:r>
      <w:r>
        <w:rPr>
          <w:rStyle w:val="FootnoteAnchor"/>
          <w:rtl w:val="true"/>
        </w:rPr>
        <w:footnoteReference w:id="973"/>
      </w:r>
      <w:r>
        <w:rPr>
          <w:rFonts w:ascii="Amiri" w:hAnsi="Amiri" w:eastAsia="Amiri" w:cs="Amiri"/>
          <w:color w:val="111111"/>
          <w:sz w:val="28"/>
          <w:sz w:val="28"/>
          <w:szCs w:val="28"/>
          <w:rtl w:val="true"/>
          <w:lang w:bidi="ar-SA"/>
        </w:rPr>
        <w:t>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أو مأذون عني غدا في بيع داري، يدلّ على إذنه و رضاه بالبيع غدا قطعا، و له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التوكيل الشرعي المحتاج إلى الإنشاء، و جهة غير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الجهتان تعليليتان، لا يستلزم بطلان إحداهما انتفاء الأخرى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استجوده والدي العلّامة، إلّا أنّه منع صحة النيابة شرعا، إلّا بالتوكيل، اقتصارا فيما خالف الأصل على المتيقّن، و هو الإذن التوكيلي، دون مطلقه، و هو المعتمد، لأنّ صحّة العمل نيابة، و ترتّب الأثر عليه للمنوب عنه شرعا، كوقوعه من نفسه، يحتاج إلى توظيفه من الشرع، و الثابت منه حصوله بمطلق الإذن قولا أو فعلا، و هو معنى التوكيل، كما نبّه عليه شيخنا الشهيد، في المسالك </w:t>
      </w:r>
      <w:r>
        <w:rPr>
          <w:rStyle w:val="FootnoteAnchor"/>
          <w:rtl w:val="true"/>
        </w:rPr>
        <w:footnoteReference w:id="974"/>
      </w:r>
      <w:r>
        <w:rPr>
          <w:rFonts w:ascii="Amiri" w:hAnsi="Amiri" w:eastAsia="Amiri" w:cs="Amiri"/>
          <w:color w:val="111111"/>
          <w:sz w:val="28"/>
          <w:sz w:val="28"/>
          <w:szCs w:val="28"/>
          <w:rtl w:val="true"/>
          <w:lang w:bidi="ar-SA"/>
        </w:rPr>
        <w:t>و غيره، إلّا أنه مشروط بعدم التعليق، فإذا اقترن لم يصحّ المأذون فيه، و إن دلّ على الرضا القلبي، فإنّ تلك الدلالة لا تؤثر في الصحة إلّا على الاكتفاء بالرضا القلبي، و هو غير كاف في صحّة الاستنابه</w:t>
      </w:r>
      <w:r>
        <w:rPr>
          <w:rFonts w:eastAsia="Amiri" w:cs="Amiri" w:ascii="Amiri" w:hAnsi="Amiri"/>
          <w:color w:val="111111"/>
          <w:sz w:val="28"/>
          <w:szCs w:val="28"/>
          <w:rtl w:val="true"/>
          <w:lang w:bidi="ar-SA"/>
        </w:rPr>
        <w:t>.</w:t>
      </w:r>
      <w:bookmarkStart w:id="515" w:name="pg2497_12442"/>
    </w:p>
    <w:p>
      <w:pPr>
        <w:pStyle w:val="BookText"/>
        <w:rPr/>
      </w:pPr>
      <w:bookmarkEnd w:id="515"/>
      <w:r>
        <w:rPr>
          <w:rFonts w:ascii="Amiri" w:hAnsi="Amiri" w:eastAsia="Amiri" w:cs="Amiri"/>
          <w:color w:val="111111"/>
          <w:sz w:val="28"/>
          <w:sz w:val="28"/>
          <w:szCs w:val="28"/>
          <w:rtl w:val="true"/>
          <w:lang w:bidi="ar-SA"/>
        </w:rPr>
        <w:t>و من هذا يظهر أنّ التفصيل في ذلك بين ما إذا علم من الموكّل انحصار إذنه في كونه على جهة الوكالة، فيبطل، و إلّا يصحّ،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يتصوّر الصحة مع تسليم بطلان التعليق، إلّا بجعل الإذن الدال على الرضا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أحدهما توكيلا، و الآخر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دعوى حصول صحّة المأذون فيه بأيّهما حصل و كلاهما في محلّ المنع جدا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3862153_3804643083"/>
      <w:bookmarkStart w:id="517" w:name="_Toc199"/>
      <w:bookmarkEnd w:id="516"/>
      <w:r>
        <w:rPr>
          <w:rtl w:val="true"/>
        </w:rPr>
        <w:t>الثالث</w:t>
      </w:r>
      <w:r>
        <w:rPr>
          <w:rtl w:val="true"/>
        </w:rPr>
        <w:t xml:space="preserve">: </w:t>
      </w:r>
      <w:r>
        <w:rPr>
          <w:rtl w:val="true"/>
        </w:rPr>
        <w:t>إذا علمت بطلان التوكيل بتعليقه على شرط أو زمان متجدّد،</w:t>
      </w:r>
      <w:bookmarkEnd w:id="517"/>
    </w:p>
    <w:p>
      <w:pPr>
        <w:pStyle w:val="BookText"/>
        <w:rPr/>
      </w:pPr>
      <w:r>
        <w:rPr>
          <w:rFonts w:ascii="Amiri" w:hAnsi="Amiri" w:eastAsia="Amiri" w:cs="Amiri"/>
          <w:color w:val="111111"/>
          <w:sz w:val="28"/>
          <w:sz w:val="28"/>
          <w:szCs w:val="28"/>
          <w:rtl w:val="true"/>
          <w:lang w:bidi="ar-SA"/>
        </w:rPr>
        <w:t>فلا يختلف الحال في بطلان المعلّق بعدم اتصاله بالمنجز، أو باتصاله به و انقطاعه عنه مطلقا، أو تجدّده ثانيا، فيصحّ الأوّل المنجز و يبطل الثاني، و إن كان الموكّل فيه متّحدا في الجميع،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غدا في بيع داري، أو وكيلي اليوم في بيعها، و غدا في بيعها، أو وكيلي في اليوم فيه، و فيما بعد الغد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وكّله منجزا لليوم و لما بعد الغد، فإن رجع إلى تعليق الموكل فيه لما بعد الغد دون نفس الوكالة، بأن كانت الوكالة ثابتة في الأيام الثلاثة، و لكن كانت مقيّدة بفعل الموكّل فيه في غير اليوم الثاني، فلا ضير فيه، و إن كانت منجّزة للأوّل و الثالث، و منقطعة عن الثاني،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الآن في بيع الدار في اليوم و فيما بعد الغد، و لست وكيلي غدا، ففيه إشكال، من حصول التنجّز للأول و الثالث، غاية الأمر عدم اتصال الوكالة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رجوعهما في الثالث بعد انقطاعهما في الثاني في حكم وكالتين، إحداهما منجّزة، و الأخرى معلّقة، و هو الأوجه، مضافا إلى ما ستعرف من بطلان الوكالة بعد عروض ما يفسدها، و إن زال المانع بعده، كجنون أو إغماء، و أنها لا تعود إلّا بإيجاب متجدد</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862155_3804643083"/>
      <w:bookmarkStart w:id="519" w:name="_Toc200"/>
      <w:bookmarkEnd w:id="518"/>
      <w:r>
        <w:rPr>
          <w:rtl w:val="true"/>
        </w:rPr>
        <w:t>الرابع</w:t>
      </w:r>
      <w:r>
        <w:rPr>
          <w:rtl w:val="true"/>
        </w:rPr>
        <w:t xml:space="preserve">: </w:t>
      </w:r>
      <w:r>
        <w:rPr>
          <w:rtl w:val="true"/>
        </w:rPr>
        <w:t>لو وكّله في بيع شي‌ء معلقا بكونه ملكا له،</w:t>
      </w:r>
      <w:bookmarkEnd w:id="51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فرض عدم علمه بكونه ملكه، صحّ، لأنّ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للموكّل فيه بما هو شرط صحّته، لا</w:t>
      </w:r>
      <w:bookmarkStart w:id="520" w:name="pg2497_12444"/>
    </w:p>
    <w:p>
      <w:pPr>
        <w:pStyle w:val="BookText"/>
        <w:rPr/>
      </w:pPr>
      <w:bookmarkEnd w:id="520"/>
      <w:r>
        <w:rPr>
          <w:rFonts w:ascii="Amiri" w:hAnsi="Amiri" w:eastAsia="Amiri" w:cs="Amiri"/>
          <w:color w:val="111111"/>
          <w:sz w:val="28"/>
          <w:sz w:val="28"/>
          <w:szCs w:val="28"/>
          <w:rtl w:val="true"/>
          <w:lang w:bidi="ar-SA"/>
        </w:rPr>
        <w:t>إدخال شي‌ء زائد في سببية العقد، فلا ينافي تنجز الإنشاء، كما لا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بيع داري إذا حضر 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862157_3804643083"/>
      <w:bookmarkStart w:id="522" w:name="_Toc201"/>
      <w:bookmarkEnd w:id="521"/>
      <w:r>
        <w:rPr>
          <w:rtl w:val="true"/>
        </w:rPr>
        <w:t>مسألة</w:t>
      </w:r>
      <w:r>
        <w:rPr>
          <w:rtl w:val="true"/>
        </w:rPr>
        <w:t xml:space="preserve">: </w:t>
      </w:r>
      <w:r>
        <w:rPr>
          <w:rtl w:val="true"/>
        </w:rPr>
        <w:t>تبطل الوكالة بأمور</w:t>
      </w:r>
      <w:r>
        <w:rPr>
          <w:rtl w:val="true"/>
        </w:rPr>
        <w:t>:</w:t>
      </w:r>
      <w:bookmarkEnd w:id="522"/>
    </w:p>
    <w:p>
      <w:pPr>
        <w:pStyle w:val="Heading4"/>
        <w:numPr>
          <w:ilvl w:val="3"/>
          <w:numId w:val="1"/>
        </w:numPr>
        <w:rPr/>
      </w:pPr>
      <w:bookmarkStart w:id="523" w:name="__RefHeading___Toc3862159_3804643083"/>
      <w:bookmarkStart w:id="524" w:name="_Toc202"/>
      <w:bookmarkEnd w:id="523"/>
      <w:r>
        <w:rPr>
          <w:rtl w:val="true"/>
        </w:rPr>
        <w:t>منها عزل الوكيل نفسه</w:t>
      </w:r>
      <w:r>
        <w:rPr>
          <w:rtl w:val="true"/>
        </w:rPr>
        <w:t>:</w:t>
      </w:r>
      <w:bookmarkEnd w:id="524"/>
    </w:p>
    <w:p>
      <w:pPr>
        <w:pStyle w:val="BookText"/>
        <w:rPr/>
      </w:pPr>
      <w:r>
        <w:rPr>
          <w:rFonts w:ascii="Amiri" w:hAnsi="Amiri" w:eastAsia="Amiri" w:cs="Amiri"/>
          <w:color w:val="111111"/>
          <w:sz w:val="28"/>
          <w:sz w:val="28"/>
          <w:szCs w:val="28"/>
          <w:rtl w:val="true"/>
          <w:lang w:bidi="ar-SA"/>
        </w:rPr>
        <w:t>لأنّها عقد جائز مركب من قبوله الذي له الرجوع عنه، و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التصرف له بعد ذلك، عملا بالإذن العام الضمني المسوغ للتصرف، و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المسالك </w:t>
      </w:r>
      <w:r>
        <w:rPr>
          <w:rStyle w:val="FootnoteAnchor"/>
          <w:rtl w:val="true"/>
        </w:rPr>
        <w:footnoteReference w:id="975"/>
      </w:r>
      <w:r>
        <w:rPr>
          <w:rFonts w:ascii="Amiri" w:hAnsi="Amiri" w:eastAsia="Amiri" w:cs="Amiri"/>
          <w:color w:val="111111"/>
          <w:sz w:val="28"/>
          <w:sz w:val="28"/>
          <w:szCs w:val="28"/>
          <w:rtl w:val="true"/>
          <w:lang w:bidi="ar-SA"/>
        </w:rPr>
        <w:t>من أنّ الحكم به هنا لا يخلو من رجحان، مع منعه هناك، لأنّ الإذن هنا صحيح جامع للشرائط، بخلاف السابق، فإنّه معلّق،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w:t>
      </w:r>
      <w:r>
        <w:rPr>
          <w:rStyle w:val="FootnoteAnchor"/>
          <w:rtl w:val="true"/>
        </w:rPr>
        <w:footnoteReference w:id="976"/>
      </w:r>
      <w:r>
        <w:rPr>
          <w:rFonts w:ascii="Amiri" w:hAnsi="Amiri" w:eastAsia="Amiri" w:cs="Amiri"/>
          <w:color w:val="111111"/>
          <w:sz w:val="28"/>
          <w:sz w:val="28"/>
          <w:szCs w:val="28"/>
          <w:rtl w:val="true"/>
          <w:lang w:bidi="ar-SA"/>
        </w:rPr>
        <w:t xml:space="preserve">عكسه، و إن جزم في القواعد </w:t>
      </w:r>
      <w:r>
        <w:rPr>
          <w:rStyle w:val="FootnoteAnchor"/>
          <w:rtl w:val="true"/>
        </w:rPr>
        <w:footnoteReference w:id="977"/>
      </w:r>
      <w:r>
        <w:rPr>
          <w:rFonts w:ascii="Amiri" w:hAnsi="Amiri" w:eastAsia="Amiri" w:cs="Amiri"/>
          <w:color w:val="111111"/>
          <w:sz w:val="28"/>
          <w:sz w:val="28"/>
          <w:szCs w:val="28"/>
          <w:rtl w:val="true"/>
          <w:lang w:bidi="ar-SA"/>
        </w:rPr>
        <w:t>بصحّته هنا، و في السابق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Style w:val="FootnoteAnchor"/>
          <w:rtl w:val="true"/>
        </w:rPr>
        <w:footnoteReference w:id="978"/>
      </w:r>
      <w:r>
        <w:rPr>
          <w:rFonts w:ascii="Amiri" w:hAnsi="Amiri" w:eastAsia="Amiri" w:cs="Amiri"/>
          <w:color w:val="111111"/>
          <w:sz w:val="28"/>
          <w:sz w:val="28"/>
          <w:szCs w:val="28"/>
          <w:rtl w:val="true"/>
          <w:lang w:bidi="ar-SA"/>
        </w:rPr>
        <w:t>تردّد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فالصحة مبنية على كفاية الإذن المطلق في النيابة من غير اقتران بقصد قبول الوكيل لفظا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إلّا إذا ثبت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بطلان العقد بعزل الوكيل نفسه هل يوجب بطلان الإيجاب، فلا ينعقد بقبوله ثانيا، أو ينعقد كذلك؟</w:t>
      </w:r>
    </w:p>
    <w:p>
      <w:pPr>
        <w:pStyle w:val="BookText"/>
        <w:rPr/>
      </w:pP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المحقق القمّي </w:t>
      </w:r>
      <w:r>
        <w:rPr>
          <w:rStyle w:val="FootnoteAnchor"/>
          <w:rtl w:val="true"/>
        </w:rPr>
        <w:footnoteReference w:id="979"/>
      </w:r>
      <w:r>
        <w:rPr>
          <w:rFonts w:ascii="Amiri" w:hAnsi="Amiri" w:eastAsia="Amiri" w:cs="Amiri"/>
          <w:color w:val="111111"/>
          <w:sz w:val="28"/>
          <w:sz w:val="28"/>
          <w:szCs w:val="28"/>
          <w:rtl w:val="true"/>
          <w:lang w:bidi="ar-SA"/>
        </w:rPr>
        <w:t>، ببقاء حكم الإيجاب في جواز إطلاق الوكيل بعد عزل</w:t>
      </w:r>
      <w:bookmarkStart w:id="525" w:name="pg2497_12446"/>
    </w:p>
    <w:p>
      <w:pPr>
        <w:pStyle w:val="BookText"/>
        <w:rPr/>
      </w:pPr>
      <w:bookmarkEnd w:id="525"/>
      <w:r>
        <w:rPr>
          <w:rFonts w:ascii="Amiri" w:hAnsi="Amiri" w:eastAsia="Amiri" w:cs="Amiri"/>
          <w:color w:val="111111"/>
          <w:sz w:val="28"/>
          <w:sz w:val="28"/>
          <w:szCs w:val="28"/>
          <w:rtl w:val="true"/>
          <w:lang w:bidi="ar-SA"/>
        </w:rPr>
        <w:t>نفسه بدون إذن جديد، ناسبا له لبعض آخر، لاستصحاب حكم الإيجاب، و عدم لزوم مقارنته للقبول، فلا مانع من رجوع عقد الوكالة بوقوع القبول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يتمسّك له ببعض الأخبار، كصحيحة هشام بن سالم </w:t>
      </w:r>
      <w:r>
        <w:rPr>
          <w:rStyle w:val="FootnoteAnchor"/>
          <w:rtl w:val="true"/>
        </w:rPr>
        <w:footnoteReference w:id="9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الوكالة ثابتة حتى يعلم الخروج منها، كما أعلمه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اعترف به المحقق المذكور ظاهر في حكم عزل الموكّل عند علم الوكيل به، لا عزل الوكيل نفسه، للإجماع على بطلان وكالته و انتقاضه بالرد، و إنّما المدّعى عوده ثانيا بمجرّد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فيضعف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تجدّد الوكالة ثانيا يستدعي الدليل، و الإطلاقات ظاهرة في غير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إطلاق بعضها، فهو مصروف عنه بحكم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غير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الإيجاب المتقدّم المؤثر للوكالة قد بطل أثره بالعزل على الفرض، فهو تجديد لوكالة جديدة مستأنفة، فيرجع الشكّ في الإيجاب إلى الشكّ في المقتضى الثانوي الذي لا يجري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الإيجاب الأوّل للوكالة الثانوية المتجدّدة بعد الانقطاع، يستلزم التعليق على انقضاء مدة العزل، لأنّها غير الأثر المنجّز، بل هو في قوّة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وكّلتك بعد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التعليق للإجماع، و لا إجماع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الدليل عليه غير منحصر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الدليل على الصحة كاف في البطلان، كما تقدّم</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3862161_3804643083"/>
      <w:bookmarkStart w:id="527" w:name="_Toc203"/>
      <w:bookmarkEnd w:id="526"/>
      <w:r>
        <w:rPr>
          <w:rtl w:val="true"/>
        </w:rPr>
        <w:t>و منها</w:t>
      </w:r>
      <w:r>
        <w:rPr>
          <w:rtl w:val="true"/>
        </w:rPr>
        <w:t xml:space="preserve">: </w:t>
      </w:r>
      <w:r>
        <w:rPr>
          <w:rtl w:val="true"/>
        </w:rPr>
        <w:t>انقطاع تسلّط الموكل على التصرف حين تصرّف الوكيل،</w:t>
      </w:r>
      <w:bookmarkEnd w:id="52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فينقطع بسقوطه، لأنّ تصرّفه متقوّم بإذنه و ملكه له، فينتفي بانتفائه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تأثير السلطنة السابقة</w:t>
      </w:r>
      <w:bookmarkStart w:id="528" w:name="pg2497_12447"/>
    </w:p>
    <w:p>
      <w:pPr>
        <w:pStyle w:val="BookText"/>
        <w:rPr/>
      </w:pPr>
      <w:bookmarkEnd w:id="528"/>
      <w:r>
        <w:rPr>
          <w:rFonts w:ascii="Amiri" w:hAnsi="Amiri" w:eastAsia="Amiri" w:cs="Amiri"/>
          <w:color w:val="111111"/>
          <w:sz w:val="28"/>
          <w:sz w:val="28"/>
          <w:szCs w:val="28"/>
          <w:rtl w:val="true"/>
          <w:lang w:bidi="ar-SA"/>
        </w:rPr>
        <w:t>يحتاج إلى الدليل للأصل، فتبطل الوكالة بموت الموكّل و جنونه و لو أدوارا، و إغمائه و لو ساعة، و حجره فيما وكل فيه لسفه أو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يشترط بقاء أهلية الوكيل فينتفي بانتفائها بعروض موته، و انتقالها إلى الورثة، خلاف المأذون فيه، و بجنونه و إغمائه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في المقامين على البطلان كما في التذكرة </w:t>
      </w:r>
      <w:r>
        <w:rPr>
          <w:rStyle w:val="FootnoteAnchor"/>
          <w:rtl w:val="true"/>
        </w:rPr>
        <w:footnoteReference w:id="981"/>
      </w:r>
      <w:r>
        <w:rPr>
          <w:rFonts w:ascii="Amiri" w:hAnsi="Amiri" w:eastAsia="Amiri" w:cs="Amiri"/>
          <w:color w:val="111111"/>
          <w:sz w:val="28"/>
          <w:sz w:val="28"/>
          <w:szCs w:val="28"/>
          <w:rtl w:val="true"/>
          <w:lang w:bidi="ar-SA"/>
        </w:rPr>
        <w:t xml:space="preserve">و المسالك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يتوهّم تنافيه لبقاء الوكالة في الطلاق بعد عروض الحيض، و في النكاح في الإحرام، و صحة العمل بعد زوال المانع، إذ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الموكل فيه، لا الوكالة و أهلية الوكيل أو الموكّل، فهو من قبيل شرط تأخيره الذي صح معه الوكالة، و هنا من قبيل التعليق لنفس الوكالة على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يتأتّى الخلاف السابق هنا في صحّة العمل بعد زوال المانع بالإذن العامّ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لما تقدّم</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862163_3804643083"/>
      <w:bookmarkStart w:id="530" w:name="_Toc204"/>
      <w:bookmarkEnd w:id="529"/>
      <w:r>
        <w:rPr>
          <w:rtl w:val="true"/>
        </w:rPr>
        <w:t>و منها</w:t>
      </w:r>
      <w:r>
        <w:rPr>
          <w:rtl w:val="true"/>
        </w:rPr>
        <w:t xml:space="preserve">: </w:t>
      </w:r>
      <w:r>
        <w:rPr>
          <w:rtl w:val="true"/>
        </w:rPr>
        <w:t>عزل الموكّل الوكيل،</w:t>
      </w:r>
      <w:bookmarkEnd w:id="530"/>
    </w:p>
    <w:p>
      <w:pPr>
        <w:pStyle w:val="Heading5"/>
        <w:numPr>
          <w:ilvl w:val="4"/>
          <w:numId w:val="1"/>
        </w:numPr>
        <w:rPr/>
      </w:pPr>
      <w:bookmarkStart w:id="531" w:name="__RefHeading___Toc3862165_3804643083"/>
      <w:bookmarkStart w:id="532" w:name="_Toc20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إلّا أنّه يشترط إعلامه بالعزل، فإن لم يعلمه لم ينعزل، وفاقا لغير 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تعذر الإعلام و أشهد به فالمشهور كذلك، خلافا لجماعة من القدماء، للمعتبرة المستفيضة، كصحاح ابن وهب، و هشام بن سالم، و العلاء بن سيابة، و قضاء أمير المؤمنين عليه السّلام في امرأة استعدته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ظهور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صورة الإشهاد أيضا، فالاستدلال في</w:t>
      </w:r>
      <w:bookmarkStart w:id="533" w:name="pg2497_12450"/>
    </w:p>
    <w:p>
      <w:pPr>
        <w:pStyle w:val="BookText"/>
        <w:rPr/>
      </w:pPr>
      <w:bookmarkEnd w:id="533"/>
      <w:r>
        <w:rPr>
          <w:rFonts w:ascii="Amiri" w:hAnsi="Amiri" w:eastAsia="Amiri" w:cs="Amiri"/>
          <w:color w:val="111111"/>
          <w:sz w:val="28"/>
          <w:sz w:val="28"/>
          <w:szCs w:val="28"/>
          <w:rtl w:val="true"/>
          <w:lang w:bidi="ar-SA"/>
        </w:rPr>
        <w:t>مقابلتها ببعض الاعتبارات اجتهاد في مقابل النصوص الصحيحة المعتضدة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الوكالة من العقود الجائزة من الطرفين غير مانع للبقاء، مع عدم بلوغ المنع، فكم من عقد جائز يلزم ببعض العوارض اللاحقة، كشروع العامل في الجعالة</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3862167_3804643083"/>
      <w:bookmarkStart w:id="535" w:name="_Toc206"/>
      <w:bookmarkEnd w:id="534"/>
      <w:r>
        <w:rPr>
          <w:rtl w:val="true"/>
        </w:rPr>
        <w:t>فرع</w:t>
      </w:r>
      <w:r>
        <w:rPr>
          <w:rtl w:val="true"/>
        </w:rPr>
        <w:t xml:space="preserve">: </w:t>
      </w:r>
      <w:r>
        <w:rPr>
          <w:rtl w:val="true"/>
        </w:rPr>
        <w:t>يختص حكم بقاء الوكالة بما قبل العلم بالعزل به دون سائر المبطلات،</w:t>
      </w:r>
      <w:bookmarkEnd w:id="535"/>
    </w:p>
    <w:p>
      <w:pPr>
        <w:pStyle w:val="BookText"/>
        <w:rPr/>
      </w:pPr>
      <w:r>
        <w:rPr>
          <w:rFonts w:ascii="Amiri" w:hAnsi="Amiri" w:eastAsia="Amiri" w:cs="Amiri"/>
          <w:color w:val="111111"/>
          <w:sz w:val="28"/>
          <w:sz w:val="28"/>
          <w:szCs w:val="28"/>
          <w:rtl w:val="true"/>
          <w:lang w:bidi="ar-SA"/>
        </w:rPr>
        <w:t>كموت الموكل و جنونه و حجره اتفاقا للأصول الشرعية، و اختصاص المخرج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المعتبرة التصريح به في خصوص موت الموكّل</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3862169_3804643083"/>
      <w:bookmarkStart w:id="537" w:name="_Toc207"/>
      <w:bookmarkEnd w:id="536"/>
      <w:r>
        <w:rPr>
          <w:rtl w:val="true"/>
        </w:rPr>
        <w:t>مسألة</w:t>
      </w:r>
      <w:r>
        <w:rPr>
          <w:rtl w:val="true"/>
        </w:rPr>
        <w:t xml:space="preserve">: </w:t>
      </w:r>
      <w:r>
        <w:rPr>
          <w:rtl w:val="true"/>
        </w:rPr>
        <w:t>يشترط في متعلق الوكالة أمور</w:t>
      </w:r>
      <w:r>
        <w:rPr>
          <w:rtl w:val="true"/>
        </w:rPr>
        <w:t>:</w:t>
      </w:r>
      <w:bookmarkEnd w:id="537"/>
    </w:p>
    <w:p>
      <w:pPr>
        <w:pStyle w:val="Heading4"/>
        <w:numPr>
          <w:ilvl w:val="3"/>
          <w:numId w:val="1"/>
        </w:numPr>
        <w:rPr/>
      </w:pPr>
      <w:bookmarkStart w:id="538" w:name="__RefHeading___Toc3862171_3804643083"/>
      <w:bookmarkStart w:id="539" w:name="_Toc208"/>
      <w:bookmarkEnd w:id="538"/>
      <w:r>
        <w:rPr>
          <w:rtl w:val="true"/>
        </w:rPr>
        <w:t>منها</w:t>
      </w:r>
      <w:r>
        <w:rPr>
          <w:rtl w:val="true"/>
        </w:rPr>
        <w:t xml:space="preserve">: </w:t>
      </w:r>
      <w:r>
        <w:rPr>
          <w:rtl w:val="true"/>
        </w:rPr>
        <w:t>أن يكون الموكّل فيه مما يقبل النيابة شرعا،</w:t>
      </w:r>
      <w:bookmarkEnd w:id="539"/>
    </w:p>
    <w:p>
      <w:pPr>
        <w:pStyle w:val="Heading5"/>
        <w:numPr>
          <w:ilvl w:val="4"/>
          <w:numId w:val="1"/>
        </w:numPr>
        <w:rPr/>
      </w:pPr>
      <w:bookmarkStart w:id="540" w:name="__RefHeading___Toc3862173_3804643083"/>
      <w:bookmarkStart w:id="541" w:name="_Toc209"/>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فإنّ الأفعال المترتّبة عليها الآثار الشرعية،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بها غرض الشارع بنفس الفعل دون خصوصية المباشر، كأكثر المعاملات من البيع و النكاح و الطلاق و الصلح و الإجارة و غيرها، و التطهير من النجاسات و استيفاء القصاص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غرضه بصدوره عن خصوص الشخص، كعبادة الأحياء، فإنّ الداعي إلى تشريعها غالبا حصول مشقة المكلّف في العمل للامتثال و تذلّله و تقرّبه بنفس العمل، و من غير العبادة كالظهار و الجنايات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المقصود بالأصالة من العبادة بذل المال، كأداء الزكاة، صحّت النيابة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إذا تعذر للمكلّف نفسه، كغسل الأعضاء للمريض، و الحجّ عن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يحصل الشكّ في صحّة النيابة و الوكالة فيها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بيان الأصل في ذلك، لمجال الشكّ</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بعض أجلّة من عاصرناه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جواز الوكالة مطلقا إلّا ما خرج</w:t>
      </w:r>
    </w:p>
    <w:p>
      <w:pPr>
        <w:pStyle w:val="BookText"/>
        <w:rPr/>
      </w:pPr>
      <w:r>
        <w:rPr>
          <w:rFonts w:ascii="Amiri" w:hAnsi="Amiri" w:eastAsia="Amiri" w:cs="Amiri"/>
          <w:color w:val="111111"/>
          <w:sz w:val="28"/>
          <w:sz w:val="28"/>
          <w:szCs w:val="28"/>
          <w:rtl w:val="true"/>
          <w:lang w:bidi="ar-SA"/>
        </w:rPr>
        <w:t>بالدليل، بل ربما جعله مستفادا من كلام الأصحاب، بملاحظة ذكرهم الدليل من النصّ و غيره، فيما لا يصحّ على وجوب المباشرة دون ما صحّت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عمومها بعموم قول الصادق عليه السّلام في صحيحة ابن سالم </w:t>
      </w:r>
      <w:r>
        <w:rPr>
          <w:rStyle w:val="FootnoteAnchor"/>
          <w:rtl w:val="true"/>
        </w:rPr>
        <w:footnoteReference w:id="9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إفادة كلامهم أصالة الجواز مجرّد دعوى خال عن التحصيل و تعليل المباشرة بدليل في مقام لا دلالة له عليه، و كم شاع إقامة الأدلّة على ما يوافق الأصول، و الأخبار المذكورة غير ناهضة للمدّعى، لظهورها في بيان دوام الوكالة حتى يعلم العزل، لا تعميم الموكّل فيه، سيما الصحيح الأوّل الذي لا ذكر لمتعلق الوكالة فيه، بل هو بالنسبة إليه من قبيل المقتضي، و كون المقصود ترتّب الجزاء على نفس الوكالة من حيث هي، من غير نظر إلى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الأخيران و إن تضمّنا لفظ العموم إلّا أنه منصرف إلى بيان ما ذكرناه، و إلّا لزم تخصيص الأكثر الممنوع في تخصيص العموم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فللمنع عن الوكالة فيما لم ينعقد الإجماع عليه، كما اتفق في أكثر المعاملات، أو فيه نصّ خاصّ، كما يمكن الاستدلال عليها في البيع و نحوه بقوله تعالى إِلّٰا أَنْ تَكُونَ تِجٰارَةً عَنْ تَرٰاضٍ </w:t>
      </w:r>
      <w:r>
        <w:rPr>
          <w:rStyle w:val="FootnoteAnchor"/>
          <w:rtl w:val="true"/>
        </w:rPr>
        <w:footnoteReference w:id="985"/>
      </w:r>
      <w:r>
        <w:rPr>
          <w:rFonts w:ascii="Amiri" w:hAnsi="Amiri" w:eastAsia="Amiri" w:cs="Amiri"/>
          <w:color w:val="111111"/>
          <w:sz w:val="28"/>
          <w:sz w:val="28"/>
          <w:szCs w:val="28"/>
          <w:rtl w:val="true"/>
          <w:lang w:bidi="ar-SA"/>
        </w:rPr>
        <w:t>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يقتضي العدم، كالظهار و اللعان و النذور و الأيمان و العبادات المندوبة و استيفاء الحدود في حقوق اللّه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وجه صحّة إطلاق كلام جماعة من المنع من الاستنابة</w:t>
      </w:r>
    </w:p>
    <w:p>
      <w:pPr>
        <w:pStyle w:val="BookText"/>
        <w:rPr/>
      </w:pPr>
      <w:r>
        <w:rPr>
          <w:rFonts w:ascii="Amiri" w:hAnsi="Amiri" w:eastAsia="Amiri" w:cs="Amiri"/>
          <w:color w:val="111111"/>
          <w:sz w:val="28"/>
          <w:sz w:val="28"/>
          <w:szCs w:val="28"/>
          <w:rtl w:val="true"/>
          <w:lang w:bidi="ar-SA"/>
        </w:rPr>
        <w:t>في العبادات مطلقا، و إن كانت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 في المسالك </w:t>
      </w:r>
      <w:r>
        <w:rPr>
          <w:rStyle w:val="FootnoteAnchor"/>
          <w:rtl w:val="true"/>
        </w:rPr>
        <w:footnoteReference w:id="986"/>
      </w:r>
      <w:r>
        <w:rPr>
          <w:rFonts w:ascii="Amiri" w:hAnsi="Amiri" w:eastAsia="Amiri" w:cs="Amiri"/>
          <w:color w:val="111111"/>
          <w:sz w:val="28"/>
          <w:sz w:val="28"/>
          <w:szCs w:val="28"/>
          <w:rtl w:val="true"/>
          <w:lang w:bidi="ar-SA"/>
        </w:rPr>
        <w:t>أصلا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الاعتبار عدم قبولها التوكيل، و عدم قيام فعل الوكيل مقام فعل الموكل، فإنّ المقصود من العبادة تكميل النفس و تصفية القلب و تذكية الأخلاق و تبديل الأحوال، و الظاهر أنّ عبادة الوكيل غير مؤثرة فيها بالنسبة إلى الموكل، فما يستفاد من النصوص من صحّة العبادة المندوبة و التلاوة و نحوها بنية الغير، فهو من باب إهداء الثواب، لا من باب الوكالة، و لذا يصحّ ذلك بالنسبة إلى الأموات، و لا يشترط فيها إذن المهدى إليه، و لا يسقط خطاب الندب عن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الاعتضاد بشرعية العبادة الوكالية بأنّ المعتبر في العبادة ليس إلّا الفعل بقصد القربة، و جعل الشارع ذلك سببا لترتّب الثواب عليه، و هو غير مناف للنيابة، فيندرج في عمومات الوكالة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الآيات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شرعيتها حصول التقرّب إلى اللّه تعالى لفاعلها، و ظهور آثار العبودية لعاملها، و أنّ ذلك من قبل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يحتمل أحد أن من أحيا ليلة القدر بالعبادة و التضرع و الابتهال نيابة عن غيره المشغول بالملاهي و المناهي و لو بإذنه، أدرك الغير فضل ليلة القدر و الفوز بثواب إحياءها و آثاره؟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مواظبة النوافل و العبادات استنابة عن فاسق مجاهر بالملاهي منغمر في دركات الدنيا و حطامها، يوجب وصوله إلى درجات النعيم التي أعدّت للمتقين و لا</w:t>
      </w:r>
      <w:bookmarkStart w:id="542" w:name="pg2497_12456"/>
    </w:p>
    <w:p>
      <w:pPr>
        <w:pStyle w:val="BookText"/>
        <w:rPr/>
      </w:pPr>
      <w:bookmarkEnd w:id="542"/>
      <w:r>
        <w:rPr>
          <w:rFonts w:ascii="Amiri" w:hAnsi="Amiri" w:eastAsia="Amiri" w:cs="Amiri"/>
          <w:color w:val="111111"/>
          <w:sz w:val="28"/>
          <w:sz w:val="28"/>
          <w:szCs w:val="28"/>
          <w:rtl w:val="true"/>
          <w:lang w:bidi="ar-SA"/>
        </w:rPr>
        <w:t>يجزون إلّا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قيل في الفارسية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حلوا بر زبان راندن نه چون حلوا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كاستنابة الأكل للجوعان و شرب الماء عن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الإشكال في جعل مواضع الاستثناء في العبادات من باب الوكالة و لو في مثل نيابة الحجّ عن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الوكالة عليه من باب المجاز، كما حمل عليه في المسالك </w:t>
      </w:r>
      <w:r>
        <w:rPr>
          <w:rStyle w:val="FootnoteAnchor"/>
          <w:rtl w:val="true"/>
        </w:rPr>
        <w:footnoteReference w:id="987"/>
      </w:r>
      <w:r>
        <w:rPr>
          <w:rFonts w:ascii="Amiri" w:hAnsi="Amiri" w:eastAsia="Amiri" w:cs="Amiri"/>
          <w:color w:val="111111"/>
          <w:sz w:val="28"/>
          <w:sz w:val="28"/>
          <w:szCs w:val="28"/>
          <w:rtl w:val="true"/>
          <w:lang w:bidi="ar-SA"/>
        </w:rPr>
        <w:t>قول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التوكيل في الحكم و القضاء بين الناس، قائلا بأن مراده نصب الإمام أو نائبه الخاصّ تولية القضاء للغير، و تسميته وكالة مجاز، و أمّا عن النائب العام في الغيبة فلا يجوز إلّا للفقيه الجامع، و هو متأصّل فيه، فلا يتصوّر فيه النيابة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862175_3804643083"/>
      <w:bookmarkStart w:id="544" w:name="_Toc210"/>
      <w:bookmarkEnd w:id="543"/>
      <w:r>
        <w:rPr>
          <w:rtl w:val="true"/>
        </w:rPr>
        <w:t>فرعان</w:t>
      </w:r>
      <w:r>
        <w:rPr>
          <w:rtl w:val="true"/>
        </w:rPr>
        <w:t>:</w:t>
      </w:r>
      <w:bookmarkEnd w:id="544"/>
    </w:p>
    <w:p>
      <w:pPr>
        <w:pStyle w:val="Heading6"/>
        <w:numPr>
          <w:ilvl w:val="5"/>
          <w:numId w:val="1"/>
        </w:numPr>
        <w:rPr/>
      </w:pPr>
      <w:bookmarkStart w:id="545" w:name="__RefHeading___Toc3862177_3804643083"/>
      <w:bookmarkStart w:id="546" w:name="_Toc211"/>
      <w:bookmarkEnd w:id="545"/>
      <w:r>
        <w:rPr>
          <w:rtl w:val="true"/>
        </w:rPr>
        <w:t>الأوّل</w:t>
      </w:r>
      <w:r>
        <w:rPr>
          <w:rtl w:val="true"/>
        </w:rPr>
        <w:t xml:space="preserve">: </w:t>
      </w:r>
      <w:r>
        <w:rPr>
          <w:rtl w:val="true"/>
        </w:rPr>
        <w:t>ربما يظهر الخلاف منهم بعد الاتفاق على عدم صحّة توكيل المحرم غيره</w:t>
      </w:r>
      <w:bookmarkEnd w:id="546"/>
    </w:p>
    <w:p>
      <w:pPr>
        <w:pStyle w:val="BookText"/>
        <w:rPr/>
      </w:pPr>
      <w:r>
        <w:rPr>
          <w:rFonts w:ascii="Amiri" w:hAnsi="Amiri" w:eastAsia="Amiri" w:cs="Amiri"/>
          <w:color w:val="111111"/>
          <w:sz w:val="28"/>
          <w:sz w:val="28"/>
          <w:szCs w:val="28"/>
          <w:rtl w:val="true"/>
          <w:lang w:bidi="ar-SA"/>
        </w:rPr>
        <w:t>في إيقاع النكاح و ابتياع الصيد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في إيقاعهما حال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المسالك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منعه،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عدم الجواز، محتجّا بعدم كونه مالكا لمباشرة هذا التصرف الآن، و هو شرط، فهو كما لو وكل في طلاق امرأة سينكحها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الروضة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الظاهر، بل الظاهر كونه كالتوكيل في طلاق الحائض بعد</w:t>
      </w:r>
      <w:bookmarkStart w:id="547" w:name="pg2497_12458"/>
    </w:p>
    <w:p>
      <w:pPr>
        <w:pStyle w:val="BookText"/>
        <w:rPr/>
      </w:pPr>
      <w:bookmarkEnd w:id="547"/>
      <w:r>
        <w:rPr>
          <w:rFonts w:ascii="Amiri" w:hAnsi="Amiri" w:eastAsia="Amiri" w:cs="Amiri"/>
          <w:color w:val="111111"/>
          <w:sz w:val="28"/>
          <w:sz w:val="28"/>
          <w:szCs w:val="28"/>
          <w:rtl w:val="true"/>
          <w:lang w:bidi="ar-SA"/>
        </w:rPr>
        <w:t>الطهر، و قد عرفت صحّته، فمقتضى القاعدة المذكورة صحته إلّا إذا ثبت الإجماع و غيره على خلافه، و البحث عنه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3862179_3804643083"/>
      <w:bookmarkStart w:id="549" w:name="_Toc212"/>
      <w:bookmarkEnd w:id="548"/>
      <w:r>
        <w:rPr>
          <w:rtl w:val="true"/>
        </w:rPr>
        <w:t>الثاني</w:t>
      </w:r>
      <w:r>
        <w:rPr>
          <w:rtl w:val="true"/>
        </w:rPr>
        <w:t xml:space="preserve">: </w:t>
      </w:r>
      <w:r>
        <w:rPr>
          <w:rtl w:val="true"/>
        </w:rPr>
        <w:t>لا شكّ</w:t>
      </w:r>
      <w:r>
        <w:rPr>
          <w:rtl w:val="true"/>
        </w:rPr>
        <w:t xml:space="preserve">- </w:t>
      </w:r>
      <w:r>
        <w:rPr>
          <w:rtl w:val="true"/>
        </w:rPr>
        <w:t>كما عليه السيرة المستمرّة</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صحّة نصب الحاكم الشرعي من يتولّى أمر الوقف الفاقد للناظر الخاص من قبل الواقف، و تعيين من يقوم بأمر الصغير الفاقد لمن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من النيابة التوكيلية عن الحاكم، فيلزمه اشتراط شرائط الوكالة مما ذكر و يذكر، و يبطل بموت الحاكم الموكّل، أو من باب تولية القضاء حيث جاز، فلا يجوز التصرف لغيره قبل عزله أو انعزاله فيه؟</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دليل على ولاية الحاكم و تسلّطه على نصب من ذكر تولية و وصاية، و من اقتضاء الوكالة اقتصار الوكيل على التصرف السائغ للوكيل، مع أن السائغ في أمثال ما ذكر التجاوز </w:t>
      </w:r>
      <w:r>
        <w:rPr>
          <w:rStyle w:val="FootnoteAnchor"/>
          <w:rtl w:val="true"/>
        </w:rPr>
        <w:footnoteReference w:id="991"/>
      </w:r>
      <w:r>
        <w:rPr>
          <w:rFonts w:ascii="Amiri" w:hAnsi="Amiri" w:eastAsia="Amiri" w:cs="Amiri"/>
          <w:color w:val="111111"/>
          <w:sz w:val="28"/>
          <w:sz w:val="28"/>
          <w:szCs w:val="28"/>
          <w:rtl w:val="true"/>
          <w:lang w:bidi="ar-SA"/>
        </w:rPr>
        <w:t>عنه من غير نكير، و قيامه فيما يتولّاه بكل ما يتولّى فيه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الأوجه الأوّل، اقتصارا في ولاية الحاكم على ما يقتضيه الدليل، و منع شمول عمومات الولاية لتفويض ما هو شأنه المقرّر في الشرع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السيرة القطعيّة المعتبرة فيما اقتضاه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نتحقّق في مظان عنوانات ولاية الحاكم في كلماتهم ما يتناول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فلا يجوز للمتصرّف لقيام أمر الطفل من الحاكم بيع ماله المنتقل إليه بعد حال النصب بإرث أو هبة، بل باشتراء الحاكم و نحو ذلك، مما لا يملكه الحاكم للطفل حال التوكيل، كما ستعرف تفصيله و تحقيقه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في الوقف، فيما يتفرّع على تصرّف الحاكم نفسه و نحوه، و انعزاله بموت الحاكم لبطلان الوكالة بموت الموكّل</w:t>
      </w:r>
      <w:r>
        <w:rPr>
          <w:rFonts w:eastAsia="Amiri" w:cs="Amiri" w:ascii="Amiri" w:hAnsi="Amiri"/>
          <w:color w:val="111111"/>
          <w:sz w:val="28"/>
          <w:szCs w:val="28"/>
          <w:rtl w:val="true"/>
          <w:lang w:bidi="ar-SA"/>
        </w:rPr>
        <w:t>.</w:t>
      </w:r>
      <w:bookmarkStart w:id="550" w:name="pg2497_12460"/>
    </w:p>
    <w:p>
      <w:pPr>
        <w:pStyle w:val="BookText"/>
        <w:rPr/>
      </w:pPr>
      <w:bookmarkEnd w:id="550"/>
      <w:r>
        <w:rPr>
          <w:rFonts w:ascii="Amiri" w:hAnsi="Amiri" w:eastAsia="Amiri" w:cs="Amiri"/>
          <w:color w:val="111111"/>
          <w:sz w:val="28"/>
          <w:sz w:val="28"/>
          <w:szCs w:val="28"/>
          <w:rtl w:val="true"/>
          <w:lang w:bidi="ar-SA"/>
        </w:rPr>
        <w:t>و 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للحاكم نصب أحد على قيام أمور الصغار مطلقا حيث اتّفق، و إن لم يتولّه بعد حال النصب، أو لم يتولّه الحاكم بعد حياة الوصيّ و نحوه على قيام أمور الأوقاف العامّة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القيّم للصغير و الناظر للوقف، نصب الحاكم من يأخذ سهم الإمام عليه السّلام من خمس ما سيوجد، و التصرف في مجهول المالك مما سيحصل، و غير ذلك مما للحاكم الولاية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لغير الحاكم الموكّل من سائر الحكام عزل من نصبه، لأنّ توكيله تصرف حكومي و ولائي، فلا يجوز نقضه لغيره، بل في جواز تصرف حاكم آخر أو مأذونه في أمر من أمور من وكّله فيها، إذا كان مقصود الحاكم من استنابة المنصوب من قبله حصر المتصرف فيها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لحاكم آخر مشاركة الأوّل قبل توكيله، و الوكيل نائبه، فلا يزيد على الأصل، و من أنّ مقتضى ولايته العامّة نفوذ هذا التصرف منه، فلا يجوز نقضه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إشكال، ينبغي الاحتياط فيه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862181_3804643083"/>
      <w:bookmarkStart w:id="552" w:name="_Toc213"/>
      <w:bookmarkEnd w:id="551"/>
      <w:r>
        <w:rPr>
          <w:rtl w:val="true"/>
        </w:rPr>
        <w:t>و منها</w:t>
      </w:r>
      <w:r>
        <w:rPr>
          <w:rtl w:val="true"/>
        </w:rPr>
        <w:t xml:space="preserve">: </w:t>
      </w:r>
      <w:r>
        <w:rPr>
          <w:rtl w:val="true"/>
        </w:rPr>
        <w:t>كون متعلّق الوكالة مما يملكه الموكل،</w:t>
      </w:r>
      <w:bookmarkEnd w:id="552"/>
    </w:p>
    <w:p>
      <w:pPr>
        <w:pStyle w:val="BookText"/>
        <w:rPr/>
      </w:pPr>
      <w:r>
        <w:rPr>
          <w:rFonts w:ascii="Amiri" w:hAnsi="Amiri" w:eastAsia="Amiri" w:cs="Amiri"/>
          <w:color w:val="111111"/>
          <w:sz w:val="28"/>
          <w:sz w:val="28"/>
          <w:szCs w:val="28"/>
          <w:rtl w:val="true"/>
          <w:lang w:bidi="ar-SA"/>
        </w:rPr>
        <w:t>فلا تصحّ فيما لا يملكه، كالمستحيل عقلا و المحرّم شرعا، كالغصب و السرقة و القتل و سائر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أحكامها تلزم المباشر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 من حين التوكيل إلى وقت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جامع المقاصد </w:t>
      </w:r>
      <w:r>
        <w:rPr>
          <w:rStyle w:val="FootnoteAnchor"/>
          <w:rtl w:val="true"/>
        </w:rPr>
        <w:footnoteReference w:id="992"/>
      </w:r>
      <w:r>
        <w:rPr>
          <w:rFonts w:ascii="Amiri" w:hAnsi="Amiri" w:eastAsia="Amiri" w:cs="Amiri"/>
          <w:color w:val="111111"/>
          <w:sz w:val="28"/>
          <w:sz w:val="28"/>
          <w:szCs w:val="28"/>
          <w:rtl w:val="true"/>
          <w:lang w:bidi="ar-SA"/>
        </w:rPr>
        <w:t xml:space="preserve">و التذكرة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فلا يجوّزون التوكيل في طلاق من سينكحها، و بيع ما سيملكه، و عتق عبد سيشتريه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إطلاق القول بذلك، بأنّ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يجوّزون التوكيل في الطلاق في</w:t>
      </w:r>
      <w:bookmarkStart w:id="553" w:name="pg2497_12462"/>
    </w:p>
    <w:p>
      <w:pPr>
        <w:pStyle w:val="BookText"/>
        <w:rPr/>
      </w:pPr>
      <w:bookmarkEnd w:id="553"/>
      <w:r>
        <w:rPr>
          <w:rFonts w:ascii="Amiri" w:hAnsi="Amiri" w:eastAsia="Amiri" w:cs="Amiri"/>
          <w:color w:val="111111"/>
          <w:sz w:val="28"/>
          <w:sz w:val="28"/>
          <w:szCs w:val="28"/>
          <w:rtl w:val="true"/>
          <w:lang w:bidi="ar-SA"/>
        </w:rPr>
        <w:t>طهر المواقعة و في الحيض، و يجوّزون التوكيل في تزويج امرأة و طلاقها، و شراء عبد و عتقه، و استدانة دين و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كلّه</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3862183_3804643083"/>
      <w:bookmarkStart w:id="555" w:name="_Toc214"/>
      <w:bookmarkEnd w:id="554"/>
      <w:r>
        <w:rPr>
          <w:rtl w:val="true"/>
        </w:rPr>
        <w:t>و منها</w:t>
      </w:r>
      <w:r>
        <w:rPr>
          <w:rtl w:val="true"/>
        </w:rPr>
        <w:t xml:space="preserve">- </w:t>
      </w:r>
      <w:r>
        <w:rPr>
          <w:rtl w:val="true"/>
        </w:rPr>
        <w:t xml:space="preserve">كما في جامع المقاصد </w:t>
      </w:r>
      <w:r>
        <w:rPr>
          <w:rtl w:val="true"/>
        </w:rPr>
        <w:t xml:space="preserve">-: </w:t>
      </w:r>
      <w:r>
        <w:rPr>
          <w:rtl w:val="true"/>
        </w:rPr>
        <w:t>ما لو قال</w:t>
      </w:r>
      <w:r>
        <w:rPr>
          <w:rtl w:val="true"/>
        </w:rPr>
        <w:t xml:space="preserve">: </w:t>
      </w:r>
      <w:r>
        <w:rPr>
          <w:rtl w:val="true"/>
        </w:rPr>
        <w:t>طلّق زوجتي ثلاثا،</w:t>
      </w:r>
      <w:bookmarkEnd w:id="555"/>
    </w:p>
    <w:p>
      <w:pPr>
        <w:pStyle w:val="Heading5"/>
        <w:numPr>
          <w:ilvl w:val="4"/>
          <w:numId w:val="1"/>
        </w:numPr>
        <w:rPr/>
      </w:pPr>
      <w:bookmarkStart w:id="556" w:name="__RefHeading___Toc3862185_3804643083"/>
      <w:bookmarkStart w:id="557" w:name="_Toc215"/>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زوجتي ثلاثا،</w:t>
      </w:r>
    </w:p>
    <w:p>
      <w:pPr>
        <w:pStyle w:val="BookText"/>
        <w:rPr/>
      </w:pPr>
      <w:r>
        <w:rPr>
          <w:rFonts w:ascii="Amiri" w:hAnsi="Amiri" w:eastAsia="Amiri" w:cs="Amiri"/>
          <w:color w:val="111111"/>
          <w:sz w:val="28"/>
          <w:sz w:val="28"/>
          <w:szCs w:val="28"/>
          <w:rtl w:val="true"/>
          <w:lang w:bidi="ar-SA"/>
        </w:rPr>
        <w:t>فإنه يكون وكيلا في الرجعتين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يرد عليه أنّ ذلك توكيل في تصرف لا يملكه الموكّل وقت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الرجعة يملكها بعد الطلاق، فحقه أن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بأنّه ليس ببعيد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التوكيل في مثل هذا جائز، لأنّه وقع تابعا لغيره، و نحوه ما لو وكّله في شراء شاتين و بيع إحداهما، أمّا لو وكّله فيما لا يملكه استقلالا، كما لو وكّل في طلاق زوجة سينكحها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وقوع الشي‌ء أصلا و تبعا كثير، لأنّ التابع وقع مكمّلا بعد الحكم بصحّة الوكالة و استكمال 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التذكرة </w:t>
      </w:r>
      <w:r>
        <w:rPr>
          <w:rStyle w:val="FootnoteAnchor"/>
          <w:rtl w:val="true"/>
        </w:rPr>
        <w:footnoteReference w:id="996"/>
      </w:r>
      <w:r>
        <w:rPr>
          <w:rFonts w:ascii="Amiri" w:hAnsi="Amiri" w:eastAsia="Amiri" w:cs="Amiri"/>
          <w:color w:val="111111"/>
          <w:sz w:val="28"/>
          <w:sz w:val="28"/>
          <w:szCs w:val="28"/>
          <w:rtl w:val="true"/>
          <w:lang w:bidi="ar-SA"/>
        </w:rPr>
        <w:t>إيماء إليه أيضا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بعض أجلة من عاصرناه بمنع الفرق بين التابع و المستقلّ، مع تناول أدلّة الوكالة للقسمين، بل مشروعية المضاربة حجة عليه، فإنّها من الوكالة أيضا،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منها إلى معنى التعليق باطل، باعتبار اقتضاء تأخر متعلقها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لا يرجع إلى ذلك، بأن جعله وكيلا عنه فيما هو أهل له، و لو بإيجاد سببه المتأخر عن حال العقد صحّ، و إن لم يجعله تابعا في وكالة شخص خاصّ، بل وكّل شخصا على الشراء و أخرى على بيع ما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لذلك القول بمشروعية الوكالة في الجميع، من غير فرق بين الموجود المتجدّد، حتى ما لا يملكه بإرث و هبة و غيرهما،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المزبور في الشرط المذكور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أفاده خبط ليس فيه رشاد، و هل يجتمع أصحاب الفقه على ما لا أصل له؟</w:t>
      </w:r>
    </w:p>
    <w:p>
      <w:pPr>
        <w:pStyle w:val="BookText"/>
        <w:rPr/>
      </w:pPr>
      <w:r>
        <w:rPr>
          <w:rFonts w:ascii="Amiri" w:hAnsi="Amiri" w:eastAsia="Amiri" w:cs="Amiri"/>
          <w:color w:val="111111"/>
          <w:sz w:val="28"/>
          <w:sz w:val="28"/>
          <w:szCs w:val="28"/>
          <w:rtl w:val="true"/>
          <w:lang w:bidi="ar-SA"/>
        </w:rPr>
        <w:t>و لتحقيق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الضرورية عدم صحّة التوكيل إلّا فيما يملكه الإنسان و يجوز له التصرف فيه شرعا، حتى ينعقد النيابة عنه فيه، فلا يجوز أن يوكّله في طلاق امراة أجنبية و بيع مال زيد، ففي توكيل طلاق امراة سينكحها، إن أريد به الوكالة في الطلاق بعد النكاح، بأن يكون متعلّق الوكالة بعد النكاح، فهو تعليق و تأخير لنفس الوكالة، و هو باطل، و إن أريد الوكالة في الحال، فالموكّل فيه مما لا خيار له فيه و لا يملكه قبل النكاح، فكيف جعله متعلّقا للوكالة الحالية؟</w:t>
      </w:r>
    </w:p>
    <w:p>
      <w:pPr>
        <w:pStyle w:val="BookText"/>
        <w:rPr/>
      </w:pPr>
      <w:r>
        <w:rPr>
          <w:rFonts w:ascii="Amiri" w:hAnsi="Amiri" w:eastAsia="Amiri" w:cs="Amiri"/>
          <w:color w:val="111111"/>
          <w:sz w:val="28"/>
          <w:sz w:val="28"/>
          <w:szCs w:val="28"/>
          <w:rtl w:val="true"/>
          <w:lang w:bidi="ar-SA"/>
        </w:rPr>
        <w:t>و اقتدار الموكل على إيجاد السبب لا دخل له فيما وكّل فيه الوكيل من حيث تعلق الوكالة عليه إلّا بإرجاعه إلى تعليق الوكالة و تأخيره بما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الفرق بينه و بين التوكيل في النكاح ثم الطلاق، فإنّ هذا الترتيب ملكه الموكل حين العقد، و قد جعله وكيلا في هذا الترتيب، فهو من قبيل المركّب الذي تأخّر بعض أجزائه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في الفرق فيما يصحّ و ما لا يصحّ، ملاحظة الفعل الذي وكّل فيه، من حيث كونه متعلق الوكالة، لا من حيث كونه مقدورا للموكل أو موكولا على الاتفاق أحيانا، لعدم مدخليته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الوكالة التي تعلق بها العقد إلّا بإرجاعها إلى التعليق الباطل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المعاصر من صحّة توكيل شخص خاصّ في</w:t>
      </w:r>
    </w:p>
    <w:p>
      <w:pPr>
        <w:pStyle w:val="BookText"/>
        <w:rPr/>
      </w:pPr>
      <w:r>
        <w:rPr>
          <w:rFonts w:ascii="Amiri" w:hAnsi="Amiri" w:eastAsia="Amiri" w:cs="Amiri"/>
          <w:color w:val="111111"/>
          <w:sz w:val="28"/>
          <w:sz w:val="28"/>
          <w:szCs w:val="28"/>
          <w:rtl w:val="true"/>
          <w:lang w:bidi="ar-SA"/>
        </w:rPr>
        <w:t>الشراء و آخر في بيع ما يشتريه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ينحلّ بذلك الإشكال بالنقض بصحّة الوكالة حال الحيض أو طهر المواقعة، لعدم صحّة الطلاق حين العقد للموكّل، و لا سبب صحّته باختياره، مع أنّ صحّتها لعلّها محلّ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عدم الصحّة لعروض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حال العقد أو بعده، حيث لا ينتقض به الوكالة لو عرض في الأثناء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مملوكيته للمالك بالذات، و عدم المقتضي له حال التوكيل، و لذا جعلوا عنوان الشرط ملكه للموكّل فيه، لا صحّته منه، نظير الفرق بين صحّة إيجاب الصلاة على البالغ العاقل قبل الوقت و عدم صحّته قبل بلوغه، و لذا يصحّ أن يقال للزوج حال حيض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مالك لطلاقها و مالك لبضعها، و لا يصحّ أن يقال له ذلك بالنسبة إلى الأجنبية، فالتأخر اللازم هنا إلى زوال العذر مما يرجع إلى الموكّل فيه لا الوكالة، فلا ضير فيه، و لذا لا تبطل الوكالة بعروض الحيض الواقع في الأثناء، و تبطل وكالة بيع فرسه إذا باعه نفسه ثم اشتراه في الأثناء، و هذا عساه أن لا يشكّ فيه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يحصل الشكّ في أنّ المورد من أيّ القسمين، كالتوكيل في نكاح صغيرة بعد بلوغها، و لعلّه كان صحيحا لأنّه مالك لنكاحه، و لذا يصحّ أن يزوّجها وليّها دائما، لمانع عدم نفوذ قبولها قبل البلوغ، لحجرها بالصغر، بخلاف التوكيل في تزويج المزوّجة بعد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المعتدّة بالعدّة الرجعية، لأنّها في حكم الزوجة، و أما المعتدة البائنة، فلا يبعد الصحّة و توكيل ما يتعلق بما سيورث أو سيوهب، كما صحّحه الشيخ المعاصر،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 فاجعل ما حققناه ضابطا للمقام، و افهم و اغتنم</w:t>
      </w:r>
      <w:r>
        <w:rPr>
          <w:rFonts w:eastAsia="Amiri" w:cs="Amiri" w:ascii="Amiri" w:hAnsi="Amiri"/>
          <w:color w:val="111111"/>
          <w:sz w:val="28"/>
          <w:szCs w:val="28"/>
          <w:rtl w:val="true"/>
          <w:lang w:bidi="ar-SA"/>
        </w:rPr>
        <w:t>.</w:t>
      </w:r>
      <w:bookmarkStart w:id="558" w:name="pg2497_12468"/>
    </w:p>
    <w:p>
      <w:pPr>
        <w:pStyle w:val="Heading5"/>
        <w:numPr>
          <w:ilvl w:val="4"/>
          <w:numId w:val="1"/>
        </w:numPr>
        <w:rPr/>
      </w:pPr>
      <w:bookmarkStart w:id="559" w:name="__RefHeading___Toc3862187_3804643083"/>
      <w:bookmarkStart w:id="560" w:name="_Toc216"/>
      <w:bookmarkEnd w:id="558"/>
      <w:bookmarkEnd w:id="559"/>
      <w:r>
        <w:rPr>
          <w:rtl w:val="true"/>
        </w:rPr>
        <w:t>فرع</w:t>
      </w:r>
      <w:r>
        <w:rPr>
          <w:rtl w:val="true"/>
        </w:rPr>
        <w:t xml:space="preserve">: </w:t>
      </w:r>
      <w:r>
        <w:rPr>
          <w:rtl w:val="true"/>
        </w:rPr>
        <w:t>لو وكّله في جميع أموره المتعلقة به من الموجودة و المتجدّدة،</w:t>
      </w:r>
      <w:bookmarkEnd w:id="560"/>
    </w:p>
    <w:p>
      <w:pPr>
        <w:pStyle w:val="BookText"/>
        <w:rPr/>
      </w:pPr>
      <w:r>
        <w:rPr>
          <w:rFonts w:ascii="Amiri" w:hAnsi="Amiri" w:eastAsia="Amiri" w:cs="Amiri"/>
          <w:color w:val="111111"/>
          <w:sz w:val="28"/>
          <w:sz w:val="28"/>
          <w:szCs w:val="28"/>
          <w:rtl w:val="true"/>
          <w:lang w:bidi="ar-SA"/>
        </w:rPr>
        <w:t>فمقتضى الضابطة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المتجددات المترتّبة على الموجودة، كبيع ماله ثم اشترائه به مالا آخر ثمّ بيعه ثانيا و هكذا، و شراء ملك و إجارته و دعوى الغبن و الفسخ به إذا كان مغبونا، و نكاح امراة له و طلاقها و طلاق امرأته الموجودة، و أمثال 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نكح الموكّل نفسه امرأة بعد التوكيل المزبور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فالوجه عدم صحّة طلاقها و عتقه بالوكالة العامة السابقة، لا بوكالة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561" w:name="pg2497_12472"/>
    </w:p>
    <w:p>
      <w:pPr>
        <w:pStyle w:val="Heading2"/>
        <w:numPr>
          <w:ilvl w:val="1"/>
          <w:numId w:val="1"/>
        </w:numPr>
        <w:rPr/>
      </w:pPr>
      <w:bookmarkStart w:id="562" w:name="__RefHeading___Toc3862189_3804643083"/>
      <w:bookmarkStart w:id="563" w:name="_Toc217"/>
      <w:bookmarkEnd w:id="561"/>
      <w:bookmarkEnd w:id="562"/>
      <w:r>
        <w:rPr>
          <w:rtl w:val="true"/>
        </w:rPr>
        <w:t>[</w:t>
      </w:r>
      <w:r>
        <w:rPr>
          <w:rtl w:val="true"/>
        </w:rPr>
        <w:t>المشرق السادس و عشرون</w:t>
      </w:r>
      <w:r>
        <w:rPr>
          <w:rtl w:val="true"/>
        </w:rPr>
        <w:t>] [</w:t>
      </w:r>
      <w:r>
        <w:rPr>
          <w:rtl w:val="true"/>
        </w:rPr>
        <w:t>في اقتضاء اليد الملكية</w:t>
      </w:r>
      <w:r>
        <w:rPr>
          <w:rtl w:val="true"/>
        </w:rPr>
        <w:t>]</w:t>
      </w:r>
      <w:bookmarkEnd w:id="563"/>
    </w:p>
    <w:p>
      <w:pPr>
        <w:pStyle w:val="Heading3"/>
        <w:numPr>
          <w:ilvl w:val="2"/>
          <w:numId w:val="1"/>
        </w:numPr>
        <w:rPr/>
      </w:pPr>
      <w:bookmarkStart w:id="564" w:name="__RefHeading___Toc3862191_3804643083"/>
      <w:bookmarkStart w:id="565" w:name="_Toc218"/>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المتداولة بل المسلّمة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اليد للملكية أو الاختصاص في ظاهر الشرع، إلى أن يخرج عنها بدليل كاشف عن الواقع، من بيّنة أو إقرار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عليها استفاضت الأخبار في موارد غير عديده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معنوية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أدلّتها على الإطلاق و الضابطة الكلّية، رواية حفص بن غياث، المروية في الكتب الثلاثة </w:t>
      </w:r>
      <w:r>
        <w:rPr>
          <w:rStyle w:val="FootnoteAnchor"/>
          <w:rtl w:val="true"/>
        </w:rPr>
        <w:footnoteReference w:id="997"/>
      </w:r>
      <w:r>
        <w:rPr>
          <w:rFonts w:ascii="Amiri" w:hAnsi="Amiri" w:eastAsia="Amiri" w:cs="Amiri"/>
          <w:color w:val="111111"/>
          <w:sz w:val="28"/>
          <w:sz w:val="28"/>
          <w:szCs w:val="28"/>
          <w:rtl w:val="true"/>
          <w:lang w:bidi="ar-SA"/>
        </w:rPr>
        <w:t>، المنجبرة بعمل الكلّ،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رأيت في يد رجل شيئا أ يجوز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أين جاز لك أن تشتريه و صار ملكا لك، 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 يجوز أن تنسبه إلى من صار ملكه إليك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يجز هذا ما قام سوق للمسلمين</w:t>
      </w:r>
      <w:r>
        <w:rPr>
          <w:rFonts w:eastAsia="Amiri" w:cs="Amiri" w:ascii="Amiri" w:hAnsi="Amiri"/>
          <w:color w:val="111111"/>
          <w:sz w:val="28"/>
          <w:szCs w:val="28"/>
          <w:rtl w:val="true"/>
          <w:lang w:bidi="ar-SA"/>
        </w:rPr>
        <w:t>».</w:t>
      </w:r>
      <w:bookmarkStart w:id="566" w:name="pg2497_12473"/>
    </w:p>
    <w:p>
      <w:pPr>
        <w:pStyle w:val="BookText"/>
        <w:rPr/>
      </w:pPr>
      <w:bookmarkEnd w:id="56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تفسير القمّي </w:t>
      </w:r>
      <w:r>
        <w:rPr>
          <w:rStyle w:val="FootnoteAnchor"/>
          <w:rtl w:val="true"/>
        </w:rPr>
        <w:footnoteReference w:id="998"/>
      </w:r>
      <w:r>
        <w:rPr>
          <w:rFonts w:ascii="Amiri" w:hAnsi="Amiri" w:eastAsia="Amiri" w:cs="Amiri"/>
          <w:color w:val="111111"/>
          <w:sz w:val="28"/>
          <w:sz w:val="28"/>
          <w:szCs w:val="28"/>
          <w:rtl w:val="true"/>
          <w:lang w:bidi="ar-SA"/>
        </w:rPr>
        <w:t>صحيحا، و في الاحتجاج مرسلا، عن مولانا الصادق عليه السّلام، في حديث فدك لمولانا أمير المؤمنين عليه السّلام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تحكم فينا بخلاف حكم اللّه في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 ادّعيت أنا فيه، من تسأل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 البيّنة على من 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 قد ملّكته في حياة رسول اللّه صلّى اللّه عليه و آله و سلّم، و بعده، و لم تسأل المؤمنين على ما ادّعوا عليّ، كما سألتني البيّنة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يونس بن يعقوب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قبل الرجل، أو رجل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 ما كان من متاع الرجل و النساء فهو بينهما، و من استولى على شي‌ء منه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ما في اليد يصدق عليه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الإطلاقات، و ما ورد في موارد خاصة، يعلم من تراكمها كون الجهة المقتضية للاستحقاق هي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ذلك، إنّما يقع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اليد و ضبط مصاديقها التي قد يتطرق فيها الإبهام، و أخرى في شرائط اقتضاءها الملكية و ما فيه من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3"/>
        <w:numPr>
          <w:ilvl w:val="2"/>
          <w:numId w:val="1"/>
        </w:numPr>
        <w:rPr/>
      </w:pPr>
      <w:bookmarkStart w:id="567" w:name="__RefHeading___Toc3862193_3804643083"/>
      <w:bookmarkStart w:id="568" w:name="_Toc219"/>
      <w:bookmarkEnd w:id="567"/>
      <w:r>
        <w:rPr>
          <w:rtl w:val="true"/>
        </w:rPr>
        <w:t>المقام الأوّل</w:t>
      </w:r>
      <w:r>
        <w:rPr>
          <w:rtl w:val="true"/>
        </w:rPr>
        <w:t xml:space="preserve">: </w:t>
      </w:r>
      <w:r>
        <w:rPr>
          <w:rtl w:val="true"/>
        </w:rPr>
        <w:t>في المراد من اليد</w:t>
      </w:r>
      <w:r>
        <w:rPr>
          <w:rtl w:val="true"/>
        </w:rPr>
        <w:t>.</w:t>
      </w:r>
      <w:bookmarkEnd w:id="56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أنّه ليس المراد منها العضو المخصوص، بل المعنى المتفاهم منه عرفا و ما فهمه الأصحاب، هو كونه تحت اختيار الشخص و تصرّفاته و الاستنفاع منه،</w:t>
      </w:r>
    </w:p>
    <w:p>
      <w:pPr>
        <w:pStyle w:val="BookText"/>
        <w:rPr/>
      </w:pPr>
      <w:r>
        <w:rPr>
          <w:rFonts w:ascii="Amiri" w:hAnsi="Amiri" w:eastAsia="Amiri" w:cs="Amiri"/>
          <w:color w:val="111111"/>
          <w:sz w:val="28"/>
          <w:sz w:val="28"/>
          <w:szCs w:val="28"/>
          <w:rtl w:val="true"/>
          <w:lang w:bidi="ar-SA"/>
        </w:rPr>
        <w:t>حيث إنّه المتبادر منه في العرف، و لا يصحّ السلب عنه، سيما بملاحظة القرائن المعيّنة لإرادته في الأخبار، سواء قلنا بكونه معنى مجازيا مشهورا مقترنا بالقرينة الشائعة العرفية في مثل المقام، أو كون هذا التركيب،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اليد حقيقة عرفية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أوجه، نظرا إلى حصول الاختلاف في الظهور العرفي باختلاف المقامات و تغاير المتعلق، فيكون مستندا إلى قرينة المقام، ففي مثل كون الدار في يده يتبادر ذلك و لا يصحّ السلب، دون كون الخاتم و الدرهم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أمر بوضع الدرهم في يد زيد، صحّ العتاب بوضعه عنده بترك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فالخطب في ذلك بعد ظهور المراد سهل و إنما يتأتّى البحث في صدق هذا المعنى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اختلفت آثار الاختصاص فيما بين اثنين، ككون المتاع في بيته و مفتاحه في يد آخر، فاشتبه كون المتاع في يد أيّهما؟</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علم أنّ صاحب البيت وضعه فيه، فهو محكوم بكونه في يده، و إن علم أنّ صاحب المفتاح وضعه، فهو في يده، و إن لم يعلم شي‌ء منهما أشكل الأمر، إلّا إذا علم استيلاء أحدهما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يشاهد التصرفات المتجدّدة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اشتراطها في صدق اليد، كما صرّح به الوالد العلّامة، فإنّ اليد شي‌ء و التصرّف شي‌ء آخر، و لذا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المنفردة من التصرف هل تصح الشهادة لها بالملك؟ فيجردون اليد عن التصرف، و يختلفون في صحّة الشهادة بالملك بمجرّدها، بحيث كانت هي مستند الشاهد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تجدّد التصرف و تكرّره دليل ظهور اليد، فيشترط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569" w:name="pg2497_12478"/>
    </w:p>
    <w:p>
      <w:pPr>
        <w:pStyle w:val="BookText"/>
        <w:rPr/>
      </w:pPr>
      <w:bookmarkEnd w:id="569"/>
      <w:r>
        <w:rPr>
          <w:rFonts w:ascii="Amiri" w:hAnsi="Amiri" w:eastAsia="Amiri" w:cs="Amiri"/>
          <w:color w:val="111111"/>
          <w:sz w:val="28"/>
          <w:sz w:val="28"/>
          <w:szCs w:val="28"/>
          <w:rtl w:val="true"/>
          <w:lang w:bidi="ar-SA"/>
        </w:rPr>
        <w:t>صدقها، كالعبور و الاستطراق في الطريق الواقع في دار الغير، فلا يحكم باليد بمجرّد عبورهم ساعة أو ساعتين، و نحوه سكنى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عليه، بحيث كان تحت اختياره بتصرّف فيه كيف يشاء من البيع و الشراء و الخراب و العمارة و الانتفاع منه و نحو ذلك من وجوه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يشترط صدق اليد عليه أم لا؟</w:t>
      </w:r>
    </w:p>
    <w:p>
      <w:pPr>
        <w:pStyle w:val="BookText"/>
        <w:rPr/>
      </w:pPr>
      <w:r>
        <w:rPr>
          <w:rFonts w:ascii="Amiri" w:hAnsi="Amiri" w:eastAsia="Amiri" w:cs="Amiri"/>
          <w:color w:val="111111"/>
          <w:sz w:val="28"/>
          <w:sz w:val="28"/>
          <w:szCs w:val="28"/>
          <w:rtl w:val="true"/>
          <w:lang w:bidi="ar-SA"/>
        </w:rPr>
        <w:t>الظاهر عدم صدقها مع ظهور خلافه، و لكن لا يشترط العلم به، و لذا يحكم بملكية ما في يد الرجل و انتقاله الى وارثه بعد موته، و إن لم يعلم منه هذا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جزئيته و تابعيته للمتصرف فيه، و إن لم يظهر منه تصرف أو استيلاء عليه بخصوصه، كقطعة أرض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مجرى ماء أحد في دار غيره أو طريق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صدق يد صاحب الدار، بل يد صاحب الماء، و العبور فيها لم يثبت عدا المنفعة، و غاية ما في الحال صدق يد المنفعة عليها، لا ملكية العين، فليس لهما التصرفات العينية أو استنفاع منفعة أخرى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المالك بنفسه مباشرا للتصرف، بل كان وكيله أو مستعيره أو أمينه أو مستأجره أو المتعدّي عليه بغصب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صدق ذي اليد على ما ملكه باعتراف هؤلاء الوسائط، في مقابل دعوى الثالث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باعترافهم، بكون أيديهم نيابية، و حكم يدهم يد المنوب عنه</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3862195_3804643083"/>
      <w:bookmarkStart w:id="571" w:name="_Toc220"/>
      <w:bookmarkEnd w:id="570"/>
      <w:r>
        <w:rPr>
          <w:rtl w:val="true"/>
        </w:rPr>
        <w:t>المقام الثاني</w:t>
      </w:r>
      <w:r>
        <w:rPr>
          <w:rtl w:val="true"/>
        </w:rPr>
        <w:t xml:space="preserve">: </w:t>
      </w:r>
      <w:r>
        <w:rPr>
          <w:rtl w:val="true"/>
        </w:rPr>
        <w:t>في بيان الشروط المعتبرة في اقتضاء اليد للاستحقاق</w:t>
      </w:r>
      <w:r>
        <w:rPr>
          <w:rtl w:val="true"/>
        </w:rPr>
        <w:t>.</w:t>
      </w:r>
      <w:bookmarkEnd w:id="571"/>
    </w:p>
    <w:p>
      <w:pPr>
        <w:pStyle w:val="Heading4"/>
        <w:numPr>
          <w:ilvl w:val="3"/>
          <w:numId w:val="1"/>
        </w:numPr>
        <w:rPr/>
      </w:pPr>
      <w:bookmarkStart w:id="572" w:name="__RefHeading___Toc3862197_3804643083"/>
      <w:bookmarkStart w:id="573" w:name="_Toc221"/>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862199_3804643083"/>
      <w:bookmarkStart w:id="575" w:name="_Toc222"/>
      <w:bookmarkEnd w:id="574"/>
      <w:r>
        <w:rPr>
          <w:rtl w:val="true"/>
        </w:rPr>
        <w:t>الأوّل</w:t>
      </w:r>
      <w:r>
        <w:rPr>
          <w:rtl w:val="true"/>
        </w:rPr>
        <w:t xml:space="preserve">: </w:t>
      </w:r>
      <w:r>
        <w:rPr>
          <w:rtl w:val="true"/>
        </w:rPr>
        <w:t>عدم اعتراف ذي اليد بما ينافي ملكيته</w:t>
      </w:r>
      <w:r>
        <w:rPr>
          <w:rtl w:val="true"/>
        </w:rPr>
        <w:t>.</w:t>
      </w:r>
      <w:bookmarkEnd w:id="575"/>
    </w:p>
    <w:p>
      <w:pPr>
        <w:pStyle w:val="Heading5"/>
        <w:numPr>
          <w:ilvl w:val="4"/>
          <w:numId w:val="1"/>
        </w:numPr>
        <w:rPr/>
      </w:pPr>
      <w:bookmarkStart w:id="576" w:name="__RefHeading___Toc3862201_3804643083"/>
      <w:bookmarkStart w:id="577" w:name="_Toc223"/>
      <w:bookmarkEnd w:id="576"/>
      <w:r>
        <w:rPr>
          <w:rtl w:val="true"/>
        </w:rPr>
        <w:t>اشارة</w:t>
      </w:r>
      <w:bookmarkEnd w:id="57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اليد إمّا يدّعي استحقاقه، أو يعترف بعدمه،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كونه لي، أو لم يظهر منه شي‌ء منها</w:t>
      </w:r>
      <w:r>
        <w:rPr>
          <w:rFonts w:eastAsia="Amiri" w:cs="Amiri" w:ascii="Amiri" w:hAnsi="Amiri"/>
          <w:color w:val="111111"/>
          <w:sz w:val="28"/>
          <w:szCs w:val="28"/>
          <w:rtl w:val="true"/>
          <w:lang w:bidi="ar-SA"/>
        </w:rPr>
        <w:t>.</w:t>
      </w:r>
      <w:bookmarkStart w:id="578" w:name="pg2497_12480"/>
    </w:p>
    <w:p>
      <w:pPr>
        <w:pStyle w:val="BookText"/>
        <w:rPr/>
      </w:pPr>
      <w:bookmarkEnd w:id="578"/>
      <w:r>
        <w:rPr>
          <w:rFonts w:ascii="Amiri" w:hAnsi="Amiri" w:eastAsia="Amiri" w:cs="Amiri"/>
          <w:color w:val="111111"/>
          <w:sz w:val="28"/>
          <w:sz w:val="28"/>
          <w:szCs w:val="28"/>
          <w:rtl w:val="true"/>
          <w:lang w:bidi="ar-SA"/>
        </w:rPr>
        <w:t>لا إشكال في اقتضائه في الأوّل، و عدمه في الثاني، لتقدّم الإقرار على اليد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اعترافه بالجهل، كما صرّح به والدي، لعدم دليل صالح على الاقتضاء حينئذ، لاختصاص تحقق الإجماع بغير الصورة، و كذا النصوص المتقدّمة، و منع صدق الاستيلاء في الموثقة على ذلك، لظهوره في الاقتدار على التصرف فيه كيف شاء و كيف جاز له، و هو لا يعلم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عدم اشتراط علمه بكونه لمورّثه أو لمن اشتراه منه، لعلمه بملكيته الظاهرية لمن انتقل منه إليه، و كونه محكوما له في ظاهر الشرع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اعتراف صاحب اليد الناقلة منها إليه بعدم علمه أنّه له، فالظاهر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بالإرث أو الاشتراء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يظهر من ذي اليد دعوى الملك أو عدمه و لا جهله به،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محكوما له عند غيره، كما إذا كان في يد مورّثه فمات عنه، لإطلاق موثقة يونس، و كذا صدر رواية حفص، باعتبار عموم ترك الاستفصال، و إن لم يكن له ذلك الظهور، لاختصاص تعليله بفعل ما يشير باعترافه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3862203_3804643083"/>
      <w:bookmarkStart w:id="580" w:name="_Toc224"/>
      <w:bookmarkEnd w:id="579"/>
      <w:r>
        <w:rPr>
          <w:rtl w:val="true"/>
        </w:rPr>
        <w:t>فرع</w:t>
      </w:r>
      <w:r>
        <w:rPr>
          <w:rtl w:val="true"/>
        </w:rPr>
        <w:t>:</w:t>
      </w:r>
      <w:bookmarkEnd w:id="58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بيّناه دقيقة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في دار أحد طريق مستحدث يعبر فيه الناس مع اعترافهم بعدم تملّكهم الطريق أو عدم علمهم بالاستحقاق الشرعي ظاهرا عدا واحد منهم، مدّعيا للملكية أو حقّ العبور، فلا يحكم له بذلك، لأنه إن ادّعى الاختصاص به، فليس يده بخصوصه عليه في جملة العابرين، و إن ادّعى الجهة العامّة للعامّة، فيتوقف على عدم اعترافهم بالجهل، كما سمعت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كانت يده منفردة بالغة في تكثّر العبور و تكرره إلى حيث صدق يده بالخصوصية عليه عرفا، يحكم له شخصا</w:t>
      </w:r>
      <w:r>
        <w:rPr>
          <w:rFonts w:eastAsia="Amiri" w:cs="Amiri" w:ascii="Amiri" w:hAnsi="Amiri"/>
          <w:color w:val="111111"/>
          <w:sz w:val="28"/>
          <w:szCs w:val="28"/>
          <w:rtl w:val="true"/>
          <w:lang w:bidi="ar-SA"/>
        </w:rPr>
        <w:t>.</w:t>
      </w:r>
      <w:bookmarkStart w:id="581" w:name="pg2497_12482"/>
    </w:p>
    <w:p>
      <w:pPr>
        <w:pStyle w:val="Heading4"/>
        <w:numPr>
          <w:ilvl w:val="3"/>
          <w:numId w:val="1"/>
        </w:numPr>
        <w:rPr/>
      </w:pPr>
      <w:bookmarkStart w:id="582" w:name="__RefHeading___Toc3862205_3804643083"/>
      <w:bookmarkStart w:id="583" w:name="_Toc225"/>
      <w:bookmarkEnd w:id="581"/>
      <w:bookmarkEnd w:id="582"/>
      <w:r>
        <w:rPr>
          <w:rtl w:val="true"/>
        </w:rPr>
        <w:t>الثاني</w:t>
      </w:r>
      <w:r>
        <w:rPr>
          <w:rtl w:val="true"/>
        </w:rPr>
        <w:t xml:space="preserve">: </w:t>
      </w:r>
      <w:r>
        <w:rPr>
          <w:rtl w:val="true"/>
        </w:rPr>
        <w:t>أن لا يعارض اليد دليل كاشف عن الواقع،</w:t>
      </w:r>
      <w:bookmarkEnd w:id="583"/>
    </w:p>
    <w:p>
      <w:pPr>
        <w:pStyle w:val="BookText"/>
        <w:rPr/>
      </w:pPr>
      <w:r>
        <w:rPr>
          <w:rFonts w:ascii="Amiri" w:hAnsi="Amiri" w:eastAsia="Amiri" w:cs="Amiri"/>
          <w:color w:val="111111"/>
          <w:sz w:val="28"/>
          <w:sz w:val="28"/>
          <w:szCs w:val="28"/>
          <w:rtl w:val="true"/>
          <w:lang w:bidi="ar-SA"/>
        </w:rPr>
        <w:t>فيقدم الدليل، لما علمت في المشرق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الأصول العملية و الاجتهادية، بل مطلق الأحكام، بعضها وارد على بعض، و يقدّم الوارد على المورود، بل لا تعارض بينهما حقيقة، و أنّ الورود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بكون موضوع أحدهما مرتفعا بوجود الآخر، كإباحة ما لا يعلم حرمته عند ظهور دليل حرمته الواقعية، أو بجعل الشارع أحدهما سببا رافعا للآخر، كزوال حلية العصير بالغليان، ثم زوال حرمته بعده بنقصان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أشرنا ثمة إلى أنّ البيّنة و الإقرار و نحوهما كذلك بالنسبة إلى اليد، فيرتفع حكمها بوجود الرافع، كما أنّ اليد واردة على الاستصحاب، كما ستعلم</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862207_3804643083"/>
      <w:bookmarkStart w:id="585" w:name="_Toc226"/>
      <w:bookmarkEnd w:id="584"/>
      <w:r>
        <w:rPr>
          <w:rtl w:val="true"/>
        </w:rPr>
        <w:t>الثالث</w:t>
      </w:r>
      <w:r>
        <w:rPr>
          <w:rtl w:val="true"/>
        </w:rPr>
        <w:t xml:space="preserve">: </w:t>
      </w:r>
      <w:r>
        <w:rPr>
          <w:rtl w:val="true"/>
        </w:rPr>
        <w:t>أن لا يعارض اليد استصحاب ما يزيل حكم اليد و رافعه</w:t>
      </w:r>
      <w:r>
        <w:rPr>
          <w:rtl w:val="true"/>
        </w:rPr>
        <w:t>.</w:t>
      </w:r>
      <w:bookmarkEnd w:id="585"/>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تعارض اليد و الاستصحاب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مقتضى الاستصحاب عدم الملكية، و لكن لم يكن في مقابل ذي اليد مدّع يدّعي خلافه، كما إذا ادّعى صاحب اليد اشتراءه أو استيجاره من مالكه و لم يكن هناك من يدعيه، فليس لأحد أن يزاحمه، و لا يجوز أخذه منه، و له التصرف فيه كيف يشاء، لصدق اليد عليه، و شمول الأخبار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الاستيجار أو الانتقال، و في مقابله المدّعي ينكره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قول المدّعي و استصحاب عدم الانتقال و عدم اعتبار اليد، لأنه يدّعي اليد المقيده بالاستيجار أو الابتياع و هو في دعوى القيد مدّع يطالب بالبيّنة، و الاستصحاب يقتضي عدمه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اليد للاستحقاق ليس لقيدها المختلف فيه المطالب بالثبوت، بل لمجرد نفسها،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و الاستصحاب لا يقاوم اليقين الشرعي الذي هو مقتضى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للاستحقاق هو اليد المطلقة لا مطلق اليد، فإنّ اليد لا يقتضي الاستيجار، فلا يعارض استصحاب عدمه، فحيث دلّ الاستصحاب على عدمه صارت اليد يدا غير استيجارية، و هي تنافي دعوى ذي اليد، فلا يعتني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 أو 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اليد على الاستصحاب إنّما هو باعتبار جعلها الشارع سببا للملكية الظاهرية، كما تقدّم، فمقتضاها يقين شرعي مزيل للحالة السابقة، و يعارضهما بالمزيلية و المزالية، و فيما نحن فيه ينعكس الأمر، فإن عدم الاستيجار الذي هو مقتضى الاستصحاب سبب لعدم حصول اليد الاستيجارية، فإنّ وجود المعلول كما هو مؤخّر بالذات عن وجود العلّة، كذا عدمه مؤخّر عن عدمه، فعدم حصول النقل سبب لعدم حصول اليد المملّكة، و لا هكذا الملكية الاستيجارية، فإنّها كاشفة عن حصول الاستيجار، و علمت كرارا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المثبت للسبب مقدّم على المثبت للكاشف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السابقة، غير أنّ استناد اليد بالانتقال من المدّعى عليه علم من الخارج، من غير اعتراف ذي اليد به، بمعنى أنّه علم أنّه لو ملكه كان بانتقاله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 الاستصحاب أو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التقيّد بسبب ينكره المدّعي، فعلى ذي اليد إثباته كالصورة السابقة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صاحب اليد لا يدّعيه حتى كان مأخوذا بالإثبات، و علم الحاكم بسبب دعواه لا يوجب صدق المدّعى عليه، فاليد يبقى على اقتضائهما الملكية، فيكون من قبيل صورة تعارض الملكية السابقة و اليد الحالية، و ستعرف تقدّم اليد فيها، و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العلم الخارجي بانحصار سبب المدّعي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بطلان اليد و ورود الاستصحاب عليها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يعارضه و يزيله لو كان هو محل الدعوى، كما في صورة الإقرار، و إلّا فلا محلّ لهذا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ذي اليد، فلا يخرج اليد عن مقتضاه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الملكية السابقة أو اليد السابقة، مع احتمال استناد اليد إلى غير نقل المالك الأوّل على تقدير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اختلفوا في تقديم الحالية أو القديمة على قولين، كلاهما عن الشيخ في المبسوط و الخلاف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عن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محتمل الفاضل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كلّ منها بوجوه قاصرة لا جدوى للتعرّض لها، بعد ما تبيّن لك مما تلوناه من مناط الحقّ في المقام، من أنّ اليد دليل شرعيّ وارد على استصحاب الملكية السابقة ناقض لمقتضاه من قبيل سائر الأسباب الشرعية الطارية، و لا كذلك العكس، فإنّ بقاء الملكية السابقة ليس سببا مزيلا لملكية اليد، بل على تقدير بقاءها كاشفة عن عدم اقتضاءها الملكية اللاحقة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ينظر إليه كلام بعض المحققين، من أنّ احتمال كون اليد الباقية عارية أو غيرها لا يلتفت إليه مع بقاء اليد على حالها، فإنّ المقصود الأصلي من إعمال اليد هو إبقاء تسلطها على ما فيها </w:t>
      </w:r>
      <w:r>
        <w:rPr>
          <w:rStyle w:val="FootnoteAnchor"/>
          <w:rtl w:val="true"/>
        </w:rPr>
        <w:footnoteReference w:id="1001"/>
      </w:r>
      <w:r>
        <w:rPr>
          <w:rFonts w:ascii="IRNazanin" w:hAnsi="IRNazanin" w:eastAsia="IRNazanin"/>
          <w:color w:val="111111"/>
          <w:sz w:val="28"/>
          <w:sz w:val="28"/>
          <w:szCs w:val="28"/>
          <w:rtl w:val="true"/>
          <w:lang w:bidi="fa-IR"/>
        </w:rPr>
        <w:t xml:space="preserve">، أو عدم جواز منعها عن التصرفات </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بسبب احتمال الغصب أو العارية أو غيرهما، فيحكم عليها بما يحكم على ملك الملاك، و ليس هذا معنى الحكم بأنه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الإحاطة بما قدّمناه، تعلم صحّة الحكم بكونه ملك ذي اليد، كما هو مقتضى رواية حفص بن غياث المتقدمة الشامل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عدوله عن الحكم بالملك، إلى الحكم بلوازمه، باعتبار معارضة حكم الملك لاستصحاب ملك الآخر، و قد علمت أنّ الاستصحاب لا يعارض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يعارض يده الحالية إقراره أمس بأنّ الملك للمدّعي، أو شهدت البيّنة بإقراره أمس له، أو أقر بأن هذا له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كلامهم القطع بأنّ صاحب اليد لو أقرّ بأحد الوجوه المذكورة قضي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إطلاق الحكم بذلك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القواعد و السرائر </w:t>
      </w:r>
      <w:r>
        <w:rPr>
          <w:rStyle w:val="FootnoteAnchor"/>
          <w:rtl w:val="true"/>
        </w:rPr>
        <w:footnoteReference w:id="10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للمدّعي، بإقرار ذي اليد له أمس، أو أقرّ أمس به، أو شهدت بإقراره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الفائدة للمحقق الأردبيلي </w:t>
      </w:r>
      <w:r>
        <w:rPr>
          <w:rStyle w:val="FootnoteAnchor"/>
          <w:rtl w:val="true"/>
        </w:rPr>
        <w:footnoteReference w:id="1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إقراره بالأمس، أو بالشهادة بإقرار الأمس، و جعل الأقرب في الأوّل ذلك، موذنا بوقوع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واضح الدليل، إلّا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وقوع الخلاف من شيخنا الشهيد، في تمهيد القواعد، في صورة الإقرار له أمس، و اختار الأخذ بإقراره، كما لو شهدت البيّنة بأنّه أقرّ أمس</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في إطلاق الحكم بتقديم قول المدّعي بإقرار ذي اليد بأحد الوجوه</w:t>
      </w:r>
      <w:bookmarkStart w:id="586" w:name="pg2497_12490"/>
    </w:p>
    <w:p>
      <w:pPr>
        <w:pStyle w:val="BookText"/>
        <w:rPr/>
      </w:pPr>
      <w:bookmarkEnd w:id="586"/>
      <w:r>
        <w:rPr>
          <w:rFonts w:ascii="Amiri" w:hAnsi="Amiri" w:eastAsia="Amiri" w:cs="Amiri"/>
          <w:color w:val="111111"/>
          <w:sz w:val="28"/>
          <w:sz w:val="28"/>
          <w:szCs w:val="28"/>
          <w:rtl w:val="true"/>
          <w:lang w:bidi="ar-SA"/>
        </w:rPr>
        <w:t>المذكورة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 و ظاهر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 إلّا أن يثبت الإجماع فيه، لأنّ إقراره بأنه كان له أمس، أو ثبوت إقراره كذا أمس بالشهادة، أعمّ من كونه اعترافا بانتقاله إليه من المدّعي، و هو الصورة الأولى التي يقدّم فيها قول المدّعي، و من انتقاله عن غيره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المقصود من المجمع عليه هو الأوّل، فهو من باب تعارض الملك السابق و اليد الحالية، و قد عرفت تقدم اليد فيه، فتدبّر</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862209_3804643083"/>
      <w:bookmarkStart w:id="588" w:name="_Toc227"/>
      <w:bookmarkEnd w:id="587"/>
      <w:r>
        <w:rPr>
          <w:rtl w:val="true"/>
        </w:rPr>
        <w:t>الرابع</w:t>
      </w:r>
      <w:r>
        <w:rPr>
          <w:rtl w:val="true"/>
        </w:rPr>
        <w:t xml:space="preserve">: </w:t>
      </w:r>
      <w:r>
        <w:rPr>
          <w:rtl w:val="true"/>
        </w:rPr>
        <w:t>أن لا يعارض اليد الحالية استصحاب نفس اليد،</w:t>
      </w:r>
      <w:bookmarkEnd w:id="588"/>
    </w:p>
    <w:p>
      <w:pPr>
        <w:pStyle w:val="BookText"/>
        <w:rPr/>
      </w:pPr>
      <w:r>
        <w:rPr>
          <w:rFonts w:ascii="Amiri" w:hAnsi="Amiri" w:eastAsia="Amiri" w:cs="Amiri"/>
          <w:color w:val="111111"/>
          <w:sz w:val="28"/>
          <w:sz w:val="28"/>
          <w:szCs w:val="28"/>
          <w:rtl w:val="true"/>
          <w:lang w:bidi="ar-SA"/>
        </w:rPr>
        <w:t>كما إذا أثبت المدّعي أنّ مبدأ يده كان يد غصب أو عارية أو إعارة، و ادّعى صاحب اليد ملكيته الحالية، فإنّه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الاستصحاب، لأنّ يده بالاستصحاب يد غير مملّكة لا يقتضي التقديم، و استصحاب الموضوع مقدّم على الأصل الحكميّ إجماعا و اعتبارا</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862211_3804643083"/>
      <w:bookmarkStart w:id="590" w:name="_Toc228"/>
      <w:bookmarkEnd w:id="589"/>
      <w:r>
        <w:rPr>
          <w:rtl w:val="true"/>
        </w:rPr>
        <w:t>الخامس</w:t>
      </w:r>
      <w:r>
        <w:rPr>
          <w:rtl w:val="true"/>
        </w:rPr>
        <w:t xml:space="preserve">: </w:t>
      </w:r>
      <w:r>
        <w:rPr>
          <w:rtl w:val="true"/>
        </w:rPr>
        <w:t>احتمال كون اليد ناشئة عن جهة مقبولة في ظاهر الشرع،</w:t>
      </w:r>
      <w:bookmarkEnd w:id="590"/>
    </w:p>
    <w:p>
      <w:pPr>
        <w:pStyle w:val="BookText"/>
        <w:rPr/>
      </w:pPr>
      <w:r>
        <w:rPr>
          <w:rFonts w:ascii="Amiri" w:hAnsi="Amiri" w:eastAsia="Amiri" w:cs="Amiri"/>
          <w:color w:val="111111"/>
          <w:sz w:val="28"/>
          <w:sz w:val="28"/>
          <w:szCs w:val="28"/>
          <w:rtl w:val="true"/>
          <w:lang w:bidi="ar-SA"/>
        </w:rPr>
        <w:t>فلو علم كونها بانتزاع ما في اليد من تصرّف المالك عنفا، من غير جهة مجوزة شرعية ظاهرا، بل بمجرد ادّعاء الملكية و لو مع احتمال صدقه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إذا أخذه في حضورنا عنه عند ادّعاء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معتبرة إجماعا، و لعدم كون ملك اليد سائغة في ظاهر الشرع، و وجب الحكم بتخلية يده عنه و ردّه إلى ذي اليد الأوّل حتى أثبت حقه و أقام البيّنة</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3862213_3804643083"/>
      <w:bookmarkStart w:id="592" w:name="_Toc229"/>
      <w:bookmarkEnd w:id="591"/>
      <w:r>
        <w:rPr>
          <w:rtl w:val="true"/>
        </w:rPr>
        <w:t>السادس</w:t>
      </w:r>
      <w:r>
        <w:rPr>
          <w:rtl w:val="true"/>
        </w:rPr>
        <w:t xml:space="preserve">: </w:t>
      </w:r>
      <w:r>
        <w:rPr>
          <w:rtl w:val="true"/>
        </w:rPr>
        <w:t>ما أفاده في المستند، أن لا يزاحم اليد يد أخرى،</w:t>
      </w:r>
      <w:bookmarkEnd w:id="59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إذا ركب اثنان دابّة رديفين، و أكلا من إناء واحد دفعة، و جلسا على بساط كذلك، فلا أثر لليد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بالنسبة إلى الآخر لتعلق يد كلّ واحد بالجميع، حيث إنّ اليد ليست كالملك الذي لا يتزاحم فيه غير الواحد و لذا لو قطع أحدهما يده عنه، كان يد</w:t>
      </w:r>
      <w:bookmarkStart w:id="593" w:name="pg2497_12492"/>
    </w:p>
    <w:p>
      <w:pPr>
        <w:pStyle w:val="BookText"/>
        <w:rPr/>
      </w:pPr>
      <w:bookmarkEnd w:id="593"/>
      <w:r>
        <w:rPr>
          <w:rFonts w:ascii="Amiri" w:hAnsi="Amiri" w:eastAsia="Amiri" w:cs="Amiri"/>
          <w:color w:val="111111"/>
          <w:sz w:val="28"/>
          <w:sz w:val="28"/>
          <w:szCs w:val="28"/>
          <w:rtl w:val="true"/>
          <w:lang w:bidi="ar-SA"/>
        </w:rPr>
        <w:t>الآخر عليه كما كان، فالحكم بتنصيف ملكية كل واحد خلاف مقتضى اليد، و تمامه لكلّ واحد من المحال، و لواحد ترجيح ممتنع، فإذن لا حكم ليد أحدهما لنفي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تؤثر اليدان لنفي دعوى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بمنع اليد المستقلّة لكلّ واحد منهما، فإنّه لو اعتبر فيها الاستيلاء هنا، فالتامّ منه في الكلّ ممنوع، إذ ليس له البيع و الإجارة و العارية و نحوها، و إن اعتبر فيها الانتفاع، فهو ينقسم بينهما، لأنّ المنفعة العائدة منه لكل واحد غير العائدة للآخر، و حيث إنّ يد الثالث مسلوبة عنه، فحكم اليد منقسم بينهما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قوله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استولى على شي‌ء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الاختصاص لهما اشتراكا، لا لأحدهما منفردا، و لا لثالث،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لأحدهما شاهد، و إلّا فيقف و يتحالفان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إجماعيّ، و به اعترف الوالد الماجد في العوائد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4" w:name="__RefHeading___Toc3862215_3804643083"/>
      <w:bookmarkStart w:id="595" w:name="_Toc230"/>
      <w:bookmarkEnd w:id="594"/>
      <w:r>
        <w:rPr>
          <w:rtl w:val="true"/>
        </w:rPr>
        <w:t>السابع</w:t>
      </w:r>
      <w:r>
        <w:rPr>
          <w:rtl w:val="true"/>
        </w:rPr>
        <w:t xml:space="preserve">: </w:t>
      </w:r>
      <w:r>
        <w:rPr>
          <w:rtl w:val="true"/>
        </w:rPr>
        <w:t>ما عسى أن يجري فيه الكلام من اختصاص الاقتضاء بكون متعلق اليد الأعيان دون المنافع،</w:t>
      </w:r>
      <w:bookmarkEnd w:id="595"/>
    </w:p>
    <w:p>
      <w:pPr>
        <w:pStyle w:val="BookText"/>
        <w:rPr/>
      </w:pPr>
      <w:r>
        <w:rPr>
          <w:rFonts w:ascii="Amiri" w:hAnsi="Amiri" w:eastAsia="Amiri" w:cs="Amiri"/>
          <w:color w:val="111111"/>
          <w:sz w:val="28"/>
          <w:sz w:val="28"/>
          <w:szCs w:val="28"/>
          <w:rtl w:val="true"/>
          <w:lang w:bidi="ar-SA"/>
        </w:rPr>
        <w:t>كما أفاد والدي القمقام للأصل، و عدم ثبوت الإجماع، و ظهور الأخبار في الأعيان، حتى الموثقة، لمكان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منع صدق اليد على المنافع، لأنّ الآتية غير متجدّدة بعد، و الماضية منقضية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للكلام فيه مجال، و الذي يقتضيه نظر العبد، أنّ اليد على المنفعة و التصرف فيها قسمان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فيها موقوفا على وقوع اليد على العين عرفا،</w:t>
      </w:r>
    </w:p>
    <w:p>
      <w:pPr>
        <w:pStyle w:val="BookText"/>
        <w:rPr/>
      </w:pPr>
      <w:r>
        <w:rPr>
          <w:rFonts w:ascii="Amiri" w:hAnsi="Amiri" w:eastAsia="Amiri" w:cs="Amiri"/>
          <w:color w:val="111111"/>
          <w:sz w:val="28"/>
          <w:sz w:val="28"/>
          <w:szCs w:val="28"/>
          <w:rtl w:val="true"/>
          <w:lang w:bidi="ar-SA"/>
        </w:rPr>
        <w:t>بحيث صدق عليه كون العين في يده، و لو لاستيفاء منفعته، كتصرف المستأجر في العين المستأجرة، و جريان مائه من ملك الغير و الاستطراق فيه، و حمل السقف على جداره،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يتوقف عليه، كالاستظلال بجداره، و الاستضاءة بسراجه، و الانتفاع بهواء عرصته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كذلك، و لا اعتبار لليد عليه، بل لم أتحقّق قائلا به و الأخبار غير شاملة له بظهورها في كون متعلق اليد العين، و لو سلم إطلاق بعضها، كحديث فدك، فهو أيضا، بحكم التبادر ظاهر في العين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اعتبار اليد عليها ما دام يده على العين، و ظنّي أنّه لا خلاف فيه، و لذا لو كان في يده عين بعنوان الاستيجار، فادّعى غيره الإجارة من مالكه، يقدّم قول الأوّل، و ما هو إلّا ليده عليها، و إلّا كانا سواء، و لصدق المدّعي على خارج اليد عن المنفعة، فإنّ من ادّعى على من استمرّ جريان مائه من ملك الغير في منع جريانه،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ترك ترك 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فيطالب البيّنة عملا بمقتضى أخبار الدعاوي، بل يشمله قوله عليه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الضمير و إن رجع إلى المتاع و هو عين، إلّا أنّه يعمّ اللام مطلق الاختصاص، فيشمل ما إذا ادّعى المتاع، لاختصاص منفعته له باستيجار و نحوه</w:t>
      </w:r>
      <w:r>
        <w:rPr>
          <w:rFonts w:eastAsia="Amiri" w:cs="Amiri" w:ascii="Amiri" w:hAnsi="Amiri"/>
          <w:color w:val="111111"/>
          <w:sz w:val="28"/>
          <w:szCs w:val="28"/>
          <w:rtl w:val="true"/>
          <w:lang w:bidi="ar-SA"/>
        </w:rPr>
        <w:t>.</w:t>
      </w:r>
      <w:bookmarkStart w:id="596" w:name="pg2497_12496"/>
    </w:p>
    <w:p>
      <w:pPr>
        <w:pStyle w:val="Heading2"/>
        <w:numPr>
          <w:ilvl w:val="1"/>
          <w:numId w:val="1"/>
        </w:numPr>
        <w:rPr/>
      </w:pPr>
      <w:bookmarkStart w:id="597" w:name="__RefHeading___Toc3862217_3804643083"/>
      <w:bookmarkStart w:id="598" w:name="_Toc231"/>
      <w:bookmarkEnd w:id="596"/>
      <w:bookmarkEnd w:id="597"/>
      <w:r>
        <w:rPr>
          <w:rtl w:val="true"/>
        </w:rPr>
        <w:t>[</w:t>
      </w:r>
      <w:r>
        <w:rPr>
          <w:rtl w:val="true"/>
        </w:rPr>
        <w:t>المشرق السابع و عشرون</w:t>
      </w:r>
      <w:r>
        <w:rPr>
          <w:rtl w:val="true"/>
        </w:rPr>
        <w:t>] [</w:t>
      </w:r>
      <w:r>
        <w:rPr>
          <w:rtl w:val="true"/>
        </w:rPr>
        <w:t>في وجوب ترتب الحواضر على الفوائت</w:t>
      </w:r>
      <w:r>
        <w:rPr>
          <w:rtl w:val="true"/>
        </w:rPr>
        <w:t>]</w:t>
      </w:r>
      <w:bookmarkEnd w:id="598"/>
    </w:p>
    <w:p>
      <w:pPr>
        <w:pStyle w:val="Heading3"/>
        <w:numPr>
          <w:ilvl w:val="2"/>
          <w:numId w:val="1"/>
        </w:numPr>
        <w:rPr/>
      </w:pPr>
      <w:bookmarkStart w:id="599" w:name="__RefHeading___Toc3862219_3804643083"/>
      <w:bookmarkStart w:id="600" w:name="_Toc232"/>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وجوب ترتّب الحواضر على الفوائت ما لم يتضيّق أوقاتها، و فورية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جماعة، بل صريح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الأمرين مسألة منفردة في الخلاف، و إن كان قول الأكثر متوافقا فيهما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صحّة الحاضرة تأخّرها عن الفائتة مطلقا، و لا في صحّة غيرها من العبادات، و لا يجب فعل الفائتة فورا متى ذكرها، و لا يجب العدول عن الحاضرة إليها في الأثناء، فيجوز التشاغل بسائر ما ينافيها من العبادات الواجبة و المندوبة الموسعة و المباحات و غيرها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 عن كثير من الأجلّة الأقدمين من مشايخ الشيعة و فقهاء الطائفة،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عنهم السيد الأجل رضي الدين على بن طاوس </w:t>
      </w:r>
      <w:r>
        <w:rPr>
          <w:rStyle w:val="FootnoteAnchor"/>
          <w:rtl w:val="true"/>
        </w:rPr>
        <w:footnoteReference w:id="1007"/>
      </w:r>
      <w:r>
        <w:rPr>
          <w:rFonts w:ascii="Amiri" w:hAnsi="Amiri" w:eastAsia="Amiri" w:cs="Amiri"/>
          <w:color w:val="111111"/>
          <w:sz w:val="28"/>
          <w:sz w:val="28"/>
          <w:szCs w:val="28"/>
          <w:rtl w:val="true"/>
          <w:lang w:bidi="ar-SA"/>
        </w:rPr>
        <w:t>كالشيخ الجليل</w:t>
      </w:r>
    </w:p>
    <w:p>
      <w:pPr>
        <w:pStyle w:val="BookText"/>
        <w:rPr/>
      </w:pPr>
      <w:r>
        <w:rPr>
          <w:rFonts w:ascii="Amiri" w:hAnsi="Amiri" w:eastAsia="Amiri" w:cs="Amiri"/>
          <w:color w:val="111111"/>
          <w:sz w:val="28"/>
          <w:sz w:val="28"/>
          <w:szCs w:val="28"/>
          <w:rtl w:val="true"/>
          <w:lang w:bidi="ar-SA"/>
        </w:rPr>
        <w:t xml:space="preserve">الفقيه عبيد اللّه بن عليّ الحلبي </w:t>
      </w:r>
      <w:r>
        <w:rPr>
          <w:rStyle w:val="FootnoteAnchor"/>
          <w:rtl w:val="true"/>
        </w:rPr>
        <w:footnoteReference w:id="1008"/>
      </w:r>
      <w:r>
        <w:rPr>
          <w:rFonts w:ascii="Amiri" w:hAnsi="Amiri" w:eastAsia="Amiri" w:cs="Amiri"/>
          <w:color w:val="111111"/>
          <w:sz w:val="28"/>
          <w:sz w:val="28"/>
          <w:szCs w:val="28"/>
          <w:rtl w:val="true"/>
          <w:lang w:bidi="ar-SA"/>
        </w:rPr>
        <w:t xml:space="preserve">في أصله الذي أثنى عليه الصادق عليه السّلام عند عرضه عليه، و عدّه الصدوق </w:t>
      </w:r>
      <w:r>
        <w:rPr>
          <w:rStyle w:val="FootnoteAnchor"/>
          <w:rtl w:val="true"/>
        </w:rPr>
        <w:footnoteReference w:id="1009"/>
      </w:r>
      <w:r>
        <w:rPr>
          <w:rFonts w:ascii="Amiri" w:hAnsi="Amiri" w:eastAsia="Amiri" w:cs="Amiri"/>
          <w:color w:val="111111"/>
          <w:sz w:val="28"/>
          <w:sz w:val="28"/>
          <w:szCs w:val="28"/>
          <w:rtl w:val="true"/>
          <w:lang w:bidi="ar-SA"/>
        </w:rPr>
        <w:t xml:space="preserve">من الكتب المشهورة التي عليها المعوّل و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 بن سعيد الأهوازي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أصحاب الرضا و الجواد و الهادي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في المعتبر أنه من جملة الفقهاء المعتبرين الذين اختار النقل عنهم ممن اشتهر فضله و عرف تقدّمه في نقل الأخبار و صحّة الاختبار و جودة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النبيل أبي الفضل محمد بن أحمد بن إبراهيم بن سليمان الجعفي في كتابه الفاخر </w:t>
      </w:r>
      <w:r>
        <w:rPr>
          <w:rStyle w:val="FootnoteAnchor"/>
          <w:rtl w:val="true"/>
        </w:rPr>
        <w:footnoteReference w:id="1011"/>
      </w:r>
      <w:r>
        <w:rPr>
          <w:rFonts w:ascii="Amiri" w:hAnsi="Amiri" w:eastAsia="Amiri" w:cs="Amiri"/>
          <w:color w:val="111111"/>
          <w:sz w:val="28"/>
          <w:sz w:val="28"/>
          <w:szCs w:val="28"/>
          <w:rtl w:val="true"/>
          <w:lang w:bidi="ar-SA"/>
        </w:rPr>
        <w:t>الذي ذكر في أوّله أنّه لا يروى فيه إلّا ما أجمع عليه و صحّ من قول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العظيم أبي عبد اللّه الحسين بن أبي عبد اللّه الواسطي أستاد الكراجكي قال في كتابه على ما نقل عنه السيد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سأل سائل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عمن ذكر صلاة و هو في أخرى، ما الذي يجب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الذي هو فيها و يقضي ما فاته، ثمّ ذكر خلاف المخالفين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حكاه الشهيد، عنهم كقطب الدين الراوندي و نصير الدين حمزة</w:t>
      </w:r>
    </w:p>
    <w:p>
      <w:pPr>
        <w:pStyle w:val="BookText"/>
        <w:rPr/>
      </w:pPr>
      <w:r>
        <w:rPr>
          <w:rFonts w:ascii="Amiri" w:hAnsi="Amiri" w:eastAsia="Amiri" w:cs="Amiri"/>
          <w:color w:val="111111"/>
          <w:sz w:val="28"/>
          <w:sz w:val="28"/>
          <w:szCs w:val="28"/>
          <w:rtl w:val="true"/>
          <w:lang w:bidi="ar-SA"/>
        </w:rPr>
        <w:t xml:space="preserve">الطوسي و سديد الدين محمود الحمصيّ و يحيى بن سعيد جدّ المحقق و نجيب الدين بن يحيى بن محمد و السيد ضياء الدين بن فاخر و الشيخ أبي علي الحسن بن طاهر الصوريّ و عليّ بن عبيد بن بابويه منتجب الدين </w:t>
      </w:r>
      <w:r>
        <w:rPr>
          <w:rStyle w:val="FootnoteAnchor"/>
          <w:rtl w:val="true"/>
        </w:rPr>
        <w:footnoteReference w:id="1013"/>
      </w:r>
      <w:r>
        <w:rPr>
          <w:rFonts w:ascii="Amiri" w:hAnsi="Amiri" w:eastAsia="Amiri" w:cs="Amiri"/>
          <w:color w:val="111111"/>
          <w:sz w:val="28"/>
          <w:sz w:val="28"/>
          <w:szCs w:val="28"/>
          <w:rtl w:val="true"/>
          <w:lang w:bidi="ar-SA"/>
        </w:rPr>
        <w:t xml:space="preserve">، و في المصابيح عن عماد الدين محمد بن عليّ، و في رسالة ابن إدريس </w:t>
      </w:r>
      <w:r>
        <w:rPr>
          <w:rStyle w:val="FootnoteAnchor"/>
          <w:rtl w:val="true"/>
        </w:rPr>
        <w:footnoteReference w:id="1014"/>
      </w:r>
      <w:r>
        <w:rPr>
          <w:rFonts w:ascii="Amiri" w:hAnsi="Amiri" w:eastAsia="Amiri" w:cs="Amiri"/>
          <w:color w:val="111111"/>
          <w:sz w:val="28"/>
          <w:sz w:val="28"/>
          <w:szCs w:val="28"/>
          <w:rtl w:val="true"/>
          <w:lang w:bidi="ar-SA"/>
        </w:rPr>
        <w:t xml:space="preserve">التي عملها في المسألة عن طائفة من العلماء الخراسانيين، و عن محتمل كلام العمّاني، و اختاره السيد بن طاوس من المتأخرين و العلّامة في جملة من كتبه و والده و ولده و أكثر من عاصره، نقله في المختلف </w:t>
      </w:r>
      <w:r>
        <w:rPr>
          <w:rStyle w:val="FootnoteAnchor"/>
          <w:rtl w:val="true"/>
        </w:rPr>
        <w:footnoteReference w:id="1015"/>
      </w:r>
      <w:r>
        <w:rPr>
          <w:rFonts w:ascii="Amiri" w:hAnsi="Amiri" w:eastAsia="Amiri" w:cs="Amiri"/>
          <w:color w:val="111111"/>
          <w:sz w:val="28"/>
          <w:sz w:val="28"/>
          <w:szCs w:val="28"/>
          <w:rtl w:val="true"/>
          <w:lang w:bidi="ar-SA"/>
        </w:rPr>
        <w:t xml:space="preserve">و الشهيدان في اللمعة و الروضة </w:t>
      </w:r>
      <w:r>
        <w:rPr>
          <w:rStyle w:val="FootnoteAnchor"/>
          <w:rtl w:val="true"/>
        </w:rPr>
        <w:footnoteReference w:id="1016"/>
      </w:r>
      <w:r>
        <w:rPr>
          <w:rFonts w:ascii="Amiri" w:hAnsi="Amiri" w:eastAsia="Amiri" w:cs="Amiri"/>
          <w:color w:val="111111"/>
          <w:sz w:val="28"/>
          <w:sz w:val="28"/>
          <w:szCs w:val="28"/>
          <w:rtl w:val="true"/>
          <w:lang w:bidi="ar-SA"/>
        </w:rPr>
        <w:t xml:space="preserve">، و عن المقداد و تلميذه محمد بن شجاع القطان و أبي العباس أحمد بن فهد </w:t>
      </w:r>
      <w:r>
        <w:rPr>
          <w:rStyle w:val="FootnoteAnchor"/>
          <w:rtl w:val="true"/>
        </w:rPr>
        <w:footnoteReference w:id="1017"/>
      </w:r>
      <w:r>
        <w:rPr>
          <w:rFonts w:ascii="Amiri" w:hAnsi="Amiri" w:eastAsia="Amiri" w:cs="Amiri"/>
          <w:color w:val="111111"/>
          <w:sz w:val="28"/>
          <w:sz w:val="28"/>
          <w:szCs w:val="28"/>
          <w:rtl w:val="true"/>
          <w:lang w:bidi="ar-SA"/>
        </w:rPr>
        <w:t xml:space="preserve">و عليّ بن هلال الجزائري تلميذه و الصيمري و المحقق الكركي </w:t>
      </w:r>
      <w:r>
        <w:rPr>
          <w:rStyle w:val="FootnoteAnchor"/>
          <w:rtl w:val="true"/>
        </w:rPr>
        <w:footnoteReference w:id="1018"/>
      </w:r>
      <w:r>
        <w:rPr>
          <w:rFonts w:ascii="Amiri" w:hAnsi="Amiri" w:eastAsia="Amiri" w:cs="Amiri"/>
          <w:color w:val="111111"/>
          <w:sz w:val="28"/>
          <w:sz w:val="28"/>
          <w:szCs w:val="28"/>
          <w:rtl w:val="true"/>
          <w:lang w:bidi="ar-SA"/>
        </w:rPr>
        <w:t xml:space="preserve">و ولده و الميسي و ابن أبي جمهور الأحسائي، و الأردبيلي و صاحب المعالم في الاثنى عشرية و ولده الشيخ محمد و الشيخ أبي طالب شارح الجعفرية و شيخنا البهائي </w:t>
      </w:r>
      <w:r>
        <w:rPr>
          <w:rStyle w:val="FootnoteAnchor"/>
          <w:rtl w:val="true"/>
        </w:rPr>
        <w:footnoteReference w:id="1019"/>
      </w:r>
      <w:r>
        <w:rPr>
          <w:rFonts w:ascii="Amiri" w:hAnsi="Amiri" w:eastAsia="Amiri" w:cs="Amiri"/>
          <w:color w:val="111111"/>
          <w:sz w:val="28"/>
          <w:sz w:val="28"/>
          <w:szCs w:val="28"/>
          <w:rtl w:val="true"/>
          <w:lang w:bidi="ar-SA"/>
        </w:rPr>
        <w:t>و والده و تلميذه الشيخ جواد الكاظمي و المحدّث الكاشاني، و ابن أخيه الهادي و الفاضل السبزواري و السيد ماجد و الشيخ سليمان البحرانيين و العلّامة المجلسي و والده و المدقّق الشيرواني و الفاضل الماحوزي و المحقّق البهبهاني و العلّامة الطباطبائي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ذهب والدي العلّامة و صاحب الجواهر و جماعة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w:t>
      </w:r>
    </w:p>
    <w:p>
      <w:pPr>
        <w:pStyle w:val="BookText"/>
        <w:rPr/>
      </w:pPr>
      <w:r>
        <w:rPr>
          <w:rFonts w:ascii="Amiri" w:hAnsi="Amiri" w:eastAsia="Amiri" w:cs="Amiri"/>
          <w:color w:val="111111"/>
          <w:sz w:val="28"/>
          <w:sz w:val="28"/>
          <w:szCs w:val="28"/>
          <w:rtl w:val="true"/>
          <w:lang w:bidi="ar-SA"/>
        </w:rPr>
        <w:t xml:space="preserve">المشهور بين المتأخرين، بل عليه أكثرهم، و استفاض عليه نقل شهرتهم، بل في الذخيرة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مشهور بين المتقدمين أيضا، و إن نسب فيه القول بالمضايقة إلى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مصابيح السيّد الأجلّ الطباطبائي نسبه إلى أكثر الأصحاب على الإطلاق، بل المستفاد من صاحب الفاخر من قوله في خطبة الكتاب، أنّه ما روي فيه إلّا ما أجمع عليه و صحّ من قول الأئمة عليهم السّلام، كما سمعت أنه إجماعي، بل عن الفاضلين في المعتبر و المختصر النافع و المختلف ظهور دعوى إجماع المسلمين عليه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بمعنى تقديم الفائتة على الحاضرة مطلقا ما لم يتضيّق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القديمين و الشيخين و السيّدين و القاضي و الحلّي </w:t>
      </w:r>
      <w:r>
        <w:rPr>
          <w:rStyle w:val="FootnoteAnchor"/>
          <w:rtl w:val="true"/>
        </w:rPr>
        <w:footnoteReference w:id="1021"/>
      </w:r>
      <w:r>
        <w:rPr>
          <w:rFonts w:ascii="Amiri" w:hAnsi="Amiri" w:eastAsia="Amiri" w:cs="Amiri"/>
          <w:color w:val="111111"/>
          <w:sz w:val="28"/>
          <w:sz w:val="28"/>
          <w:szCs w:val="28"/>
          <w:rtl w:val="true"/>
          <w:lang w:bidi="ar-SA"/>
        </w:rPr>
        <w:t xml:space="preserve">و الحلبي </w:t>
      </w:r>
      <w:r>
        <w:rPr>
          <w:rStyle w:val="FootnoteAnchor"/>
          <w:rtl w:val="true"/>
        </w:rPr>
        <w:footnoteReference w:id="1022"/>
      </w:r>
      <w:r>
        <w:rPr>
          <w:rFonts w:ascii="Amiri" w:hAnsi="Amiri" w:eastAsia="Amiri" w:cs="Amiri"/>
          <w:color w:val="111111"/>
          <w:sz w:val="28"/>
          <w:sz w:val="28"/>
          <w:szCs w:val="28"/>
          <w:rtl w:val="true"/>
          <w:lang w:bidi="ar-SA"/>
        </w:rPr>
        <w:t>و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أكثر هؤلاء بل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بفورية القضاء، حتّى حكي عنهم المنع من الأكل و الشرب و النوم إلّا ما لا بدّ منه و التكسّب و الاشتغال بغيرها في غير ضيق وقت الأداء، بل عن الحلّي و ابن زهرة </w:t>
      </w:r>
      <w:r>
        <w:rPr>
          <w:rStyle w:val="FootnoteAnchor"/>
          <w:rtl w:val="true"/>
        </w:rPr>
        <w:footnoteReference w:id="102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تلازم الفورية و الترتّب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فهد </w:t>
      </w:r>
      <w:r>
        <w:rPr>
          <w:rStyle w:val="FootnoteAnchor"/>
          <w:rtl w:val="true"/>
        </w:rPr>
        <w:footnoteReference w:id="1024"/>
      </w:r>
      <w:r>
        <w:rPr>
          <w:rFonts w:ascii="Amiri" w:hAnsi="Amiri" w:eastAsia="Amiri" w:cs="Amiri"/>
          <w:color w:val="111111"/>
          <w:sz w:val="28"/>
          <w:sz w:val="28"/>
          <w:szCs w:val="28"/>
          <w:rtl w:val="true"/>
          <w:lang w:bidi="ar-SA"/>
        </w:rPr>
        <w:t>التصريح بأنّ الترتّب هو القول بالمضايقة، و عدمه هو القول</w:t>
      </w:r>
    </w:p>
    <w:p>
      <w:pPr>
        <w:pStyle w:val="BookText"/>
        <w:rPr/>
      </w:pPr>
      <w:r>
        <w:rPr>
          <w:rFonts w:ascii="Amiri" w:hAnsi="Amiri" w:eastAsia="Amiri" w:cs="Amiri"/>
          <w:color w:val="111111"/>
          <w:sz w:val="28"/>
          <w:sz w:val="28"/>
          <w:szCs w:val="28"/>
          <w:rtl w:val="true"/>
          <w:lang w:bidi="ar-SA"/>
        </w:rPr>
        <w:t>بالمواسعة، و لذا لم يذكروا إلّا مسألة واحدة، و استدلّوا بما يدلّ على كلّ واحد منهما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أنكره بعض المحققين، و جعلهما مسألتين،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بوجوب تقديم الفائتة فإنّما هو من حيث هو مع قطع النظر عن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استشعر من كلام الفاضل في التذكرة </w:t>
      </w:r>
      <w:r>
        <w:rPr>
          <w:rStyle w:val="FootnoteAnchor"/>
          <w:rtl w:val="true"/>
        </w:rPr>
        <w:footnoteReference w:id="102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علمائنا على وجوب الترتيب،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علمائنا ضيّقوا الأمر في ذلك و شدّدوا الأمر على المكلّف غاية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نسبة الترتيب إلى الأكثر و التضييق إلى الجماعة مشعرة باختلاف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والدي العلّامة إلى بعض مشايخه القول بوجوب الترتيب مع اختياره 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يستشعر من التفصيل بين الفائتة الواحدة و المتعدّدة و فائتة اليوم و غيرها أنّ الكلام في مسألة الترتيب غير الكلام في التضييق و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شهرة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شهرة المضايقة، بل لعلّ شهرة المواسعة لا كلام فيها بين أكثر المصنفين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أكثر من قال بالترتيب أو الفورية صرّحوا ببطلان الحاضرة المقدمة على الفائتة في السعة، بل عن الغنية الإجماع عليه، كالمرتضى و ابن البراج </w:t>
      </w:r>
      <w:r>
        <w:rPr>
          <w:rStyle w:val="FootnoteAnchor"/>
          <w:rtl w:val="true"/>
        </w:rPr>
        <w:footnoteReference w:id="1026"/>
      </w:r>
      <w:r>
        <w:rPr>
          <w:rFonts w:ascii="Amiri" w:hAnsi="Amiri" w:eastAsia="Amiri" w:cs="Amiri"/>
          <w:color w:val="111111"/>
          <w:sz w:val="28"/>
          <w:sz w:val="28"/>
          <w:szCs w:val="28"/>
          <w:rtl w:val="true"/>
          <w:lang w:bidi="ar-SA"/>
        </w:rPr>
        <w:t xml:space="preserve">و أبي الصلاح و الشيخ في المبسوط </w:t>
      </w:r>
      <w:r>
        <w:rPr>
          <w:rStyle w:val="FootnoteAnchor"/>
          <w:rtl w:val="true"/>
        </w:rPr>
        <w:footnoteReference w:id="1027"/>
      </w:r>
      <w:r>
        <w:rPr>
          <w:rFonts w:ascii="Amiri" w:hAnsi="Amiri" w:eastAsia="Amiri" w:cs="Amiri"/>
          <w:color w:val="111111"/>
          <w:sz w:val="28"/>
          <w:sz w:val="28"/>
          <w:szCs w:val="28"/>
          <w:rtl w:val="true"/>
          <w:lang w:bidi="ar-SA"/>
        </w:rPr>
        <w:t>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لم يصرّح بذلك، و لكن لم يظهر منه صحتها، كالمفيد و القديمين و الشيخ في النهاية </w:t>
      </w:r>
      <w:r>
        <w:rPr>
          <w:rStyle w:val="FootnoteAnchor"/>
          <w:rtl w:val="true"/>
        </w:rPr>
        <w:footnoteReference w:id="1028"/>
      </w:r>
      <w:r>
        <w:rPr>
          <w:rFonts w:ascii="IRNazanin" w:hAnsi="IRNazanin" w:eastAsia="IRNazanin"/>
          <w:color w:val="111111"/>
          <w:sz w:val="28"/>
          <w:sz w:val="28"/>
          <w:szCs w:val="28"/>
          <w:rtl w:val="true"/>
          <w:lang w:bidi="fa-IR"/>
        </w:rPr>
        <w:t xml:space="preserve">و الخلاف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قيل بتلازم بطلانها للقول بالترتيب و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وجوب العدول في الأثناء عند التذكّر، و عن المرتضى و الشيخ و القاضي و الحلبيين و الحلّي التصريح به، بل عن الأخير الإجماع عليه، و جعله الفاضل في المختلف </w:t>
      </w:r>
      <w:r>
        <w:rPr>
          <w:rStyle w:val="FootnoteAnchor"/>
          <w:rtl w:val="true"/>
        </w:rPr>
        <w:footnoteReference w:id="1030"/>
      </w:r>
      <w:r>
        <w:rPr>
          <w:rFonts w:ascii="Amiri" w:hAnsi="Amiri" w:eastAsia="Amiri" w:cs="Amiri"/>
          <w:color w:val="111111"/>
          <w:sz w:val="28"/>
          <w:sz w:val="28"/>
          <w:szCs w:val="28"/>
          <w:rtl w:val="true"/>
          <w:lang w:bidi="ar-SA"/>
        </w:rPr>
        <w:t>لازم القول بالمضايقة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بالترتيب في الفائتة الواحدة و عدمه في المتعددة، اختاره المحقق في كتبه الثلاثة و صاحب الكفاية و قوّاه الشهيد في غاية المراد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فائتة اليوم و غيره و هو للفاضل في المختلف خاصة دون سائر كتبه، و لم ينقل عن غيره أيضا، عدا ما يحكى عن بعض شارحي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في الفائتة الواحدة في يوم الذكر دون غيرها، نقل عن ابن أبي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الفائتة نسيانا و عمدا، فيتضيّق للأولى دون الثانية، و هو المحكيّ عن ظاهر ابن حمزة في الوسيلة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المعيّن عدده من الفائت فالتضييق، و مجهوله فعدمه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الديلمي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نقل عنه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استظهر منه رجوعه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عنهم تفصيلات أخر لا عناية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لوجوه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تارة باعتبار البراءة عن وجوب التعجيل و حرمة التأخر، لأنّه تكليف زائد على وجوب نفس الفعل، فيصحّ نفيه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الموسع يضادّ المضيق،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صحّ نفيه بالأصل، فيعارض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غرضنا إثبات الوجوب الموسّع بالأصل حتى يعارض فيه الأصلان، بل المقصود نفي وجوب التعجيل و عدم حرمة التأخير، و لا معارض له في نفسه من حيث هو فعل مجهول الحكم، إلّا أنّه يفيد منضمّا إلى ما هو المعلوم إجمالا من الوجوب المردد بينهما فائدة الموسّع، من قبيل نفي حرمة الترك التي هي فصل الوجوب فيما علم الرجحان و الطلب مرددا بين الوجوب و الاستحباب، فإنّه و إن لم يثبت منه الاستحباب، لعدم كونه مقتضى الأصل، فإنّ مقتضاه ليس إلّا مجرد جواز الترك لا الاستحباب المأخوذ في ماهيّته جوازه قيدا للرجحان، إلّا أنّ جميع هاتين القضيتين و اعتبار تركيبهما يفيد فائدة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إذا علم انتقال عين من أحد إلى آخر، مردّدا بين كونه بالبيع أو الإجارة، فإنّ نسبة الأصل إلى نفيهما على السواء فيتعارضان، فيرجع إلى ما يقتضيه الأصل في لوازمهما، و هو بقاء الملكيّة الموافق لعدم البيع دون الإجارة لانتقال المنفعة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باعتبار البراءة عن الواجبات المتعدّدة اللازمة للقول بالمضايقة، فإنّ القائل بالتضييق لا ينكر الوجوب في الآن الثاني عند العصيان بتركه في الأوّل، و هكذا ثالثا و رابعا و ظاهر أنّ الوجوب الثاني الذي لم يحصل المخالفة فيه بعد غير الأوّل الذي حصل فيه المخالفة و العصيان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المواسعة، فالواجب واحد، و هو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الواجب في الموسع هو الأوّل أيضا، و التأخير من جهة إذن الشارع في البدل سخيف جدّا، كما حقّق في محلّه، فالمجعول بحكم الشرع ليس إلّا أمرا واحدا محدودا بزمان معيّن موسع يتّجه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ترجيح الموسع به مبنيّ على ترجيح ما يخالف الأصل الأقلّ على ما يخالف الأكثر، و إن لم يكن الأقلّ داخلا في الأكثر، و هو خلاف التحقيق على ما حرّرناه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بما سبق من عدم كون المقصود إثبات الموسّع بالأصل عند الترديد بينه و بين ما يتضيّق فورا ففورا، بل إثبات جواز التأخير و إن أفاد ضمّه إلى المعلوم الإجمالي فائدة الموسع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باعتبار البراءة عن وجوب تأخّر الحاضرة و اشتراطها بالترتيب على الفائتة، لأنّ الحقّ ترجيح أصل البراءة على أصل الاشتغال في شروط العبادة و أجزاءها، لكونه مزيلا على ما بيّنّاه في محلّه، و هذا الأصل حجة على من يقول ببطلان الحاضرة من أصحاب المضايقة عند البدأة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فإنّ مقتضاه جواز الحاضرة المعلوم قبل تذكر الحاضرة بعده و عدم وجوب العدول عليه إذا كان الذكر في الأثناء، و يتمّ 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العمومات </w:t>
      </w:r>
      <w:r>
        <w:rPr>
          <w:rStyle w:val="FootnoteAnchor"/>
          <w:rtl w:val="true"/>
        </w:rPr>
        <w:footnoteReference w:id="1034"/>
      </w:r>
      <w:r>
        <w:rPr>
          <w:rFonts w:ascii="Amiri" w:hAnsi="Amiri" w:eastAsia="Amiri" w:cs="Amiri"/>
          <w:color w:val="111111"/>
          <w:sz w:val="28"/>
          <w:sz w:val="28"/>
          <w:szCs w:val="28"/>
          <w:rtl w:val="true"/>
          <w:lang w:bidi="ar-SA"/>
        </w:rPr>
        <w:t xml:space="preserve">الدالّة بإطلاقها على جواز فعل الحاضرة في سعة وقتها و إن كانت عليه فائتة، كقوله سبحانه أَقِمِ الصَّلٰاةَ لِدُلُوكِ الشَّمْسِ إِلىٰ غَسَقِ اللَّيْلِ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الإيراد عليه بأنّه لو تمّ لدلّ على تقديم الحاضرة و لا قائل به، مدفوع بكون الأمر للوجوب التخييري قطعا، إذ لا معنى للوجوب العيني إلى غسق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قوله في صحيحة سعد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عليك فصلّهما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 بدلالته على وجوب المبادرة بالحاضرة حين دخول الوقت، و هو خلاف الإجماع، و كذا إطلاقه على حمله على الرجحان، لأنّ القائلين بالمواسعة لا يقولون برجحان تقديم الحاضرة على من عليه فائتة، فلا بدّ من تخصيصها بغير من عليه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أيضا، بمنع الدلالة على المبادرة، إلّا على القول بإفادة الأمر الفور، و هو ممنوع، و على تسليمه فالإجماع قرينة على عدم إرادة الوجوب و لا الندب لو سلم الإجماع على عدمه أيضا، و يكون محمولا على الوجوب التخييري، مع أنّ الإجماع على عدم رجحان الحاضرة أوّل الوقت ممنوع، بل لعلّه غير بعيد، كما نصّ عليه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استحباب تقديم الفائتة من باب الاحتياط و الخروج عن شبهة الخلاف لا تنافي الرجحان الذاتي للحاضرة الذي ينظر إليه الأخبار، مع أنه لو سلم تساويهما في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رجحان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رجحان أوّل الوقت و فضيلته من حيث هو للحاضرة دون الفائتة، ضرورة أنّ ليس لخصوص أول وقت الحاضرة فضيلة مخصوصة لفعل الفائتة فيه، فهو من قبيل ما ورد من الأعمال و الأدعية المخصوصة في أزمنة خاصة، كما في الشهور المباركة، و يزاحمها أعمال راجحة أخرى مطلقا، أو بأسباب اتفق توافقها لها في الزمان، فحينئذ إن ثبت دليل على أرجحية إحدى الجهتين فهو، و إلّا حكم بالتخيير، و لكلّ فضله المخصوص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ما دلّ على فضيلة أوّل الوقت للحاضرة و مطلوبية المبادرة إليها في أوائل أوقاتها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عدم الرجحان مع وجوب الفائتة، مدفوع بما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ما ورد من استحباب الرواتب و قضاءها و غيرها من الصلوات الكثيرة و الأعمال المخصوصة </w:t>
      </w:r>
      <w:r>
        <w:rPr>
          <w:rStyle w:val="FootnoteAnchor"/>
          <w:rtl w:val="true"/>
        </w:rPr>
        <w:footnoteReference w:id="1037"/>
      </w:r>
      <w:r>
        <w:rPr>
          <w:rFonts w:ascii="Amiri" w:hAnsi="Amiri" w:eastAsia="Amiri" w:cs="Amiri"/>
          <w:color w:val="111111"/>
          <w:sz w:val="28"/>
          <w:sz w:val="28"/>
          <w:szCs w:val="28"/>
          <w:rtl w:val="true"/>
          <w:lang w:bidi="ar-SA"/>
        </w:rPr>
        <w:t xml:space="preserve">، سيما ما ورد في أزمنة خاصة </w:t>
      </w:r>
      <w:r>
        <w:rPr>
          <w:rStyle w:val="FootnoteAnchor"/>
          <w:rtl w:val="true"/>
        </w:rPr>
        <w:footnoteReference w:id="1038"/>
      </w:r>
      <w:r>
        <w:rPr>
          <w:rFonts w:ascii="Amiri" w:hAnsi="Amiri" w:eastAsia="Amiri" w:cs="Amiri"/>
          <w:color w:val="111111"/>
          <w:sz w:val="28"/>
          <w:sz w:val="28"/>
          <w:szCs w:val="28"/>
          <w:rtl w:val="true"/>
          <w:lang w:bidi="ar-SA"/>
        </w:rPr>
        <w:t xml:space="preserve">، و ما ورد عموما و خصوصا في قضاء الرواتب و خصوص صلاة الليل مصرّحا فيه بأيّ وقت شاء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جواز قضاء صلاة النهار متى شاء، كصحيحة ابن أبي يعفور و صحيحة ابن أبي العلاء </w:t>
      </w:r>
      <w:r>
        <w:rPr>
          <w:rStyle w:val="FootnoteAnchor"/>
          <w:rtl w:val="true"/>
        </w:rPr>
        <w:footnoteReference w:id="104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أيضا بإطلاق النصوص الموقّتة للحواضر، كقوله عليه السّلام </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صحّتها في أوائل أوقاتها و لو مع اشتغال الذمّة بالفائتة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ما دلّ على وجوب قضاء الحاضرة إذا مضى من الوقت مقدار ما يسع الفعل </w:t>
      </w:r>
      <w:r>
        <w:rPr>
          <w:rStyle w:val="FootnoteAnchor"/>
          <w:rtl w:val="true"/>
        </w:rPr>
        <w:footnoteReference w:id="1042"/>
      </w:r>
      <w:r>
        <w:rPr>
          <w:rFonts w:ascii="Amiri" w:hAnsi="Amiri" w:eastAsia="Amiri" w:cs="Amiri"/>
          <w:color w:val="111111"/>
          <w:sz w:val="28"/>
          <w:sz w:val="28"/>
          <w:szCs w:val="28"/>
          <w:rtl w:val="true"/>
          <w:lang w:bidi="ar-SA"/>
        </w:rPr>
        <w:t xml:space="preserve">، إذ على المضايقة لا يتحقّق ذلك لمن عليه فوائت، إلّا بمضيّ زمان يسع الجميع و إدراك ضيق الوقت و ترك الأداء، لأنّ صحّة الحاضرة مشروطة بفعل الفائتة، فلا بدّ من مضيّ زمان يسع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في تحقق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الاستدلال بهما إشكال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شرطية الوقت لا تنافي شرطية غيره و إن توقف على صرف بعض الوقت في تحصيله كالطهور و اللباس و نحوهما، أو ترتّبه على فعل موقت آخر كالظهر و العصر في الوقت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فلابتنائه على مانعية القضاء لوجوب الأداء، و قد عرفت ما فيه، كما في الناسي و النائم، سيما إذا كان تأخير الفائتة إلى وقت الحاضرة بتقصيره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بالترتيب سيما على المضايقة التي هي رأي أكثر القائلين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حرجا عظيما و عسرا كثيرا مثله منفيّ في الشريعة السهلة السمحة بنصّ الآية </w:t>
      </w:r>
      <w:r>
        <w:rPr>
          <w:rStyle w:val="FootnoteAnchor"/>
          <w:rtl w:val="true"/>
        </w:rPr>
        <w:footnoteReference w:id="1043"/>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المطلق، الرواية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الماء المضاف، الرواية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44"/>
      </w:r>
      <w:r>
        <w:rPr>
          <w:rFonts w:ascii="Amiri" w:hAnsi="Amiri" w:eastAsia="Amiri" w:cs="Amiri"/>
          <w:color w:val="111111"/>
          <w:sz w:val="28"/>
          <w:sz w:val="28"/>
          <w:szCs w:val="28"/>
          <w:rtl w:val="true"/>
          <w:lang w:bidi="ar-SA"/>
        </w:rPr>
        <w:t xml:space="preserve">و غيرها من السنّة و أخبار الأئمة عليهم السّلام </w:t>
      </w:r>
      <w:r>
        <w:rPr>
          <w:rStyle w:val="FootnoteAnchor"/>
          <w:rtl w:val="true"/>
        </w:rPr>
        <w:footnoteReference w:id="1045"/>
      </w:r>
      <w:r>
        <w:rPr>
          <w:rFonts w:ascii="Amiri" w:hAnsi="Amiri" w:eastAsia="Amiri" w:cs="Amiri"/>
          <w:color w:val="111111"/>
          <w:sz w:val="28"/>
          <w:sz w:val="28"/>
          <w:szCs w:val="28"/>
          <w:rtl w:val="true"/>
          <w:lang w:bidi="ar-SA"/>
        </w:rPr>
        <w:t>، سيما على الوجه الذي ذكره عمدهم كالسيّد و الحلّي و أضرابهما من حرمة جميع الأضداد إلّا ما يقوم به الحياة، لأنّ من عليه فوائت كثيرة لا يسعها يوم و ليلة، لزمه على الترتيب ضبط الأوقات و صرف الساعات و المرصد لآخر كل صلاة و حفظ بقية الوقت عن الزيادة بفعل الفريضة الحاضرة و ضبط أنصاف الليل و معرفتها و معرفة طلوع الشمس و غروبها و ضبطها، و على الفورية صرف جميع الوقت في القضاء و التشاغل به و حرمة تركه في كل وقت، و على حرمة الأضداد تحريم جميع المباحات من الأكل و الشرب و مجالسة الناس و زيارة الإخوان و التكسّب و السفر و أمثال ذلك مما لا يحصى إلّا بقدر الضرورة الملجئة، و كذا حرمة الأذكار و العبادات و بطلانها، كلّ ذلك مشقّة شديدة و حرج عظيم و حيث إنّ الصلوات على وجه صحّتها فائتة من أكثر الناس بل جميعهم إلّا نادرا، إذ قلّ من لم يتعلّق بذمّته فوائت كثيرة و لو لإخلال شرط و تسامح في دقائق صحّتها، أو ترك تقليد سيما في عنفوان الشباب و أوائل البلوغ، خصوصا النساء و العوامّ، كما هو المشاهد في العيان، فهذا الحرج الشديد يعمّ غالب البريّة من الرجال و النسوان و الخدام و أهل الحرف و الصناعات، و لم يبق</w:t>
      </w:r>
    </w:p>
    <w:p>
      <w:pPr>
        <w:pStyle w:val="BookText"/>
        <w:rPr/>
      </w:pPr>
      <w:r>
        <w:rPr>
          <w:rFonts w:ascii="Amiri" w:hAnsi="Amiri" w:eastAsia="Amiri" w:cs="Amiri"/>
          <w:color w:val="111111"/>
          <w:sz w:val="28"/>
          <w:sz w:val="28"/>
          <w:szCs w:val="28"/>
          <w:rtl w:val="true"/>
          <w:lang w:bidi="ar-SA"/>
        </w:rPr>
        <w:t>أهل بيت و لا أهل بلد غالبا إلّا لزمهم الاشتغال دائما بفعل الفوائت و ترك المشاغل، بل ينجرّ ذلك إلى تعطيل أمور جميع الناس و اختلال معاشهم و معادهم و شرائعهم و فوات مقاصدهم، و هل يجوّز ذو بصيرة وقوع مثل تلك البليّة العامة و الداهية العظيمة في عموم الأنام، مع أنّ اللّه سبحانه يريد منهم اليسر و لا يريد بهم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إناطة الأمر إلى قدر ما يلزم منه الحرج سخيفة بل غير معقولة، لعدم انضباطه، خصوصا باعتبار الحرج الحاصل من كثرة المشتغلين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يؤكّد ذلك و يعاضده بل يدلّ عليه عمل المسلمين من السلف و الخلف من غير نكير في جميع الأعصار و الأمصار من العلماء و أتباعهم و سائر الناس، مع اشتغال ذمّة أكثرهم بفوائت كثيرة بل غير محصورة، كما سمعت، و مع ذلك ينامون و يتحاورون و يكتسبون و يسافرون و يصلّون في سعة الأوقات و يقيمون الجماعات في أوائلها و يزدحم عموم الناس فيها و يتنفّلون، مع اشتهار كون الأمر يقتضي النهي عن الضدّ بينهم، و ما هذا إلّا لاشتهار المواسعة في عصر الأقدمين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كلّ خلف عن سلف و متأخّر عن متقدّم إلى زماننا كما عرفت في تحرير الأقوال، و نصّ عليها في أصل الحلبي الذي رواه عنه جماعة كثيرة من أساطين الأصحاب و المشايخ بطرقهم المتكثرة، و لعمري أنّ دعوى بعضهم الإجماع على المضايقة مع تلك الحال من أغرب الدعاوي، كما ستسمعه،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بالخصوص على نفي المضايقة أو الترتيب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1046"/>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نسي أن يصلّي المغرب و العشاء الآخرة، فإن استيقظ قبل الفجر قدر ما يصليهما كلتيهما فليصلّهما، فإن خاف أن تفوته إحداهما فليبدأ بالعشاء، و إن استيقظ بعد الفجر</w:t>
      </w:r>
    </w:p>
    <w:p>
      <w:pPr>
        <w:pStyle w:val="BookText"/>
        <w:rPr/>
      </w:pPr>
      <w:r>
        <w:rPr>
          <w:rFonts w:ascii="Amiri" w:hAnsi="Amiri" w:eastAsia="Amiri" w:cs="Amiri"/>
          <w:color w:val="111111"/>
          <w:sz w:val="28"/>
          <w:sz w:val="28"/>
          <w:szCs w:val="28"/>
          <w:rtl w:val="true"/>
          <w:lang w:bidi="ar-SA"/>
        </w:rPr>
        <w:t>فليصلّ الصبح ثم المغرب ثم العشاء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Style w:val="FootnoteAnchor"/>
          <w:rtl w:val="true"/>
        </w:rPr>
        <w:footnoteReference w:id="1047"/>
      </w:r>
      <w:r>
        <w:rPr>
          <w:rFonts w:ascii="Amiri" w:hAnsi="Amiri" w:eastAsia="Amiri" w:cs="Amiri"/>
          <w:color w:val="111111"/>
          <w:sz w:val="28"/>
          <w:sz w:val="28"/>
          <w:szCs w:val="28"/>
          <w:rtl w:val="true"/>
          <w:lang w:bidi="ar-SA"/>
        </w:rPr>
        <w:t>عنه عليه السّلام، و هي كالسابقة بزيادة ما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خاف أن تطلع الشمس و تفوته إحدى الصلاتين فليصلّ المغرب و يدع العشاء الآخرة، حتى تطلع الشمس و يذهب شعاعها، ثم ليصلّها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فيهما بدلالتهما على امتداد وقت العشاءين إلى الفجر و هو مذهب العامّة، فيقوّى احتمال ورودهما مورد التقيّة، و به يتطرق الوهن بما اشتملت عليه من الأحكام، و على مرجوحية قضاء الفرائض عند طلوع الشمس، و هو أيضا موافق لأكثر العامّة، و على وجوب تقديم الحاضرة في سعة الوقت، و هو خلاف الإجماع، تدفع بما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ورود جزء من الخبر مورد التقية لا توجب خروجه عن الحجية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بامتداد وقت العشاءين إلى الفجر ليس مختصّا بالعامّة، بل عليه جمع كثير من أصحابنا، و هو الأظهر في الوقت الاضطراري لها، كما في مورد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مما عرفت، مضافا إلى أنّ ترك القضاء في الأوقات المكروهة قد يرجّح بمصلحة و هي هنا الاتّقاء عن العامّة و عدم جعله من علائم الرفض، فالكراهة مع تلك المصلحة محمولة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في الثالث من أنّ الإجماع قرينة الاستحباب، و لو دلّ دليل على انتفاء الاستحباب أيضا، فهو قرينة على الجواز، دفعا لتوهّم الحظر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w:t>
      </w:r>
      <w:r>
        <w:rPr>
          <w:rStyle w:val="FootnoteAnchor"/>
          <w:rtl w:val="true"/>
        </w:rPr>
        <w:footnoteReference w:id="1048"/>
      </w:r>
      <w:r>
        <w:rPr>
          <w:rFonts w:ascii="Amiri" w:hAnsi="Amiri" w:eastAsia="Amiri" w:cs="Amiri"/>
          <w:color w:val="111111"/>
          <w:sz w:val="28"/>
          <w:sz w:val="28"/>
          <w:szCs w:val="28"/>
          <w:rtl w:val="true"/>
          <w:lang w:bidi="ar-SA"/>
        </w:rPr>
        <w:t>التي رواها ابن عيسى عن الوشّاء عن رجل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الرجل الأولى و العصر و المغرب و ذكرها عند العشاء</w:t>
      </w:r>
    </w:p>
    <w:p>
      <w:pPr>
        <w:pStyle w:val="BookText"/>
        <w:rPr/>
      </w:pPr>
      <w:r>
        <w:rPr>
          <w:rFonts w:ascii="Amiri" w:hAnsi="Amiri" w:eastAsia="Amiri" w:cs="Amiri"/>
          <w:color w:val="111111"/>
          <w:sz w:val="28"/>
          <w:sz w:val="28"/>
          <w:szCs w:val="28"/>
          <w:rtl w:val="true"/>
          <w:lang w:bidi="ar-SA"/>
        </w:rPr>
        <w:t>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بالوقت الذي هو فيه، فإنّه لا يأمن الموت، فيكون قد ترك صلاة فريضة في وقت قد دخلت، ثم يقضى ما فاته، الأولى فالأولى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معتبرة، مع أنّ مراسيله منجبرة بما حكي عن عليّ بن عبيد اللّه بن بابويه صاحب العصرة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عيسى 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عن الصدوق عدّها من الكتب المشهورة التي عليها المعوّل و 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رجاله عن جميل عن الصادق عليه السّلام، بل عن البحار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المحقق في المعتبر بإسناده عن جميل دلّت على عدم الترتيب و عدم المضايقة، و الأمر بتقديم الحاضرة مع عدم صراحته في الوجوب محمول في المورد بحكم الإجماع على الرجحان المحتمل في المقام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على آخر وقت العشاء الآخرة لا وجه له، مع أنّه في غاية البعد، و لا يناسبه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مشاركة المغرب للعشاء في الوقت الاختياري ممنوع على مختارنا، من ذهاب وقت المغرب بذهاب الحمرة، كما عن جمع من أهل المضايقة، مع أنّه على الاشتراك حمل المغرب على الليلة السابقة أقرب من حمله على آخر وقت العشاء، بملاحظة التعليل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 عن رجل فاتته صلاة النهار متى يقضيها؟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شاء، إن شاء بعد المغرب و إن شاء بعد العشاء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تخصيصه بالنوافل مجرد دعوى لا شاهد له، و مقايستها بصلاة الليل المعروف بإرادة النافلة منها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النافلة ببعض النوافل الليلية دون نافلة المغرب و العشاء،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صحيحة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يقضيها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Style w:val="FootnoteAnchor"/>
          <w:rtl w:val="true"/>
        </w:rPr>
        <w:footnoteReference w:id="1051"/>
      </w:r>
      <w:r>
        <w:rPr>
          <w:rFonts w:ascii="Amiri" w:hAnsi="Amiri" w:eastAsia="Amiri" w:cs="Amiri"/>
          <w:color w:val="111111"/>
          <w:sz w:val="28"/>
          <w:sz w:val="28"/>
          <w:szCs w:val="28"/>
          <w:rtl w:val="true"/>
          <w:lang w:bidi="ar-SA"/>
        </w:rPr>
        <w:t>عن الصادق عليه السّلام عن رجل تفوته المغرب حتى تحضر العتمة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العتمة و ذكر أنّ عليه صلاة المغرب فإن أحبّ أن يبدأ بالمغرب بدأه، و إن أحبّ بدأ بالعتمة، ثم صلّى المغرب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على مختارنا ظاهر كما مرّ، و على القول بالاشتراك لا بدّ من الحمل على المغرب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السيد الجليل على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المسألة عن كتاب الصلاة للحسين بن سعيد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عيص بن القاسم </w:t>
      </w:r>
      <w:r>
        <w:rPr>
          <w:rStyle w:val="FootnoteAnchor"/>
          <w:rtl w:val="true"/>
        </w:rPr>
        <w:footnoteReference w:id="10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أو نام عن الصلاة حتى دخل وقت صلاة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صلاة الأولى فليبدأ بها، و إن كانت صلاة العصر فليصلّ العشاء ثمّ يصلّى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معتبرة، بل قال بعض الأفاضل هو في أعلى درجات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تقديم العشاء الحاضرة على العصر الفائتة إجماعا قرينة الاستحباب، مع ما في الفرق بين الظهر و العصر الفائتتين في وجوب التقديم و التأخير على الحاضرة من مخالفته للإجماع أيضا، و أمّا في مجرد الرجحان فالمخالفة غير معلومة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يوجّه الفرق بتعميم الوقت الذي خرج لوقتي الفضيلة و الإجزاء، و حمل</w:t>
      </w:r>
    </w:p>
    <w:p>
      <w:pPr>
        <w:pStyle w:val="BookText"/>
        <w:rPr/>
      </w:pPr>
      <w:r>
        <w:rPr>
          <w:rFonts w:ascii="Amiri" w:hAnsi="Amiri" w:eastAsia="Amiri" w:cs="Amiri"/>
          <w:color w:val="111111"/>
          <w:sz w:val="28"/>
          <w:sz w:val="28"/>
          <w:szCs w:val="28"/>
          <w:rtl w:val="true"/>
          <w:lang w:bidi="ar-SA"/>
        </w:rPr>
        <w:t>وجوب تقديم الأولى على الأوّل بالنسبة إلى العصر و العشاء الحاضرة على العصر الفائتة على الثاني، و فيه بعد لا يخفى، بل ركاكة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الرواية شاهد للمواسعة و بعضها للمضايقة، و الواجب بعد ملاحظة عدم القول بالفصل من الطرفين الحمل على التخيير و مآله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بالحاضرة ابدا بالفائتة، و هو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ذكر وجوه آخر كلّها مشتركة في جواز تقديم الحاضرة على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بن طاوس عن قرب الإسناد للحميري، عن على بن جعفر عن أخيه الكاظم عليه السّلام، سألته عن رجل نسي المغرب حتى دخل وقت العشاء،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العشاء ثمّ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نسي الفجر حتى حضرت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بالظهر ثم يصلّي الفجر، كذلك كلّ صلاة بعد صلاة</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محمول على الاستحباب إجماعا، مع أنّه ظاهر في الوجوب و رجحان تقديم العشاء الفائتة على الفجر خاصة، و لعلّ وجهه خوف طلوع الشمس في بعض الصور الراجح تأخّرها عنه إلى بعد شعاعها اتّقاء عن العامّة، فيفوته رجحان تعجيل الفائتة، بخلاف الفجر، إذ الفرض عدم ضيق وقته، فلا يخاف فوته، و إلّا وجب تقديمها إجماعا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ابن طاوس في الرسالة </w:t>
      </w:r>
      <w:r>
        <w:rPr>
          <w:rStyle w:val="FootnoteAnchor"/>
          <w:rtl w:val="true"/>
        </w:rPr>
        <w:footnoteReference w:id="1054"/>
      </w:r>
      <w:r>
        <w:rPr>
          <w:rFonts w:ascii="Amiri" w:hAnsi="Amiri" w:eastAsia="Amiri" w:cs="Amiri"/>
          <w:color w:val="111111"/>
          <w:sz w:val="28"/>
          <w:sz w:val="28"/>
          <w:szCs w:val="28"/>
          <w:rtl w:val="true"/>
          <w:lang w:bidi="ar-SA"/>
        </w:rPr>
        <w:t>عن أمالى السيد أبي طالب عليّ بن الحسين الحسني بسنده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أقضي؟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مع كلّ صلاة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 كما عن السيّد صريحة على 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في حديث طويل </w:t>
      </w:r>
      <w:r>
        <w:rPr>
          <w:rStyle w:val="FootnoteAnchor"/>
          <w:rtl w:val="true"/>
        </w:rPr>
        <w:footnoteReference w:id="1055"/>
      </w:r>
      <w:r>
        <w:rPr>
          <w:rFonts w:ascii="Amiri" w:hAnsi="Amiri" w:eastAsia="Amiri" w:cs="Amiri"/>
          <w:color w:val="111111"/>
          <w:sz w:val="28"/>
          <w:sz w:val="28"/>
          <w:szCs w:val="28"/>
          <w:rtl w:val="true"/>
          <w:lang w:bidi="ar-SA"/>
        </w:rPr>
        <w:t>عن الرجل يكون عليه صلاة في الحضر، هل يقضيها و 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يقضيها بالليل على الأرض، فأمّا على الظهر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الوجوب فيختصّ بالفريضة دون النافلة، مضافا إلى النهي عنها على الظهر، و تبادر الفريضة قطعا من الوحدة المستفادة من التنكير عند الترديد بينها و بين النافلة، بل لعلّ وجه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كيفية فريضة الحاضر الفائتة و المسافر في الإتمام و القصر، فيتخيّل حرمة إتمام الواجب عليه قضاء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دلالتها على المواسعة ظاهرة، لأنّه على التضييق إن كان المشي ضرورة فيجوز فعل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الراحلة كالأداء، و إلّا كان وجب عليه النزول أو الإقامة حتى يفرغ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أمره بالقضاء بالليل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تيسر النزول غالبا للمسافر في النهار، أو لأنّ في الليل من الأفعال ما ليس في غيره، فهو محمول على المرجوحيّة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عليها ينزل أيضا خبر آخر لعمّار </w:t>
      </w:r>
      <w:r>
        <w:rPr>
          <w:rStyle w:val="FootnoteAnchor"/>
          <w:rtl w:val="true"/>
        </w:rPr>
        <w:footnoteReference w:id="1056"/>
      </w:r>
      <w:r>
        <w:rPr>
          <w:rFonts w:ascii="Amiri" w:hAnsi="Amiri" w:eastAsia="Amiri" w:cs="Amiri"/>
          <w:color w:val="111111"/>
          <w:sz w:val="28"/>
          <w:sz w:val="28"/>
          <w:szCs w:val="28"/>
          <w:rtl w:val="true"/>
          <w:lang w:bidi="ar-SA"/>
        </w:rPr>
        <w:t>، الذي رواه الشيخ و السيّد من أصل محمد بن على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ينام عن الفجر حتى تطلع الشمس و هو في سفر، كيف يصنع؟ أ يجوز له أن يقضي بالنهار؟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صلاة نافلة و لا فريضة بالنهار، و لا يجوز و لا يثبت له، و لكن يؤخّرها فيقضيها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عن الشيخ بعد روايته نسبته باعتبار صراحته في الحرمة إلى الشذوذ بمخالفته الكتاب و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خشيت أن تفوتك الغداة إن بدأت بالمغرب، فصلّ الغداة ثم صلّ المغرب و العشاء، ابدأ بأوّلهما، لأنّهما جميعا قضاء أيهما ذكرت 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إرادة ذهاب شعاعها من تلك العبارة في الأخبار المصرّحة بكراهة التنقّل عند طلوع الشمس و قبل ذهاب شعاعها، و سمعت بعضها، إلّا 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قضاء الصلاة بل ذوات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الأوقات المكروهة، و لعلّ النهي عنها محمول على تفاوت مراتب الرجحان و أولوية التأخير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النافلة على من عليه فائتة، كصحيحة أبي بصير عن الصادق عليه السّلام </w:t>
      </w:r>
      <w:r>
        <w:rPr>
          <w:rStyle w:val="FootnoteAnchor"/>
          <w:rtl w:val="true"/>
        </w:rPr>
        <w:footnoteReference w:id="1058"/>
      </w:r>
      <w:r>
        <w:rPr>
          <w:rFonts w:ascii="Amiri" w:hAnsi="Amiri" w:eastAsia="Amiri" w:cs="Amiri"/>
          <w:color w:val="111111"/>
          <w:sz w:val="28"/>
          <w:sz w:val="28"/>
          <w:szCs w:val="28"/>
          <w:rtl w:val="true"/>
          <w:lang w:bidi="ar-SA"/>
        </w:rPr>
        <w:t>، سألته عن رجل نام حتى طلعت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ركعتين، ثمّ يصلّى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رقود رسول اللّه صلّى اللّه عليه و آله و سلّم الآتي تقديمه قضاء ركعتي النافلة على قضاء الفريضة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الخدش في الأوّل بعدم القائل باستحباب تقديم ركعتين على القضاء، ردّ بعدم ثبوت الإجماع على عدم استحباب ذلك، و عدم ذكره لا يدلّ على العدم، و لا استبعاد في ذلك في 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رقود رسول اللّه صلّى اللّه عليه و آله و سلّم في بعض أسفاره بالليل عن صلاة الفجر لغلبة النوم عليه و على أصحابه، ففي صحيحة ابن سنان </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رقد فغلبته عيناه فلم يستيقظ حتّى آذاه حرّ الشمس، ثمّ استيقظ فعاد 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مكانه الذي كان فيه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مضمرة سماعة </w:t>
      </w:r>
      <w:r>
        <w:rPr>
          <w:rStyle w:val="FootnoteAnchor"/>
          <w:rtl w:val="true"/>
        </w:rPr>
        <w:footnoteReference w:id="10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تنحّيه عنه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مخاطبته قبل القضاء لبلال، و استماع جوابه و أمر الأصحاب بالتنحي عن مكان الغفلة، فإنّ فيه عند نزوله في بعض أسفاره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فنام و ناموا حتى طلعت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ما أرقدك؟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أخذ بنفسي الذي أخذ بأنفاسكم،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فنحّوا عن مكانكم الذي أخذتكم فيه الغفلة،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فصلّى رسول اللّه صلّى اللّه عليه و آله و سلّم ركعتي الفجر، و أمر أصحابه، فصلّوا ركعتي الفجر، ثم قام فصلّى بهم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0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من هذا الوادي الذي أصابتكم فيه هذه الغفلة، فإنّكم نمتم بوادي الشيطان، ثم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يظهر منه أنّ النبي صلّى اللّه عليه و آله و سلّم لم يبادر إلى القضاء زيادة على ما فيه من تقديم قضاء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تنافي 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يستند بأمره صلّى اللّه عليه و آله و سلّم بالأذان و الإقامة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أنّهما من مقدمات الصلاة، و لا بأس بها عند أهل المضايقة و لو ندبا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القدح في تلك الأخبار بأنها توجب القدح في النبي صلّى اللّه عليه و آله و سلّم، فيجب طرحها، كالأخبار المتضمّنة للسهو منه صلّى اللّه عليه و آله و سلّم أو من أحد الأئمة عليهم السّلام </w:t>
      </w:r>
      <w:r>
        <w:rPr>
          <w:rStyle w:val="FootnoteAnchor"/>
          <w:rtl w:val="true"/>
        </w:rPr>
        <w:footnoteReference w:id="1063"/>
      </w:r>
      <w:r>
        <w:rPr>
          <w:rFonts w:ascii="Amiri" w:hAnsi="Amiri" w:eastAsia="Amiri" w:cs="Amiri"/>
          <w:color w:val="111111"/>
          <w:sz w:val="28"/>
          <w:sz w:val="28"/>
          <w:szCs w:val="28"/>
          <w:rtl w:val="true"/>
          <w:lang w:bidi="ar-SA"/>
        </w:rPr>
        <w:t>، و ربما 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Style w:val="FootnoteAnchor"/>
          <w:rtl w:val="true"/>
        </w:rPr>
        <w:footnoteReference w:id="106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من الآيات </w:t>
      </w:r>
      <w:r>
        <w:rPr>
          <w:rStyle w:val="FootnoteAnchor"/>
          <w:rtl w:val="true"/>
        </w:rPr>
        <w:footnoteReference w:id="1065"/>
      </w:r>
      <w:r>
        <w:rPr>
          <w:rFonts w:ascii="Amiri" w:hAnsi="Amiri" w:eastAsia="Amiri" w:cs="Amiri"/>
          <w:color w:val="111111"/>
          <w:sz w:val="28"/>
          <w:sz w:val="28"/>
          <w:szCs w:val="28"/>
          <w:rtl w:val="true"/>
          <w:lang w:bidi="ar-SA"/>
        </w:rPr>
        <w:t xml:space="preserve">و الأخبار على طهارة النبي صلّى اللّه عليه و آله و سلّم و عترته عليهم السّلام من جميع الأرجاس و القبائح و العيوب، و عصمتهم من العثار و الخطل في القول و العمل، و بلوغهم إلى أقصى مراتب الكمال، و أفضليتهم ممن عداهم في جميع الأحوال و الأعمال، و أنّهم تنام عيونهم و لا تنام قلوبهم </w:t>
      </w:r>
      <w:r>
        <w:rPr>
          <w:rStyle w:val="FootnoteAnchor"/>
          <w:rtl w:val="true"/>
        </w:rPr>
        <w:footnoteReference w:id="1066"/>
      </w:r>
      <w:r>
        <w:rPr>
          <w:rFonts w:ascii="Amiri" w:hAnsi="Amiri" w:eastAsia="Amiri" w:cs="Amiri"/>
          <w:color w:val="111111"/>
          <w:sz w:val="28"/>
          <w:sz w:val="28"/>
          <w:szCs w:val="28"/>
          <w:rtl w:val="true"/>
          <w:lang w:bidi="ar-SA"/>
        </w:rPr>
        <w:t xml:space="preserve">، و أنّ حالهم في المنام كحالهم في اليقظة، و أنّ النوم لا يغيّر منهم شيئا من جهة الإدراك و المعرفة، و لا يصيبهم لمّة الشيطان </w:t>
      </w:r>
      <w:r>
        <w:rPr>
          <w:rStyle w:val="FootnoteAnchor"/>
          <w:rtl w:val="true"/>
        </w:rPr>
        <w:footnoteReference w:id="1067"/>
      </w:r>
      <w:r>
        <w:rPr>
          <w:rFonts w:ascii="Amiri" w:hAnsi="Amiri" w:eastAsia="Amiri" w:cs="Amiri"/>
          <w:color w:val="111111"/>
          <w:sz w:val="28"/>
          <w:sz w:val="28"/>
          <w:szCs w:val="28"/>
          <w:rtl w:val="true"/>
          <w:lang w:bidi="ar-SA"/>
        </w:rPr>
        <w:t xml:space="preserve">، و أنّ ملائكة الليل و النهار كانوا يشهدون مع النبي صلّى اللّه عليه و آله و سلّم صلاة الفجر، و أنّهم ما من يوم و لا من ساعة و لا وقت صلاة إلّا و هم ينبّهونهم ليصلّوا </w:t>
      </w:r>
      <w:r>
        <w:rPr>
          <w:rStyle w:val="FootnoteAnchor"/>
          <w:rtl w:val="true"/>
        </w:rPr>
        <w:footnoteReference w:id="1068"/>
      </w:r>
      <w:r>
        <w:rPr>
          <w:rFonts w:ascii="Amiri" w:hAnsi="Amiri" w:eastAsia="Amiri" w:cs="Amiri"/>
          <w:color w:val="111111"/>
          <w:sz w:val="28"/>
          <w:sz w:val="28"/>
          <w:szCs w:val="28"/>
          <w:rtl w:val="true"/>
          <w:lang w:bidi="ar-SA"/>
        </w:rPr>
        <w:t>، و أنّهم كانوا مؤيّدين بروح القدس يخبرهم و يسدّدهم و لا يصيبهم</w:t>
      </w:r>
    </w:p>
    <w:p>
      <w:pPr>
        <w:pStyle w:val="BookText"/>
        <w:rPr/>
      </w:pPr>
      <w:r>
        <w:rPr>
          <w:rFonts w:ascii="IRNazanin" w:hAnsi="IRNazanin" w:eastAsia="IRNazanin"/>
          <w:color w:val="111111"/>
          <w:sz w:val="28"/>
          <w:sz w:val="28"/>
          <w:szCs w:val="28"/>
          <w:rtl w:val="true"/>
          <w:lang w:bidi="fa-IR"/>
        </w:rPr>
        <w:t xml:space="preserve">الحدثان </w:t>
      </w:r>
      <w:r>
        <w:rPr>
          <w:rStyle w:val="FootnoteAnchor"/>
          <w:rtl w:val="true"/>
        </w:rPr>
        <w:footnoteReference w:id="1069"/>
      </w:r>
      <w:r>
        <w:rPr>
          <w:rFonts w:ascii="Amiri" w:hAnsi="Amiri" w:eastAsia="Amiri" w:cs="Amiri"/>
          <w:color w:val="111111"/>
          <w:sz w:val="28"/>
          <w:sz w:val="28"/>
          <w:szCs w:val="28"/>
          <w:rtl w:val="true"/>
          <w:lang w:bidi="ar-SA"/>
        </w:rPr>
        <w:t>، و أنّهم ليسوا أقلّ من الديكة التي تصرخ في أوقات الصلاة و في أواخر الليل، لسماعها صوت تسبيح ديك السماء الذي هو من الملائكة، و آخر تسبيحه في الليل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الرحمن لا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سيما مع تضمّن بعض أخبار الرقود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نمتم بوادي الشيطان </w:t>
      </w:r>
      <w:r>
        <w:rPr>
          <w:rStyle w:val="FootnoteAnchor"/>
          <w:rtl w:val="true"/>
        </w:rPr>
        <w:footnoteReference w:id="1070"/>
      </w:r>
      <w:r>
        <w:rPr>
          <w:rFonts w:ascii="Amiri" w:hAnsi="Amiri" w:eastAsia="Amiri" w:cs="Amiri"/>
          <w:color w:val="111111"/>
          <w:sz w:val="28"/>
          <w:sz w:val="28"/>
          <w:szCs w:val="28"/>
          <w:rtl w:val="true"/>
          <w:lang w:bidi="ar-SA"/>
        </w:rPr>
        <w:t>، و قد دلّ على أنّ منشأ نومهم تسلّط الشيطان، و هو تعالى عنه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مخدوش جدّا، لمنع كون رقوده قدحا فيه، بل قال بعض المحقّقين هو رحمة للأمّة، كما ورد في بعض هذه الأخبار، لئلّا يعيّر العباد بعضهم بعضا، نظير تزويجه لزينب في قوله تعالى زَوَّجْنٰاكَهٰا لِكَيْ لٰا يَكُونَ عَلَى الْمُؤْمِنِينَ حَرَجٌ فِي أَزْوٰاجِ أَدْعِيٰائِهِمْ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إنامته سبحانه له لا يوجب قدحا فيه، سيما إذا كانت لمصلحة و طرف المصلحة كثيرة لا يحصيها، و عدم علمنا بها بعينها في المقام لا يبيح طرح الأخبار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المذكورة غير متّجهة، لأنّ غلبة النوم الطبيعي الغير الاختياري ليست من الأرجاس و القبائح، و لا من العثار و الخطل، إذ لا تكليف معه، فلا عصيان فلا قبح و لا رجس، و هل هو إلّا كحال عدم تشريع الصلاة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رقوده بلوغهم أقصى مراتب الكمال و إلّا كان اللازم تنزّههم عن مطلق النوم المانع عن العبادات و الصلوات المندوبات، و لا أفضليتهم ممّن عداهم في مشاركتهم إيّاهم في صفة طبيعية، و قياس النوم بالسهو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كما قيل ظهور الفرق عند الأصحاب بينهما بردّهم أخبار السهو و عدم تجويزه الإمامية، عدا ما في المحكيّ عن أبي علي الطبرسي عن بعضهم من تجويزه السهو و النسيان على الأنبياء في غير ما يؤدّونه عن اللّه تعالى مطلقا، ما لم يؤدّ ذلك إلى الإخلال بالعقل، كما جوّزوا عليهم النوم و الإغماء الذين هما من قبيل السهو، و لم يردّ أحد أخبار النوم عن الصلاة، و في الذكرى لم أقف على رادّ لهذا الخبر من حيث توهّم القدح في العصمة، بل عن صاحب رسالة نفي السهو و هو السيّد المرتضى التصريح بالفرق بين السهو و النوم، بل ربما يظهر منه نفي ذلك كذلك بين الإمامية، كما عن والد البهائي في بعض المسائل المنسوبة إليه أنّ الأصحاب تلقّوا أخبار نوم النبي صلّى اللّه عليه و آله و سلّم عن الصلاة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يستلزم تيقّظ قلبه عدم إحساسه الوقت في النوم و لا استواء حالتي النوم و اليقظة و عدم تغيّر شي‌ء له و لو من جهة الإدراك، و إن ورد فيه خبر، فهو على معنى عدم تغيّر ما في عادة الناس من نوم قلوبهم و استيلاء الخيال الاضطراري عليها و غفلتها عن شئون تلك النشأة، فإنّ حالة النوم و لو للحجج المعصومين غير حالة اليقظة، و إلّا لم يسترح به البدن، و ليس هو مجرّد عدم إبصار المحسوسات و عدم سماع الأصوات اللذان يحصلان في اليقظة أيضا، بغضّ العينين و سدّ الأذنين، بل هو تعطيل النفس عن التصرفات البدنية و الإدراكات الحسّية، و فرقهم عن غيرهم في عدم تعطّل نفوسهم القدسية عن تصرفاتها و عدم غفلتهم عن الأعمال القلبية و الإدراكات العقلية دون غيرهم، و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عينه و لا ينام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إلى وقت الصلاة من المدركات الحسّية، فلا ينافي عدم نوم قلبه عدم التفاته إليه، و إن كان على خلاف عادتهم بمشيئته سبحانه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دلّ على شهود الملائكة معهم عند وقت كلّ صلاة غايته الدلالة عليه عند</w:t>
      </w:r>
    </w:p>
    <w:p>
      <w:pPr>
        <w:pStyle w:val="BookText"/>
        <w:rPr/>
      </w:pPr>
      <w:r>
        <w:rPr>
          <w:rFonts w:ascii="Amiri" w:hAnsi="Amiri" w:eastAsia="Amiri" w:cs="Amiri"/>
          <w:color w:val="111111"/>
          <w:sz w:val="28"/>
          <w:sz w:val="28"/>
          <w:szCs w:val="28"/>
          <w:rtl w:val="true"/>
          <w:lang w:bidi="ar-SA"/>
        </w:rPr>
        <w:t>انتباههم، و ليس نصّا على ذلك و لو في حال نومهم في جميع الأوقات، بحيث يعارض صريح مدلول أخبار الرقود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النقض بحكاية الديكة أعجوبة، فإنّ كل مخلوق تيسّر لما خلق له، و إلّا لزم فضلها على المؤمنين الذين يتفق لهم ذلك أحيانا بلا كلام و لا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نمتم بوادي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أنّ منشأ نومهم تسلط الشيطان، مع أنّ سلطانه على الذين يتولّونه، بل هو إخباره بنحوسة هذا الوادي، لارتباط له بالشيطان، من قبيل ما ورد من نحوسة بعض البلاد كالبصرة، لعدم قبولها الولاية، و تأثير نحوسته الذاتية في أصحابه غير إغواء الشيطان لهم و تسلّطه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أصحاب المضايقة بوجوه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نقله عن الشيخ و الحلّي و ابن زهرة </w:t>
      </w:r>
      <w:r>
        <w:rPr>
          <w:rStyle w:val="FootnoteAnchor"/>
          <w:rtl w:val="true"/>
        </w:rPr>
        <w:footnoteReference w:id="1072"/>
      </w:r>
      <w:r>
        <w:rPr>
          <w:rFonts w:ascii="Amiri" w:hAnsi="Amiri" w:eastAsia="Amiri" w:cs="Amiri"/>
          <w:color w:val="111111"/>
          <w:sz w:val="28"/>
          <w:sz w:val="28"/>
          <w:szCs w:val="28"/>
          <w:rtl w:val="true"/>
          <w:lang w:bidi="ar-SA"/>
        </w:rPr>
        <w:t>، و أنت بعد الإحاطة على ما حرّرته من تعداد القائلين بالمواسعة من القدماء و المتأخرين و ذكر مخالفتهم بعد الاستقراء و الاستقضاء و اشتهار القول بالسعة بين الأوائل و الأواخر من أعيان الإمامية و عظماء الأصحاب، و سمعت من صاحب الذخيرة نقل الشهرة المتقدّمة كالمتأخرة المحقّقة عليه، و عن صاحب المفاتيح نسبته إلى أكثر الأصحاب على الإطلاق، و عن الفاضلين ظهور دعوى إجماع المسلمين عليه في الجملة، و عن صاحب العصرة أن ادّعاه الشيخ الإجماع العجيب تراه لم يقيّد بقول الشيخين المتقدّمين أي الصدوقين و سلفهما، إذ لم يعدّهما من الأصحاب، أو لم يبلغه قولهما أو قول سلفهما، و عن المحقق الشيخ عبد العالي في تعليق الإرشاد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إدريس غير صريح في دعوى الإجماع على المضايقة، لأنّه يحتمل أن يراد به الإجماع على أنّ الأدلّة التي ذكرها حجة، لا أنّ ما استدلّ عليه من هذه المسألة</w:t>
      </w:r>
    </w:p>
    <w:p>
      <w:pPr>
        <w:pStyle w:val="BookText"/>
        <w:rPr/>
      </w:pPr>
      <w:r>
        <w:rPr>
          <w:rFonts w:ascii="Amiri" w:hAnsi="Amiri" w:eastAsia="Amiri" w:cs="Amiri"/>
          <w:color w:val="111111"/>
          <w:sz w:val="28"/>
          <w:sz w:val="28"/>
          <w:szCs w:val="28"/>
          <w:rtl w:val="true"/>
          <w:lang w:bidi="ar-SA"/>
        </w:rPr>
        <w:t>انعقد الإجماع عليه، و استجوده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يطعن عليه أنّه مخلط لا يعتمد على تصنيفه، و ربما يدّعي الدعوى و يذكر فيها الإجماع، ثم ينقضها في مكان آخر قريب منه و يدّعي فيها الإجماع، و عدّ منه مسائل كذلك، و نحوه إجماع ابن زهرة، إذ لا يخفى على الخبير حاله و حال غيره من إجماعاته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دعوى الإجماع في مثل تلك المسألة مع اختلاف من ذكرناهم، على عظم أقدارهم و شهرة آثارهم ممن تقدّم و تأخّر، من أغرب الدعاوي، بل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القائلين بالمواسعة أقرب إلى دعوى الإجماع من المضايقة، إذ أرباب المضايقة المقطوع بفتواهم بها بالنسبة إلى الأولى نذر قليل، بل لم يعرف عن بعضهم إلّا بالنقل كالقديمين و ليس هو كالعيان، سيما مع ملاحظة السيرة الجارية في الأعصار و الأمصار على المواسعة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الاشتغال و الاحتياط في البراءة في الفائتة و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أنّ أصل البراءة و عدم اشتراط العبادة </w:t>
      </w:r>
      <w:r>
        <w:rPr>
          <w:rStyle w:val="FootnoteAnchor"/>
          <w:rtl w:val="true"/>
        </w:rPr>
        <w:footnoteReference w:id="1073"/>
      </w:r>
      <w:r>
        <w:rPr>
          <w:rFonts w:ascii="Amiri" w:hAnsi="Amiri" w:eastAsia="Amiri" w:cs="Amiri"/>
          <w:color w:val="111111"/>
          <w:sz w:val="28"/>
          <w:sz w:val="28"/>
          <w:szCs w:val="28"/>
          <w:rtl w:val="true"/>
          <w:lang w:bidi="ar-SA"/>
        </w:rPr>
        <w:t>يزيل أصل الاشتغال على ما حرّرناه في الأصول، مع أنّ أصل الاشتغال غير جار في الفائتة على القول به أيضا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أَقِمِ الصَّلٰاةَ لِذِكْرِي </w:t>
      </w:r>
      <w:r>
        <w:rPr>
          <w:rStyle w:val="FootnoteAnchor"/>
          <w:rtl w:val="true"/>
        </w:rPr>
        <w:footnoteReference w:id="1074"/>
      </w:r>
      <w:r>
        <w:rPr>
          <w:rFonts w:ascii="Amiri" w:hAnsi="Amiri" w:eastAsia="Amiri" w:cs="Amiri"/>
          <w:color w:val="111111"/>
          <w:sz w:val="28"/>
          <w:sz w:val="28"/>
          <w:szCs w:val="28"/>
          <w:rtl w:val="true"/>
          <w:lang w:bidi="ar-SA"/>
        </w:rPr>
        <w:t xml:space="preserve">، فإنّه ورد في الفائتة، حكاه في الذكرى </w:t>
      </w:r>
      <w:r>
        <w:rPr>
          <w:rStyle w:val="FootnoteAnchor"/>
          <w:rtl w:val="true"/>
        </w:rPr>
        <w:footnoteReference w:id="1075"/>
      </w:r>
      <w:r>
        <w:rPr>
          <w:rFonts w:ascii="Amiri" w:hAnsi="Amiri" w:eastAsia="Amiri" w:cs="Amiri"/>
          <w:color w:val="111111"/>
          <w:sz w:val="28"/>
          <w:sz w:val="28"/>
          <w:szCs w:val="28"/>
          <w:rtl w:val="true"/>
          <w:lang w:bidi="ar-SA"/>
        </w:rPr>
        <w:t>عن أكثر المفسّرين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يقضها إذا ذكرها، إنّ اللّه تعالى قال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عليه صحيحة زرارة المتقدّمة في رقود النبي صلّى اللّه عليه و آله و سلّم و غيرها، فالمراد بالذكر في الآية التذكّر من النسيان، و يكون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وقت ذكر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يكون المضاف مقدرا أو وقت ذكر الصلاة، بناء على أنّ المذكر هو اللّه، كما ورد أنّ الذكر و النسيان مما لا صنع للعباد فيهما، فدلّ على الفور، سيما مع استدلال الإمام عليه السّلام به على الفورية، كما في صحيحة زرارة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 فذكرتها في وقت أخرى، فإن كنت تعلم أنّك إذا صلّيت التي فاتتك كنت عن الأخرى في وقت، فابدأ بالتي فاتتك، فإنّ اللّه عزّ و جلّ يقول 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الآية على المعنى المذكور، أي الذكر بعد النسيان، خلاف الظاهر و أبعد المعاني الذي ذكرها المفسّرون، ككونه بمعنى العبادة، أي لعبادتي من باب عطف الخاصّ على العامّ الذي قبله، و هو قوله تعالى فَاعْبُدْنِي، لما في الصلاة التي هي عمود الدين من شدة الاهتمام، أو لما فيها من ذكري، كقوله تعالى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فَاسْعَوْا إِلىٰ ذِكْرِ اللّٰهِ </w:t>
      </w:r>
      <w:r>
        <w:rPr>
          <w:rStyle w:val="FootnoteAnchor"/>
          <w:rtl w:val="true"/>
        </w:rPr>
        <w:footnoteReference w:id="1077"/>
      </w:r>
      <w:r>
        <w:rPr>
          <w:rFonts w:ascii="Amiri" w:hAnsi="Amiri" w:eastAsia="Amiri" w:cs="Amiri"/>
          <w:color w:val="111111"/>
          <w:sz w:val="28"/>
          <w:sz w:val="28"/>
          <w:szCs w:val="28"/>
          <w:rtl w:val="true"/>
          <w:lang w:bidi="ar-SA"/>
        </w:rPr>
        <w:t xml:space="preserve">، و قوله تعالى فَإِذٰا أَمِنْتُمْ فَاذْكُرُوا اللّٰهَ كَمٰا عَلَّمَكُمْ </w:t>
      </w:r>
      <w:r>
        <w:rPr>
          <w:rStyle w:val="FootnoteAnchor"/>
          <w:rtl w:val="true"/>
        </w:rPr>
        <w:footnoteReference w:id="1078"/>
      </w:r>
      <w:r>
        <w:rPr>
          <w:rFonts w:ascii="Amiri" w:hAnsi="Amiri" w:eastAsia="Amiri" w:cs="Amiri"/>
          <w:color w:val="111111"/>
          <w:sz w:val="28"/>
          <w:sz w:val="28"/>
          <w:szCs w:val="28"/>
          <w:rtl w:val="true"/>
          <w:lang w:bidi="ar-SA"/>
        </w:rPr>
        <w:t xml:space="preserve">، و قوله تعالى يَذْكُرُونَ اللّٰهَ قِيٰاماً وَ قُعُوداً </w:t>
      </w:r>
      <w:r>
        <w:rPr>
          <w:rStyle w:val="FootnoteAnchor"/>
          <w:rtl w:val="true"/>
        </w:rPr>
        <w:footnoteReference w:id="1079"/>
      </w:r>
      <w:r>
        <w:rPr>
          <w:rFonts w:ascii="Amiri" w:hAnsi="Amiri" w:eastAsia="Amiri" w:cs="Amiri"/>
          <w:color w:val="111111"/>
          <w:sz w:val="28"/>
          <w:sz w:val="28"/>
          <w:szCs w:val="28"/>
          <w:rtl w:val="true"/>
          <w:lang w:bidi="ar-SA"/>
        </w:rPr>
        <w:t xml:space="preserve">، أو بمعنى القربة، أو لذكري خاصّة غير مشوب برياء، أو ليكون ذكرا لي، أو لذكري لها و أمري بها في الكتب، أو لأذكرك بالمدح و الثناء و أجعل لك لسان صدق، أو بالمغفرة، أو بالمعونة و نحوها، كما قال عزّ و جلّ فَاذْكُرُونِي أَذْكُرْكُمْ </w:t>
      </w:r>
      <w:r>
        <w:rPr>
          <w:rStyle w:val="FootnoteAnchor"/>
          <w:rtl w:val="true"/>
        </w:rPr>
        <w:footnoteReference w:id="1080"/>
      </w:r>
      <w:r>
        <w:rPr>
          <w:rFonts w:ascii="Amiri" w:hAnsi="Amiri" w:eastAsia="Amiri" w:cs="Amiri"/>
          <w:color w:val="111111"/>
          <w:sz w:val="28"/>
          <w:sz w:val="28"/>
          <w:szCs w:val="28"/>
          <w:rtl w:val="true"/>
          <w:lang w:bidi="ar-SA"/>
        </w:rPr>
        <w:t>، فهو من إضافة المصدر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الطبرسي </w:t>
      </w:r>
      <w:r>
        <w:rPr>
          <w:rStyle w:val="FootnoteAnchor"/>
          <w:rtl w:val="true"/>
        </w:rPr>
        <w:footnoteReference w:id="1081"/>
      </w:r>
      <w:r>
        <w:rPr>
          <w:rFonts w:ascii="Amiri" w:hAnsi="Amiri" w:eastAsia="Amiri" w:cs="Amiri"/>
          <w:color w:val="111111"/>
          <w:sz w:val="28"/>
          <w:sz w:val="28"/>
          <w:szCs w:val="28"/>
          <w:rtl w:val="true"/>
          <w:lang w:bidi="ar-SA"/>
        </w:rPr>
        <w:t xml:space="preserve">تعميم الصلاة في الآية للحاضرة و الفائتة، حاكيا له عن أكثر المفسرين، راويا له عن الباقر عليه السّلام، كما حكي عن الشيخ الذي هو من أصحاب المضايقة في تبيانه </w:t>
      </w:r>
      <w:r>
        <w:rPr>
          <w:rStyle w:val="FootnoteAnchor"/>
          <w:rtl w:val="true"/>
        </w:rPr>
        <w:footnoteReference w:id="1082"/>
      </w:r>
      <w:r>
        <w:rPr>
          <w:rFonts w:ascii="Amiri" w:hAnsi="Amiri" w:eastAsia="Amiri" w:cs="Amiri"/>
          <w:color w:val="111111"/>
          <w:sz w:val="28"/>
          <w:sz w:val="28"/>
          <w:szCs w:val="28"/>
          <w:rtl w:val="true"/>
          <w:lang w:bidi="ar-SA"/>
        </w:rPr>
        <w:t>، و نسبته معنى التذكر بعد النسيان إلى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الاستشهاد لإرادة الفائتة بتعليل النبوي صلّى اللّه عليه و آله و سلّم و سائر الأخبار بها غير متّجه، لأنّه على بقاء الصلاة على عمومها بالنسبة إلى الحاضرة و الفائتة يتمّ التعليل على أحد المعاني المذكورة بإطلاق الأمر بها في الآية و لو خرج وقتها، و عدم اختصاصها بما دام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اختصاصها بالفائتة، فلا يدلّ على أنّ الذكر فيها بمعنى الذكر بعد النسيان، لإمكان كون المراد بها إيجاب القضاء الذي هو بفرض جديد، فلا يدلّ على المضايقة، سلّمنا أنّه بمعنى الذكر بعد النسيان، فلا يدلّ على التوقيت، بل يمكن إرادة بيان سببية الذكر للوجوب، و ابتداء حصوله فيه،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المغرب فأعد، و إذا أفطرت اقض صومك، فلا يفيد الفور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أنّه يدلّ على التوقيت، فلا يدلّ على المضايقة أيضا، بل مفادها وجوب القضاء في زمان التذكّر، لا في أوّله، بل لو سلّم أنّ التوقيت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في قوّة أقم الصلاة إذا ذكرت، فلا يدلّ على الفورية أيضا،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بالآية في صحيحة زرارة و غيره لوجوب البدأة بالفائتة، دلّ على أنّ المراد توقيت وجوب القضاء أوّل أزمنة الذكر في الآية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الآية عن ظاهرها ليس بأولى من حمل الخبرين على كون التعليل لمجرّد وجوب الفائتة و كونها غير موقتة بوقت خاصّ، كما ورد مثله في أخبار</w:t>
      </w:r>
    </w:p>
    <w:p>
      <w:pPr>
        <w:pStyle w:val="BookText"/>
        <w:rPr/>
      </w:pPr>
      <w:r>
        <w:rPr>
          <w:rFonts w:ascii="Amiri" w:hAnsi="Amiri" w:eastAsia="Amiri" w:cs="Amiri"/>
          <w:color w:val="111111"/>
          <w:sz w:val="28"/>
          <w:sz w:val="28"/>
          <w:szCs w:val="28"/>
          <w:rtl w:val="true"/>
          <w:lang w:bidi="ar-SA"/>
        </w:rPr>
        <w:t>كثيرة، مع أنّ صحيحة زرارة المتضمّنة لهذا التعليل مصرّحة بعدم تعجيل النبي صلّى اللّه عليه و آله و سلّم بالقضاء، و تحوّله من مكانه و تنفّله و تكلّمه ثم إتيانه بالقضاء، فهو قرينة ظاهرة للحمل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الصلاة تشمل النوافل، و تعجيل قضاءها ليس بواجب، و ليس حمل الأمر على الاستحباب مع شيوعه فيه في الكتاب و السنّة بحيث جعل مجازا مساويا للحقيقة، و إبقاء العموم على حقيقته من غير ارتكاب تخصيص بعيدا، بل و لا أبعد من التخصيص، فيحمل الأمر في الخبر المعلّل بالآية على الرخصة أو مطلق الطلب الأعمّ من الوجوب اليقيني في البدأة بالفائتة وقت الحاضرة، دفعا لتوهم منع الجواز و توهم الرجحان الحاصل من تراكم الأخبار في فضيلة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بالقضاء يقتضي الفور، كما حكى المرتضى عليه الإجماع في أوامر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منعه، كما عليه المعظم و تبيّن في محلّه، مضافا إلى أنّ أدلّة المواسعة في المقام تدلّ على إرادة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المتكثرة الدالّة على وجوب القضاء عند حصول التذكّر أو التيقّظ، و في جملة منها أنّه وقته، و هو ظاهر في أوّل زمان الذكر، كصحيحة زرارة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يصلّيها الرجل في كلّ ساعة، صلاة فاتتك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ذكرتها أدّيتها، و صلاة ركعتي طواف الفريضة، و صلاة الكسوف، و الصلاة عن الميّت، هذه يصلّيهنّ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الساعات كلّها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يترك على كلّ حال، إذا طفت بالبيت، و إذا أردت أن تحرم، و صلاة الكسوف، و إذا نسيت تصلّي إذا ذكرت، و 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يعقوب التي وصفها بعضهم بالصحيحة عن الرجل ينام عن الغداة حتى تبزغ الشمس، أ يصلّي حين يستيقظ أو ينتظر حتى تبسط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بالفريضة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الصحيحة الأخرى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الرجل صلاة أو صلّاها بغير طهور و هو مقيم أو مسافر فذكرها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الذي وجب عليه و لا يزيد، و لا ينقص، من نسي أربعا فليقض أربعا حين يذكرها، مسافرا كان أو مقيما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صحيحته الثالثة في قول اللّه تعالى إِنَّ الصَّلٰاةَ كٰانَتْ عَلَى الْمُؤْمِنِينَ كِتٰاباً مَوْقُوتاً </w:t>
      </w:r>
      <w:r>
        <w:rPr>
          <w:rStyle w:val="FootnoteAnchor"/>
          <w:rtl w:val="true"/>
        </w:rPr>
        <w:footnoteReference w:id="1086"/>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الرواية </w:t>
      </w:r>
      <w:r>
        <w:rPr>
          <w:rFonts w:eastAsia="Amiri" w:cs="Amiri" w:ascii="Amiri" w:hAnsi="Amiri"/>
          <w:color w:val="111111"/>
          <w:sz w:val="28"/>
          <w:szCs w:val="28"/>
          <w:lang w:bidi="ar-SA"/>
        </w:rPr>
        <w:t>5045</w:t>
      </w:r>
      <w:r>
        <w:rPr>
          <w:rFonts w:eastAsia="Amiri" w:cs="Amiri" w:ascii="Amiri" w:hAnsi="Amiri"/>
          <w:color w:val="111111"/>
          <w:sz w:val="28"/>
          <w:szCs w:val="28"/>
          <w:rtl w:val="true"/>
          <w:lang w:bidi="ar-SA"/>
        </w:rPr>
        <w:t>.</w:t>
      </w:r>
    </w:p>
    <w:p>
      <w:pPr>
        <w:pStyle w:val="BookText"/>
        <w:rPr/>
      </w:pPr>
      <w:r>
        <w:rPr>
          <w:rStyle w:val="FootnoteAnchor"/>
          <w:rtl w:val="true"/>
        </w:rPr>
        <w:footnoteReference w:id="10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مفروضا، و ليس يعني وقت فوتها، إن جاز ذلك الوقت ثم صلّاها لم يكن صلاة مؤدّاة، و لو كان ذلك كذلك لهلك سليمان بن داود، حين صلّاها لغير وقتها، و لكنّه متى ما ذكرها صلّاها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استيقنت فعليك أن تصلّيها في أيّ حال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نعمان الرازي </w:t>
      </w:r>
      <w:r>
        <w:rPr>
          <w:rStyle w:val="FootnoteAnchor"/>
          <w:rtl w:val="true"/>
        </w:rPr>
        <w:footnoteReference w:id="1088"/>
      </w:r>
      <w:r>
        <w:rPr>
          <w:rFonts w:ascii="Amiri" w:hAnsi="Amiri" w:eastAsia="Amiri" w:cs="Amiri"/>
          <w:color w:val="111111"/>
          <w:sz w:val="28"/>
          <w:sz w:val="28"/>
          <w:szCs w:val="28"/>
          <w:rtl w:val="true"/>
          <w:lang w:bidi="ar-SA"/>
        </w:rPr>
        <w:t>عن رجل فاته شي‌ء من الصلوات، فذكر عند طلوع الشمس و عند غروبها،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حين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ابن عمار </w:t>
      </w:r>
      <w:r>
        <w:rPr>
          <w:rStyle w:val="FootnoteAnchor"/>
          <w:rtl w:val="true"/>
        </w:rPr>
        <w:footnoteReference w:id="1089"/>
      </w:r>
      <w:r>
        <w:rPr>
          <w:rFonts w:ascii="Amiri" w:hAnsi="Amiri" w:eastAsia="Amiri" w:cs="Amiri"/>
          <w:color w:val="111111"/>
          <w:sz w:val="28"/>
          <w:sz w:val="28"/>
          <w:szCs w:val="28"/>
          <w:rtl w:val="true"/>
          <w:lang w:bidi="ar-SA"/>
        </w:rPr>
        <w:t>عن رجل صلّى بغير طهور، أو نسي صلاة لم يصلّها، أو نام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فليقضها 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p>
    <w:p>
      <w:p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فوقتها حين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توقيت فعل القضاء بالتذكر، بقولهم يصلّي إذا ذكرها، أو حين ذكرها، أو حين يستيقظ، و أمثال ذلك، غايته كون أزمنة الذكر وقت الفعل، و أما أنّه أوّلها فلا، إلّا على القول بكون الأمر للفور الممنوع و هل هو إلّا كقوله تعالى وَ سَبْعَةٍ إِذٰا رَجَعْتُمْ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اللحم إذا دخلت السوق أو حين دخلته، و أكرم زيدا إذا جاء أو متى جاء، كيف و إلّا لزم عدم صدق الذكر على التذكّر الثاني في الآنات المتأخرة، و عدم دلالة تلك الأخبار على وجوب القضاء لو أخلّ في أوّل الأزمنة، و هو كما ترى، بل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وقته بالآن الأوّل، و خروج وقت القضاء و انقضائه الذي 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يعارضها ما دلّ على بقاء وجوبه في جميع الأوقات، كخبر أبي بصير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يصلّيهنّ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 و الصلاة على الميّت و 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المحكيّ عن أصل الحلبي </w:t>
      </w:r>
      <w:r>
        <w:rPr>
          <w:rStyle w:val="FootnoteAnchor"/>
          <w:rtl w:val="true"/>
        </w:rPr>
        <w:footnoteReference w:id="10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يصلّيهنّ على كلّ حال، متى</w:t>
      </w:r>
    </w:p>
    <w:p>
      <w:pPr>
        <w:pStyle w:val="BookText"/>
        <w:rPr/>
      </w:pPr>
      <w:r>
        <w:rPr>
          <w:rFonts w:ascii="Amiri" w:hAnsi="Amiri" w:eastAsia="Amiri" w:cs="Amiri"/>
          <w:color w:val="111111"/>
          <w:sz w:val="28"/>
          <w:sz w:val="28"/>
          <w:szCs w:val="28"/>
          <w:rtl w:val="true"/>
          <w:lang w:bidi="ar-SA"/>
        </w:rPr>
        <w:t>ذكرت و متى وجب صلاة فريضة 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منها ما في آخر صحيحة زرارة </w:t>
      </w:r>
      <w:r>
        <w:rPr>
          <w:rStyle w:val="FootnoteAnchor"/>
          <w:rtl w:val="true"/>
        </w:rPr>
        <w:footnoteReference w:id="1094"/>
      </w:r>
      <w:r>
        <w:rPr>
          <w:rFonts w:ascii="Amiri" w:hAnsi="Amiri" w:eastAsia="Amiri" w:cs="Amiri"/>
          <w:color w:val="111111"/>
          <w:sz w:val="28"/>
          <w:sz w:val="28"/>
          <w:szCs w:val="28"/>
          <w:rtl w:val="true"/>
          <w:lang w:bidi="ar-SA"/>
        </w:rPr>
        <w:t>بطريقه الآتية الآمرة بصلاة الفجر الحاضرة و تأخير العشاءين إلى بعد شعاع الشمس، تعليلا بأنّك لست تخاف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فالإجماع و الأخبار المتقدمة قرينة على عدم إرادة التوقيت بأوّل الزمان، و لو على فرض دلالته عليه، بل المراد جميع أزمنة الذكر، بل من تلك الأخبار الموقّتة ما تضمّن التصريح بالتوسعة، كصحيحة يعقوب </w:t>
      </w:r>
      <w:r>
        <w:rPr>
          <w:rStyle w:val="FootnoteAnchor"/>
          <w:rtl w:val="true"/>
        </w:rPr>
        <w:footnoteReference w:id="1095"/>
      </w:r>
      <w:r>
        <w:rPr>
          <w:rFonts w:ascii="Amiri" w:hAnsi="Amiri" w:eastAsia="Amiri" w:cs="Amiri"/>
          <w:color w:val="111111"/>
          <w:sz w:val="28"/>
          <w:sz w:val="28"/>
          <w:szCs w:val="28"/>
          <w:rtl w:val="true"/>
          <w:lang w:bidi="ar-SA"/>
        </w:rPr>
        <w:t>، فهو قرينة واضحة على إرادة خلاف ما ذكروه، و يؤكّده ما ورد في قضاء الصلاة و الصوم معا بهذه اللفظ الذي لا يمكن إرادة أوّل الزمان منه، بملاحظة قضاء الصوم الغير المعجّل إجماعا، كما روي في من أجنب في رمضان، فنسي أن يغتسل حتى خرج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أن يقضي الصلاة و الصوم إذا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منساقة لبيان عدم اختصاص وقته بزمان، بل هي كسائر الصلوات الغير الموقّتة التي عدّها معها في الصحيحين الأولين كغيرهما مما أشرنا إلى بعضه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يؤمي إليه ما في الصحيحة الأولى، من تعميم الأوقات بالساعات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الصحيحة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حال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 ساعة ذكرها ليلا و نهارا، و إشعار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وقتها و وقتها حين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ظهور بعض تلك الروايات في كونه في بيان الرخصة في عموم الأوقات حتى المكروهة، دفعا لتوهّم الحظر فيها، كرواية الرازي المتضمّنة للسؤال عن فعل القضاء عند طلوع الشمس الممنوع عند أبي حنيفة على ما حكي عنه، و صحيحة يعقوب، و ظهور بعضها في بيان كيفية القضاء قصرا و إتماما، سفرا و حضرا، على مثال المقضيّ عنه، كالصحيحة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المواسعة قرائن ظاهرة لإرادة الاستحباب من تلك الأوامر على تسليم دلالتها، كما يشهد به فهم العرف، سيما مع شمول كثير منهما لقضاء المندوبة المانع عن حمله على الوجوب، و المخصّص بالفريضة مع تمام الشواهد المقدّمة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ترجيحه على الحمل على الندب ممنوع جدّا، سيما مع ورود الطلب في جملة منها بلفظ الخبر الذي نصا في الوجوب، بل منعه مطلقا و لو ظهورا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 من أخبار المواسعة يعارضها، و هي راجحة عليها بوجوه سنشير إليها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يرد على الاستدلال بأخبار المضايقة على بطلان الحاضرة عند تقديمها على الفائتة، كما هو ظاهر أكثر أصحاب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اقتضاء الأمر بالمضيّق فساد الواجب الموسّع، لو أتى به، و هو خلاف التحقيق، لا لتعارض الأمرين، بل لأنّ فورية الواجب لا ينافي طلب ضدّه موسّعا عند العصيان بترك المضيّق عرفا، ألا ترى أنّه إذا أمر السيّد عبده بشراء ثوب في سعة شهر، ثم أمر به مضيقا في يوم منه بفعل يضادّه، فيتركه و اشترى الثوب في هذا اليوم عدّ ممتثلا في المطلوب الموسّع، و إن كان عاصيا و معاقبا بترك المضيّق، و قد أشبعنا الكلام فيه في كتابنا المراصد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البدأة بالفائتة قبل الحاضرة ما لم يتضيّق وقتها، كصحيحة زرارة عن الباقر عليه السّلام عن رجل صلّى بغير طهور أو نسي صلوات لم يصلّها أو نام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إذا ذكرها في أيّ ساعة ذكر من ليل أو نهار فإذ دخل وقت الصلاة و لم يتمّ ما قدمه فاته، فليقض ما لم يتخوّف أن يذهب وقت هذه الصلاة التي حضرت، و هذه أحقّ بوقتها، فليصلّها، فإذا قضاها فليصلّ ما قد فاته مما قد مضى، و لا يتطوّع بركعة حتى يقضى الفريضة كلّها</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صحيحته الأخرى الطويلة </w:t>
      </w:r>
      <w:r>
        <w:rPr>
          <w:rStyle w:val="FootnoteAnchor"/>
          <w:rtl w:val="true"/>
        </w:rPr>
        <w:footnoteReference w:id="10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قد صلّيت الظهر و قد فاتتك الغداة فذكرتها، فصلّ الغداة أيّ ساعة ذكرتها و لو بعد العصر، و متى ذكرت صلاة فاتتك صلّيتها،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الظهر حتى صلّيت العصر فذكرتها و أنت في الصلاة أو بعد فراغك، فانوها الأولى ثم صلّ العصر، فإنّما هي أربع مكان أربع، فإن ذكرت أنك لم تصلّي الأولى و أنت في صلاة العصر و قد صلّيت منها ركعتين، فانوها الأولى فصلّ الركعتين الباقيتين و قم فصلّ العصر، و إن كنت ذكرت أنّك لم تصلّ العصر حتى دخل وقت المغرب و لم تخف فوتها فصلّ العصر ثم صلّ المغرب، و إن كنت قد صلّيت من المغرب ركعتين ثم ذكرت العصر فانوها العصر، ثم قم فأتمّها بركعتين، ثم سلّم، ثم تصلّ المغرب،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قد نسيت العشاء الآخرة حتى صلّيت الفجر فصل العشاء الآخرة، و إن كنت ذكرتها و أنت في الركعة الأولى أو في</w:t>
      </w:r>
    </w:p>
    <w:p>
      <w:pPr>
        <w:pStyle w:val="BookText"/>
        <w:rPr/>
      </w:pPr>
      <w:r>
        <w:rPr>
          <w:rFonts w:ascii="Amiri" w:hAnsi="Amiri" w:eastAsia="Amiri" w:cs="Amiri"/>
          <w:color w:val="111111"/>
          <w:sz w:val="28"/>
          <w:sz w:val="28"/>
          <w:szCs w:val="28"/>
          <w:rtl w:val="true"/>
          <w:lang w:bidi="ar-SA"/>
        </w:rPr>
        <w:t>الثانية من الغداة فانوها العشاء ثم قم فصلّ الغداة و أذّن و أقم، و إن كانت المغرب و العشاء قد فاتتاك فابدأ بهما قبل أن تصلّي الغداة، ابدأ بالمغرب ثم العشاء، فإن خشيت أن تفوتك الغداة إن بدأت بالمغرب فصلّ الغداة ثمّ صلّ المغرب و العشاء، ابدأ بأوّلهما، لأنّهما جميعا قضاء أيّهما ذكرت، فلا تصلّها إلّا بعد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صحيحته الثالثة المتقدّمة المتضمّنة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فابدأ بالتي فاتتك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الحلبي </w:t>
      </w:r>
      <w:r>
        <w:rPr>
          <w:rStyle w:val="FootnoteAnchor"/>
          <w:rtl w:val="true"/>
        </w:rPr>
        <w:footnoteReference w:id="1100"/>
      </w:r>
      <w:r>
        <w:rPr>
          <w:rFonts w:ascii="Amiri" w:hAnsi="Amiri" w:eastAsia="Amiri" w:cs="Amiri"/>
          <w:color w:val="111111"/>
          <w:sz w:val="28"/>
          <w:sz w:val="28"/>
          <w:szCs w:val="28"/>
          <w:rtl w:val="true"/>
          <w:lang w:bidi="ar-SA"/>
        </w:rPr>
        <w:t>عن رجل نسي الأولى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خاف أن يفوته فليبدأ بالعصر، و لا يؤخّرها فيفوته، فيكون قد فاتتاه جميعا، و لكن يصلّي العصر فيما بقي من وقتها، ثم ليصلّ الأولى بعد ذلك على أثرها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أمر بالأولى على أثر العصر قبل المغرب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صفوان </w:t>
      </w:r>
      <w:r>
        <w:rPr>
          <w:rStyle w:val="FootnoteAnchor"/>
          <w:rtl w:val="true"/>
        </w:rPr>
        <w:footnoteReference w:id="1101"/>
      </w:r>
      <w:r>
        <w:rPr>
          <w:rFonts w:ascii="Amiri" w:hAnsi="Amiri" w:eastAsia="Amiri" w:cs="Amiri"/>
          <w:color w:val="111111"/>
          <w:sz w:val="28"/>
          <w:sz w:val="28"/>
          <w:szCs w:val="28"/>
          <w:rtl w:val="true"/>
          <w:lang w:bidi="ar-SA"/>
        </w:rPr>
        <w:t>عن أبي الحسن عليه السّلام عن رجل نسي الظهر حتى غربت الشمس و قد كان صلّى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أو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يفوته المغرب بدأ بها، و إلّا صلّى المغرب ثمّ صلّاها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1102"/>
      </w:r>
      <w:r>
        <w:rPr>
          <w:rFonts w:ascii="Amiri" w:hAnsi="Amiri" w:eastAsia="Amiri" w:cs="Amiri"/>
          <w:color w:val="111111"/>
          <w:sz w:val="28"/>
          <w:sz w:val="28"/>
          <w:szCs w:val="28"/>
          <w:rtl w:val="true"/>
          <w:lang w:bidi="ar-SA"/>
        </w:rPr>
        <w:t>المرويّ في الكافي عن رجل نسي الظهر حتى 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 كذلك الصلوات تبدأ بالتي نسيت إلّا أن تخاف أن يخرج وقت الصلاة فتبدأ بالتي أنت في وقتها، ثم تقضى التي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التهذيب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عبد الرحمن </w:t>
      </w:r>
      <w:r>
        <w:rPr>
          <w:rStyle w:val="FootnoteAnchor"/>
          <w:rtl w:val="true"/>
        </w:rPr>
        <w:footnoteReference w:id="1103"/>
      </w:r>
      <w:r>
        <w:rPr>
          <w:rFonts w:ascii="Amiri" w:hAnsi="Amiri" w:eastAsia="Amiri" w:cs="Amiri"/>
          <w:color w:val="111111"/>
          <w:sz w:val="28"/>
          <w:sz w:val="28"/>
          <w:szCs w:val="28"/>
          <w:rtl w:val="true"/>
          <w:lang w:bidi="ar-SA"/>
        </w:rPr>
        <w:t>عن رجل نسي صلاة حتى دخل وقت صلاة أخرى،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 الصلاة أو نام عنها صلّى حين يذكرها، فإذا ذكرها و هو في صلاة بدأ بالتي نسي و إن ذكرها مع إمام في صلاة المغرب أتمّها بركعة ثم صلّى المغرب ثم صلّى العتمة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عمرو بن يحيى </w:t>
      </w:r>
      <w:r>
        <w:rPr>
          <w:rStyle w:val="FootnoteAnchor"/>
          <w:rtl w:val="true"/>
        </w:rPr>
        <w:footnoteReference w:id="1104"/>
      </w:r>
      <w:r>
        <w:rPr>
          <w:rFonts w:ascii="Amiri" w:hAnsi="Amiri" w:eastAsia="Amiri" w:cs="Amiri"/>
          <w:color w:val="111111"/>
          <w:sz w:val="28"/>
          <w:sz w:val="28"/>
          <w:szCs w:val="28"/>
          <w:rtl w:val="true"/>
          <w:lang w:bidi="ar-SA"/>
        </w:rPr>
        <w:t>عن رجل صلّى على غير القبلة، ثمّ تبيّنت القبلة و قد دخل وقت صلاة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يعيدها قبل أن يصلّي هذه التي قد دخل وقتها إلّا أن يخاف فوت التي قد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المرويّ في قرب الإسناد </w:t>
      </w:r>
      <w:r>
        <w:rPr>
          <w:rStyle w:val="FootnoteAnchor"/>
          <w:rtl w:val="true"/>
        </w:rPr>
        <w:footnoteReference w:id="1105"/>
      </w:r>
      <w:r>
        <w:rPr>
          <w:rFonts w:ascii="Amiri" w:hAnsi="Amiri" w:eastAsia="Amiri" w:cs="Amiri"/>
          <w:color w:val="111111"/>
          <w:sz w:val="28"/>
          <w:sz w:val="28"/>
          <w:szCs w:val="28"/>
          <w:rtl w:val="true"/>
          <w:lang w:bidi="ar-SA"/>
        </w:rPr>
        <w:t>عن رجل نسي العشاء ثم ذكر بعد طلوع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Style w:val="FootnoteAnchor"/>
          <w:rtl w:val="true"/>
        </w:rPr>
        <w:footnoteReference w:id="1106"/>
      </w:r>
      <w:r>
        <w:rPr>
          <w:rFonts w:ascii="Amiri" w:hAnsi="Amiri" w:eastAsia="Amiri" w:cs="Amiri"/>
          <w:color w:val="111111"/>
          <w:sz w:val="28"/>
          <w:sz w:val="28"/>
          <w:szCs w:val="28"/>
          <w:rtl w:val="true"/>
          <w:lang w:bidi="ar-SA"/>
        </w:rPr>
        <w:t>عن رجل نسي الفجر حتى حضرت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بالفجر ثم يصلّي الظهر كذلك كلّ صلاة بعدها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دعائم الإسلام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أخرى فإن كان في الوقت سعة بدأ بالتي فاتته و صلّى التي هو فيها في وقت و إن لم يكن في الوقت إلّا مقدار ما يصلّي التي هو في وقتها بدأ بها و قضى بعدها الصلاة الفائتة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المرويّ عن النبي صلّى اللّه عليه و آله و سلّم مرسلا في كتب أصحابنا </w:t>
      </w:r>
      <w:r>
        <w:rPr>
          <w:rStyle w:val="FootnoteAnchor"/>
          <w:rtl w:val="true"/>
        </w:rPr>
        <w:footnoteReference w:id="1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تلك الأخبار أكثرها مختصّة بالفائتة الواحدة أو فائتة اليوم، و هما من أقوال المسألة، فلا ينتهض حجة لأصحاب الإطلاق المستدلّين بها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أنّها في مقابلة أخبار المواسعة المتكثرة، مع قصور جملة منها سندا أو دلالة، و اعتضاد الثانية من الشواهد و الإمارات، لا بدّ من حملها على خلاف ظاهرها مما يقرب إلى الأذهان، غير التقابل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 فذيلها محمولة على الاستحباب، مع عمومها بالنسبة إلى النافلة كما مرّ، أو على أنّ المراد بها دخول وقت الحاضرة و هو في أثناء الفائتة، و يؤيّده ما في بعض مواضع التهذيب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 صدرها غير دال أصلا، و على التسليم محمول على الندب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في الحمل عليه ذيل الثانية، سيما بقرينة آخرها الدال على المواسعة، و عدم دلالة صدرها كما مرّ، و خروج وسطها عن المدّعى، و كونه محمولا على نسيان الأولى عن وقت الفريضة، و إلّا تعيّن تقديم العصر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يظهر معنى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 فقوله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مطلق التأخر، و لو بعد المغرب الحاضرة، بل لا دلالة له على الاتصال، و غايته التبعيّة القريبة، أو على إرادة مطلق الرجحان من الأمر، مع عدم كونه صريحا في الوجوب، بل الظاهر فيه في مثل المقام بملاحظة المعارضات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الكلام في الخامسة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يناقش فيها بأن جعل المغرب غاية النسيان يقتضي حصول التذكّر عنده</w:t>
      </w:r>
    </w:p>
    <w:p>
      <w:pPr>
        <w:pStyle w:val="BookText"/>
        <w:rPr/>
      </w:pPr>
      <w:r>
        <w:rPr>
          <w:rFonts w:ascii="Amiri" w:hAnsi="Amiri" w:eastAsia="Amiri" w:cs="Amiri"/>
          <w:color w:val="111111"/>
          <w:sz w:val="28"/>
          <w:sz w:val="28"/>
          <w:szCs w:val="28"/>
          <w:rtl w:val="true"/>
          <w:lang w:bidi="ar-SA"/>
        </w:rPr>
        <w:t>بعده قبل زوال الحمرة، لا قبيل الانتصاف الذي هو آخر الوقت، فلا يتصوّر فيه التقسيم بالقسمين، بل يؤمي إلى أنّ المراد فوات وقت فضيلتها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أنّها ظاهرة في كون المغرب الذي به يخرج وقت الظهرين غاية الترك، لا النسيان، مع بعد كونه قرينة لصرف فوت الوقت، الظاهر في الإجزاء إلى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السادسة، فعلى رواية التهذيب، يراد بالمكتوبة العصر، كما هو الظاهر، و بوقت العصر، الوقت المختصّ بها،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الصلوات المشتركات في الوقت إذا نسيت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على اللاحقة، بل هو مقتضى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رواية الكافي فالمراد بوقت العصر الذي خرج بدخوله وقت الظهر وقت الفضيلة، بل لا مناص عنه، و مفاد التشبيه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السابعة، فمحمولة على الندب أيضا، مع عدم صراحتها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الثامنة، مع أنّ ظاهرها خلاف ما هو الصواب من عدم وجوب القضاء خارج الوقت عند الخطاء في القبلة، إلّا أن يحمل على العمد، و هو خلاف الظاهر، و بهذا يتعيّن الحمل على الندب أيضا، و على الحاضرة بعد الفراغ و عدم خروج الوقت الخارج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ينقدح أيضا، مما ذكر وجه التأمل في التاسعة و العاشرة و الحادية عشر، مع عدم صراحتها في الوجوب</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عشر، و هي النبوية، فمع إرسالها و عدم روايتها في كتب أحاديث أصحابنا و موافقتها للعامّة، محمولة على نفي الكمال، كما هو الشائع في نظائرها المصروفة عن الحقيقة التي هي نفي الحقيقة، و حمله على نفي الصحّة بقرينة القرب إلى الحقيقة ليس بأولى من حمله على نفي الكمال بقرينة ما تقدم من أدلّة المواسعة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الاعتراض بمعارضتها بالمثل مع رواية على بن جعفر لا صلاة في وقت صلاة </w:t>
      </w:r>
      <w:r>
        <w:rPr>
          <w:rStyle w:val="FootnoteAnchor"/>
          <w:rtl w:val="true"/>
        </w:rPr>
        <w:footnoteReference w:id="1110"/>
      </w:r>
      <w:r>
        <w:rPr>
          <w:rFonts w:ascii="Amiri" w:hAnsi="Amiri" w:eastAsia="Amiri" w:cs="Amiri"/>
          <w:color w:val="111111"/>
          <w:sz w:val="28"/>
          <w:sz w:val="28"/>
          <w:szCs w:val="28"/>
          <w:rtl w:val="true"/>
          <w:lang w:bidi="ar-SA"/>
        </w:rPr>
        <w:t>، مخدوش بالإجماع على صحة الفائتة قبل الحاضرة نعم، ربما نسب إلى ظاهر الصدوقين وجوب تقديم الحاضرة، كما مرّت إليه الإشارة، إلّا أنّ النسبة غير معلومة، و حمله بعضهم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فالخبر لشذوذ القول به شاذّ لا يصلح للاستناد إليه إلّا بحمله على التطوّع، فيوافق قول من منعه وقت الفريضة، كما في النبويّ، إذا دخل وقت مكتوبة فلا صلاة نافلة حتى تبدأ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مع الإغماض عن جميع ما ذكر فالتعارض واقع بينها و بين أخبار المواسعة، و هي راجحة عليها بوجوه كثيرة، كموافقتها لإطلاق الكتاب في الأمر بها في سعة الوقت الموجب للإجزاء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بموافقة الثانية، أيضا، لقوله تعالى أَقِمِ الصَّلٰاةَ لِذِكْرِي المفسّر في المعتبرة بما يوافق المضايقة، مدفوع بما مرّ من عدم دلالة تلك الأخبار المفسّرة عليها، و مع تسليمها فهذا في الحقيقة موافقة للخبر الظنّي و العرض عليه لا على الكتاب المأمور به لأجل القطع به عند التعارض، لأنّ أخبار المواسعة كما تعارض أخبار المضايقة، تعارض الأخبار المفسّرة للآية المقتضية لها أيضا، و موافقتها للسنّة النبوية القطعية الدالّة على سهولة الملّة و سماحة الدين، بل يدلّ عليها الكتاب أيضا، بقوله تعالى يُرِيدُ اللّٰهُ بِكُمُ الْيُسْرَ وَ لٰا يُرِيدُ بِكُمُ الْعُسْرَ </w:t>
      </w:r>
      <w:r>
        <w:rPr>
          <w:rStyle w:val="FootnoteAnchor"/>
          <w:rtl w:val="true"/>
        </w:rPr>
        <w:footnoteReference w:id="1111"/>
      </w:r>
      <w:r>
        <w:rPr>
          <w:rFonts w:ascii="Amiri" w:hAnsi="Amiri" w:eastAsia="Amiri" w:cs="Amiri"/>
          <w:color w:val="111111"/>
          <w:sz w:val="28"/>
          <w:sz w:val="28"/>
          <w:szCs w:val="28"/>
          <w:rtl w:val="true"/>
          <w:lang w:bidi="ar-SA"/>
        </w:rPr>
        <w:t>، و مخالفتها للمحكيّ عن جمهور العامّة، كما نصّ به غير واحد من أصحابنا، و موافقتها للسيرة الجارية المستمرّة الشائعة، و أكثريتها و أصحّيتها سندا و أظهريتها دلالة و أشهريتها مقابلة</w:t>
      </w:r>
      <w:r>
        <w:rPr>
          <w:rFonts w:eastAsia="Amiri" w:cs="Amiri" w:ascii="Amiri" w:hAnsi="Amiri"/>
          <w:color w:val="111111"/>
          <w:sz w:val="28"/>
          <w:szCs w:val="28"/>
          <w:rtl w:val="true"/>
          <w:lang w:bidi="ar-SA"/>
        </w:rPr>
        <w:t>.</w:t>
      </w:r>
      <w:bookmarkStart w:id="601" w:name="pg2497_12571"/>
    </w:p>
    <w:p>
      <w:pPr>
        <w:pStyle w:val="BookText"/>
        <w:rPr/>
      </w:pPr>
      <w:bookmarkEnd w:id="601"/>
      <w:r>
        <w:rPr>
          <w:rFonts w:ascii="Amiri" w:hAnsi="Amiri" w:eastAsia="Amiri" w:cs="Amiri"/>
          <w:color w:val="111111"/>
          <w:sz w:val="28"/>
          <w:sz w:val="28"/>
          <w:szCs w:val="28"/>
          <w:rtl w:val="true"/>
          <w:lang w:bidi="ar-SA"/>
        </w:rPr>
        <w:t>و مع الإغماض و تسليم التساوي و عدم المرجّح، فالعمل إمّا بالتخيير الذي 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بالأصل، و مقتضاهما المواسعة و عدم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أصحاب الإطلاق من أهل المضايقة المشتهر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التفصيلية، فحجّة بعضها غير معلومة، و نقضها يظهر مما ذكرناه من أخبار المضايقة، كالتفصيل المحكيّ عن المحقق في الفائتة الواحدة و في المتعدّدة في فائتة اليوم و نحوها، و أنت بعد ما سمعت ضعف الكلّ دلالة و مقاومة للأخبار الأوّلة، تعلم عدم حجّة معتبرة بها، بل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سياق أخبار الترتيب تأبى عن إرادة التفصيل و كون البناء عليه، كما لا يخفى على البصير المتأمّل</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3862221_3804643083"/>
      <w:bookmarkStart w:id="603" w:name="_Toc233"/>
      <w:bookmarkEnd w:id="602"/>
      <w:r>
        <w:rPr>
          <w:rtl w:val="true"/>
        </w:rPr>
        <w:t>تتميمان</w:t>
      </w:r>
      <w:r>
        <w:rPr>
          <w:rtl w:val="true"/>
        </w:rPr>
        <w:t>:</w:t>
      </w:r>
      <w:bookmarkEnd w:id="603"/>
    </w:p>
    <w:p>
      <w:pPr>
        <w:pStyle w:val="Heading4"/>
        <w:numPr>
          <w:ilvl w:val="3"/>
          <w:numId w:val="1"/>
        </w:numPr>
        <w:rPr/>
      </w:pPr>
      <w:bookmarkStart w:id="604" w:name="__RefHeading___Toc3862223_3804643083"/>
      <w:bookmarkStart w:id="605" w:name="_Toc234"/>
      <w:bookmarkEnd w:id="604"/>
      <w:r>
        <w:rPr>
          <w:rtl w:val="true"/>
        </w:rPr>
        <w:t>الأوّل</w:t>
      </w:r>
      <w:r>
        <w:rPr>
          <w:rtl w:val="true"/>
        </w:rPr>
        <w:t xml:space="preserve">: </w:t>
      </w:r>
      <w:r>
        <w:rPr>
          <w:rtl w:val="true"/>
        </w:rPr>
        <w:t>على عدم وجوب الترتيب، كما اخترناه، فهل يرجح تقديم الفائتة، أو الحاضرة؟</w:t>
      </w:r>
      <w:bookmarkEnd w:id="605"/>
    </w:p>
    <w:p>
      <w:pPr>
        <w:pStyle w:val="BookText"/>
        <w:rPr/>
      </w:pPr>
      <w:r>
        <w:rPr>
          <w:rFonts w:ascii="Amiri" w:hAnsi="Amiri" w:eastAsia="Amiri" w:cs="Amiri"/>
          <w:color w:val="111111"/>
          <w:sz w:val="28"/>
          <w:sz w:val="28"/>
          <w:szCs w:val="28"/>
          <w:rtl w:val="true"/>
          <w:lang w:bidi="ar-SA"/>
        </w:rPr>
        <w:t>المحكيّ عن أكثر القائلين بعدم الترتيب من المتأخرين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الصدوقين و بعض من تأخر،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والدي العلّامة، بل ربما نسب إلى الأوّلين الوجوب، و هو كما أشرنا إليه غير معلوم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تعجيل كلّ منهما في نفسه له فضيلة لا تنافيه فضيلة التعجيل لضدّه، فإن درك فضيلة لا ينافي فقدان فضيلة أخرى، و إن كان سببا له، لعموم الأمر بالاستباق و المسارعة إلى الخيرات، و إنّما الكلام في مزية فضيلة تعجيل إحداهما على فضيلة الأخرى، و اختصاص الحاضرة بخصوص فضل أوائل أوقاتها، و الحثّ عليها بكونها رضوان اللّه، و آخره بأنّه غفران اللّه يوجب فضيلة خاصّة للحاضرة، مضافا إلى الفضيلة المشتركة</w:t>
      </w:r>
      <w:r>
        <w:rPr>
          <w:rFonts w:eastAsia="Amiri" w:cs="Amiri" w:ascii="Amiri" w:hAnsi="Amiri"/>
          <w:color w:val="111111"/>
          <w:sz w:val="28"/>
          <w:szCs w:val="28"/>
          <w:rtl w:val="true"/>
          <w:lang w:bidi="ar-SA"/>
        </w:rPr>
        <w:t>.</w:t>
      </w:r>
      <w:bookmarkStart w:id="606" w:name="pg2497_12573"/>
    </w:p>
    <w:p>
      <w:pPr>
        <w:pStyle w:val="BookText"/>
        <w:rPr/>
      </w:pPr>
      <w:bookmarkEnd w:id="606"/>
      <w:r>
        <w:rPr>
          <w:rFonts w:ascii="Amiri" w:hAnsi="Amiri" w:eastAsia="Amiri" w:cs="Amiri"/>
          <w:color w:val="111111"/>
          <w:sz w:val="28"/>
          <w:sz w:val="28"/>
          <w:szCs w:val="28"/>
          <w:rtl w:val="true"/>
          <w:lang w:bidi="ar-SA"/>
        </w:rPr>
        <w:t>نعم، خصوص الرجحان من حيث الترتيب لا دليل عليه بعد حمل أخبار البدأة بالفائتة على الوجوب التخييريّ لأجل تعارض الأخبار من الطرفين، فلزم القول بالتساوي من جهة الترتيب، إلّا أنّ مقتضى الخروج عن محل الخلاف يوجب رجحانا ظاهريا احتياطيا للفائتة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862225_3804643083"/>
      <w:bookmarkStart w:id="608" w:name="_Toc235"/>
      <w:bookmarkEnd w:id="607"/>
      <w:r>
        <w:rPr>
          <w:rtl w:val="true"/>
        </w:rPr>
        <w:t>الثاني</w:t>
      </w:r>
      <w:r>
        <w:rPr>
          <w:rtl w:val="true"/>
        </w:rPr>
        <w:t xml:space="preserve">: </w:t>
      </w:r>
      <w:r>
        <w:rPr>
          <w:rtl w:val="true"/>
        </w:rPr>
        <w:t>لو كان عليه صلاة فائتة فصلّى الحاضرة، فعلى المختار صحّت، و لا حرج</w:t>
      </w:r>
      <w:r>
        <w:rPr>
          <w:rtl w:val="true"/>
        </w:rPr>
        <w:t>.</w:t>
      </w:r>
      <w:bookmarkEnd w:id="608"/>
    </w:p>
    <w:p>
      <w:pPr>
        <w:pStyle w:val="BookText"/>
        <w:rPr/>
      </w:pPr>
      <w:r>
        <w:rPr>
          <w:rFonts w:ascii="Amiri" w:hAnsi="Amiri" w:eastAsia="Amiri" w:cs="Amiri"/>
          <w:color w:val="111111"/>
          <w:sz w:val="28"/>
          <w:sz w:val="28"/>
          <w:szCs w:val="28"/>
          <w:rtl w:val="true"/>
          <w:lang w:bidi="ar-SA"/>
        </w:rPr>
        <w:t xml:space="preserve">و على المضايقة، فعن صريح الشيخ </w:t>
      </w:r>
      <w:r>
        <w:rPr>
          <w:rStyle w:val="FootnoteAnchor"/>
          <w:rtl w:val="true"/>
        </w:rPr>
        <w:footnoteReference w:id="1112"/>
      </w:r>
      <w:r>
        <w:rPr>
          <w:rFonts w:ascii="Amiri" w:hAnsi="Amiri" w:eastAsia="Amiri" w:cs="Amiri"/>
          <w:color w:val="111111"/>
          <w:sz w:val="28"/>
          <w:sz w:val="28"/>
          <w:szCs w:val="28"/>
          <w:rtl w:val="true"/>
          <w:lang w:bidi="ar-SA"/>
        </w:rPr>
        <w:t xml:space="preserve">و السيّدين </w:t>
      </w:r>
      <w:r>
        <w:rPr>
          <w:rStyle w:val="FootnoteAnchor"/>
          <w:rtl w:val="true"/>
        </w:rPr>
        <w:footnoteReference w:id="1113"/>
      </w:r>
      <w:r>
        <w:rPr>
          <w:rFonts w:ascii="Amiri" w:hAnsi="Amiri" w:eastAsia="Amiri" w:cs="Amiri"/>
          <w:color w:val="111111"/>
          <w:sz w:val="28"/>
          <w:sz w:val="28"/>
          <w:szCs w:val="28"/>
          <w:rtl w:val="true"/>
          <w:lang w:bidi="ar-SA"/>
        </w:rPr>
        <w:t xml:space="preserve">و القاضي و الحلبي و الحلّي و غيرهم </w:t>
      </w:r>
      <w:r>
        <w:rPr>
          <w:rStyle w:val="FootnoteAnchor"/>
          <w:rtl w:val="true"/>
        </w:rPr>
        <w:footnoteReference w:id="1114"/>
      </w:r>
      <w:r>
        <w:rPr>
          <w:rFonts w:ascii="Amiri" w:hAnsi="Amiri" w:eastAsia="Amiri" w:cs="Amiri"/>
          <w:color w:val="111111"/>
          <w:sz w:val="28"/>
          <w:sz w:val="28"/>
          <w:szCs w:val="28"/>
          <w:rtl w:val="true"/>
          <w:lang w:bidi="ar-SA"/>
        </w:rPr>
        <w:t>، بطلان الحاضرة إن كان عن عمد،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عند أصحاب الترتيب، و إنّ المستفاد من كلامهم شرطيته في صحّة الأداء و صحتها عندهم إن كان عن نسيان إلى الفراغ عن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المختلف </w:t>
      </w:r>
      <w:r>
        <w:rPr>
          <w:rStyle w:val="FootnoteAnchor"/>
          <w:rtl w:val="true"/>
        </w:rPr>
        <w:footnoteReference w:id="111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الفساد في الأوّل، كونه مقتضى النهي عن الضدّ المقتضي لفساد العبادة، و ظهور النصوص السابقة في شرطية الترتيب، و اختصاص الوقت ما لم يتضيّق بالفائتة، فتكون الحاضرة في غير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الصحّة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النهي مع النسيان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العمد و النسيان في الصحّة و البطلان خلاف التحقيق، لأنّ مبنى</w:t>
      </w:r>
    </w:p>
    <w:p>
      <w:pPr>
        <w:pStyle w:val="BookText"/>
        <w:rPr/>
      </w:pPr>
      <w:r>
        <w:rPr>
          <w:rFonts w:ascii="Amiri" w:hAnsi="Amiri" w:eastAsia="Amiri" w:cs="Amiri"/>
          <w:color w:val="111111"/>
          <w:sz w:val="28"/>
          <w:sz w:val="28"/>
          <w:szCs w:val="28"/>
          <w:rtl w:val="true"/>
          <w:lang w:bidi="ar-SA"/>
        </w:rPr>
        <w:t>الدليل على وجوب الترتيب على القول به إن كان الأخبار الدالّة على الفورية المستلزمة للترتيب، فهي غير مقتضية لبطلان الحاضرة مطلقا، عمدا أو سهوا، و إن جعل العصيان بتأخير الفائتة عنها، لما بيّنا في مقامه من عدم منافاة الأمر بالمضيق للأمر الموسّع بضدّه الخاصّ المقتضي للإجزاء، على تقدير العصيان بترك المضيّق في أوّل الوقت المشترك، كما أشرنا إليه آنفا، و كذا الحال على البناء في الاستدلال على الترتيب بالأخبار الآمرة بالبدأة بالفائتة، باعتبار استفادة الفورية منها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بناء الاستدلال على الأخبار المصرّحة بوجوب الترتيب، فالظاهر اقتضائه بطلان الحاضرة، عمدا كان تقديمها أو نسيانا، لأنّ الأمر المتعلّق بوصف العبادة يفيد الشرطية المقتضية لفساد العبادة بدونه مطلقا، كما حقّق في محلّه، و من المعلوم، أنّ تلك الشرطية ليست مما يرجع إلى الفائتة، لصحّتها بعد الحاضرة، و يعم صورتي العمد و النسيان، و يوجب الإعادة مع بقاء الوقت، إلّا أن يجعل الإجماع المحكيّ في المختلف و غيره من صحة الحاضرة عند النسيان و التذكر بعد الفراغ، دليلا مخرجا للقاعدة في المقام، كما في الحاضرتين المترتبتين المشتركتين في الوقت إذا حصل التذكّر بعد الفراغ عن اللاحقة قبل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يرى في سواد العين أو هو سوادها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رواية بهذا التعبير في الجوامع الروائية، بل الوارد فيها تعبيران آخران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رواية السكوني بهذا التعبير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الرواية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 ما نقل مرسلا عن النبيّ صلّى اللّه عليه و آله و سلّم بهذا التعبير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سعة ما لم يعلموا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الرواية </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مصباح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الإيراد عليه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عموم المنع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الروضة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حلية العلماء في معرفة مذاهب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و لكن بحث عن الغرر في 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بهذه العبارة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 ينعقد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 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الرواية </w:t>
      </w:r>
      <w:r>
        <w:rPr>
          <w:rFonts w:eastAsia="IRNazanin" w:cs="IRNazanin"/>
          <w:b w:val="false"/>
          <w:bCs w:val="false"/>
          <w:i w:val="false"/>
          <w:iCs w:val="false"/>
          <w:color w:val="333333"/>
          <w:sz w:val="20"/>
          <w:szCs w:val="20"/>
        </w:rPr>
        <w:t>23114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 و الأحكام فيها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للمحقق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ما علمت فيه السيرة أو استحقّت المعاطاة اسم المعاملة في العرف و اللغة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الأكّار، بمعنى الحرّاث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النسختين هنا مختلفة و ما أثبتناه في المتن 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شرح الإرشاد ما هو لبعض تلاميذ فخر المحققين ينقل فيه عن شيخه فخر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هذا الشرح مخطوط حتّى الآن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الرواية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إبهام كما لا يخفى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 عنوان الباب الأوّل من أبواب عقد البيع و شروطه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اشتراط كون المبيع مملوكا أو مأذونا في بيعه و عدم جواز بيع ما لا يملكه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شرائطه، الرواية </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27779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شرائطه، الرواية </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إلقائه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المعروفة بالحاشية النجّارية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الراضي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يصحّحه الإجازة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الرواية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الرواية </w:t>
      </w:r>
      <w:r>
        <w:rPr>
          <w:rFonts w:eastAsia="IRNazanin" w:cs="IRNazanin"/>
          <w:b w:val="false"/>
          <w:bCs w:val="false"/>
          <w:i w:val="false"/>
          <w:iCs w:val="false"/>
          <w:color w:val="333333"/>
          <w:sz w:val="20"/>
          <w:szCs w:val="20"/>
        </w:rPr>
        <w:t>23178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التجارة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الغصب، حكم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بضمان القيمة يوم التلف و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بأكثر ما كانت من حين الغصب إلى حين التلف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الإجارة، الرواية </w:t>
      </w:r>
      <w:r>
        <w:rPr>
          <w:rFonts w:eastAsia="IRNazanin" w:cs="IRNazanin"/>
          <w:b w:val="false"/>
          <w:bCs w:val="false"/>
          <w:i w:val="false"/>
          <w:iCs w:val="false"/>
          <w:color w:val="333333"/>
          <w:sz w:val="20"/>
          <w:szCs w:val="20"/>
        </w:rPr>
        <w:t>24272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الرواية </w:t>
      </w:r>
      <w:r>
        <w:rPr>
          <w:rFonts w:eastAsia="IRNazanin" w:cs="IRNazanin"/>
          <w:b w:val="false"/>
          <w:bCs w:val="false"/>
          <w:i w:val="false"/>
          <w:iCs w:val="false"/>
          <w:color w:val="333333"/>
          <w:sz w:val="20"/>
          <w:szCs w:val="20"/>
        </w:rPr>
        <w:t>32199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الرواية </w:t>
      </w:r>
      <w:r>
        <w:rPr>
          <w:rFonts w:eastAsia="IRNazanin" w:cs="IRNazanin"/>
          <w:b w:val="false"/>
          <w:bCs w:val="false"/>
          <w:i w:val="false"/>
          <w:iCs w:val="false"/>
          <w:color w:val="333333"/>
          <w:sz w:val="20"/>
          <w:szCs w:val="20"/>
        </w:rPr>
        <w:t>22704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الرواية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الصلح جائز بين المسلمين إلّا صلحا أحلّ حراما أو حرّم حلالا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الرواية </w:t>
      </w:r>
      <w:r>
        <w:rPr>
          <w:rFonts w:eastAsia="IRNazanin" w:cs="IRNazanin"/>
          <w:b w:val="false"/>
          <w:bCs w:val="false"/>
          <w:i w:val="false"/>
          <w:iCs w:val="false"/>
          <w:color w:val="333333"/>
          <w:sz w:val="20"/>
          <w:szCs w:val="20"/>
        </w:rPr>
        <w:t>24387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الرواية </w:t>
      </w:r>
      <w:r>
        <w:rPr>
          <w:rFonts w:eastAsia="IRNazanin" w:cs="IRNazanin"/>
          <w:b w:val="false"/>
          <w:bCs w:val="false"/>
          <w:i w:val="false"/>
          <w:iCs w:val="false"/>
          <w:color w:val="333333"/>
          <w:sz w:val="20"/>
          <w:szCs w:val="20"/>
        </w:rPr>
        <w:t>27081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الوكالة،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المكاسب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لغة فلا يكفي إلّا بعد القطع بل مفاده الترديد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الفصل الخامس في الشروط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الرواية </w:t>
      </w:r>
      <w:r>
        <w:rPr>
          <w:rFonts w:eastAsia="IRNazanin" w:cs="IRNazanin"/>
          <w:b w:val="false"/>
          <w:bCs w:val="false"/>
          <w:i w:val="false"/>
          <w:iCs w:val="false"/>
          <w:color w:val="333333"/>
          <w:sz w:val="20"/>
          <w:szCs w:val="20"/>
        </w:rPr>
        <w:t>23646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الرواية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الرواية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الرواية </w:t>
      </w:r>
      <w:r>
        <w:rPr>
          <w:rFonts w:eastAsia="IRNazanin" w:cs="IRNazanin"/>
          <w:b w:val="false"/>
          <w:bCs w:val="false"/>
          <w:i w:val="false"/>
          <w:iCs w:val="false"/>
          <w:color w:val="333333"/>
          <w:sz w:val="20"/>
          <w:szCs w:val="20"/>
        </w:rPr>
        <w:t>26565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الرواية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يتوهّم أنّ المراضاة و المساومة فيهما وقع على الشرط و إقدام المشروط له إنّما حصل لوعد الشرط و تقرير المشروط عليه فمع التخلّف يحصل الضرر، و هو منفيّ في الشريعة، فيجب عليه الوفاء به أو ثبوت الخيار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لاندفاعه بأنّ التقرير الموجب للضرر، إنما يحصل عند اعتقاد المشروط له لزوم الوفاء على المشروط عليه و هو غير معلوم له، فإقدامه على ما لا يؤمن ضرره حصل بتقصيره و هو غير منفيّ كما سننبّه عليه في بعض المشارق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مهيرة على فعيلة بمعنى مفعولة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حرّة تنكح بمهر و إن كانت متعة على الأقوى، بخلاف الأمة فإنّها قد توطأ بالملك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الرواية </w:t>
      </w:r>
      <w:r>
        <w:rPr>
          <w:rFonts w:eastAsia="IRNazanin" w:cs="IRNazanin"/>
          <w:b w:val="false"/>
          <w:bCs w:val="false"/>
          <w:i w:val="false"/>
          <w:iCs w:val="false"/>
          <w:color w:val="333333"/>
          <w:sz w:val="20"/>
          <w:szCs w:val="20"/>
        </w:rPr>
        <w:t>23646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مدلول خيار الشرط وارد و مزيل لمدلول قاعدة التسليط على الملك، فإنّ الثاني في مقام بيان الحكم الأصليّ، و الأوّل في بيان تشريع السبب المزيل لبعض السلطنة، من قبيل ما ورد من حرمة الأكل من ماله في التخمة في مقابل القاعدة المذكوره و سننبّه على تفصيل ذلك في بعض المشارق الآتية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الرواية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و شرائطه، الرواية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الرواية </w:t>
      </w:r>
      <w:r>
        <w:rPr>
          <w:rFonts w:eastAsia="IRNazanin" w:cs="IRNazanin"/>
          <w:b w:val="false"/>
          <w:bCs w:val="false"/>
          <w:i w:val="false"/>
          <w:iCs w:val="false"/>
          <w:color w:val="333333"/>
          <w:sz w:val="20"/>
          <w:szCs w:val="20"/>
        </w:rPr>
        <w:t>27052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مع اختلاف في العبارة، فراجع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الشروط المطبوعة مع 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 أو المجهول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هذا المشرق مختلفة في النسختين في بعض المواضع و ما أثبتناه في المتن 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سعيد بن يسار؛ أنظر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المطبوعة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أوردناه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الثامن، و الصحيح ما أثبتناه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هذا المشرق مختلفة في النسختين في بعض المواضع و ما أثبتناه في المتن موافق 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و ليس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تمامية هذا القول عندي و اختصاص الاقتضاء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الرواية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الرواية </w:t>
      </w:r>
      <w:r>
        <w:rPr>
          <w:rFonts w:eastAsia="IRNazanin" w:cs="IRNazanin"/>
          <w:b w:val="false"/>
          <w:bCs w:val="false"/>
          <w:i w:val="false"/>
          <w:iCs w:val="false"/>
          <w:color w:val="333333"/>
          <w:sz w:val="20"/>
          <w:szCs w:val="20"/>
        </w:rPr>
        <w:t>24752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الرواية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رواية عليّ بن أبي حمزة الذي استأذن من أبي عبد اللّه عليه السّلام لصديق له من كتّاب بني أميّة؛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الأمر أفرط بعضهم؛ و القائل على ما في حاشية القواعد و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سعيد الحلّي في الجامع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الرواية </w:t>
      </w:r>
      <w:r>
        <w:rPr>
          <w:rFonts w:eastAsia="IRNazanin" w:cs="IRNazanin"/>
          <w:b w:val="false"/>
          <w:bCs w:val="false"/>
          <w:i w:val="false"/>
          <w:iCs w:val="false"/>
          <w:color w:val="333333"/>
          <w:sz w:val="20"/>
          <w:szCs w:val="20"/>
        </w:rPr>
        <w:t>32331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على الرواية التي رواها أصحابنا أنّ كلّ عسكر أو فرقة غزت بغير أمر الإمام فغنمت يكون الغنيمة للإمام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رواية بهذا المضمون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الرواية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شرائطه، الرواية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الرواية </w:t>
      </w:r>
      <w:r>
        <w:rPr>
          <w:rFonts w:eastAsia="IRNazanin" w:cs="IRNazanin"/>
          <w:b w:val="false"/>
          <w:bCs w:val="false"/>
          <w:i w:val="false"/>
          <w:iCs w:val="false"/>
          <w:color w:val="333333"/>
          <w:sz w:val="20"/>
          <w:szCs w:val="20"/>
        </w:rPr>
        <w:t>20204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20198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الرواية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الرواية </w:t>
      </w:r>
      <w:r>
        <w:rPr>
          <w:rFonts w:eastAsia="IRNazanin" w:cs="IRNazanin"/>
          <w:b w:val="false"/>
          <w:bCs w:val="false"/>
          <w:i w:val="false"/>
          <w:iCs w:val="false"/>
          <w:color w:val="333333"/>
          <w:sz w:val="20"/>
          <w:szCs w:val="20"/>
        </w:rPr>
        <w:t>33422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أمّتي كأنبياء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عنه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نقله في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 نقلا عن العلّامة الحلّي في التحرير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الرواية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33421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21461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21466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الرواية </w:t>
      </w:r>
      <w:r>
        <w:rPr>
          <w:rFonts w:eastAsia="IRNazanin" w:cs="IRNazanin"/>
          <w:b w:val="false"/>
          <w:bCs w:val="false"/>
          <w:i w:val="false"/>
          <w:iCs w:val="false"/>
          <w:color w:val="333333"/>
          <w:sz w:val="20"/>
          <w:szCs w:val="20"/>
        </w:rPr>
        <w:t>12668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هو أبو عبيدة الحذّاء و الرواية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باب جواز شراء ما يأخذه الظالم، الرواية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الرواية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الرواية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الرواية </w:t>
      </w:r>
      <w:r>
        <w:rPr>
          <w:rFonts w:eastAsia="IRNazanin" w:cs="IRNazanin"/>
          <w:b w:val="false"/>
          <w:bCs w:val="false"/>
          <w:i w:val="false"/>
          <w:iCs w:val="false"/>
          <w:color w:val="333333"/>
          <w:sz w:val="20"/>
          <w:szCs w:val="20"/>
        </w:rPr>
        <w:t>11956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11958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12599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الرواية </w:t>
      </w:r>
      <w:r>
        <w:rPr>
          <w:rFonts w:eastAsia="IRNazanin" w:cs="IRNazanin"/>
          <w:b w:val="false"/>
          <w:bCs w:val="false"/>
          <w:i w:val="false"/>
          <w:iCs w:val="false"/>
          <w:color w:val="333333"/>
          <w:sz w:val="20"/>
          <w:szCs w:val="20"/>
        </w:rPr>
        <w:t>11806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الرواية </w:t>
      </w:r>
      <w:r>
        <w:rPr>
          <w:rFonts w:eastAsia="IRNazanin" w:cs="IRNazanin"/>
          <w:b w:val="false"/>
          <w:bCs w:val="false"/>
          <w:i w:val="false"/>
          <w:iCs w:val="false"/>
          <w:color w:val="333333"/>
          <w:sz w:val="20"/>
          <w:szCs w:val="20"/>
        </w:rPr>
        <w:t>22359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الرواية </w:t>
      </w:r>
      <w:r>
        <w:rPr>
          <w:rFonts w:eastAsia="IRNazanin" w:cs="IRNazanin"/>
          <w:b w:val="false"/>
          <w:bCs w:val="false"/>
          <w:i w:val="false"/>
          <w:iCs w:val="false"/>
          <w:color w:val="333333"/>
          <w:sz w:val="20"/>
          <w:szCs w:val="20"/>
        </w:rPr>
        <w:t>11954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أيضا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الرواية </w:t>
      </w:r>
      <w:r>
        <w:rPr>
          <w:rFonts w:eastAsia="IRNazanin" w:cs="IRNazanin"/>
          <w:b w:val="false"/>
          <w:bCs w:val="false"/>
          <w:i w:val="false"/>
          <w:iCs w:val="false"/>
          <w:color w:val="333333"/>
          <w:sz w:val="20"/>
          <w:szCs w:val="20"/>
        </w:rPr>
        <w:t>20199</w:t>
      </w:r>
      <w:r>
        <w:rPr>
          <w:rFonts w:ascii="IRNazanin" w:hAnsi="IRNazanin" w:eastAsia="IRNazanin"/>
          <w:b w:val="false"/>
          <w:b w:val="false"/>
          <w:bCs w:val="false"/>
          <w:i w:val="false"/>
          <w:i w:val="false"/>
          <w:iCs w:val="false"/>
          <w:color w:val="333333"/>
          <w:sz w:val="20"/>
          <w:sz w:val="20"/>
          <w:szCs w:val="20"/>
          <w:rtl w:val="true"/>
        </w:rPr>
        <w:t>، مع اختلاف يسير في الألفاظ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شرائطه، الرواية </w:t>
      </w:r>
      <w:r>
        <w:rPr>
          <w:rFonts w:eastAsia="IRNazanin" w:cs="IRNazanin"/>
          <w:b w:val="false"/>
          <w:bCs w:val="false"/>
          <w:i w:val="false"/>
          <w:iCs w:val="false"/>
          <w:color w:val="333333"/>
          <w:sz w:val="20"/>
          <w:szCs w:val="20"/>
        </w:rPr>
        <w:t>22770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22772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الرواية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شرائطه، الرواية </w:t>
      </w:r>
      <w:r>
        <w:rPr>
          <w:rFonts w:eastAsia="IRNazanin" w:cs="IRNazanin"/>
          <w:b w:val="false"/>
          <w:bCs w:val="false"/>
          <w:i w:val="false"/>
          <w:iCs w:val="false"/>
          <w:color w:val="333333"/>
          <w:sz w:val="20"/>
          <w:szCs w:val="20"/>
        </w:rPr>
        <w:t>22767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أجرة البيوت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22773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بهذه العبارة و لكن هناك روايات يمكن الاستدلال بها، 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24701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29341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أسلم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في المستصفى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العضدي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الآمدي في الإحكام في أصول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السبزواري في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حكاه السيد العاملي في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الشيخ في العدّة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الصغيرة قد يطلق على الذنب إلّا على القول بالإحباط، و هو موازنة العمل الصالح و المعصية، فكلّ ذنب يحبط بالطاعة فهي صغيرة و كلّ ذنب يحبط الطاعة فكبيرة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بهذه العبارة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20567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34032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عليّ بن جعفر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الرواية </w:t>
      </w:r>
      <w:r>
        <w:rPr>
          <w:rFonts w:eastAsia="IRNazanin" w:cs="IRNazanin"/>
          <w:b w:val="false"/>
          <w:bCs w:val="false"/>
          <w:i w:val="false"/>
          <w:iCs w:val="false"/>
          <w:color w:val="333333"/>
          <w:sz w:val="20"/>
          <w:szCs w:val="20"/>
        </w:rPr>
        <w:t>12661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بتخصيص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الغموس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الكاذبة التي يتعمّدها صاحبها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20650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كتاب الإيمان و الكفر،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كتاب القضاء، الشروط العامة للشاهد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الرواية </w:t>
      </w:r>
      <w:r>
        <w:rPr>
          <w:rFonts w:eastAsia="IRNazanin" w:cs="IRNazanin"/>
          <w:b w:val="false"/>
          <w:bCs w:val="false"/>
          <w:i w:val="false"/>
          <w:iCs w:val="false"/>
          <w:color w:val="333333"/>
          <w:sz w:val="20"/>
          <w:szCs w:val="20"/>
        </w:rPr>
        <w:t>15193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معنى الشرف و المروة و العقل، الحديث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الرواية </w:t>
      </w:r>
      <w:r>
        <w:rPr>
          <w:rFonts w:eastAsia="IRNazanin" w:cs="IRNazanin"/>
          <w:b w:val="false"/>
          <w:bCs w:val="false"/>
          <w:i w:val="false"/>
          <w:iCs w:val="false"/>
          <w:color w:val="333333"/>
          <w:sz w:val="20"/>
          <w:szCs w:val="20"/>
        </w:rPr>
        <w:t>10772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الرواية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كالكف و غيره 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الرواية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10694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الرواية </w:t>
      </w:r>
      <w:r>
        <w:rPr>
          <w:rFonts w:eastAsia="IRNazanin" w:cs="IRNazanin"/>
          <w:b w:val="false"/>
          <w:bCs w:val="false"/>
          <w:i w:val="false"/>
          <w:iCs w:val="false"/>
          <w:color w:val="333333"/>
          <w:sz w:val="20"/>
          <w:szCs w:val="20"/>
        </w:rPr>
        <w:t>10776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10778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في 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و رواه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الرواية </w:t>
      </w:r>
      <w:r>
        <w:rPr>
          <w:rFonts w:eastAsia="IRNazanin" w:cs="IRNazanin"/>
          <w:b w:val="false"/>
          <w:bCs w:val="false"/>
          <w:i w:val="false"/>
          <w:iCs w:val="false"/>
          <w:color w:val="333333"/>
          <w:sz w:val="20"/>
          <w:szCs w:val="20"/>
        </w:rPr>
        <w:t>20649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الماضي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الرواية </w:t>
      </w:r>
      <w:r>
        <w:rPr>
          <w:rFonts w:eastAsia="IRNazanin" w:cs="IRNazanin"/>
          <w:b w:val="false"/>
          <w:bCs w:val="false"/>
          <w:i w:val="false"/>
          <w:iCs w:val="false"/>
          <w:color w:val="333333"/>
          <w:sz w:val="20"/>
          <w:szCs w:val="20"/>
        </w:rPr>
        <w:t>33776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كتاب القضاء،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الرواية </w:t>
      </w:r>
      <w:r>
        <w:rPr>
          <w:rFonts w:eastAsia="IRNazanin" w:cs="IRNazanin"/>
          <w:b w:val="false"/>
          <w:bCs w:val="false"/>
          <w:i w:val="false"/>
          <w:iCs w:val="false"/>
          <w:color w:val="333333"/>
          <w:sz w:val="20"/>
          <w:szCs w:val="20"/>
        </w:rPr>
        <w:t>33678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الرواية </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انظر في الأخبار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ما يجب ردّ الشهادة؛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34049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34054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على قائله و جعله المحقق النراقي ثامن الأقوال من دون إسناد إلى قائل معين، 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التعبير فيه و لكنه بحث عن الغناء في المجلّد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الرواية </w:t>
      </w:r>
      <w:r>
        <w:rPr>
          <w:rFonts w:eastAsia="IRNazanin" w:cs="IRNazanin"/>
          <w:b w:val="false"/>
          <w:bCs w:val="false"/>
          <w:i w:val="false"/>
          <w:iCs w:val="false"/>
          <w:color w:val="333333"/>
          <w:sz w:val="20"/>
          <w:szCs w:val="20"/>
        </w:rPr>
        <w:t>7756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7746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القدود بضمّ القاف جمع القدّ بالفتح، أي قامة الرجل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الرواية </w:t>
      </w:r>
      <w:r>
        <w:rPr>
          <w:rFonts w:eastAsia="IRNazanin" w:cs="IRNazanin"/>
          <w:b w:val="false"/>
          <w:bCs w:val="false"/>
          <w:i w:val="false"/>
          <w:iCs w:val="false"/>
          <w:color w:val="333333"/>
          <w:sz w:val="20"/>
          <w:szCs w:val="20"/>
        </w:rPr>
        <w:t>7754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كسب المغنّيات حرام و تعلّم ذلك و تعليمه محظور في شرع الإسلام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22604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22604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22598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رواه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في حاشية الوسائل عن عيون الأخبار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 اللّه تعالى بين الحقّ و الباطل مع أيّهما يكون الغناء؟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الباطل، 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حسبك فقد حكمت على نفسك، فهكذا كان قولى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 المكتبة الإسلامية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فقلوبهم مقلوبة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كما أثبتناه و 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قلوبهم مفتونة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 مقلوبة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المكاسب المحظورة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المغنّي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22144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جاء</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دخولهنّ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22148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ترتيل القرآن بالصوت الحسن،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22605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الغناء،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الرواية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الرواية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الرواية </w:t>
      </w:r>
      <w:r>
        <w:rPr>
          <w:rFonts w:eastAsia="IRNazanin" w:cs="IRNazanin"/>
          <w:b w:val="false"/>
          <w:bCs w:val="false"/>
          <w:i w:val="false"/>
          <w:iCs w:val="false"/>
          <w:color w:val="333333"/>
          <w:sz w:val="20"/>
          <w:szCs w:val="20"/>
        </w:rPr>
        <w:t>24013</w:t>
      </w:r>
      <w:r>
        <w:rPr>
          <w:rFonts w:ascii="IRNazanin" w:hAnsi="IRNazanin" w:eastAsia="IRNazanin"/>
          <w:b w:val="false"/>
          <w:b w:val="false"/>
          <w:bCs w:val="false"/>
          <w:i w:val="false"/>
          <w:i w:val="false"/>
          <w:iCs w:val="false"/>
          <w:color w:val="333333"/>
          <w:sz w:val="20"/>
          <w:sz w:val="20"/>
          <w:szCs w:val="20"/>
          <w:rtl w:val="true"/>
        </w:rPr>
        <w:t>؛ و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الرواية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رواها عنه في الوسائل، نفس الموضع، الرواية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الرواية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الرواية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محلّه، لأنّ الاجتناب عما يخالف الأصل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أحمد النراقي في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بحر العلوم في فوائده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الميرزا القمّي في قوانين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صاحب الفصول الغروية فيها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الخوانساري في المشارق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الفرع العاشر من فروعات الوضوء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إرشاد الأذهان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فهد في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الشهيد الثاني في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هذه القاعدة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المشرق الرابع مع اختلاف كثير، و نحن التزمنا بالنسخة المطبوعة و قابلناها مع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32281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32279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الرواية </w:t>
      </w:r>
      <w:r>
        <w:rPr>
          <w:rFonts w:eastAsia="IRNazanin" w:cs="IRNazanin"/>
          <w:b w:val="false"/>
          <w:bCs w:val="false"/>
          <w:i w:val="false"/>
          <w:iCs w:val="false"/>
          <w:color w:val="333333"/>
          <w:sz w:val="20"/>
          <w:szCs w:val="20"/>
        </w:rPr>
        <w:t>23659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الهبات، الرواية </w:t>
      </w:r>
      <w:r>
        <w:rPr>
          <w:rFonts w:eastAsia="IRNazanin" w:cs="IRNazanin"/>
          <w:b w:val="false"/>
          <w:bCs w:val="false"/>
          <w:i w:val="false"/>
          <w:iCs w:val="false"/>
          <w:color w:val="333333"/>
          <w:sz w:val="20"/>
          <w:szCs w:val="20"/>
        </w:rPr>
        <w:t>24497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الرواية </w:t>
      </w:r>
      <w:r>
        <w:rPr>
          <w:rFonts w:eastAsia="IRNazanin" w:cs="IRNazanin"/>
          <w:b w:val="false"/>
          <w:bCs w:val="false"/>
          <w:i w:val="false"/>
          <w:iCs w:val="false"/>
          <w:color w:val="333333"/>
          <w:sz w:val="20"/>
          <w:szCs w:val="20"/>
        </w:rPr>
        <w:t>35540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الأنصاري قدّس سرّه في رسالة لا ضرر؛ راجع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أيضا رسائل فقهية من منشورات المؤتمر المئوي للشيخ الأعظم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مكاتبة محمد بن الحسين عن أبي محمد عليه السّلام؛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الرواية </w:t>
      </w:r>
      <w:r>
        <w:rPr>
          <w:rFonts w:eastAsia="IRNazanin" w:cs="IRNazanin"/>
          <w:b w:val="false"/>
          <w:bCs w:val="false"/>
          <w:i w:val="false"/>
          <w:iCs w:val="false"/>
          <w:color w:val="333333"/>
          <w:sz w:val="20"/>
          <w:szCs w:val="20"/>
        </w:rPr>
        <w:t>32286</w:t>
      </w:r>
      <w:r>
        <w:rPr>
          <w:rFonts w:ascii="IRNazanin" w:hAnsi="IRNazanin" w:eastAsia="IRNazanin"/>
          <w:b w:val="false"/>
          <w:b w:val="false"/>
          <w:bCs w:val="false"/>
          <w:i w:val="false"/>
          <w:i w:val="false"/>
          <w:iCs w:val="false"/>
          <w:color w:val="333333"/>
          <w:sz w:val="20"/>
          <w:sz w:val="20"/>
          <w:szCs w:val="20"/>
          <w:rtl w:val="true"/>
        </w:rPr>
        <w:t>؛ في نقل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في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يضارّ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المشرق الخامس في المعاملات الإضرارية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الأنصاري قدّس سرّه في رسالة لا ضرر؛ راجع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 أيضا رسائل فقهية من منشورات المؤتمر المئوي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منافية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الرواية </w:t>
      </w:r>
      <w:r>
        <w:rPr>
          <w:rFonts w:eastAsia="IRNazanin" w:cs="IRNazanin"/>
          <w:b w:val="false"/>
          <w:bCs w:val="false"/>
          <w:i w:val="false"/>
          <w:iCs w:val="false"/>
          <w:color w:val="333333"/>
          <w:sz w:val="20"/>
          <w:szCs w:val="20"/>
        </w:rPr>
        <w:t>22965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الرواية </w:t>
      </w:r>
      <w:r>
        <w:rPr>
          <w:rFonts w:eastAsia="IRNazanin" w:cs="IRNazanin"/>
          <w:b w:val="false"/>
          <w:bCs w:val="false"/>
          <w:i w:val="false"/>
          <w:iCs w:val="false"/>
          <w:color w:val="333333"/>
          <w:sz w:val="20"/>
          <w:szCs w:val="20"/>
        </w:rPr>
        <w:t>22747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الرواية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صاحب الجواهر في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ابن إدريس الحلّي مع أنّه لم يعمل بالخبر الواحد، قد قبل هذا الحديث و ردّ روايات معتبرة أخرى لمخالفتها مع مضمون الحديث؛ 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ابن زهرة في كتاب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مجمل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الحاكي هو صاحب الجواهر في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22965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غاية المراد في شرح الإرشاد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الرابع و هو تصحيف ظاهرا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الرواية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23014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23025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23014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23033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لا يسقط</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و لكن حكاه عنه الشهيد في 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كلمة يمكن أن تقرأ هكذا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الرواية </w:t>
      </w:r>
      <w:r>
        <w:rPr>
          <w:rFonts w:eastAsia="IRNazanin" w:cs="IRNazanin"/>
          <w:b w:val="false"/>
          <w:bCs w:val="false"/>
          <w:i w:val="false"/>
          <w:iCs w:val="false"/>
          <w:color w:val="333333"/>
          <w:sz w:val="20"/>
          <w:szCs w:val="20"/>
        </w:rPr>
        <w:t>27081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الضمان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لإثبات قبوله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23045</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23049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به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الينابيع الفقهية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طريق الإمامية، عن رسول اللّه صلّى اللّه عليه و آله و سلّم، بهذه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بيع إلّا في ما تملك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15209</w:t>
      </w:r>
      <w:r>
        <w:rPr>
          <w:rFonts w:ascii="IRNazanin" w:hAnsi="IRNazanin" w:eastAsia="IRNazanin"/>
          <w:b w:val="false"/>
          <w:b w:val="false"/>
          <w:bCs w:val="false"/>
          <w:i w:val="false"/>
          <w:i w:val="false"/>
          <w:iCs w:val="false"/>
          <w:color w:val="333333"/>
          <w:sz w:val="20"/>
          <w:sz w:val="20"/>
          <w:szCs w:val="20"/>
          <w:rtl w:val="true"/>
        </w:rPr>
        <w:t>؛ و عن الصادق عليه السّلام، عن رسول اللّه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عتق إلّا بعد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الرواية </w:t>
      </w:r>
      <w:r>
        <w:rPr>
          <w:rFonts w:eastAsia="IRNazanin" w:cs="IRNazanin"/>
          <w:b w:val="false"/>
          <w:bCs w:val="false"/>
          <w:i w:val="false"/>
          <w:iCs w:val="false"/>
          <w:color w:val="333333"/>
          <w:sz w:val="20"/>
          <w:szCs w:val="20"/>
        </w:rPr>
        <w:t>28998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الرواية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و لكن بحث قدّس سرّه عن أحكام المرابحة في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الرواية </w:t>
      </w:r>
      <w:r>
        <w:rPr>
          <w:rFonts w:eastAsia="IRNazanin" w:cs="IRNazanin"/>
          <w:b w:val="false"/>
          <w:bCs w:val="false"/>
          <w:i w:val="false"/>
          <w:iCs w:val="false"/>
          <w:color w:val="333333"/>
          <w:sz w:val="20"/>
          <w:szCs w:val="20"/>
        </w:rPr>
        <w:t>30425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22051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 المتّقون المتّقين، لتركهم عما لا بأس به حذرا ممّا به البأس</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الرواية </w:t>
      </w:r>
      <w:r>
        <w:rPr>
          <w:rFonts w:eastAsia="IRNazanin" w:cs="IRNazanin"/>
          <w:b w:val="false"/>
          <w:bCs w:val="false"/>
          <w:i w:val="false"/>
          <w:iCs w:val="false"/>
          <w:color w:val="333333"/>
          <w:sz w:val="20"/>
          <w:szCs w:val="20"/>
        </w:rPr>
        <w:t>14768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الرواية </w:t>
      </w:r>
      <w:r>
        <w:rPr>
          <w:rFonts w:eastAsia="IRNazanin" w:cs="IRNazanin"/>
          <w:b w:val="false"/>
          <w:bCs w:val="false"/>
          <w:i w:val="false"/>
          <w:iCs w:val="false"/>
          <w:color w:val="333333"/>
          <w:sz w:val="20"/>
          <w:szCs w:val="20"/>
        </w:rPr>
        <w:t>30424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الرواية </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الرواية عن عبد اللّه بن سليمان، عن الصادق عليه السّلام في الجبنة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أنّ فيه الميتة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 ينزو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و الذكر على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سفدها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هذا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عصيان المخالفة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الرواية </w:t>
      </w:r>
      <w:r>
        <w:rPr>
          <w:rFonts w:eastAsia="IRNazanin" w:cs="IRNazanin"/>
          <w:b w:val="false"/>
          <w:bCs w:val="false"/>
          <w:i w:val="false"/>
          <w:iCs w:val="false"/>
          <w:color w:val="333333"/>
          <w:sz w:val="20"/>
          <w:szCs w:val="20"/>
        </w:rPr>
        <w:t>32348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المتاجر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الرواية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الرواية </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الرواية عن عبد اللّه بن سليمان، عن الصادق عليه السّلام في الجبنة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لك حلال حتى يجيئك شاهدان يشهدان أنّ فيه الميتة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الرواية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الرواية </w:t>
      </w:r>
      <w:r>
        <w:rPr>
          <w:rFonts w:eastAsia="IRNazanin" w:cs="IRNazanin"/>
          <w:b w:val="false"/>
          <w:bCs w:val="false"/>
          <w:i w:val="false"/>
          <w:iCs w:val="false"/>
          <w:color w:val="333333"/>
          <w:sz w:val="20"/>
          <w:szCs w:val="20"/>
        </w:rPr>
        <w:t>25547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35543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35540</w:t>
      </w:r>
      <w:r>
        <w:rPr>
          <w:rFonts w:ascii="IRNazanin" w:hAnsi="IRNazanin" w:eastAsia="IRNazanin"/>
          <w:b w:val="false"/>
          <w:b w:val="false"/>
          <w:bCs w:val="false"/>
          <w:i w:val="false"/>
          <w:i w:val="false"/>
          <w:iCs w:val="false"/>
          <w:color w:val="333333"/>
          <w:sz w:val="20"/>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الرواية </w:t>
      </w:r>
      <w:r>
        <w:rPr>
          <w:rFonts w:eastAsia="IRNazanin" w:cs="IRNazanin"/>
          <w:b w:val="false"/>
          <w:bCs w:val="false"/>
          <w:i w:val="false"/>
          <w:iCs w:val="false"/>
          <w:color w:val="333333"/>
          <w:sz w:val="20"/>
          <w:szCs w:val="20"/>
        </w:rPr>
        <w:t>35539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35541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الرواية </w:t>
      </w:r>
      <w:r>
        <w:rPr>
          <w:rFonts w:eastAsia="IRNazanin" w:cs="IRNazanin"/>
          <w:b w:val="false"/>
          <w:bCs w:val="false"/>
          <w:i w:val="false"/>
          <w:iCs w:val="false"/>
          <w:color w:val="333333"/>
          <w:sz w:val="20"/>
          <w:szCs w:val="20"/>
        </w:rPr>
        <w:t>33854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33864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كتاب الضمان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كتاب الوكالة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الوكالة، الرواية </w:t>
      </w:r>
      <w:r>
        <w:rPr>
          <w:rFonts w:eastAsia="IRNazanin" w:cs="IRNazanin"/>
          <w:b w:val="false"/>
          <w:bCs w:val="false"/>
          <w:i w:val="false"/>
          <w:iCs w:val="false"/>
          <w:color w:val="333333"/>
          <w:sz w:val="20"/>
          <w:szCs w:val="20"/>
        </w:rPr>
        <w:t>24368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الوكالة، الرواية </w:t>
      </w:r>
      <w:r>
        <w:rPr>
          <w:rFonts w:eastAsia="IRNazanin" w:cs="IRNazanin"/>
          <w:b w:val="false"/>
          <w:bCs w:val="false"/>
          <w:i w:val="false"/>
          <w:iCs w:val="false"/>
          <w:color w:val="333333"/>
          <w:sz w:val="20"/>
          <w:szCs w:val="20"/>
        </w:rPr>
        <w:t>24366</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لا تقرأ</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حكاه السيد بن طاوس في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بن طاوس في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صاحب الفاخر المعروف في كتب الرجال بأبي الفضل الصابوني، حكاه السيّد بن طاوس في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رسالة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رسالة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مفتاح الكرامة إلى كتاب حبل المتين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الرواية </w:t>
      </w:r>
      <w:r>
        <w:rPr>
          <w:rFonts w:eastAsia="IRNazanin" w:cs="IRNazanin"/>
          <w:b w:val="false"/>
          <w:bCs w:val="false"/>
          <w:i w:val="false"/>
          <w:iCs w:val="false"/>
          <w:color w:val="333333"/>
          <w:sz w:val="20"/>
          <w:szCs w:val="20"/>
        </w:rPr>
        <w:t>10574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10605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10600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10642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الرواية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البقرة</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الرواية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الرواية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جواز قضاء الفرائض في وقت الفريضة، الرواية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السيد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رقد فغلبته عيناه فلم يستيقظ حتّى آذاه حرّ الشمس ثم استيقظ فركع ركعتين ثمّ صلّى الصبح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بلال ما لك؟ فقال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أرقدني الذي أرقدك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كره المقام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نمتم بوادي الشيطان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الرواية </w:t>
      </w:r>
      <w:r>
        <w:rPr>
          <w:rFonts w:eastAsia="IRNazanin" w:cs="IRNazanin"/>
          <w:b w:val="false"/>
          <w:bCs w:val="false"/>
          <w:i w:val="false"/>
          <w:iCs w:val="false"/>
          <w:color w:val="333333"/>
          <w:sz w:val="20"/>
          <w:szCs w:val="20"/>
        </w:rPr>
        <w:t>10424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 يُطَهِّرَكُمْ تَطْهِيراً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كان النبي صلّى اللّه عليه و آله و سلّم تنام عينه و لا ينام قلبه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تمام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طاوس في رسالة المواسعة و المضايقة نقلا عن أصل عبيد اللّه بن عليّ الحلبي المعروض على الصادق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صلوات يصلّيهنّ على كلّ حال، متى ذكره و متى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فريضة نسيها، يقضيها مع غروب الشمس و طلوعها و صلاة ركعتي الإحرام، و ركعتي الطواف، و الفريضة، و كسوف الشمس، عند طلوعها و عند غروبها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الرواية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الرواية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الرواية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xml:space="preserve">؛ و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الرواية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الرواية </w:t>
      </w:r>
      <w:r>
        <w:rPr>
          <w:rFonts w:eastAsia="IRNazanin" w:cs="IRNazanin"/>
          <w:b w:val="false"/>
          <w:bCs w:val="false"/>
          <w:i w:val="false"/>
          <w:iCs w:val="false"/>
          <w:color w:val="333333"/>
          <w:sz w:val="20"/>
          <w:szCs w:val="20"/>
        </w:rPr>
        <w:t>10572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الرواية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الرواية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الرواية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الرسيّة الأولى، ضمن رسائل الشريف المرتضى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footnotes" Target="footnotes.xml"/><Relationship Id="rId501" Type="http://schemas.openxmlformats.org/officeDocument/2006/relationships/numbering" Target="numbering.xml"/><Relationship Id="rId502" Type="http://schemas.openxmlformats.org/officeDocument/2006/relationships/fontTable" Target="fontTable.xml"/><Relationship Id="rId503" Type="http://schemas.openxmlformats.org/officeDocument/2006/relationships/settings" Target="settings.xml"/><Relationship Id="rId5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39088</Words>
  <Characters>164560</Characters>
  <CharactersWithSpaces>202506</CharactersWithSpaces>
  <Paragraphs>1143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2026-08-17T08:31:25Z</dcterms:created>
  <dc:creator>ghaemiyeh.com</dc:creator>
  <dc:description/>
  <dc:language>en-US</dc:language>
  <cp:lastModifiedBy/>
  <dcterms:modified xsi:type="dcterms:W3CDTF">2026-08-17T12:01:42Z</dcterms:modified>
  <cp:revision>1</cp:revision>
  <dc:subject/>
  <dc:title>مشارق الاحکام</dc:title>
</cp:coreProperties>
</file>

<file path=docProps/custom.xml><?xml version="1.0" encoding="utf-8"?>
<Properties xmlns="http://schemas.openxmlformats.org/officeDocument/2006/custom-properties" xmlns:vt="http://schemas.openxmlformats.org/officeDocument/2006/docPropsVTypes"/>
</file>