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قبض الوقف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046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80471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80473_3650668749">
            <w:r>
              <w:rPr>
                <w:webHidden/>
                <w:rStyle w:val="IndexLink"/>
                <w:rtl w:val="true"/>
              </w:rPr>
              <w:t>قبض الوقف</w:t>
            </w:r>
            <w:r>
              <w:rPr>
                <w:rStyle w:val="IndexLink"/>
                <w:rtl w:val="true"/>
              </w:rPr>
              <w:tab/>
            </w:r>
            <w:r>
              <w:rPr>
                <w:rStyle w:val="IndexLink"/>
              </w:rPr>
              <w:t>5</w:t>
            </w:r>
          </w:hyperlink>
        </w:p>
        <w:p>
          <w:pPr>
            <w:pStyle w:val="Contents3"/>
            <w:tabs>
              <w:tab w:val="clear" w:pos="8459"/>
              <w:tab w:val="right" w:pos="9026" w:leader="dot"/>
            </w:tabs>
            <w:rPr/>
          </w:pPr>
          <w:hyperlink w:anchor="__RefHeading___Toc3280475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280477_3650668749">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5</w:t>
            </w:r>
          </w:hyperlink>
        </w:p>
        <w:p>
          <w:pPr>
            <w:pStyle w:val="Contents3"/>
            <w:tabs>
              <w:tab w:val="clear" w:pos="8459"/>
              <w:tab w:val="right" w:pos="9026" w:leader="dot"/>
            </w:tabs>
            <w:rPr/>
          </w:pPr>
          <w:hyperlink w:anchor="__RefHeading___Toc3280479_3650668749">
            <w:r>
              <w:rPr>
                <w:webHidden/>
                <w:rStyle w:val="IndexLink"/>
                <w:rtl w:val="true"/>
              </w:rPr>
              <w:t>تحقيق الكلام في المسألة يقتضي رسم مقامات</w:t>
            </w:r>
            <w:r>
              <w:rPr>
                <w:rStyle w:val="IndexLink"/>
                <w:rtl w:val="true"/>
              </w:rPr>
              <w:t>:</w:t>
              <w:tab/>
            </w:r>
            <w:r>
              <w:rPr>
                <w:rStyle w:val="IndexLink"/>
              </w:rPr>
              <w:t>7</w:t>
            </w:r>
          </w:hyperlink>
        </w:p>
        <w:p>
          <w:pPr>
            <w:pStyle w:val="Contents4"/>
            <w:tabs>
              <w:tab w:val="clear" w:pos="8176"/>
              <w:tab w:val="right" w:pos="9026" w:leader="dot"/>
            </w:tabs>
            <w:rPr/>
          </w:pPr>
          <w:hyperlink w:anchor="__RefHeading___Toc3280481_3650668749">
            <w:r>
              <w:rPr>
                <w:webHidden/>
                <w:rStyle w:val="IndexLink"/>
                <w:rtl w:val="true"/>
              </w:rPr>
              <w:t>المقام الأول</w:t>
            </w:r>
            <w:r>
              <w:rPr>
                <w:rStyle w:val="IndexLink"/>
                <w:rtl w:val="true"/>
              </w:rPr>
              <w:t xml:space="preserve">: </w:t>
            </w:r>
            <w:r>
              <w:rPr>
                <w:rStyle w:val="IndexLink"/>
                <w:rtl w:val="true"/>
              </w:rPr>
              <w:t>في معنى القبض</w:t>
            </w:r>
            <w:r>
              <w:rPr>
                <w:rStyle w:val="IndexLink"/>
                <w:rtl w:val="true"/>
              </w:rPr>
              <w:tab/>
            </w:r>
            <w:r>
              <w:rPr>
                <w:rStyle w:val="IndexLink"/>
              </w:rPr>
              <w:t>7</w:t>
            </w:r>
          </w:hyperlink>
        </w:p>
        <w:p>
          <w:pPr>
            <w:pStyle w:val="Contents4"/>
            <w:tabs>
              <w:tab w:val="clear" w:pos="8176"/>
              <w:tab w:val="right" w:pos="9026" w:leader="dot"/>
            </w:tabs>
            <w:rPr/>
          </w:pPr>
          <w:hyperlink w:anchor="__RefHeading___Toc3280483_3650668749">
            <w:r>
              <w:rPr>
                <w:webHidden/>
                <w:rStyle w:val="IndexLink"/>
                <w:rtl w:val="true"/>
              </w:rPr>
              <w:t>المقام الثّاني</w:t>
            </w:r>
            <w:r>
              <w:rPr>
                <w:rStyle w:val="IndexLink"/>
                <w:rtl w:val="true"/>
              </w:rPr>
              <w:t>: [</w:t>
            </w:r>
            <w:r>
              <w:rPr>
                <w:rStyle w:val="IndexLink"/>
                <w:rtl w:val="true"/>
              </w:rPr>
              <w:t>فى الإشكال على النراقى فى قبض في غير المنقول</w:t>
            </w:r>
            <w:r>
              <w:rPr>
                <w:rStyle w:val="IndexLink"/>
                <w:rtl w:val="true"/>
              </w:rPr>
              <w:t>]</w:t>
              <w:tab/>
            </w:r>
            <w:r>
              <w:rPr>
                <w:rStyle w:val="IndexLink"/>
              </w:rPr>
              <w:t>11</w:t>
            </w:r>
          </w:hyperlink>
        </w:p>
        <w:p>
          <w:pPr>
            <w:pStyle w:val="Contents4"/>
            <w:tabs>
              <w:tab w:val="clear" w:pos="8176"/>
              <w:tab w:val="right" w:pos="9026" w:leader="dot"/>
            </w:tabs>
            <w:rPr/>
          </w:pPr>
          <w:hyperlink w:anchor="__RefHeading___Toc3280485_3650668749">
            <w:r>
              <w:rPr>
                <w:webHidden/>
                <w:rStyle w:val="IndexLink"/>
                <w:rtl w:val="true"/>
              </w:rPr>
              <w:t>المقام الثالث</w:t>
            </w:r>
            <w:r>
              <w:rPr>
                <w:rStyle w:val="IndexLink"/>
                <w:rtl w:val="true"/>
              </w:rPr>
              <w:t xml:space="preserve">: </w:t>
            </w:r>
            <w:r>
              <w:rPr>
                <w:rStyle w:val="IndexLink"/>
                <w:rtl w:val="true"/>
              </w:rPr>
              <w:t>في قبض المنقول</w:t>
            </w:r>
            <w:r>
              <w:rPr>
                <w:rStyle w:val="IndexLink"/>
                <w:rtl w:val="true"/>
              </w:rPr>
              <w:tab/>
            </w:r>
            <w:r>
              <w:rPr>
                <w:rStyle w:val="IndexLink"/>
              </w:rPr>
              <w:t>11</w:t>
            </w:r>
          </w:hyperlink>
        </w:p>
        <w:p>
          <w:pPr>
            <w:pStyle w:val="Contents4"/>
            <w:tabs>
              <w:tab w:val="clear" w:pos="8176"/>
              <w:tab w:val="right" w:pos="9026" w:leader="dot"/>
            </w:tabs>
            <w:rPr/>
          </w:pPr>
          <w:hyperlink w:anchor="__RefHeading___Toc3280487_3650668749">
            <w:r>
              <w:rPr>
                <w:webHidden/>
                <w:rStyle w:val="IndexLink"/>
                <w:rtl w:val="true"/>
              </w:rPr>
              <w:t>المقام الرابع</w:t>
            </w:r>
            <w:r>
              <w:rPr>
                <w:rStyle w:val="IndexLink"/>
                <w:rtl w:val="true"/>
              </w:rPr>
              <w:t xml:space="preserve">: </w:t>
            </w:r>
            <w:r>
              <w:rPr>
                <w:rStyle w:val="IndexLink"/>
                <w:rtl w:val="true"/>
              </w:rPr>
              <w:t>لا فرق في القبض في غير المنقول بين البيع و الرهن و الوقف و غيرها</w:t>
            </w:r>
            <w:r>
              <w:rPr>
                <w:rStyle w:val="IndexLink"/>
                <w:rtl w:val="true"/>
              </w:rPr>
              <w:t>.</w:t>
              <w:tab/>
            </w:r>
            <w:r>
              <w:rPr>
                <w:rStyle w:val="IndexLink"/>
              </w:rPr>
              <w:t>16</w:t>
            </w:r>
          </w:hyperlink>
        </w:p>
        <w:p>
          <w:pPr>
            <w:pStyle w:val="Contents4"/>
            <w:tabs>
              <w:tab w:val="clear" w:pos="8176"/>
              <w:tab w:val="right" w:pos="9026" w:leader="dot"/>
            </w:tabs>
            <w:rPr/>
          </w:pPr>
          <w:hyperlink w:anchor="__RefHeading___Toc3280489_3650668749">
            <w:r>
              <w:rPr>
                <w:webHidden/>
                <w:rStyle w:val="IndexLink"/>
                <w:rtl w:val="true"/>
              </w:rPr>
              <w:t>المقام الخامس</w:t>
            </w:r>
            <w:r>
              <w:rPr>
                <w:rStyle w:val="IndexLink"/>
                <w:rtl w:val="true"/>
              </w:rPr>
              <w:t xml:space="preserve">: </w:t>
            </w:r>
            <w:r>
              <w:rPr>
                <w:rStyle w:val="IndexLink"/>
                <w:rtl w:val="true"/>
              </w:rPr>
              <w:t>هل يتوقّف القبض على إذن الواقف</w:t>
            </w:r>
            <w:r>
              <w:rPr>
                <w:rStyle w:val="IndexLink"/>
                <w:rtl w:val="true"/>
              </w:rPr>
              <w:tab/>
            </w:r>
            <w:r>
              <w:rPr>
                <w:rStyle w:val="IndexLink"/>
              </w:rPr>
              <w:t>16</w:t>
            </w:r>
          </w:hyperlink>
        </w:p>
        <w:p>
          <w:pPr>
            <w:pStyle w:val="Contents4"/>
            <w:tabs>
              <w:tab w:val="clear" w:pos="8176"/>
              <w:tab w:val="right" w:pos="9026" w:leader="dot"/>
            </w:tabs>
            <w:rPr/>
          </w:pPr>
          <w:hyperlink w:anchor="__RefHeading___Toc3280491_3650668749">
            <w:r>
              <w:rPr>
                <w:webHidden/>
                <w:rStyle w:val="IndexLink"/>
                <w:rtl w:val="true"/>
              </w:rPr>
              <w:t>المقام السادس</w:t>
            </w:r>
            <w:r>
              <w:rPr>
                <w:rStyle w:val="IndexLink"/>
                <w:rtl w:val="true"/>
              </w:rPr>
              <w:t xml:space="preserve">: </w:t>
            </w:r>
            <w:r>
              <w:rPr>
                <w:rStyle w:val="IndexLink"/>
                <w:rtl w:val="true"/>
              </w:rPr>
              <w:t>هل يكتفى باللفظ الصريح مع عدم وجود التخلية التامّة؟</w:t>
            </w:r>
            <w:r>
              <w:rPr>
                <w:rStyle w:val="IndexLink"/>
                <w:rtl w:val="true"/>
              </w:rPr>
              <w:tab/>
            </w:r>
            <w:r>
              <w:rPr>
                <w:rStyle w:val="IndexLink"/>
              </w:rPr>
              <w:t>18</w:t>
            </w:r>
          </w:hyperlink>
        </w:p>
        <w:p>
          <w:pPr>
            <w:pStyle w:val="Contents4"/>
            <w:tabs>
              <w:tab w:val="clear" w:pos="8176"/>
              <w:tab w:val="right" w:pos="9026" w:leader="dot"/>
            </w:tabs>
            <w:rPr/>
          </w:pPr>
          <w:hyperlink w:anchor="__RefHeading___Toc3280493_3650668749">
            <w:r>
              <w:rPr>
                <w:webHidden/>
                <w:rStyle w:val="IndexLink"/>
                <w:rtl w:val="true"/>
              </w:rPr>
              <w:t>المقام السابع</w:t>
            </w:r>
            <w:r>
              <w:rPr>
                <w:rStyle w:val="IndexLink"/>
                <w:rtl w:val="true"/>
              </w:rPr>
              <w:t xml:space="preserve">: </w:t>
            </w:r>
            <w:r>
              <w:rPr>
                <w:rStyle w:val="IndexLink"/>
                <w:rtl w:val="true"/>
              </w:rPr>
              <w:t>لو أمر الواقف الموقوف عليه بالقبض و لم يقبض حتّى مات الواقف</w:t>
            </w:r>
            <w:r>
              <w:rPr>
                <w:rStyle w:val="IndexLink"/>
                <w:rtl w:val="true"/>
              </w:rPr>
              <w:tab/>
            </w:r>
            <w:r>
              <w:rPr>
                <w:rStyle w:val="IndexLink"/>
              </w:rPr>
              <w:t>18</w:t>
            </w:r>
          </w:hyperlink>
        </w:p>
        <w:p>
          <w:pPr>
            <w:pStyle w:val="Contents4"/>
            <w:tabs>
              <w:tab w:val="clear" w:pos="8176"/>
              <w:tab w:val="right" w:pos="9026" w:leader="dot"/>
            </w:tabs>
            <w:rPr/>
          </w:pPr>
          <w:hyperlink w:anchor="__RefHeading___Toc3280495_3650668749">
            <w:r>
              <w:rPr>
                <w:webHidden/>
                <w:rStyle w:val="IndexLink"/>
                <w:rtl w:val="true"/>
              </w:rPr>
              <w:t>المقام الثامن</w:t>
            </w:r>
            <w:r>
              <w:rPr>
                <w:rStyle w:val="IndexLink"/>
                <w:rtl w:val="true"/>
              </w:rPr>
              <w:t xml:space="preserve">: </w:t>
            </w:r>
            <w:r>
              <w:rPr>
                <w:rStyle w:val="IndexLink"/>
                <w:rtl w:val="true"/>
              </w:rPr>
              <w:t>قد ظهر ممّا ذكرنا أنّه لو أمر بالقبض مع التخلية التامّة</w:t>
            </w:r>
            <w:r>
              <w:rPr>
                <w:rStyle w:val="IndexLink"/>
                <w:rtl w:val="true"/>
              </w:rPr>
              <w:tab/>
            </w:r>
            <w:r>
              <w:rPr>
                <w:rStyle w:val="IndexLink"/>
              </w:rPr>
              <w:t>21</w:t>
            </w:r>
          </w:hyperlink>
        </w:p>
        <w:p>
          <w:pPr>
            <w:pStyle w:val="Contents4"/>
            <w:tabs>
              <w:tab w:val="clear" w:pos="8176"/>
              <w:tab w:val="right" w:pos="9026" w:leader="dot"/>
            </w:tabs>
            <w:rPr/>
          </w:pPr>
          <w:hyperlink w:anchor="__RefHeading___Toc3280497_3650668749">
            <w:r>
              <w:rPr>
                <w:webHidden/>
                <w:rStyle w:val="IndexLink"/>
                <w:rtl w:val="true"/>
              </w:rPr>
              <w:t>المقام التاسع</w:t>
            </w:r>
            <w:r>
              <w:rPr>
                <w:rStyle w:val="IndexLink"/>
                <w:rtl w:val="true"/>
              </w:rPr>
              <w:t xml:space="preserve">: </w:t>
            </w:r>
            <w:r>
              <w:rPr>
                <w:rStyle w:val="IndexLink"/>
                <w:rtl w:val="true"/>
              </w:rPr>
              <w:t>لا يشترط الفوريّة في القبض</w:t>
            </w:r>
            <w:r>
              <w:rPr>
                <w:rStyle w:val="IndexLink"/>
                <w:rtl w:val="true"/>
              </w:rPr>
              <w:tab/>
            </w:r>
            <w:r>
              <w:rPr>
                <w:rStyle w:val="IndexLink"/>
              </w:rPr>
              <w:t>21</w:t>
            </w:r>
          </w:hyperlink>
        </w:p>
        <w:p>
          <w:pPr>
            <w:pStyle w:val="Contents4"/>
            <w:tabs>
              <w:tab w:val="clear" w:pos="8176"/>
              <w:tab w:val="right" w:pos="9026" w:leader="dot"/>
            </w:tabs>
            <w:rPr/>
          </w:pPr>
          <w:hyperlink w:anchor="__RefHeading___Toc3280499_3650668749">
            <w:r>
              <w:rPr>
                <w:webHidden/>
                <w:rStyle w:val="IndexLink"/>
                <w:rtl w:val="true"/>
              </w:rPr>
              <w:t>المقام العاشر</w:t>
            </w:r>
            <w:r>
              <w:rPr>
                <w:rStyle w:val="IndexLink"/>
                <w:rtl w:val="true"/>
              </w:rPr>
              <w:t xml:space="preserve">: </w:t>
            </w:r>
            <w:r>
              <w:rPr>
                <w:rStyle w:val="IndexLink"/>
                <w:rtl w:val="true"/>
              </w:rPr>
              <w:t>ينبغي أن يعلم أنّ القبض المعتبر شرعا في الوقف إنّما هو بالنسبة إلى البطن الأوّل،</w:t>
            </w:r>
            <w:r>
              <w:rPr>
                <w:rStyle w:val="IndexLink"/>
                <w:rtl w:val="true"/>
              </w:rPr>
              <w:tab/>
            </w:r>
            <w:r>
              <w:rPr>
                <w:rStyle w:val="IndexLink"/>
              </w:rPr>
              <w:t>22</w:t>
            </w:r>
          </w:hyperlink>
        </w:p>
        <w:p>
          <w:pPr>
            <w:pStyle w:val="Contents4"/>
            <w:tabs>
              <w:tab w:val="clear" w:pos="8176"/>
              <w:tab w:val="right" w:pos="9026" w:leader="dot"/>
            </w:tabs>
            <w:rPr/>
          </w:pPr>
          <w:hyperlink w:anchor="__RefHeading___Toc3280501_3650668749">
            <w:r>
              <w:rPr>
                <w:webHidden/>
                <w:rStyle w:val="IndexLink"/>
                <w:rtl w:val="true"/>
              </w:rPr>
              <w:t>المقام الحادي عشر</w:t>
            </w:r>
            <w:r>
              <w:rPr>
                <w:rStyle w:val="IndexLink"/>
                <w:rtl w:val="true"/>
              </w:rPr>
              <w:t xml:space="preserve">: </w:t>
            </w:r>
            <w:r>
              <w:rPr>
                <w:rStyle w:val="IndexLink"/>
                <w:rtl w:val="true"/>
              </w:rPr>
              <w:t>إذا كان البطن الأوّل متعدّدا</w:t>
            </w:r>
            <w:r>
              <w:rPr>
                <w:rStyle w:val="IndexLink"/>
                <w:rtl w:val="true"/>
              </w:rPr>
              <w:tab/>
            </w:r>
            <w:r>
              <w:rPr>
                <w:rStyle w:val="IndexLink"/>
              </w:rPr>
              <w:t>22</w:t>
            </w:r>
          </w:hyperlink>
        </w:p>
        <w:p>
          <w:pPr>
            <w:pStyle w:val="Contents4"/>
            <w:tabs>
              <w:tab w:val="clear" w:pos="8176"/>
              <w:tab w:val="right" w:pos="9026" w:leader="dot"/>
            </w:tabs>
            <w:rPr/>
          </w:pPr>
          <w:hyperlink w:anchor="__RefHeading___Toc3280503_3650668749">
            <w:r>
              <w:rPr>
                <w:webHidden/>
                <w:rStyle w:val="IndexLink"/>
                <w:rtl w:val="true"/>
              </w:rPr>
              <w:t xml:space="preserve">المقام الثاني عشر </w:t>
            </w:r>
            <w:r>
              <w:rPr>
                <w:rStyle w:val="IndexLink"/>
                <w:rtl w:val="true"/>
              </w:rPr>
              <w:t>[</w:t>
            </w:r>
            <w:r>
              <w:rPr>
                <w:rStyle w:val="IndexLink"/>
                <w:rtl w:val="true"/>
              </w:rPr>
              <w:t>و الثالث عشر</w:t>
            </w:r>
            <w:r>
              <w:rPr>
                <w:rStyle w:val="IndexLink"/>
                <w:rtl w:val="true"/>
              </w:rPr>
              <w:t xml:space="preserve">]: </w:t>
            </w:r>
            <w:r>
              <w:rPr>
                <w:rStyle w:val="IndexLink"/>
                <w:rtl w:val="true"/>
              </w:rPr>
              <w:t>الظاهر أنّه لا خلاف و لا إشكال في أنّ قبض الوليّ لما هو وليّ عليه كقبضه</w:t>
            </w:r>
            <w:r>
              <w:rPr>
                <w:rStyle w:val="IndexLink"/>
                <w:rtl w:val="true"/>
              </w:rPr>
              <w:tab/>
            </w:r>
            <w:r>
              <w:rPr>
                <w:rStyle w:val="IndexLink"/>
              </w:rPr>
              <w:t>23</w:t>
            </w:r>
          </w:hyperlink>
        </w:p>
        <w:p>
          <w:pPr>
            <w:pStyle w:val="Contents4"/>
            <w:tabs>
              <w:tab w:val="clear" w:pos="8176"/>
              <w:tab w:val="right" w:pos="9026" w:leader="dot"/>
            </w:tabs>
            <w:rPr/>
          </w:pPr>
          <w:hyperlink w:anchor="__RefHeading___Toc3280505_3650668749">
            <w:r>
              <w:rPr>
                <w:webHidden/>
                <w:rStyle w:val="IndexLink"/>
                <w:rtl w:val="true"/>
              </w:rPr>
              <w:t>المقام الرابع عشر</w:t>
            </w:r>
            <w:r>
              <w:rPr>
                <w:rStyle w:val="IndexLink"/>
                <w:rtl w:val="true"/>
              </w:rPr>
              <w:t xml:space="preserve">: </w:t>
            </w:r>
            <w:r>
              <w:rPr>
                <w:rStyle w:val="IndexLink"/>
                <w:rtl w:val="true"/>
              </w:rPr>
              <w:t xml:space="preserve">إذا كان الموقوف قبل </w:t>
            </w:r>
            <w:r>
              <w:rPr>
                <w:rStyle w:val="IndexLink"/>
                <w:rtl w:val="true"/>
              </w:rPr>
              <w:t>(</w:t>
            </w:r>
            <w:r>
              <w:rPr>
                <w:rStyle w:val="IndexLink"/>
                <w:rtl w:val="true"/>
              </w:rPr>
              <w:t>كذا في النسخة</w:t>
            </w:r>
            <w:r>
              <w:rPr>
                <w:rStyle w:val="IndexLink"/>
                <w:rtl w:val="true"/>
              </w:rPr>
              <w:t xml:space="preserve">) </w:t>
            </w:r>
            <w:r>
              <w:rPr>
                <w:rStyle w:val="IndexLink"/>
                <w:rtl w:val="true"/>
              </w:rPr>
              <w:t>واقعا في يد الموقوف عليه بالغصب</w:t>
            </w:r>
            <w:r>
              <w:rPr>
                <w:rStyle w:val="IndexLink"/>
                <w:rtl w:val="true"/>
              </w:rPr>
              <w:tab/>
            </w:r>
            <w:r>
              <w:rPr>
                <w:rStyle w:val="IndexLink"/>
              </w:rPr>
              <w:t>25</w:t>
            </w:r>
          </w:hyperlink>
        </w:p>
        <w:p>
          <w:pPr>
            <w:pStyle w:val="Contents4"/>
            <w:tabs>
              <w:tab w:val="clear" w:pos="8176"/>
              <w:tab w:val="right" w:pos="9026" w:leader="dot"/>
            </w:tabs>
            <w:rPr/>
          </w:pPr>
          <w:hyperlink w:anchor="__RefHeading___Toc3280507_3650668749">
            <w:r>
              <w:rPr>
                <w:webHidden/>
                <w:rStyle w:val="IndexLink"/>
                <w:rtl w:val="true"/>
              </w:rPr>
              <w:t>المقام الخامس عشر</w:t>
            </w:r>
            <w:r>
              <w:rPr>
                <w:rStyle w:val="IndexLink"/>
                <w:rtl w:val="true"/>
              </w:rPr>
              <w:t xml:space="preserve">: </w:t>
            </w:r>
            <w:r>
              <w:rPr>
                <w:rStyle w:val="IndexLink"/>
                <w:rtl w:val="true"/>
              </w:rPr>
              <w:t>في اشتراط مضيّ الزمان في القبض الحادث</w:t>
            </w:r>
            <w:r>
              <w:rPr>
                <w:rStyle w:val="IndexLink"/>
                <w:rtl w:val="true"/>
              </w:rPr>
              <w:t>.</w:t>
              <w:tab/>
            </w:r>
            <w:r>
              <w:rPr>
                <w:rStyle w:val="IndexLink"/>
              </w:rPr>
              <w:t>26</w:t>
            </w:r>
          </w:hyperlink>
        </w:p>
        <w:p>
          <w:pPr>
            <w:pStyle w:val="Contents4"/>
            <w:tabs>
              <w:tab w:val="clear" w:pos="8176"/>
              <w:tab w:val="right" w:pos="9026" w:leader="dot"/>
            </w:tabs>
            <w:rPr/>
          </w:pPr>
          <w:hyperlink w:anchor="__RefHeading___Toc3280509_3650668749">
            <w:r>
              <w:rPr>
                <w:webHidden/>
                <w:rStyle w:val="IndexLink"/>
                <w:rtl w:val="true"/>
              </w:rPr>
              <w:t>المقام السادس عشر</w:t>
            </w:r>
            <w:r>
              <w:rPr>
                <w:rStyle w:val="IndexLink"/>
                <w:rtl w:val="true"/>
              </w:rPr>
              <w:t xml:space="preserve">: </w:t>
            </w:r>
            <w:r>
              <w:rPr>
                <w:rStyle w:val="IndexLink"/>
                <w:rtl w:val="true"/>
              </w:rPr>
              <w:t>لو كان الموقوف منقولا أو غير منقول غائبا غيبة لا يصدق معها القبض</w:t>
            </w:r>
            <w:r>
              <w:rPr>
                <w:rStyle w:val="IndexLink"/>
                <w:rtl w:val="true"/>
              </w:rPr>
              <w:tab/>
            </w:r>
            <w:r>
              <w:rPr>
                <w:rStyle w:val="IndexLink"/>
              </w:rPr>
              <w:t>26</w:t>
            </w:r>
          </w:hyperlink>
        </w:p>
        <w:p>
          <w:pPr>
            <w:pStyle w:val="Contents4"/>
            <w:tabs>
              <w:tab w:val="clear" w:pos="8176"/>
              <w:tab w:val="right" w:pos="9026" w:leader="dot"/>
            </w:tabs>
            <w:rPr/>
          </w:pPr>
          <w:hyperlink w:anchor="__RefHeading___Toc3280511_3650668749">
            <w:r>
              <w:rPr>
                <w:webHidden/>
                <w:rStyle w:val="IndexLink"/>
                <w:rtl w:val="true"/>
              </w:rPr>
              <w:t>المقام السابع عشر</w:t>
            </w:r>
            <w:r>
              <w:rPr>
                <w:rStyle w:val="IndexLink"/>
                <w:rtl w:val="true"/>
              </w:rPr>
              <w:t xml:space="preserve">: </w:t>
            </w:r>
            <w:r>
              <w:rPr>
                <w:rStyle w:val="IndexLink"/>
                <w:rtl w:val="true"/>
              </w:rPr>
              <w:t>قد عرفت كفاية قبض الأب عن أولاده الصغار،</w:t>
            </w:r>
            <w:r>
              <w:rPr>
                <w:rStyle w:val="IndexLink"/>
                <w:rtl w:val="true"/>
              </w:rPr>
              <w:tab/>
            </w:r>
            <w:r>
              <w:rPr>
                <w:rStyle w:val="IndexLink"/>
              </w:rPr>
              <w:t>27</w:t>
            </w:r>
          </w:hyperlink>
        </w:p>
        <w:p>
          <w:pPr>
            <w:pStyle w:val="Contents4"/>
            <w:tabs>
              <w:tab w:val="clear" w:pos="8176"/>
              <w:tab w:val="right" w:pos="9026" w:leader="dot"/>
            </w:tabs>
            <w:rPr/>
          </w:pPr>
          <w:hyperlink w:anchor="__RefHeading___Toc3280513_3650668749">
            <w:r>
              <w:rPr>
                <w:webHidden/>
                <w:rStyle w:val="IndexLink"/>
                <w:rtl w:val="true"/>
              </w:rPr>
              <w:t>المقام الثامن عشر</w:t>
            </w:r>
            <w:r>
              <w:rPr>
                <w:rStyle w:val="IndexLink"/>
                <w:rtl w:val="true"/>
              </w:rPr>
              <w:t>: [</w:t>
            </w:r>
            <w:r>
              <w:rPr>
                <w:rStyle w:val="IndexLink"/>
                <w:rtl w:val="true"/>
              </w:rPr>
              <w:t>وقف العين المستأجرة</w:t>
            </w:r>
            <w:r>
              <w:rPr>
                <w:rStyle w:val="IndexLink"/>
                <w:rtl w:val="true"/>
              </w:rPr>
              <w:t>]</w:t>
              <w:tab/>
            </w:r>
            <w:r>
              <w:rPr>
                <w:rStyle w:val="IndexLink"/>
              </w:rPr>
              <w:t>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9_23167"/>
      <w:bookmarkStart w:id="1" w:name="pg1909_23167"/>
      <w:bookmarkEnd w:id="1"/>
    </w:p>
    <w:p>
      <w:pPr>
        <w:pStyle w:val="Heading2"/>
        <w:numPr>
          <w:ilvl w:val="1"/>
          <w:numId w:val="1"/>
        </w:numPr>
        <w:rPr/>
      </w:pPr>
      <w:bookmarkStart w:id="2" w:name="pg1909_23167"/>
      <w:bookmarkStart w:id="3" w:name="__RefHeading___Toc3280469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الوقف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منير الدين بروجردى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مركز تحقيقات رايانه‌اى حوزه علميه اصفهان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96108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احياء تراث مركز تحقيقات رايانه‌اى حوزه علميه اصفهان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دوم 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0471_3650668749"/>
      <w:bookmarkStart w:id="6" w:name="_Toc2"/>
      <w:bookmarkEnd w:id="5"/>
      <w:r>
        <w:rPr>
          <w:rtl w:val="true"/>
        </w:rPr>
        <w:t>اشارة</w:t>
      </w:r>
      <w:bookmarkStart w:id="7" w:name="pg1909_23357"/>
      <w:bookmarkEnd w:id="6"/>
    </w:p>
    <w:p>
      <w:pPr>
        <w:pStyle w:val="Heading2"/>
        <w:numPr>
          <w:ilvl w:val="1"/>
          <w:numId w:val="1"/>
        </w:numPr>
        <w:rPr/>
      </w:pPr>
      <w:bookmarkStart w:id="8" w:name="__RefHeading___Toc3280473_3650668749"/>
      <w:bookmarkStart w:id="9" w:name="_Toc3"/>
      <w:bookmarkEnd w:id="7"/>
      <w:bookmarkEnd w:id="8"/>
      <w:r>
        <w:rPr>
          <w:rtl w:val="true"/>
        </w:rPr>
        <w:t>قبض الوقف</w:t>
      </w:r>
      <w:bookmarkEnd w:id="9"/>
    </w:p>
    <w:p>
      <w:pPr>
        <w:pStyle w:val="Heading3"/>
        <w:numPr>
          <w:ilvl w:val="2"/>
          <w:numId w:val="1"/>
        </w:numPr>
        <w:rPr/>
      </w:pPr>
      <w:bookmarkStart w:id="10" w:name="__RefHeading___Toc3280475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آية اللّه شيخ منير الدين بروجردى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باقرى</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3280477_3650668749"/>
      <w:bookmarkStart w:id="13" w:name="_Toc5"/>
      <w:bookmarkEnd w:id="12"/>
      <w:r>
        <w:rPr>
          <w:rtl w:val="true"/>
        </w:rPr>
        <w:t xml:space="preserve">مقدّمه </w:t>
      </w:r>
      <w:r>
        <w:rPr>
          <w:rtl w:val="true"/>
        </w:rPr>
        <w:t>[</w:t>
      </w:r>
      <w:r>
        <w:rPr>
          <w:rtl w:val="true"/>
        </w:rPr>
        <w:t>محقق</w:t>
      </w:r>
      <w:r>
        <w:rPr>
          <w:rtl w:val="true"/>
        </w:rPr>
        <w:t>]</w:t>
      </w:r>
      <w:bookmarkEnd w:id="13"/>
    </w:p>
    <w:p>
      <w:pPr>
        <w:pStyle w:val="BookText"/>
        <w:rPr/>
      </w:pPr>
      <w:r>
        <w:rPr>
          <w:rFonts w:ascii="IRNazanin" w:hAnsi="IRNazanin" w:eastAsia="IRNazanin"/>
          <w:color w:val="111111"/>
          <w:sz w:val="28"/>
          <w:sz w:val="28"/>
          <w:szCs w:val="28"/>
          <w:rtl w:val="true"/>
          <w:lang w:bidi="fa-IR"/>
        </w:rPr>
        <w:t>يكى از چهره‌هاى درخشان علمى شيعه در قرن چهاردهم هجرى فقيه محقّق و اصولى مدقّق علّامه آية اللّه العظمى حاج آقا منير الدين بروجردى احمدآبادى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نوادۀ دخترى ميرزا ابو القاسم گيلانى معروف به ميرزاى قمى صاحب قوانين الاصول، و از شاگردان مبرز فقيه محقّق آية اللّه العظمى حاج شيخ محمّد باقر نجفى مسجد شاهى است وى در زمان حيات مرجع مرافعات و سؤالات شرعى مردم اصفهان بوده و به پيروى از استاد گرانقدر خويش در مسائل اجتماعى اهتمام خود را مصروف داشته و در جريان تحريم تنباكو كه ابتدا از اصفهان شروع شد حامل پيام علماى اين شهر به سامرا و دريافت حكم تحريم از طرف مرجع نامدار شيعه مرحوم ميرزا محمد حسن شيرازى 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اين فقيه برجسته شاگردانى تربيت شدند كه از آن جمله مى‌توان به علّامه</w:t>
      </w:r>
    </w:p>
    <w:p>
      <w:pPr>
        <w:pStyle w:val="BookText"/>
        <w:rPr/>
      </w:pPr>
      <w:r>
        <w:rPr>
          <w:rFonts w:ascii="Amiri" w:hAnsi="Amiri" w:eastAsia="Amiri" w:cs="Amiri"/>
          <w:color w:val="111111"/>
          <w:sz w:val="28"/>
          <w:sz w:val="28"/>
          <w:szCs w:val="28"/>
          <w:rtl w:val="true"/>
          <w:lang w:bidi="ar-SA"/>
        </w:rPr>
        <w:t>حاج آقا رحيم ارباب، سيّد احمد صفائى خوانسارى صاحب كشف الأستار، حاج شيخ محمّد على يزدى، سيّد محمّد تقى فقيه احمدآبادى صاحب مكيال المكارم، شيخ محمّد باقر فقيه ايمانى صاحب آثار فراوان، سيّد محمّد باقر مير محمّد صادقى، شيخ مجد الدين نجفى مشهور به مجد العلماء و فرزند نابغۀ او شيخ اسماعيل بروجردى كه در جوانى رحلت نمود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حاج آقا منير آثار ارزنده‌اى نيز از خود به يادگار نهادند كه متأسفانه همچون كتابخانه عظيم و كم‌نظير ايشان پس از وفات او پراكنده شد و تنها رسالۀ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الفريضة و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كه در نوع خود بى‌نظير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او مجلّدى بزرگ در اصول فقه، رساله‌اى مفصّل در مقدّمۀ واجب به خط آن مرحوم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خطى اين دو رساله در كتابخانه آستان قدس رضوى و ضمن كتاب‌هاى اهدائى مقام معظّم رهبرى، حضرت آية اللّه العظمى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به همت استاد معظم آية اللّه حاج شيخ هادى نجفى تهيه و در اختيار اين جانب قرار داده شده و در حين تحقيق نيز از ارشادات راهگشا و مفيد ايشان و همچنين راهنمائى‌هاى صديق فاضل و گرامى آقاى رحيم قاسمى بهرۀ فراوان برده‌ام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bookmarkStart w:id="14" w:name="pg1909_23362"/>
    </w:p>
    <w:p>
      <w:pPr>
        <w:pStyle w:val="BookText"/>
        <w:rPr/>
      </w:pPr>
      <w:bookmarkEnd w:id="14"/>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أمّا؛ بعد فهذه وجيزة شريفة متكفّلة ببيان الجواب الّذي أفاده مولانا الأعظم حجّة الإسلام و المسلمين عماد الملّة و الدّين أستاذ الفقهاء و المجتهدين في مسألة الّتي حار في تنقيحها عقول علماء عصره و كلّت مراكب استعداداتهم عن استيفاء معارجها في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اختلفت آراؤهم فيها استرشدوه في كشف ما فيها من المعضلات، و استمدّوا منه في تأسيس قواعدها و تبيين مداركها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أصل الخلاف وقع في علماء العصر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يكتفى في تحقّق القبض الأمر به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رسالة مكتوبة بإملائه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Heading3"/>
        <w:numPr>
          <w:ilvl w:val="2"/>
          <w:numId w:val="1"/>
        </w:numPr>
        <w:rPr/>
      </w:pPr>
      <w:bookmarkStart w:id="15" w:name="__RefHeading___Toc3280479_3650668749"/>
      <w:bookmarkStart w:id="16" w:name="_Toc6"/>
      <w:bookmarkEnd w:id="15"/>
      <w:r>
        <w:rPr>
          <w:rtl w:val="true"/>
        </w:rPr>
        <w:t>تحقيق الكلام في المسألة يقتضي رسم مقامات</w:t>
      </w:r>
      <w:r>
        <w:rPr>
          <w:rtl w:val="true"/>
        </w:rPr>
        <w:t>:</w:t>
      </w:r>
      <w:bookmarkEnd w:id="16"/>
    </w:p>
    <w:p>
      <w:pPr>
        <w:pStyle w:val="Heading4"/>
        <w:numPr>
          <w:ilvl w:val="3"/>
          <w:numId w:val="1"/>
        </w:numPr>
        <w:rPr/>
      </w:pPr>
      <w:bookmarkStart w:id="17" w:name="__RefHeading___Toc3280481_3650668749"/>
      <w:bookmarkStart w:id="18" w:name="_Toc7"/>
      <w:bookmarkEnd w:id="17"/>
      <w:r>
        <w:rPr>
          <w:rtl w:val="true"/>
        </w:rPr>
        <w:t>المقام الأول</w:t>
      </w:r>
      <w:r>
        <w:rPr>
          <w:rtl w:val="true"/>
        </w:rPr>
        <w:t xml:space="preserve">: </w:t>
      </w:r>
      <w:r>
        <w:rPr>
          <w:rtl w:val="true"/>
        </w:rPr>
        <w:t>في معنى القبض</w:t>
      </w:r>
      <w:bookmarkEnd w:id="18"/>
    </w:p>
    <w:p>
      <w:pPr>
        <w:pStyle w:val="BookText"/>
        <w:rPr/>
      </w:pPr>
      <w:r>
        <w:rPr>
          <w:rFonts w:ascii="Amiri" w:hAnsi="Amiri" w:eastAsia="Amiri" w:cs="Amiri"/>
          <w:color w:val="111111"/>
          <w:sz w:val="28"/>
          <w:sz w:val="28"/>
          <w:szCs w:val="28"/>
          <w:rtl w:val="true"/>
          <w:lang w:bidi="ar-SA"/>
        </w:rPr>
        <w:t xml:space="preserve">تحقيق الكلام في المسألة يقتضي </w:t>
      </w:r>
      <w:r>
        <w:rPr>
          <w:rStyle w:val="FootnoteAnchor"/>
          <w:rtl w:val="true"/>
        </w:rPr>
        <w:footnoteReference w:id="2"/>
      </w:r>
      <w:r>
        <w:rPr>
          <w:rFonts w:ascii="IRNazanin" w:hAnsi="IRNazanin" w:eastAsia="IRNazanin"/>
          <w:color w:val="111111"/>
          <w:sz w:val="28"/>
          <w:sz w:val="28"/>
          <w:szCs w:val="28"/>
          <w:rtl w:val="true"/>
          <w:lang w:bidi="fa-IR"/>
        </w:rPr>
        <w:t>رسم مقامات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الحقيقة الشرعيّة لهذا اللفظ؛ لعدم كونه من الماهيّات</w:t>
      </w:r>
    </w:p>
    <w:p>
      <w:pPr>
        <w:pStyle w:val="BookText"/>
        <w:rPr/>
      </w:pPr>
      <w:r>
        <w:rPr>
          <w:rFonts w:ascii="Amiri" w:hAnsi="Amiri" w:eastAsia="Amiri" w:cs="Amiri"/>
          <w:color w:val="111111"/>
          <w:sz w:val="28"/>
          <w:sz w:val="28"/>
          <w:szCs w:val="28"/>
          <w:rtl w:val="true"/>
          <w:lang w:bidi="ar-SA"/>
        </w:rPr>
        <w:t>المخترعة؛ و عدم إشارة في دليل إليه؛ و لم يصدر دعواه صريحة من فقيه و لا اعتبار بما يتوهّم من بعض العبائر، فلا بدّ من الرجوع إلى اللغة و العرف ثمّ يلاحظ هل معناه العرفيّ مغاير لها أو موافق لها، و على الأوّل فيؤخذ بالثاني إذا علمنا في زمان الصدور أو مطلقا على اختلاف الوجوه في ترجيح العرف على اللغة؛ و على الثاني فيؤخذ بما اتّفقا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الشي‌ء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البسط،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الشي‌ء في قبضتك و في قبضك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ملكك؛ و دخل فلان في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 من أموال الناس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ابن 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الأخذ بجميع الكفّ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قبضه بيده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بيده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صار الشي‌ء في قبضتك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ملكك، و قبضت الشي‌ء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تاج العروس بعد ما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أخصّ من قول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الشي‌ء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قول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جمع الكفّ على الشي‌ء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عليه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و به، يقبض 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انحنى عليه بجميع كفّه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الرياض عن جماعة منهم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باليد،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بها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المحكيّ عن كشف الرموز، </w:t>
      </w:r>
      <w:r>
        <w:rPr>
          <w:rStyle w:val="FootnoteAnchor"/>
          <w:rtl w:val="true"/>
        </w:rPr>
        <w:footnoteReference w:id="10"/>
      </w:r>
      <w:r>
        <w:rPr>
          <w:rFonts w:ascii="Amiri" w:hAnsi="Amiri" w:eastAsia="Amiri" w:cs="Amiri"/>
          <w:color w:val="111111"/>
          <w:sz w:val="28"/>
          <w:sz w:val="28"/>
          <w:szCs w:val="28"/>
          <w:rtl w:val="true"/>
          <w:lang w:bidi="ar-SA"/>
        </w:rPr>
        <w:t>بل ظاهر اتّفاق اللغويين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العرف فيظهر من جماعة ظهوره عند الإطلاق في الأخذ باليد، فيكون موافقا مع اللغة؛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 التغاير، فالأخذ هو المعنى الحقيقي، و غيره ممّا يقوله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أنّ القبض في الحيوان نقله و في غير المنقول التخلية من المعاني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 الحقيقى هو السلطان الحاصل للقابض من المقبوض منه برفع موانع التصرّف عنه، سواء كان من قبله أو من قبل غيره، و تخلّى بينه و بينه؛ فيكون الأخذ أحد أطراف المعنى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التخلية في غير المنقول، إذ ليس المراد بالتخلية التخلية الفعلية الّتي هي فعل المتخلّي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لأنّها توافق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الكلام فيه، بل لم نجد استعمال القبض فيها، و لذا يذكرون كلّ واحد مقابل الآخر؛ بل المراد فيها وجدان الشي‌ء مخلّى بينه و بينه كأخذه، سواء كان هناك دافع و مخلّ أولا، فيكون القبض مفهوما كلّيّا له مصاديق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كالأخذ باليد و النقل و التخلية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اقتصار أهل اللغة على الأخذ باليد ليس للحصر، بل لكونه أظهر الأفراد و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من نظائره،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فسّروه بنقض الحبل </w:t>
      </w:r>
      <w:r>
        <w:rPr>
          <w:rStyle w:val="FootnoteAnchor"/>
          <w:rtl w:val="true"/>
        </w:rPr>
        <w:footnoteReference w:id="13"/>
      </w:r>
      <w:r>
        <w:rPr>
          <w:rFonts w:ascii="Amiri" w:hAnsi="Amiri" w:eastAsia="Amiri" w:cs="Amiri"/>
          <w:color w:val="111111"/>
          <w:sz w:val="28"/>
          <w:sz w:val="28"/>
          <w:szCs w:val="28"/>
          <w:rtl w:val="true"/>
          <w:lang w:bidi="ar-SA"/>
        </w:rPr>
        <w:t xml:space="preserve">مع إطلاقه في الأمور الحسيّة و غيرها كنقض العهد؛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عقدت العقيدة مع كونه حقيقة في المحسوس و المنقول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معناه الحقيقي ما هو أخصّ من الثّاني و إن كان أعمّ من الأوّل، و هو الاستيلاء الفعلي الخاصّ الصادر عن القابض بتصرّف منه في المقبوض؛ و عليه فيكون الأخذ باليد و النقل في الحيوان من أفراد المعنى الحقيقي، و يكون وجه الاقتصار ما مرّ لكي يخرج التخلية من ذلك، لأنّ مجرّد التخلية لا يوجب حصول الاستيلاء المذكور، لأنّها ليست إلّا عبارة عن سلطان القابض على المتصرّف عرفا 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يحصل ذا و لا يحصل الاستيلاء الخاصّ لعدم حصوله إلّا بالتصرّف، بل لاستيلاء بهذا المعنى في غير المنقول يحصل بالدخول فيه و الخروج؛ فاكتفائهم بها فيه عن القبض للدليل الخاصّ، و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الكيل و الوزن فهما من أفراد المعنى الحقيقي، بل هو أخصّ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النقل من مكان إلى مكان، فهو داخل في المعاني الثلاثة مع عدم تماميّته إلّا بدليل لحصول الاستيلاء الخاصّ بالركوب و هو واقف في مكانه، بل يحصل بأخذ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أيضا من أظهر الأفراد، كما عرفت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الأوّل مختار جمع من الأفاضل؛ </w:t>
      </w:r>
      <w:r>
        <w:rPr>
          <w:rStyle w:val="FootnoteAnchor"/>
          <w:rtl w:val="true"/>
        </w:rPr>
        <w:footnoteReference w:id="14"/>
      </w:r>
      <w:r>
        <w:rPr>
          <w:rFonts w:ascii="Amiri" w:hAnsi="Amiri" w:eastAsia="Amiri" w:cs="Amiri"/>
          <w:color w:val="111111"/>
          <w:sz w:val="28"/>
          <w:sz w:val="28"/>
          <w:szCs w:val="28"/>
          <w:rtl w:val="true"/>
          <w:lang w:bidi="ar-SA"/>
        </w:rPr>
        <w:t xml:space="preserve">و الثّاني مختار شيخ مشيختنا في الجواهر </w:t>
      </w:r>
      <w:r>
        <w:rPr>
          <w:rStyle w:val="FootnoteAnchor"/>
          <w:rtl w:val="true"/>
        </w:rPr>
        <w:footnoteReference w:id="15"/>
      </w:r>
      <w:r>
        <w:rPr>
          <w:rFonts w:ascii="Amiri" w:hAnsi="Amiri" w:eastAsia="Amiri" w:cs="Amiri"/>
          <w:color w:val="111111"/>
          <w:sz w:val="28"/>
          <w:sz w:val="28"/>
          <w:szCs w:val="28"/>
          <w:rtl w:val="true"/>
          <w:lang w:bidi="ar-SA"/>
        </w:rPr>
        <w:t>و الثالث مختار الفقيه في شرح الخيارات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الأقوى هو الثّاني؛ و الشاهد عليه الوجدان المغني عن البرهان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بل يدلّ عليه الاستقراء في مظاهره، فالقبض هو الاستيلاء و السلطنة العرفيّة على الشي‌ء و قيامها بذات المشتري في البيع و بالموقوف عليه في الوقف بعد أن كانت قائمة بذات البائع و الواقف بحيث لو لم يكن مأذونا أو مالكا لكان غاصبا من غير مدخليّة مماسيّة فعل الجوارح في ماهيّته </w:t>
      </w:r>
      <w:r>
        <w:rPr>
          <w:rStyle w:val="FootnoteAnchor"/>
          <w:rtl w:val="true"/>
        </w:rPr>
        <w:footnoteReference w:id="17"/>
      </w:r>
      <w:r>
        <w:rPr>
          <w:rFonts w:ascii="Amiri" w:hAnsi="Amiri" w:eastAsia="Amiri" w:cs="Amiri"/>
          <w:color w:val="111111"/>
          <w:sz w:val="28"/>
          <w:sz w:val="28"/>
          <w:szCs w:val="28"/>
          <w:rtl w:val="true"/>
          <w:lang w:bidi="ar-SA"/>
        </w:rPr>
        <w:t>أو نقلا من مكان إلى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حصلت هذه التخيلة الثانية الّتي هي بمنزلة الإقباض من البائع أو الواقف أو الرائش أو غيرهم مع قبولها من الطرف الآخر تحوّلت ملك السلطنة في المنقول منه إلى المنقول إليه، و قامت بذاته قيام الصفة بالموصوف و العارض بالمعروض؛ و لذا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الغاصب العين المغصوبة إلى المغصوب منه و وضعها بين يديه أو في داره بمشهد منه حصلت التأدية منه و برئت ذمّته؛ و ليس إلّا لوقوع السلطنة المسلوبة منه إليه بمجرّد وضعه بين يديه و حصول القبض منه لا له</w:t>
      </w:r>
      <w:r>
        <w:rPr>
          <w:rFonts w:eastAsia="Amiri" w:cs="Amiri" w:ascii="Amiri" w:hAnsi="Amiri"/>
          <w:color w:val="111111"/>
          <w:sz w:val="28"/>
          <w:szCs w:val="28"/>
          <w:rtl w:val="true"/>
          <w:lang w:bidi="ar-SA"/>
        </w:rPr>
        <w:t>.</w:t>
      </w:r>
      <w:bookmarkStart w:id="19" w:name="pg1909_23370"/>
    </w:p>
    <w:p>
      <w:pPr>
        <w:pStyle w:val="Heading4"/>
        <w:numPr>
          <w:ilvl w:val="3"/>
          <w:numId w:val="1"/>
        </w:numPr>
        <w:rPr/>
      </w:pPr>
      <w:bookmarkStart w:id="20" w:name="__RefHeading___Toc3280483_3650668749"/>
      <w:bookmarkStart w:id="21" w:name="_Toc8"/>
      <w:bookmarkEnd w:id="19"/>
      <w:bookmarkEnd w:id="20"/>
      <w:r>
        <w:rPr>
          <w:rtl w:val="true"/>
        </w:rPr>
        <w:t>المقام الثّاني</w:t>
      </w:r>
      <w:r>
        <w:rPr>
          <w:rtl w:val="true"/>
        </w:rPr>
        <w:t>: [</w:t>
      </w:r>
      <w:r>
        <w:rPr>
          <w:rtl w:val="true"/>
        </w:rPr>
        <w:t>فى الإشكال على النراقى فى قبض في غير المنقول</w:t>
      </w:r>
      <w:r>
        <w:rPr>
          <w:rtl w:val="true"/>
        </w:rPr>
        <w:t>]</w:t>
      </w:r>
      <w:bookmarkEnd w:id="21"/>
    </w:p>
    <w:p>
      <w:pPr>
        <w:pStyle w:val="BookText"/>
        <w:rPr/>
      </w:pPr>
      <w:r>
        <w:rPr>
          <w:rFonts w:ascii="Amiri" w:hAnsi="Amiri" w:eastAsia="Amiri" w:cs="Amiri"/>
          <w:color w:val="111111"/>
          <w:sz w:val="28"/>
          <w:sz w:val="28"/>
          <w:szCs w:val="28"/>
          <w:rtl w:val="true"/>
          <w:lang w:bidi="ar-SA"/>
        </w:rPr>
        <w:t xml:space="preserve">قد ظهر ممّا ذكرنا أنّ القبض في غير المنقول في اصطلاح الفقهاء هو التخلية؛ و به صرّح كثير من المتقدّمين و المتأخّرين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الخلاف في ذلك بين الطائفة؛ ففي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عدم النزاع في الاكتفاء بالتخلية فيما لا ينتقل</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بل الظاهر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الإجماع جماعة منهم، كالخلاف </w:t>
      </w:r>
      <w:r>
        <w:rPr>
          <w:rStyle w:val="FootnoteAnchor"/>
          <w:rtl w:val="true"/>
        </w:rPr>
        <w:footnoteReference w:id="20"/>
      </w:r>
      <w:r>
        <w:rPr>
          <w:rFonts w:ascii="Amiri" w:hAnsi="Amiri" w:eastAsia="Amiri" w:cs="Amiri"/>
          <w:color w:val="111111"/>
          <w:sz w:val="28"/>
          <w:sz w:val="28"/>
          <w:szCs w:val="28"/>
          <w:rtl w:val="true"/>
          <w:lang w:bidi="ar-SA"/>
        </w:rPr>
        <w:t xml:space="preserve">و الغنية </w:t>
      </w:r>
      <w:r>
        <w:rPr>
          <w:rStyle w:val="FootnoteAnchor"/>
          <w:rtl w:val="true"/>
        </w:rPr>
        <w:footnoteReference w:id="21"/>
      </w:r>
      <w:r>
        <w:rPr>
          <w:rFonts w:ascii="Amiri" w:hAnsi="Amiri" w:eastAsia="Amiri" w:cs="Amiri"/>
          <w:color w:val="111111"/>
          <w:sz w:val="28"/>
          <w:sz w:val="28"/>
          <w:szCs w:val="28"/>
          <w:rtl w:val="true"/>
          <w:lang w:bidi="ar-SA"/>
        </w:rPr>
        <w:t xml:space="preserve">و كشف الرموز </w:t>
      </w:r>
      <w:r>
        <w:rPr>
          <w:rStyle w:val="FootnoteAnchor"/>
          <w:rtl w:val="true"/>
        </w:rPr>
        <w:footnoteReference w:id="22"/>
      </w:r>
      <w:r>
        <w:rPr>
          <w:rFonts w:ascii="Amiri" w:hAnsi="Amiri" w:eastAsia="Amiri" w:cs="Amiri"/>
          <w:color w:val="111111"/>
          <w:sz w:val="28"/>
          <w:sz w:val="28"/>
          <w:szCs w:val="28"/>
          <w:rtl w:val="true"/>
          <w:lang w:bidi="ar-SA"/>
        </w:rPr>
        <w:t xml:space="preserve">و التنقيح </w:t>
      </w:r>
      <w:r>
        <w:rPr>
          <w:rStyle w:val="FootnoteAnchor"/>
          <w:rtl w:val="true"/>
        </w:rPr>
        <w:footnoteReference w:id="23"/>
      </w:r>
      <w:r>
        <w:rPr>
          <w:rFonts w:ascii="Amiri" w:hAnsi="Amiri" w:eastAsia="Amiri" w:cs="Amiri"/>
          <w:color w:val="111111"/>
          <w:sz w:val="28"/>
          <w:sz w:val="28"/>
          <w:szCs w:val="28"/>
          <w:rtl w:val="true"/>
          <w:lang w:bidi="ar-SA"/>
        </w:rPr>
        <w:t xml:space="preserve">و الرياض </w:t>
      </w:r>
      <w:r>
        <w:rPr>
          <w:rStyle w:val="FootnoteAnchor"/>
          <w:rtl w:val="true"/>
        </w:rPr>
        <w:footnoteReference w:id="24"/>
      </w:r>
      <w:r>
        <w:rPr>
          <w:rFonts w:ascii="IRNazanin" w:hAnsi="IRNazanin" w:eastAsia="IRNazanin"/>
          <w:color w:val="111111"/>
          <w:sz w:val="28"/>
          <w:sz w:val="28"/>
          <w:szCs w:val="28"/>
          <w:rtl w:val="true"/>
          <w:lang w:bidi="fa-IR"/>
        </w:rPr>
        <w:t xml:space="preserve">و المفتاح </w:t>
      </w:r>
      <w:r>
        <w:rPr>
          <w:rStyle w:val="FootnoteAnchor"/>
          <w:rtl w:val="true"/>
        </w:rPr>
        <w:footnoteReference w:id="25"/>
      </w:r>
      <w:r>
        <w:rPr>
          <w:rFonts w:ascii="Amiri" w:hAnsi="Amiri" w:eastAsia="Amiri" w:cs="Amiri"/>
          <w:color w:val="111111"/>
          <w:sz w:val="28"/>
          <w:sz w:val="28"/>
          <w:szCs w:val="28"/>
          <w:rtl w:val="true"/>
          <w:lang w:bidi="ar-SA"/>
        </w:rPr>
        <w:t>و هذه الإجماعات المستفيضة مع الشهرة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عدم ظهور الخلاف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المسألة، خصوصا مع صدق القبض عرفا على النحو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ذكر يظهر فساد ما ذكره المحقّق النراقي بعد نقل الإجماع على كفاية التخلية في غير المنقول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قبضته منه و عجم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ما دامى كه در آن نوع دخلى نكرده باشد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بل لا يليق أن ينسب هذا الكلام إلى من دونه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280485_3650668749"/>
      <w:bookmarkStart w:id="23" w:name="_Toc9"/>
      <w:bookmarkEnd w:id="22"/>
      <w:r>
        <w:rPr>
          <w:rtl w:val="true"/>
        </w:rPr>
        <w:t>المقام الثالث</w:t>
      </w:r>
      <w:r>
        <w:rPr>
          <w:rtl w:val="true"/>
        </w:rPr>
        <w:t xml:space="preserve">: </w:t>
      </w:r>
      <w:r>
        <w:rPr>
          <w:rtl w:val="true"/>
        </w:rPr>
        <w:t>في قبض المنقول</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اختلفوا فيه على أقوال بعد اتّفاقهم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التخلية كما في غير المنقول؛ اختارها في الشرائع </w:t>
      </w:r>
      <w:r>
        <w:rPr>
          <w:rStyle w:val="FootnoteAnchor"/>
          <w:rtl w:val="true"/>
        </w:rPr>
        <w:footnoteReference w:id="28"/>
      </w:r>
      <w:r>
        <w:rPr>
          <w:rFonts w:ascii="IRNazanin" w:hAnsi="IRNazanin" w:eastAsia="IRNazanin"/>
          <w:color w:val="111111"/>
          <w:sz w:val="28"/>
          <w:sz w:val="28"/>
          <w:szCs w:val="28"/>
          <w:rtl w:val="true"/>
          <w:lang w:bidi="fa-IR"/>
        </w:rPr>
        <w:t xml:space="preserve">و النافع </w:t>
      </w:r>
      <w:r>
        <w:rPr>
          <w:rStyle w:val="FootnoteAnchor"/>
          <w:rtl w:val="true"/>
        </w:rPr>
        <w:footnoteReference w:id="29"/>
      </w:r>
      <w:r>
        <w:rPr>
          <w:rFonts w:ascii="Amiri" w:hAnsi="Amiri" w:eastAsia="Amiri" w:cs="Amiri"/>
          <w:color w:val="111111"/>
          <w:sz w:val="28"/>
          <w:sz w:val="28"/>
          <w:szCs w:val="28"/>
          <w:rtl w:val="true"/>
          <w:lang w:bidi="ar-SA"/>
        </w:rPr>
        <w:t xml:space="preserve">و نفى عنه البأس في الدروس في الجملة </w:t>
      </w:r>
      <w:r>
        <w:rPr>
          <w:rStyle w:val="FootnoteAnchor"/>
          <w:rtl w:val="true"/>
        </w:rPr>
        <w:footnoteReference w:id="30"/>
      </w:r>
      <w:r>
        <w:rPr>
          <w:rFonts w:ascii="IRNazanin" w:hAnsi="IRNazanin" w:eastAsia="IRNazanin"/>
          <w:color w:val="111111"/>
          <w:sz w:val="28"/>
          <w:sz w:val="28"/>
          <w:szCs w:val="28"/>
          <w:rtl w:val="true"/>
          <w:lang w:bidi="fa-IR"/>
        </w:rPr>
        <w:t xml:space="preserve">و اختارها بعض الفقهاء ممّن قارب عصرنا، قال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حصولها في المنقول بالاستيلاء على العين استيلاء يستطيع به النقل و الأخذ و غيرهما من القبض بطرح العين بين يدي المنقول إليه على وجه يتمكّن من الفعل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أو أخذا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ليست أمواله الّتي بيده و يصدق عليها أنّها مقبوضة له و تحت قبضته و في يده إلّا كذلك من غير حاجة إلى المماسّة و التصرّف الحسيّين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ذا كالتخلية المزبورة في غير المنقول، إذ من الواضح الفرق بين تحقّق السلطنتين عرفا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في غاية الجودة إلّا الفقرة الأخيرة، لأنّ من المعلوم أنّ المراد بالتخلية عندهم ليس إلّا هذا المعنى، فإنّ المراد بها كما يظهر منهم كون الشي‌ء مخلّى بينه و بينه بحيث لا يمنعه مانع عن التصرّف، كتصرّف الملّاك في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يفسّره برفع المنافيات للمنقول إليه مع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منه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يريد بالرفع المذكور الارتفاع بجعله من المصدر المجهول، و إلّا فهو معنى الإقباض؛ و قد مرّ أنّه غير القبض المراد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بعينه هو ما ذكره و ادّعى أنّه غير التخلية المزبورة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النقل من حيّز إلى حيّز في الحيوان، و منه العبد؛ و الكيل و الوزن فيما يكال أو</w:t>
      </w:r>
    </w:p>
    <w:p>
      <w:pPr>
        <w:pStyle w:val="BookText"/>
        <w:rPr/>
      </w:pPr>
      <w:r>
        <w:rPr>
          <w:rFonts w:ascii="Amiri" w:hAnsi="Amiri" w:eastAsia="Amiri" w:cs="Amiri"/>
          <w:color w:val="111111"/>
          <w:sz w:val="28"/>
          <w:sz w:val="28"/>
          <w:szCs w:val="28"/>
          <w:rtl w:val="true"/>
          <w:lang w:bidi="ar-SA"/>
        </w:rPr>
        <w:t xml:space="preserve">يوزن؛ و التناول و الأخذ باليد في غيرهما من المنقولات؛ اختارها العلّامة في التحرير </w:t>
      </w:r>
      <w:r>
        <w:rPr>
          <w:rStyle w:val="FootnoteAnchor"/>
          <w:rtl w:val="true"/>
        </w:rPr>
        <w:footnoteReference w:id="33"/>
      </w:r>
      <w:r>
        <w:rPr>
          <w:rFonts w:ascii="Amiri" w:hAnsi="Amiri" w:eastAsia="Amiri" w:cs="Amiri"/>
          <w:color w:val="111111"/>
          <w:sz w:val="28"/>
          <w:sz w:val="28"/>
          <w:szCs w:val="28"/>
          <w:rtl w:val="true"/>
          <w:lang w:bidi="ar-SA"/>
        </w:rPr>
        <w:t xml:space="preserve">، و يقرب منه ما في المبسوط </w:t>
      </w:r>
      <w:r>
        <w:rPr>
          <w:rStyle w:val="FootnoteAnchor"/>
          <w:rtl w:val="true"/>
        </w:rPr>
        <w:footnoteReference w:id="34"/>
      </w:r>
      <w:r>
        <w:rPr>
          <w:rFonts w:ascii="IRNazanin" w:hAnsi="IRNazanin" w:eastAsia="IRNazanin"/>
          <w:color w:val="111111"/>
          <w:sz w:val="28"/>
          <w:sz w:val="28"/>
          <w:szCs w:val="28"/>
          <w:rtl w:val="true"/>
          <w:lang w:bidi="fa-IR"/>
        </w:rPr>
        <w:t xml:space="preserve">و تبعه ابن البراج </w:t>
      </w:r>
      <w:r>
        <w:rPr>
          <w:rStyle w:val="FootnoteAnchor"/>
          <w:rtl w:val="true"/>
        </w:rPr>
        <w:footnoteReference w:id="35"/>
      </w:r>
      <w:r>
        <w:rPr>
          <w:rFonts w:ascii="Amiri" w:hAnsi="Amiri" w:eastAsia="Amiri" w:cs="Amiri"/>
          <w:color w:val="111111"/>
          <w:sz w:val="28"/>
          <w:sz w:val="28"/>
          <w:szCs w:val="28"/>
          <w:rtl w:val="true"/>
          <w:lang w:bidi="ar-SA"/>
        </w:rPr>
        <w:t>و ابن حمزة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كفاية النقل عن الأخذ باليد فيما اعتبر فيه و كفاية كلّ منهما عن الكيل و الوزن فيما اعتبرا فيه؛ اختاره العلّامة فى المختلف، فإنّه خيّر في المنقول من الأخذ باليد و النقل، و في المكيل و الموزون يعنى ذلك و الكيل و الوزن </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Style w:val="FootnoteAnchor"/>
          <w:rtl w:val="true"/>
        </w:rPr>
        <w:footnoteReference w:id="38"/>
      </w:r>
      <w:r>
        <w:rPr>
          <w:rFonts w:ascii="Amiri" w:hAnsi="Amiri" w:eastAsia="Amiri" w:cs="Amiri"/>
          <w:color w:val="111111"/>
          <w:sz w:val="28"/>
          <w:sz w:val="28"/>
          <w:szCs w:val="28"/>
          <w:rtl w:val="true"/>
          <w:lang w:bidi="ar-SA"/>
        </w:rPr>
        <w:t>و لم يذكر لخصوص الحيوان شيئا؛ فالظّاهر أنّه أدخله في المنقول الّذي لا يعتبر بالكيل 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النقل في المنقول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اختارها أبو المكارم ابن زهرة مدّعيا عليه إجماع الإماميّة </w:t>
      </w:r>
      <w:r>
        <w:rPr>
          <w:rStyle w:val="FootnoteAnchor"/>
          <w:rtl w:val="true"/>
        </w:rPr>
        <w:footnoteReference w:id="39"/>
      </w:r>
      <w:r>
        <w:rPr>
          <w:rFonts w:ascii="Amiri" w:hAnsi="Amiri" w:eastAsia="Amiri" w:cs="Amiri"/>
          <w:color w:val="111111"/>
          <w:sz w:val="28"/>
          <w:sz w:val="28"/>
          <w:szCs w:val="28"/>
          <w:rtl w:val="true"/>
          <w:lang w:bidi="ar-SA"/>
        </w:rPr>
        <w:t xml:space="preserve">، و تبعه الشهيدان في اللمعة </w:t>
      </w:r>
      <w:r>
        <w:rPr>
          <w:rStyle w:val="FootnoteAnchor"/>
          <w:rtl w:val="true"/>
        </w:rPr>
        <w:footnoteReference w:id="40"/>
      </w:r>
      <w:r>
        <w:rPr>
          <w:rFonts w:ascii="Amiri" w:hAnsi="Amiri" w:eastAsia="Amiri" w:cs="Amiri"/>
          <w:color w:val="111111"/>
          <w:sz w:val="28"/>
          <w:sz w:val="28"/>
          <w:szCs w:val="28"/>
          <w:rtl w:val="true"/>
          <w:lang w:bidi="ar-SA"/>
        </w:rPr>
        <w:t xml:space="preserve">و الروضة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النقل في الحيوان و في المعتبر كيله أو وزنه أو عدّه أو نقله، و في الثوب وضعه في اليد؛ اختاره في الدروس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بين الأقوال لو كان التوقّف اجتهاديّا منشأ الاختلاف اختلافهم في المعنى العرفي، فكلّ واحد منهم يفسّره بما يفهم من المعنى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ليلى لا تقرّ لهم بذاكا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بالكيل و الوزن لرواية معاوية بن وهب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 </w:t>
      </w:r>
      <w:r>
        <w:rPr>
          <w:rStyle w:val="FootnoteAnchor"/>
          <w:rtl w:val="true"/>
        </w:rPr>
        <w:footnoteReference w:id="44"/>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 xml:space="preserve">صحي </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ما تقدّم من المنتقى من الاصطلاح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 تخفيف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الرمز و الإشارة، و المقصود به الصحيح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الرمز و الإشارة، و المقصود به الصحيح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أنّه جعل صورة النون من باب الرمز و الإشارة إلى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جعل السيّد السند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صحيحي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الصحيح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 بل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اصطلح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تشديد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بعض رجال سنده بعض أصحاب الإجماع مع خروج ذلك البعض أو بعض من تقدّم عليه عن رجال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به المنسوب إلى الصحّة باعتبار دعوى الإجماع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النسبة إلى الصحّة المستفادة من نقل الإجماع و لو في الطبقة الأولى من الطبقات الثلاث المأخوذ فيها الإجماع على التصديق، و ليس الغرض النسبة إلى الصحّة المذكورة في ضمن التصحيح المأخوذ في دعوى الإجماع في الطبقتين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بتعميم التسمية و الاصطلاح، و إلّا فلو كان المقصود النسبة إلى الصحّة المذكورة في ضمن التصحيح، فلا تتمّ التسمية و الاصطلاح إلّا في الطبقتين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الحال على السيّد الداماد، فأورد بأنّ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النسبة إلى المتكلّم على معنى الصحيح عندي، و لا يستقيم على قواعد العربيّة؛ إذ لا تسقط تاء الصحّة إلّا عند الياء المشدّدة التي هي للنسبة إليها، و أمّا الياء المخفّفة التي هي للنسبة إلى المتكلّم فلا يصحّ معها إسقاط تاء الكلمة أصلا، كسلامتي و صنعتي و صحبتي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يظهر ممّا سمعت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باب الرمز و الإشارة، كما يرشد إليه الرمز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صورة النون كما سمعت، و المقصود بذلك الصحيح عندي،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الصحيح عند المشهور من باب الرمز و الإشارة كما مرّ،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صاحب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تخفيف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الصحّة إلى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السيّد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ما أورد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عليه السّلام عن الرجال يبيع البيع قبل أن يقبضه،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كيل أو وزن فلا يبعه حتّى يكيله أو يزنه إلّا أن يولّيه الّذي قام عليه</w:t>
      </w:r>
    </w:p>
    <w:p>
      <w:pPr>
        <w:pStyle w:val="BookText"/>
        <w:rPr/>
      </w:pP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 المطابقة بين السؤال و الجواب يقتضي كون القبض فيما ذكر الكيل، مع أنّه لا يعتبر بغيره مع كفاية فهم جمّ غفير من القدماء و المتأخّرين، و هو كاف في خبر الضعيف لو كان؛ و مع ذلك التمسّك به في غاية الإشكال لورود مناقشات عديدة توجب صرف الظهور أو الإجمال؛ و لقد اختار كذا في النسخة في المسالك </w:t>
      </w:r>
      <w:r>
        <w:rPr>
          <w:rStyle w:val="FootnoteAnchor"/>
          <w:rtl w:val="true"/>
        </w:rPr>
        <w:footnoteReference w:id="4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التحقيق هنا أنّ الخبر الصحيح دلّ على النهي عن بيع المكيل و الموزون قبل اعتباره بهما، لا على أنّ القبض لا يتحقّق إلّا بهما؛ و كون السؤال فيه وقع عن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لا ينافي ذلك، لأنّ الاعتبار بهما قبض و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تمسّك جماعة لا يوجب الظنّ بالقرينيّة مع تصريح بعضهم بالخلاف، و تأمّل جماعة منهم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يجوز الاستدلال بالخبر المزبور على كون القبض هو الكيل و الوزن، بل الحقّ أنّ القبض في غير المنقول هو التخيلة بالمعنى المتقدّم، و في المنقول أيضا هو الاستيلاء الخاصّ من غير حاجة إلى تحقّق فعل في القابض؛ و إنّ النقل و الإمساك باليد و المماسّة فرد من أفراده</w:t>
      </w:r>
      <w:r>
        <w:rPr>
          <w:rFonts w:eastAsia="Amiri" w:cs="Amiri" w:ascii="Amiri" w:hAnsi="Amiri"/>
          <w:color w:val="111111"/>
          <w:sz w:val="28"/>
          <w:szCs w:val="28"/>
          <w:rtl w:val="true"/>
          <w:lang w:bidi="ar-SA"/>
        </w:rPr>
        <w:t>.</w:t>
      </w:r>
      <w:bookmarkStart w:id="24" w:name="pg1909_23379"/>
    </w:p>
    <w:p>
      <w:pPr>
        <w:pStyle w:val="BookText"/>
        <w:rPr/>
      </w:pPr>
      <w:bookmarkEnd w:id="24"/>
      <w:r>
        <w:rPr>
          <w:rFonts w:ascii="Amiri" w:hAnsi="Amiri" w:eastAsia="Amiri" w:cs="Amiri"/>
          <w:color w:val="111111"/>
          <w:sz w:val="28"/>
          <w:sz w:val="28"/>
          <w:szCs w:val="28"/>
          <w:rtl w:val="true"/>
          <w:lang w:bidi="ar-SA"/>
        </w:rPr>
        <w:t>و لا حاجة إلى مستند ساير الأقوال و بيان ضعفه بعد وضوح الأمر،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280487_3650668749"/>
      <w:bookmarkStart w:id="26" w:name="_Toc10"/>
      <w:bookmarkEnd w:id="25"/>
      <w:r>
        <w:rPr>
          <w:rtl w:val="true"/>
        </w:rPr>
        <w:t>المقام الرابع</w:t>
      </w:r>
      <w:r>
        <w:rPr>
          <w:rtl w:val="true"/>
        </w:rPr>
        <w:t xml:space="preserve">: </w:t>
      </w:r>
      <w:r>
        <w:rPr>
          <w:rtl w:val="true"/>
        </w:rPr>
        <w:t>لا فرق في القبض في غير المنقول بين البيع و الرهن و الوقف و غيرها</w:t>
      </w:r>
      <w:r>
        <w:rPr>
          <w:rtl w:val="true"/>
        </w:rPr>
        <w:t>.</w:t>
      </w:r>
      <w:bookmarkEnd w:id="26"/>
    </w:p>
    <w:p>
      <w:p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القبض شرط في الوقف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 كما في البيع إمّا التخلية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وقف المشاع و قبضه كقبض البيع</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القواعد </w:t>
      </w:r>
      <w:r>
        <w:rPr>
          <w:rStyle w:val="FootnoteAnchor"/>
          <w:rtl w:val="true"/>
        </w:rPr>
        <w:footnoteReference w:id="50"/>
      </w:r>
      <w:r>
        <w:rPr>
          <w:rFonts w:ascii="Amiri" w:hAnsi="Amiri" w:eastAsia="Amiri" w:cs="Amiri"/>
          <w:color w:val="111111"/>
          <w:sz w:val="28"/>
          <w:sz w:val="28"/>
          <w:szCs w:val="28"/>
          <w:rtl w:val="true"/>
          <w:lang w:bidi="ar-SA"/>
        </w:rPr>
        <w:t xml:space="preserve">و التحرير </w:t>
      </w:r>
      <w:r>
        <w:rPr>
          <w:rStyle w:val="FootnoteAnchor"/>
          <w:rtl w:val="true"/>
        </w:rPr>
        <w:footnoteReference w:id="51"/>
      </w:r>
      <w:r>
        <w:rPr>
          <w:rFonts w:ascii="Amiri" w:hAnsi="Amiri" w:eastAsia="Amiri" w:cs="Amiri"/>
          <w:color w:val="111111"/>
          <w:sz w:val="28"/>
          <w:sz w:val="28"/>
          <w:szCs w:val="28"/>
          <w:rtl w:val="true"/>
          <w:lang w:bidi="ar-SA"/>
        </w:rPr>
        <w:t>، و هو المصرّح به في كلمات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صرّح به صاحب الرياض في شرحيه؛ قال في شرح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القبض هنا و في كلّ موضع يعتبر فيه هو التخيلة بينه و بين العين و مستحقّها بعد رفع اليد عنها فيما لا ينقل</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قال في كبيره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فيه الأصحاب بعد اتّفاقهم على أنّه هو التخيلة بينه و بينه بعد رفع اليد عنه فيما لا ينقل خاصّة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إطلاقات الأدلّة بعد الإجماعات</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280489_3650668749"/>
      <w:bookmarkStart w:id="28" w:name="_Toc11"/>
      <w:bookmarkEnd w:id="27"/>
      <w:r>
        <w:rPr>
          <w:rtl w:val="true"/>
        </w:rPr>
        <w:t>المقام الخامس</w:t>
      </w:r>
      <w:r>
        <w:rPr>
          <w:rtl w:val="true"/>
        </w:rPr>
        <w:t xml:space="preserve">: </w:t>
      </w:r>
      <w:r>
        <w:rPr>
          <w:rtl w:val="true"/>
        </w:rPr>
        <w:t>هل يتوقّف القبض على إذن الواقف</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قبض الموقوف عليه الموقوف من غير إذن الواقف لم يعتبر قبضه؟ أو لا؟ بل يكفي مجرّد القبض مطلقا و لو لم يأذن به الواقف بل و لو منعه؟</w:t>
      </w:r>
    </w:p>
    <w:p>
      <w:pPr>
        <w:pStyle w:val="BookText"/>
        <w:rPr/>
      </w:pPr>
      <w:r>
        <w:rPr>
          <w:rFonts w:ascii="Amiri" w:hAnsi="Amiri" w:eastAsia="Amiri" w:cs="Amiri"/>
          <w:color w:val="111111"/>
          <w:sz w:val="28"/>
          <w:sz w:val="28"/>
          <w:szCs w:val="28"/>
          <w:rtl w:val="true"/>
          <w:lang w:bidi="ar-SA"/>
        </w:rPr>
        <w:t xml:space="preserve">يظهر الأوّل من الدروس </w:t>
      </w:r>
      <w:r>
        <w:rPr>
          <w:rStyle w:val="FootnoteAnchor"/>
          <w:rtl w:val="true"/>
        </w:rPr>
        <w:footnoteReference w:id="54"/>
      </w:r>
      <w:r>
        <w:rPr>
          <w:rFonts w:ascii="Amiri" w:hAnsi="Amiri" w:eastAsia="Amiri" w:cs="Amiri"/>
          <w:color w:val="111111"/>
          <w:sz w:val="28"/>
          <w:sz w:val="28"/>
          <w:szCs w:val="28"/>
          <w:rtl w:val="true"/>
          <w:lang w:bidi="ar-SA"/>
        </w:rPr>
        <w:t xml:space="preserve">و التنقيح </w:t>
      </w:r>
      <w:r>
        <w:rPr>
          <w:rStyle w:val="FootnoteAnchor"/>
          <w:rtl w:val="true"/>
        </w:rPr>
        <w:footnoteReference w:id="55"/>
      </w:r>
      <w:r>
        <w:rPr>
          <w:rFonts w:ascii="Amiri" w:hAnsi="Amiri" w:eastAsia="Amiri" w:cs="Amiri"/>
          <w:color w:val="111111"/>
          <w:sz w:val="28"/>
          <w:sz w:val="28"/>
          <w:szCs w:val="28"/>
          <w:rtl w:val="true"/>
          <w:lang w:bidi="ar-SA"/>
        </w:rPr>
        <w:t xml:space="preserve">و الروضة </w:t>
      </w:r>
      <w:r>
        <w:rPr>
          <w:rStyle w:val="FootnoteAnchor"/>
          <w:rtl w:val="true"/>
        </w:rPr>
        <w:footnoteReference w:id="56"/>
      </w:r>
      <w:r>
        <w:rPr>
          <w:rFonts w:ascii="Amiri" w:hAnsi="Amiri" w:eastAsia="Amiri" w:cs="Amiri"/>
          <w:color w:val="111111"/>
          <w:sz w:val="28"/>
          <w:sz w:val="28"/>
          <w:szCs w:val="28"/>
          <w:rtl w:val="true"/>
          <w:lang w:bidi="ar-SA"/>
        </w:rPr>
        <w:t xml:space="preserve">و الرياض </w:t>
      </w:r>
      <w:r>
        <w:rPr>
          <w:rStyle w:val="FootnoteAnchor"/>
          <w:rtl w:val="true"/>
        </w:rPr>
        <w:footnoteReference w:id="57"/>
      </w:r>
      <w:r>
        <w:rPr>
          <w:rFonts w:ascii="Amiri" w:hAnsi="Amiri" w:eastAsia="Amiri" w:cs="Amiri"/>
          <w:color w:val="111111"/>
          <w:sz w:val="28"/>
          <w:sz w:val="28"/>
          <w:szCs w:val="28"/>
          <w:rtl w:val="true"/>
          <w:lang w:bidi="ar-SA"/>
        </w:rPr>
        <w:t>، بل كلّ من أطلق توقّفه على الإقباض ممّن صرّح بتوقّفه على القبض و من لم يصرّح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الكفاية بأنّه ذهب إليه غير واحد من أصحابنا </w:t>
      </w:r>
      <w:r>
        <w:rPr>
          <w:rStyle w:val="FootnoteAnchor"/>
          <w:rtl w:val="true"/>
        </w:rPr>
        <w:footnoteReference w:id="58"/>
      </w:r>
      <w:r>
        <w:rPr>
          <w:rFonts w:ascii="Amiri" w:hAnsi="Amiri" w:eastAsia="Amiri" w:cs="Amiri"/>
          <w:color w:val="111111"/>
          <w:sz w:val="28"/>
          <w:sz w:val="28"/>
          <w:szCs w:val="28"/>
          <w:rtl w:val="true"/>
          <w:lang w:bidi="ar-SA"/>
        </w:rPr>
        <w:t xml:space="preserve">و صرّح في التذكرة بأنّ الإقباض شرط عندنا </w:t>
      </w:r>
      <w:r>
        <w:rPr>
          <w:rStyle w:val="FootnoteAnchor"/>
          <w:rtl w:val="true"/>
        </w:rPr>
        <w:footnoteReference w:id="59"/>
      </w:r>
      <w:r>
        <w:rPr>
          <w:rFonts w:ascii="Amiri" w:hAnsi="Amiri" w:eastAsia="Amiri" w:cs="Amiri"/>
          <w:color w:val="111111"/>
          <w:sz w:val="28"/>
          <w:sz w:val="28"/>
          <w:szCs w:val="28"/>
          <w:rtl w:val="true"/>
          <w:lang w:bidi="ar-SA"/>
        </w:rPr>
        <w:t>، الظاهر في الإذن بدعوى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الظاهر من الروايات خصوصا خبر الناحية </w:t>
      </w:r>
      <w:r>
        <w:rPr>
          <w:rStyle w:val="FootnoteAnchor"/>
          <w:rtl w:val="true"/>
        </w:rPr>
        <w:footnoteReference w:id="60"/>
      </w:r>
      <w:r>
        <w:rPr>
          <w:rFonts w:ascii="Amiri" w:hAnsi="Amiri" w:eastAsia="Amiri" w:cs="Amiri"/>
          <w:color w:val="111111"/>
          <w:sz w:val="28"/>
          <w:sz w:val="28"/>
          <w:szCs w:val="28"/>
          <w:rtl w:val="true"/>
          <w:lang w:bidi="ar-SA"/>
        </w:rPr>
        <w:t>، لكن لا يحتاج إلى لفظ خاصّ، بل لا يحتاج إلى اللفظ أصلا، بل يكفي كلّ ما دلّ على الأوّل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 في المسالك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هو الاشتراط، للإجماع المعتضدة بالشهرة العظيمة؛ و خبر الناحية المروي 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لم يسلّم فصاحبه بالخيار، و كلّما سلّم فلا خيار لصاحبه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فإنّ مقتضاه فيما إذا لم يحصل تسليم الواقف الموقوف للموقوف عليه ثبوت الخيار له، سواء حصل الوقف و التسليم للموقوف عليه أم لا، فلو كان القبض بغير الإذن كافيه في لزوم الوقف لزم صرف الرواية عن ظاهرها بغير دليل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 بضعف السند مدفوعة بالشهرة الاستناديّة مع حصول الظنّ بصدوره من وجوه عديدة حتّى مع قطع النظر عن الشهرة؛ و لا يعارضه صحيحة محمّد بن مسلم </w:t>
      </w:r>
      <w:r>
        <w:rPr>
          <w:rStyle w:val="FootnoteAnchor"/>
          <w:rtl w:val="true"/>
        </w:rPr>
        <w:footnoteReference w:id="63"/>
      </w:r>
      <w:bookmarkStart w:id="29" w:name="pg1909_23383"/>
    </w:p>
    <w:p>
      <w:pPr>
        <w:pStyle w:val="BookText"/>
        <w:rPr/>
      </w:pPr>
      <w:bookmarkEnd w:id="29"/>
      <w:r>
        <w:rPr>
          <w:rFonts w:ascii="Amiri" w:hAnsi="Amiri" w:eastAsia="Amiri" w:cs="Amiri"/>
          <w:color w:val="111111"/>
          <w:sz w:val="28"/>
          <w:sz w:val="28"/>
          <w:szCs w:val="28"/>
          <w:rtl w:val="true"/>
          <w:lang w:bidi="ar-SA"/>
        </w:rPr>
        <w:t xml:space="preserve">عبيد بن زرارة </w:t>
      </w:r>
      <w:r>
        <w:rPr>
          <w:rStyle w:val="FootnoteAnchor"/>
          <w:rtl w:val="true"/>
        </w:rPr>
        <w:footnoteReference w:id="64"/>
      </w:r>
      <w:r>
        <w:rPr>
          <w:rFonts w:ascii="Amiri" w:hAnsi="Amiri" w:eastAsia="Amiri" w:cs="Amiri"/>
          <w:color w:val="111111"/>
          <w:sz w:val="28"/>
          <w:sz w:val="28"/>
          <w:szCs w:val="28"/>
          <w:rtl w:val="true"/>
          <w:lang w:bidi="ar-SA"/>
        </w:rPr>
        <w:t>، لإمكان استظهار ذلك منهما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اكتفا بعضهم بالقبض لا ينافي الإذن، بل الإقباض أيضا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280491_3650668749"/>
      <w:bookmarkStart w:id="31" w:name="_Toc12"/>
      <w:bookmarkEnd w:id="30"/>
      <w:r>
        <w:rPr>
          <w:rtl w:val="true"/>
        </w:rPr>
        <w:t>المقام السادس</w:t>
      </w:r>
      <w:r>
        <w:rPr>
          <w:rtl w:val="true"/>
        </w:rPr>
        <w:t xml:space="preserve">: </w:t>
      </w:r>
      <w:r>
        <w:rPr>
          <w:rtl w:val="true"/>
        </w:rPr>
        <w:t>هل يكتفى باللفظ الصريح مع عدم وجود التخلية التامّة؟</w:t>
      </w:r>
      <w:bookmarkEnd w:id="31"/>
    </w:p>
    <w:p>
      <w:pPr>
        <w:pStyle w:val="BookText"/>
        <w:rPr/>
      </w:pPr>
      <w:r>
        <w:rPr>
          <w:rFonts w:ascii="Amiri" w:hAnsi="Amiri" w:eastAsia="Amiri" w:cs="Amiri"/>
          <w:color w:val="111111"/>
          <w:sz w:val="28"/>
          <w:sz w:val="28"/>
          <w:szCs w:val="28"/>
          <w:rtl w:val="true"/>
          <w:lang w:bidi="ar-SA"/>
        </w:rPr>
        <w:t>و ملاكها أيضا به، بل المقطوع عدمها و عدم ملازمتها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 في المسالك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المعيار هو القبض أو التسليم، و من المعلوم عدم حصولهما بمجرّد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وجود مخالف في المسألة أصلا، فظاهر النصوص و الإجماعات كافية في المسألة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280493_3650668749"/>
      <w:bookmarkStart w:id="33" w:name="_Toc13"/>
      <w:bookmarkEnd w:id="32"/>
      <w:r>
        <w:rPr>
          <w:rtl w:val="true"/>
        </w:rPr>
        <w:t>المقام السابع</w:t>
      </w:r>
      <w:r>
        <w:rPr>
          <w:rtl w:val="true"/>
        </w:rPr>
        <w:t xml:space="preserve">: </w:t>
      </w:r>
      <w:r>
        <w:rPr>
          <w:rtl w:val="true"/>
        </w:rPr>
        <w:t>لو أمر الواقف الموقوف عليه بالقبض و لم يقبض حتّى مات الواقف</w:t>
      </w:r>
      <w:bookmarkEnd w:id="33"/>
    </w:p>
    <w:p>
      <w:pPr>
        <w:pStyle w:val="BookText"/>
        <w:rPr/>
      </w:pPr>
      <w:r>
        <w:rPr>
          <w:rFonts w:ascii="Amiri" w:hAnsi="Amiri" w:eastAsia="Amiri" w:cs="Amiri"/>
          <w:color w:val="111111"/>
          <w:sz w:val="28"/>
          <w:sz w:val="28"/>
          <w:szCs w:val="28"/>
          <w:rtl w:val="true"/>
          <w:lang w:bidi="ar-SA"/>
        </w:rPr>
        <w:t>هل يكتفى به عن القبض؟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المسألة الّتي اختلفت فيها </w:t>
      </w:r>
      <w:r>
        <w:rPr>
          <w:rStyle w:val="FootnoteAnchor"/>
          <w:rtl w:val="true"/>
        </w:rPr>
        <w:footnoteReference w:id="66"/>
      </w:r>
      <w:r>
        <w:rPr>
          <w:rFonts w:ascii="Amiri" w:hAnsi="Amiri" w:eastAsia="Amiri" w:cs="Amiri"/>
          <w:color w:val="111111"/>
          <w:sz w:val="28"/>
          <w:sz w:val="28"/>
          <w:szCs w:val="28"/>
          <w:rtl w:val="true"/>
          <w:lang w:bidi="ar-SA"/>
        </w:rPr>
        <w:t>كلمة المعاصرين و لم يأتوا ببرهان مبين، و لم يميّزوا بين الغثّ و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هذه المسألة يرجع إلى المسألة السابقة، لأنّ الأمر في مقام الحظر أو توهّمه لا يفيد إلّا الإذن و الإباحة، و بعد كونه مأذونا لا يكفى كذا في النسخة بمجرّده في تحقّق القبض و وجود ما هو شرط في صحّة الوقف بإجماع الإماميّة؛ و لا بأس بالإشارة إلى بعض نصوص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مسلم عن أبي جعفر عليه السّلام أنّه قال في الرجل يتصدّق على ولده</w:t>
      </w:r>
    </w:p>
    <w:p>
      <w:pPr>
        <w:pStyle w:val="BookText"/>
        <w:rPr/>
      </w:pPr>
      <w:r>
        <w:rPr>
          <w:rFonts w:ascii="Amiri" w:hAnsi="Amiri" w:eastAsia="Amiri" w:cs="Amiri"/>
          <w:color w:val="111111"/>
          <w:sz w:val="28"/>
          <w:sz w:val="28"/>
          <w:szCs w:val="28"/>
          <w:rtl w:val="true"/>
          <w:lang w:bidi="ar-SA"/>
        </w:rPr>
        <w:t>و قد أدركوا،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والده هو الّذي يلي أمره</w:t>
      </w:r>
    </w:p>
    <w:p>
      <w:pPr>
        <w:pStyle w:val="BookText"/>
        <w:rPr/>
      </w:pP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يتصدّق على بعض ولده بصدقة و هم صغار، أ له أن يرجع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r>
        <w:rPr>
          <w:rFonts w:ascii="Amiri" w:hAnsi="Amiri" w:eastAsia="Amiri" w:cs="Amiri"/>
          <w:color w:val="111111"/>
          <w:sz w:val="28"/>
          <w:sz w:val="28"/>
          <w:szCs w:val="28"/>
          <w:rtl w:val="true"/>
          <w:lang w:bidi="ar-SA"/>
        </w:rPr>
        <w:t xml:space="preserve">و ليس الخبر من الحسان، لوجود إبراهيم بن هاشم لما حقّقنا في بحوثنا الرجاليّة من كونه من الثقات؛ و يكفي في ذلك دعوى السيّد الأجلّ ابن طاوس في فلاح السائل الإجماع على وثاقته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بكون الصدقة غير الوقف مدفوعة بفهم الأصحاب ذلك منها؛ و هو كاف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بن يحيى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يقف الضيعة ثمّ يبدو له أن يحدث في ذلك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وقفها لولده و لغيرهم ثمّ جعل لها قيّما لم يكن له أن يرجع فيها؛ و إن كانوا صغارا و قد شرط ولايتها له حتّى بلغوا فيحوزها لهم لم يكن له أن يرجع فيها؛ و إن كانوا كبارا و لم يسلّمها إليهم و لم يخاصموا حتّى يحوزها عنه فله أن يرجع فيها، لأنّهم لا يحوزونها عنه و قد بلغوا</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عبيد بن زرارة عن أبي عبد اللّه عليه السّلام أنّه قال في رجل تصدّق على ولد له قد أدركوا،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يقبضوا حتّى يموت فهو ميراث، فإن تصدّق على من لم يدرك من ولده فهو جائز، لأنّ الوالد هو الّذي يلي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في الصدقة إذا</w:t>
      </w:r>
    </w:p>
    <w:p>
      <w:pPr>
        <w:pStyle w:val="BookText"/>
        <w:rPr/>
      </w:pPr>
      <w:r>
        <w:rPr>
          <w:rFonts w:ascii="IRNazanin" w:hAnsi="IRNazanin" w:eastAsia="IRNazanin"/>
          <w:color w:val="111111"/>
          <w:sz w:val="28"/>
          <w:sz w:val="28"/>
          <w:szCs w:val="28"/>
          <w:rtl w:val="true"/>
          <w:lang w:bidi="fa-IR"/>
        </w:rPr>
        <w:t xml:space="preserve">تصدّق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w:t>
      </w:r>
    </w:p>
    <w:p>
      <w:pPr>
        <w:pStyle w:val="BookText"/>
        <w:rPr/>
      </w:pPr>
      <w:r>
        <w:rPr>
          <w:rStyle w:val="FootnoteAnchor"/>
          <w:rtl w:val="true"/>
        </w:rPr>
        <w:footnoteReference w:id="71"/>
      </w:r>
      <w:r>
        <w:rPr>
          <w:rFonts w:ascii="Amiri" w:hAnsi="Amiri" w:eastAsia="Amiri" w:cs="Amiri"/>
          <w:color w:val="111111"/>
          <w:sz w:val="28"/>
          <w:sz w:val="28"/>
          <w:szCs w:val="28"/>
          <w:rtl w:val="true"/>
          <w:lang w:bidi="ar-SA"/>
        </w:rPr>
        <w:t>و خبر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الصدوق في الإكمال بسنده إلى محمّد بن جعفر الأسدي فيما ورد عليه من جواب مسائله عن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الزمان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سألت عنه من الوقف على ناحيتنا و ما يجعل لنا ثمّ يحتاج إليه صاحبه فكلّ ما لم يسلم فصاحبه فيه بالخيار، و كلّ ما سلم فلا خيار فيه لصاحبه احتاج أو لم يحتج، افتقر إليه أو استغنى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سألت عنه من أمر الرجل الّذي يجعل لناحيتنا ضيعة و يسلّمها من قيّم يقوم فيها و يعمّرها و يؤدّي من دخلها خراجها و مئونتها و يجعل ما بقي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ascii="Amiri" w:hAnsi="Amiri" w:eastAsia="Amiri" w:cs="Amiri"/>
          <w:color w:val="111111"/>
          <w:sz w:val="28"/>
          <w:sz w:val="28"/>
          <w:szCs w:val="28"/>
          <w:rtl w:val="true"/>
          <w:lang w:bidi="ar-SA"/>
        </w:rPr>
        <w:t>و أنت خبير بأنّ صريح هذه الروايات المعتبرة فيها كفاية مجرّد الإذن أو الأمر، بل لا بدّ من التصرّف بحيث يصدق القبض و التسليم و الحيازة؛ و من المعلوم عدم صدق شي‌ء من هذا العناوين بمجرّد الأمر، و هذا الأمر لا يخفى على عاقل فضلا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التأمّل في كفاية التخلية في مثل المقام لعدم صدق هذه العناوين إلّا بالاستيلاء الخاصّ و الدخول و الخروج لو لا الإجماعات المنقولة و عدم ظهور الخلاف بين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الشافعى </w:t>
      </w:r>
      <w:r>
        <w:rPr>
          <w:rStyle w:val="FootnoteAnchor"/>
          <w:rtl w:val="true"/>
        </w:rPr>
        <w:footnoteReference w:id="73"/>
      </w:r>
      <w:r>
        <w:rPr>
          <w:rFonts w:ascii="Amiri" w:hAnsi="Amiri" w:eastAsia="Amiri" w:cs="Amiri"/>
          <w:color w:val="111111"/>
          <w:sz w:val="28"/>
          <w:sz w:val="28"/>
          <w:szCs w:val="28"/>
          <w:rtl w:val="true"/>
          <w:lang w:bidi="ar-SA"/>
        </w:rPr>
        <w:t>كفاية القبض بمجرّد الإذن مع مضيّ زمان يمكن فيه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إليه بعض الأجلّة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كلامه في الهبة و لا ملازمة بينها و بين الوقف إلّا بنحو من القياس؛ إلّا أن يدّعى الإجماع على عدم الفرق</w:t>
      </w:r>
      <w:r>
        <w:rPr>
          <w:rFonts w:eastAsia="Amiri" w:cs="Amiri" w:ascii="Amiri" w:hAnsi="Amiri"/>
          <w:color w:val="111111"/>
          <w:sz w:val="28"/>
          <w:szCs w:val="28"/>
          <w:rtl w:val="true"/>
          <w:lang w:bidi="ar-SA"/>
        </w:rPr>
        <w:t>.</w:t>
      </w:r>
      <w:bookmarkStart w:id="34" w:name="pg1909_23390"/>
    </w:p>
    <w:p>
      <w:pPr>
        <w:pStyle w:val="Heading4"/>
        <w:numPr>
          <w:ilvl w:val="3"/>
          <w:numId w:val="1"/>
        </w:numPr>
        <w:rPr/>
      </w:pPr>
      <w:bookmarkStart w:id="35" w:name="__RefHeading___Toc3280495_3650668749"/>
      <w:bookmarkStart w:id="36" w:name="_Toc14"/>
      <w:bookmarkEnd w:id="34"/>
      <w:bookmarkEnd w:id="35"/>
      <w:r>
        <w:rPr>
          <w:rtl w:val="true"/>
        </w:rPr>
        <w:t>المقام الثامن</w:t>
      </w:r>
      <w:r>
        <w:rPr>
          <w:rtl w:val="true"/>
        </w:rPr>
        <w:t xml:space="preserve">: </w:t>
      </w:r>
      <w:r>
        <w:rPr>
          <w:rtl w:val="true"/>
        </w:rPr>
        <w:t>قد ظهر ممّا ذكرنا أنّه لو أمر بالقبض مع التخلية التامّة</w:t>
      </w:r>
      <w:bookmarkEnd w:id="36"/>
    </w:p>
    <w:p>
      <w:pPr>
        <w:pStyle w:val="BookText"/>
        <w:rPr/>
      </w:pPr>
      <w:r>
        <w:rPr>
          <w:rFonts w:ascii="Amiri" w:hAnsi="Amiri" w:eastAsia="Amiri" w:cs="Amiri"/>
          <w:color w:val="111111"/>
          <w:sz w:val="28"/>
          <w:sz w:val="28"/>
          <w:szCs w:val="28"/>
          <w:rtl w:val="true"/>
          <w:lang w:bidi="ar-SA"/>
        </w:rPr>
        <w:t>يصحّ الوقف و لا يصحّ الرجوع فيه، و لعلّ نظر بعض من حكم بالصحّة إلى هذه الصورة</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280497_3650668749"/>
      <w:bookmarkStart w:id="38" w:name="_Toc15"/>
      <w:bookmarkEnd w:id="37"/>
      <w:r>
        <w:rPr>
          <w:rtl w:val="true"/>
        </w:rPr>
        <w:t>المقام التاسع</w:t>
      </w:r>
      <w:r>
        <w:rPr>
          <w:rtl w:val="true"/>
        </w:rPr>
        <w:t xml:space="preserve">: </w:t>
      </w:r>
      <w:r>
        <w:rPr>
          <w:rtl w:val="true"/>
        </w:rPr>
        <w:t>لا يشترط الفوريّة في القبض</w:t>
      </w:r>
      <w:bookmarkEnd w:id="38"/>
    </w:p>
    <w:p>
      <w:pPr>
        <w:pStyle w:val="BookText"/>
        <w:rPr/>
      </w:pPr>
      <w:r>
        <w:rPr>
          <w:rFonts w:ascii="Amiri" w:hAnsi="Amiri" w:eastAsia="Amiri" w:cs="Amiri"/>
          <w:color w:val="111111"/>
          <w:sz w:val="28"/>
          <w:sz w:val="28"/>
          <w:szCs w:val="28"/>
          <w:rtl w:val="true"/>
          <w:lang w:bidi="ar-SA"/>
        </w:rPr>
        <w:t xml:space="preserve">وفاقا للتحرير </w:t>
      </w:r>
      <w:r>
        <w:rPr>
          <w:rStyle w:val="FootnoteAnchor"/>
          <w:rtl w:val="true"/>
        </w:rPr>
        <w:footnoteReference w:id="75"/>
      </w:r>
      <w:r>
        <w:rPr>
          <w:rFonts w:ascii="Amiri" w:hAnsi="Amiri" w:eastAsia="Amiri" w:cs="Amiri"/>
          <w:color w:val="111111"/>
          <w:sz w:val="28"/>
          <w:sz w:val="28"/>
          <w:szCs w:val="28"/>
          <w:rtl w:val="true"/>
          <w:lang w:bidi="ar-SA"/>
        </w:rPr>
        <w:t xml:space="preserve">و التذكرة </w:t>
      </w:r>
      <w:r>
        <w:rPr>
          <w:rStyle w:val="FootnoteAnchor"/>
          <w:rtl w:val="true"/>
        </w:rPr>
        <w:footnoteReference w:id="76"/>
      </w:r>
      <w:r>
        <w:rPr>
          <w:rFonts w:ascii="Amiri" w:hAnsi="Amiri" w:eastAsia="Amiri" w:cs="Amiri"/>
          <w:color w:val="111111"/>
          <w:sz w:val="28"/>
          <w:sz w:val="28"/>
          <w:szCs w:val="28"/>
          <w:rtl w:val="true"/>
          <w:lang w:bidi="ar-SA"/>
        </w:rPr>
        <w:t xml:space="preserve">و الإيضاح </w:t>
      </w:r>
      <w:r>
        <w:rPr>
          <w:rStyle w:val="FootnoteAnchor"/>
          <w:rtl w:val="true"/>
        </w:rPr>
        <w:footnoteReference w:id="77"/>
      </w:r>
      <w:r>
        <w:rPr>
          <w:rFonts w:ascii="IRNazanin" w:hAnsi="IRNazanin" w:eastAsia="IRNazanin"/>
          <w:color w:val="111111"/>
          <w:sz w:val="28"/>
          <w:sz w:val="28"/>
          <w:szCs w:val="28"/>
          <w:rtl w:val="true"/>
          <w:lang w:bidi="fa-IR"/>
        </w:rPr>
        <w:t xml:space="preserve">و الدروس </w:t>
      </w:r>
      <w:r>
        <w:rPr>
          <w:rStyle w:val="FootnoteAnchor"/>
          <w:rtl w:val="true"/>
        </w:rPr>
        <w:footnoteReference w:id="78"/>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79"/>
      </w:r>
      <w:r>
        <w:rPr>
          <w:rFonts w:ascii="Amiri" w:hAnsi="Amiri" w:eastAsia="Amiri" w:cs="Amiri"/>
          <w:color w:val="111111"/>
          <w:sz w:val="28"/>
          <w:sz w:val="28"/>
          <w:szCs w:val="28"/>
          <w:rtl w:val="true"/>
          <w:lang w:bidi="ar-SA"/>
        </w:rPr>
        <w:t xml:space="preserve">و التنقيح </w:t>
      </w:r>
      <w:r>
        <w:rPr>
          <w:rStyle w:val="FootnoteAnchor"/>
          <w:rtl w:val="true"/>
        </w:rPr>
        <w:footnoteReference w:id="80"/>
      </w:r>
      <w:r>
        <w:rPr>
          <w:rFonts w:ascii="Amiri" w:hAnsi="Amiri" w:eastAsia="Amiri" w:cs="Amiri"/>
          <w:color w:val="111111"/>
          <w:sz w:val="28"/>
          <w:sz w:val="28"/>
          <w:szCs w:val="28"/>
          <w:rtl w:val="true"/>
          <w:lang w:bidi="ar-SA"/>
        </w:rPr>
        <w:t xml:space="preserve">و المسالك </w:t>
      </w:r>
      <w:r>
        <w:rPr>
          <w:rStyle w:val="FootnoteAnchor"/>
          <w:rtl w:val="true"/>
        </w:rPr>
        <w:footnoteReference w:id="81"/>
      </w:r>
      <w:r>
        <w:rPr>
          <w:rFonts w:ascii="Amiri" w:hAnsi="Amiri" w:eastAsia="Amiri" w:cs="Amiri"/>
          <w:color w:val="111111"/>
          <w:sz w:val="28"/>
          <w:sz w:val="28"/>
          <w:szCs w:val="28"/>
          <w:rtl w:val="true"/>
          <w:lang w:bidi="ar-SA"/>
        </w:rPr>
        <w:t xml:space="preserve">و الروضة </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الأقوى عدم اشتراط الفوريّة للعقد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صريح الرياض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 بعد العقد بمدّة طويلة صحّ الوقف و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بعد ظهور الاتّفاق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عبيد بن زرارة المتقدّم كذا في النسخة إليه الإشارة حيث علّق فيه البطلان بعدم القبض إلى أن يموت الواقف، فإنّ ظاهره كفاية القبض متى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صحيحة محمّد بن مسلم، لوضوح أنّ المستفاد منه أنّه إذا تحقّق القبض قبل موت الوالد يكون لازما و لو تأخّر القبض من العقد بكثير؛ و هو المستفاد من صحيحة صفوان، لقوله عليه السّلام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كانوا كبارا و لم يسلّمها إليهم و لم يخاصموا حتّى يحوزها عنه فله أن يرجع فيها، لأنّم لا يحوزونها عنه و قد بلغوا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39" w:name="pg1909_23392"/>
    </w:p>
    <w:p>
      <w:pPr>
        <w:pStyle w:val="BookText"/>
        <w:rPr/>
      </w:pPr>
      <w:bookmarkEnd w:id="39"/>
      <w:r>
        <w:rPr>
          <w:rFonts w:ascii="Amiri" w:hAnsi="Amiri" w:eastAsia="Amiri" w:cs="Amiri"/>
          <w:color w:val="111111"/>
          <w:sz w:val="28"/>
          <w:sz w:val="28"/>
          <w:szCs w:val="28"/>
          <w:rtl w:val="true"/>
          <w:lang w:bidi="ar-SA"/>
        </w:rPr>
        <w:t>و يستفاد المقصود من موضعين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إذ الظاهر منه كفاية التجويز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الموقوف عن الواقف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تخلّل القبض أم لم يتخلّل؛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يسلّمها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يعلم وجهه ممّا ذكر مع كفاية المعمومات و عدم الرافع</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280499_3650668749"/>
      <w:bookmarkStart w:id="41" w:name="_Toc16"/>
      <w:bookmarkEnd w:id="40"/>
      <w:r>
        <w:rPr>
          <w:rtl w:val="true"/>
        </w:rPr>
        <w:t>المقام العاشر</w:t>
      </w:r>
      <w:r>
        <w:rPr>
          <w:rtl w:val="true"/>
        </w:rPr>
        <w:t xml:space="preserve">: </w:t>
      </w:r>
      <w:r>
        <w:rPr>
          <w:rtl w:val="true"/>
        </w:rPr>
        <w:t>ينبغي أن يعلم أنّ القبض المعتبر شرعا في الوقف إنّما هو بالنسبة إلى البطن الأوّل،</w:t>
      </w:r>
      <w:bookmarkEnd w:id="41"/>
    </w:p>
    <w:p>
      <w:pPr>
        <w:pStyle w:val="BookText"/>
        <w:rPr/>
      </w:pPr>
      <w:r>
        <w:rPr>
          <w:rFonts w:ascii="Amiri" w:hAnsi="Amiri" w:eastAsia="Amiri" w:cs="Amiri"/>
          <w:color w:val="111111"/>
          <w:sz w:val="28"/>
          <w:sz w:val="28"/>
          <w:szCs w:val="28"/>
          <w:rtl w:val="true"/>
          <w:lang w:bidi="ar-SA"/>
        </w:rPr>
        <w:t>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Style w:val="FootnoteAnchor"/>
          <w:rtl w:val="true"/>
        </w:rPr>
        <w:footnoteReference w:id="86"/>
      </w:r>
      <w:r>
        <w:rPr>
          <w:rFonts w:ascii="Amiri" w:hAnsi="Amiri" w:eastAsia="Amiri" w:cs="Amiri"/>
          <w:color w:val="111111"/>
          <w:sz w:val="28"/>
          <w:sz w:val="28"/>
          <w:szCs w:val="28"/>
          <w:rtl w:val="true"/>
          <w:lang w:bidi="ar-SA"/>
        </w:rPr>
        <w:t xml:space="preserve">و الرياض </w:t>
      </w:r>
      <w:r>
        <w:rPr>
          <w:rStyle w:val="FootnoteAnchor"/>
          <w:rtl w:val="true"/>
        </w:rPr>
        <w:footnoteReference w:id="8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 الإجماع عليه، فيسقط اعتبار ذلك في بقيّة البطون لأنّهم يبلغون الملك عن البطن الأوّل و قد تحقّق أوّلا و لزم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مقتضى الأخبار المتقدّم مع كفاية العمومات</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280501_3650668749"/>
      <w:bookmarkStart w:id="43" w:name="_Toc17"/>
      <w:bookmarkEnd w:id="42"/>
      <w:r>
        <w:rPr>
          <w:rtl w:val="true"/>
        </w:rPr>
        <w:t>المقام الحادي عشر</w:t>
      </w:r>
      <w:r>
        <w:rPr>
          <w:rtl w:val="true"/>
        </w:rPr>
        <w:t xml:space="preserve">: </w:t>
      </w:r>
      <w:r>
        <w:rPr>
          <w:rtl w:val="true"/>
        </w:rPr>
        <w:t>إذا كان البطن الأوّل متعدّدا</w:t>
      </w:r>
      <w:bookmarkEnd w:id="43"/>
    </w:p>
    <w:p>
      <w:pPr>
        <w:pStyle w:val="BookText"/>
        <w:rPr/>
      </w:pPr>
      <w:r>
        <w:rPr>
          <w:rFonts w:ascii="Amiri" w:hAnsi="Amiri" w:eastAsia="Amiri" w:cs="Amiri"/>
          <w:color w:val="111111"/>
          <w:sz w:val="28"/>
          <w:sz w:val="28"/>
          <w:szCs w:val="28"/>
          <w:rtl w:val="true"/>
          <w:lang w:bidi="ar-SA"/>
        </w:rPr>
        <w:t>كما إذا وقف على أولاده، أو على عشيرته، أو على علماء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قبض الجميع؟ أو يكفي قبض البعض في الصحّة؟ أو يتبعّض الوقف؟</w:t>
      </w:r>
    </w:p>
    <w:p>
      <w:pPr>
        <w:pStyle w:val="BookText"/>
        <w:rPr/>
      </w:pPr>
      <w:r>
        <w:rPr>
          <w:rFonts w:ascii="Amiri" w:hAnsi="Amiri" w:eastAsia="Amiri" w:cs="Amiri"/>
          <w:color w:val="111111"/>
          <w:sz w:val="28"/>
          <w:sz w:val="28"/>
          <w:szCs w:val="28"/>
          <w:rtl w:val="true"/>
          <w:lang w:bidi="ar-SA"/>
        </w:rPr>
        <w:t>فمن قبض صحّ بالنسبة إليه و من لم يقبض فسد بالنسبة إليه؟، وجوه، و الأقوى هو الصحّة مطلقا للعمومات و مفهوم الشرط في قول الصادق عليه السّلام في خبري محمّد بن مسلم و عبيد بن زرارة، و مفهوم الشرط و التعليل في خبر صفوان؛ فلا داعي للتمسّك ببعض الوجوه الاستحسانيّة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توقّف على ذلك لزم تعطيل الوقف و تخصيصه حتّى يبتنى صحّته بقبض</w:t>
      </w:r>
      <w:bookmarkStart w:id="44" w:name="pg1909_23394"/>
    </w:p>
    <w:p>
      <w:pPr>
        <w:pStyle w:val="BookText"/>
        <w:rPr/>
      </w:pPr>
      <w:bookmarkEnd w:id="44"/>
      <w:r>
        <w:rPr>
          <w:rFonts w:ascii="Amiri" w:hAnsi="Amiri" w:eastAsia="Amiri" w:cs="Amiri"/>
          <w:color w:val="111111"/>
          <w:sz w:val="28"/>
          <w:sz w:val="28"/>
          <w:szCs w:val="28"/>
          <w:rtl w:val="true"/>
          <w:lang w:bidi="ar-SA"/>
        </w:rPr>
        <w:t>الجميع، أو فساده بعدم قبض بعضهم؛ إلى غير ذلك</w:t>
      </w:r>
      <w:r>
        <w:rPr>
          <w:rFonts w:eastAsia="Amiri" w:cs="Amiri" w:ascii="Amiri" w:hAnsi="Amiri"/>
          <w:color w:val="111111"/>
          <w:sz w:val="28"/>
          <w:szCs w:val="28"/>
          <w:rtl w:val="true"/>
          <w:lang w:bidi="ar-SA"/>
        </w:rPr>
        <w:t xml:space="preserve">. </w:t>
      </w:r>
      <w:r>
        <w:rPr>
          <w:rStyle w:val="FootnoteAnchor"/>
          <w:rtl w:val="true"/>
        </w:rPr>
        <w:footnoteReference w:id="88"/>
      </w:r>
    </w:p>
    <w:p>
      <w:pPr>
        <w:pStyle w:val="Heading4"/>
        <w:numPr>
          <w:ilvl w:val="3"/>
          <w:numId w:val="1"/>
        </w:numPr>
        <w:rPr/>
      </w:pPr>
      <w:bookmarkStart w:id="45" w:name="__RefHeading___Toc3280503_3650668749"/>
      <w:bookmarkStart w:id="46" w:name="_Toc18"/>
      <w:bookmarkEnd w:id="45"/>
      <w:r>
        <w:rPr>
          <w:rtl w:val="true"/>
        </w:rPr>
        <w:t xml:space="preserve">المقام الثاني عشر </w:t>
      </w:r>
      <w:r>
        <w:rPr>
          <w:rtl w:val="true"/>
        </w:rPr>
        <w:t>[</w:t>
      </w:r>
      <w:r>
        <w:rPr>
          <w:rtl w:val="true"/>
        </w:rPr>
        <w:t>و الثالث عشر</w:t>
      </w:r>
      <w:r>
        <w:rPr>
          <w:rtl w:val="true"/>
        </w:rPr>
        <w:t xml:space="preserve">]: </w:t>
      </w:r>
      <w:r>
        <w:rPr>
          <w:rtl w:val="true"/>
        </w:rPr>
        <w:t>الظاهر أنّه لا خلاف و لا إشكال في أنّ قبض الوليّ لما هو وليّ عليه كقبضه</w:t>
      </w:r>
      <w:bookmarkEnd w:id="46"/>
    </w:p>
    <w:p>
      <w:pPr>
        <w:pStyle w:val="BookText"/>
        <w:rPr/>
      </w:pPr>
      <w:r>
        <w:rPr>
          <w:rFonts w:ascii="Amiri" w:hAnsi="Amiri" w:eastAsia="Amiri" w:cs="Amiri"/>
          <w:color w:val="111111"/>
          <w:sz w:val="28"/>
          <w:sz w:val="28"/>
          <w:szCs w:val="28"/>
          <w:rtl w:val="true"/>
          <w:lang w:bidi="ar-SA"/>
        </w:rPr>
        <w:t>و إن كان الواقف وليّا، كما لو وقف على أولاده الضعفاء؛ بلا خلاف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بل الظاهر هو الوفاق من غير فرق بين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عليه خبر عبيد بن زرارة بملاحظة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الوالد هو الّذي يلي أمره</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r>
        <w:rPr>
          <w:rFonts w:ascii="Amiri" w:hAnsi="Amiri" w:eastAsia="Amiri" w:cs="Amiri"/>
          <w:color w:val="111111"/>
          <w:sz w:val="28"/>
          <w:sz w:val="28"/>
          <w:szCs w:val="28"/>
          <w:rtl w:val="true"/>
          <w:lang w:bidi="ar-SA"/>
        </w:rPr>
        <w:t>و خبر عليّ بن جعفر المروي في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 تصدّق على ولده الصغير فإنّها جائزة لأنّه يقبض لولده إذا كان صغيرا</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مناقشة العلّامة الطباطبائي في حاشية المصابيح </w:t>
      </w:r>
      <w:r>
        <w:rPr>
          <w:rStyle w:val="FootnoteAnchor"/>
          <w:rtl w:val="true"/>
        </w:rPr>
        <w:footnoteReference w:id="92"/>
      </w:r>
      <w:r>
        <w:rPr>
          <w:rFonts w:ascii="Amiri" w:hAnsi="Amiri" w:eastAsia="Amiri" w:cs="Amiri"/>
          <w:color w:val="111111"/>
          <w:sz w:val="28"/>
          <w:sz w:val="28"/>
          <w:szCs w:val="28"/>
          <w:rtl w:val="true"/>
          <w:lang w:bidi="ar-SA"/>
        </w:rPr>
        <w:t>في سند هذا الكتاب مدفوعة بالشهرة؛ و كذا المناقشة في الدلالة بكون الصدقة غير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بعد ذلك القبض على المولّى عليه بمعنى قصده؟ أم 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المعتبر في القبض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 الموقوف عليه و كانت يد الوليّ بمنزلة يد المولّى عليه كان وقف الأب و الجدّ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الولاية على غير الكامل لما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المولّى عليه متحقّقا بالإيجاب و القبول، لأنّ القبض حاصل قبل الوقف، فيستصحب و ينصرف إلى المولّى عليه بعده؛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قصده بعد ذلك القبض عن المولّى عليه للوقف و عدمه، لتحقّق القبض الّذي</w:t>
      </w:r>
    </w:p>
    <w:p>
      <w:pPr>
        <w:pStyle w:val="BookText"/>
        <w:rPr/>
      </w:pPr>
      <w:r>
        <w:rPr>
          <w:rFonts w:ascii="Amiri" w:hAnsi="Amiri" w:eastAsia="Amiri" w:cs="Amiri"/>
          <w:color w:val="111111"/>
          <w:sz w:val="28"/>
          <w:sz w:val="28"/>
          <w:szCs w:val="28"/>
          <w:rtl w:val="true"/>
          <w:lang w:bidi="ar-SA"/>
        </w:rPr>
        <w:t>لم يدلّ الدليل على أزيد من تحقّقه</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دليله في اعتبار كون القبض على أنّه وقف، فلذا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يجزي القبض بعد الوقف مع الذهول و الغفلة عنه، أو كان على وجه العارية أو الوديعة أو نحو ذلك ممّا هو ليس قبضا للوقف من حيث إنّه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شرطيّته مطلقا لا تنقل بدون القصد ضرورة عدم امتياز أهل الفعل المشترك، فضلا عن الاشتراك الّتي كان الاحتياج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بعدم الدليل على الشرطيّة عموما أو تخصيصه بالنصوص المزبورة بدعوى أنّ المراد كفاية قصد الوليّ بأيّ وجه اتّفق </w:t>
      </w:r>
      <w:r>
        <w:rPr>
          <w:rStyle w:val="FootnoteAnchor"/>
          <w:rtl w:val="true"/>
        </w:rPr>
        <w:footnoteReference w:id="94"/>
      </w:r>
      <w:r>
        <w:rPr>
          <w:rFonts w:ascii="Amiri" w:hAnsi="Amiri" w:eastAsia="Amiri" w:cs="Amiri"/>
          <w:color w:val="111111"/>
          <w:sz w:val="28"/>
          <w:sz w:val="28"/>
          <w:szCs w:val="28"/>
          <w:rtl w:val="true"/>
          <w:lang w:bidi="ar-SA"/>
        </w:rPr>
        <w:t xml:space="preserve">لأنّه إذا كان هو الّذي يقبض عنه فكيف يعتبر القبض في وقفه، إذ لا يتصوّر أن يقبض نفسه الحد </w:t>
      </w:r>
      <w:r>
        <w:rPr>
          <w:rStyle w:val="FootnoteAnchor"/>
          <w:rtl w:val="true"/>
        </w:rPr>
        <w:footnoteReference w:id="95"/>
      </w:r>
      <w:r>
        <w:rPr>
          <w:rFonts w:ascii="Amiri" w:hAnsi="Amiri" w:eastAsia="Amiri" w:cs="Amiri"/>
          <w:color w:val="111111"/>
          <w:sz w:val="28"/>
          <w:sz w:val="28"/>
          <w:szCs w:val="28"/>
          <w:rtl w:val="true"/>
          <w:lang w:bidi="ar-SA"/>
        </w:rPr>
        <w:t>ذلك؛ لكنّه مناف لظاهر كلماتهم بل صريحهم من عموم الاشتراط؛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إلّا أن يراد من نحو العبارة صيرورة قبضه قبضا عنهم شرعا؛ لكنّه خلاف ظاهر الأدلّة، خصوصا صحيحة صفوان الظاهر في اعتبار الحيازة لهم المتوقّف على النيّة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ما في كشف الغطاء من الحكم بالجواز حتّى مع نيّة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نوى الخلاف فالأقوى الجواز</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ضعف ما في التذكرة و المسالك و الرياض </w:t>
      </w:r>
      <w:r>
        <w:rPr>
          <w:rStyle w:val="FootnoteAnchor"/>
          <w:rtl w:val="true"/>
        </w:rPr>
        <w:footnoteReference w:id="98"/>
      </w:r>
      <w:r>
        <w:rPr>
          <w:rFonts w:ascii="Amiri" w:hAnsi="Amiri" w:eastAsia="Amiri" w:cs="Amiri"/>
          <w:color w:val="111111"/>
          <w:sz w:val="28"/>
          <w:sz w:val="28"/>
          <w:szCs w:val="28"/>
          <w:rtl w:val="true"/>
          <w:lang w:bidi="ar-SA"/>
        </w:rPr>
        <w:t>من أنّه إذا كان الموقوف تحت يد الموقوف عليه البالغ بوديعة أو عارية أو إجارة أو نحوها ليكفي هذا القبض و لا يتوقّف صحّة الوقف على قبض آخر غيره؛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المقتضي للصحّة</w:t>
      </w:r>
      <w:bookmarkStart w:id="47" w:name="pg1909_23398"/>
    </w:p>
    <w:p>
      <w:pPr>
        <w:pStyle w:val="BookText"/>
        <w:rPr/>
      </w:pPr>
      <w:bookmarkEnd w:id="47"/>
      <w:r>
        <w:rPr>
          <w:rFonts w:ascii="Amiri" w:hAnsi="Amiri" w:eastAsia="Amiri" w:cs="Amiri"/>
          <w:color w:val="111111"/>
          <w:sz w:val="28"/>
          <w:sz w:val="28"/>
          <w:szCs w:val="28"/>
          <w:rtl w:val="true"/>
          <w:lang w:bidi="ar-SA"/>
        </w:rPr>
        <w:t>و هو القبض، فإنّ استدامته كابتدائه إن لم يكن أقوى؛ و لا دليل على كونه واقعا مبتدأ بعد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علّله في التذكرة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حقيقة القبض موجودة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الفرع الثالث عشر</w:t>
      </w:r>
      <w:r>
        <w:rPr>
          <w:rFonts w:eastAsia="IRNazanin" w:cs="IRNazanin"/>
          <w:color w:val="111111"/>
          <w:sz w:val="28"/>
          <w:szCs w:val="28"/>
          <w:rtl w:val="true"/>
          <w:lang w:bidi="fa-IR"/>
        </w:rPr>
        <w:t>.</w:t>
      </w:r>
    </w:p>
    <w:p>
      <w:pPr>
        <w:pStyle w:val="Heading4"/>
        <w:numPr>
          <w:ilvl w:val="3"/>
          <w:numId w:val="1"/>
        </w:numPr>
        <w:rPr/>
      </w:pPr>
      <w:bookmarkStart w:id="48" w:name="__RefHeading___Toc3280505_3650668749"/>
      <w:bookmarkStart w:id="49" w:name="_Toc19"/>
      <w:bookmarkEnd w:id="48"/>
      <w:r>
        <w:rPr>
          <w:rtl w:val="true"/>
        </w:rPr>
        <w:t>المقام الرابع عشر</w:t>
      </w:r>
      <w:r>
        <w:rPr>
          <w:rtl w:val="true"/>
        </w:rPr>
        <w:t xml:space="preserve">: </w:t>
      </w:r>
      <w:r>
        <w:rPr>
          <w:rtl w:val="true"/>
        </w:rPr>
        <w:t xml:space="preserve">إذا كان الموقوف قبل </w:t>
      </w:r>
      <w:r>
        <w:rPr>
          <w:rtl w:val="true"/>
        </w:rPr>
        <w:t>(</w:t>
      </w:r>
      <w:r>
        <w:rPr>
          <w:rtl w:val="true"/>
        </w:rPr>
        <w:t>كذا في النسخة</w:t>
      </w:r>
      <w:r>
        <w:rPr>
          <w:rtl w:val="true"/>
        </w:rPr>
        <w:t xml:space="preserve">) </w:t>
      </w:r>
      <w:r>
        <w:rPr>
          <w:rtl w:val="true"/>
        </w:rPr>
        <w:t>واقعا في يد الموقوف عليه بالغصب</w:t>
      </w:r>
      <w:bookmarkEnd w:id="49"/>
    </w:p>
    <w:p>
      <w:pPr>
        <w:pStyle w:val="BookText"/>
        <w:rPr/>
      </w:pPr>
      <w:r>
        <w:rPr>
          <w:rFonts w:ascii="Amiri" w:hAnsi="Amiri" w:eastAsia="Amiri" w:cs="Amiri"/>
          <w:color w:val="111111"/>
          <w:sz w:val="28"/>
          <w:sz w:val="28"/>
          <w:szCs w:val="28"/>
          <w:rtl w:val="true"/>
          <w:lang w:bidi="ar-SA"/>
        </w:rPr>
        <w:t>كالمال المغصوب أو المقبوض بالعقد الفاسد فهل يكون حكمه حكم القبض المأذون فيه؟ أو 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في التذكرة بالأول بالأول معلَّلا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حقيقة القبض موجودة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 الثاني في الرياض </w:t>
      </w:r>
      <w:r>
        <w:rPr>
          <w:rStyle w:val="FootnoteAnchor"/>
          <w:rtl w:val="true"/>
        </w:rPr>
        <w:footnoteReference w:id="102"/>
      </w:r>
      <w:r>
        <w:rPr>
          <w:rFonts w:ascii="Amiri" w:hAnsi="Amiri" w:eastAsia="Amiri" w:cs="Amiri"/>
          <w:color w:val="111111"/>
          <w:sz w:val="28"/>
          <w:sz w:val="28"/>
          <w:szCs w:val="28"/>
          <w:rtl w:val="true"/>
          <w:lang w:bidi="ar-SA"/>
        </w:rPr>
        <w:t>و تنظّر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القبض واقعا بغير إذن المالك كالمقبوض بالغصب و الشراء بالعقد الفاسد ففي الاكتفاء به نظر من صدقه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النهي عنه غير قادح هنا، لأنّه ليس بعبادة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أنّ القبض ركن من أركان العقد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إلى آخره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في الرياض إلى الثاني؛ و لعلّه الأقوى، للأصل و كون المطلقات مهملة من حيث الكيفيّة، مضافا إلى أنّ القبض بعد كونه جزء السبب و متمّم العقد صحّة أو لزوما يعتبر فيه ما يعتبر في باقى أجزاء السبب من الرخاء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بعض مشايخنا </w:t>
      </w:r>
      <w:r>
        <w:rPr>
          <w:rStyle w:val="FootnoteAnchor"/>
          <w:rtl w:val="true"/>
        </w:rPr>
        <w:footnoteReference w:id="105"/>
      </w:r>
      <w:r>
        <w:rPr>
          <w:rFonts w:ascii="Amiri" w:hAnsi="Amiri" w:eastAsia="Amiri" w:cs="Amiri"/>
          <w:color w:val="111111"/>
          <w:sz w:val="28"/>
          <w:sz w:val="28"/>
          <w:szCs w:val="28"/>
          <w:rtl w:val="true"/>
          <w:lang w:bidi="ar-SA"/>
        </w:rPr>
        <w:t>عن العلّامة الوحيد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كون المستفاد من الأدلّة اعتبار القبض فيما هو يعتبر في صحّة العقد أو لزومه، اعتبار يؤكّد كذا في النسخة الإيجاب و القبول اللفظي بالإيجاب</w:t>
      </w:r>
      <w:bookmarkStart w:id="50" w:name="pg1909_23401"/>
    </w:p>
    <w:p>
      <w:pPr>
        <w:pStyle w:val="BookText"/>
        <w:rPr/>
      </w:pPr>
      <w:bookmarkEnd w:id="50"/>
      <w:r>
        <w:rPr>
          <w:rFonts w:ascii="Amiri" w:hAnsi="Amiri" w:eastAsia="Amiri" w:cs="Amiri"/>
          <w:color w:val="111111"/>
          <w:sz w:val="28"/>
          <w:sz w:val="28"/>
          <w:szCs w:val="28"/>
          <w:rtl w:val="true"/>
          <w:lang w:bidi="ar-SA"/>
        </w:rPr>
        <w:t>و المقبول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عنده في الرهن و الوقف ممّا كان القبض معتبرا في صحّته أو لزومه مركّب من الإيجاب و القبول اللفظي و النقلي، تأكيدا للعقد اللفظي بالمعاطات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بدّ من كون قبض الموقوف عليه إقباضا عن الواقف من غير فرق بين قبض الحادث و المستدام، إلّا أنّه في المستدام لا يحتاج إلى زمان يمكن فيه تجديد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التذكرة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بخلافه في المبتدأ</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280507_3650668749"/>
      <w:bookmarkStart w:id="52" w:name="_Toc20"/>
      <w:bookmarkEnd w:id="51"/>
      <w:r>
        <w:rPr>
          <w:rtl w:val="true"/>
        </w:rPr>
        <w:t>المقام الخامس عشر</w:t>
      </w:r>
      <w:r>
        <w:rPr>
          <w:rtl w:val="true"/>
        </w:rPr>
        <w:t xml:space="preserve">: </w:t>
      </w:r>
      <w:r>
        <w:rPr>
          <w:rtl w:val="true"/>
        </w:rPr>
        <w:t>في اشتراط مضيّ الزمان في القبض الحادث</w:t>
      </w:r>
      <w:r>
        <w:rPr>
          <w:rtl w:val="true"/>
        </w:rPr>
        <w:t>.</w:t>
      </w:r>
      <w:bookmarkEnd w:id="52"/>
    </w:p>
    <w:p>
      <w:pPr>
        <w:pStyle w:val="BookText"/>
        <w:rPr/>
      </w:pPr>
      <w:r>
        <w:rPr>
          <w:rFonts w:ascii="Amiri" w:hAnsi="Amiri" w:eastAsia="Amiri" w:cs="Amiri"/>
          <w:color w:val="111111"/>
          <w:sz w:val="28"/>
          <w:sz w:val="28"/>
          <w:szCs w:val="28"/>
          <w:rtl w:val="true"/>
          <w:lang w:bidi="ar-SA"/>
        </w:rPr>
        <w:t>فاعلم أنّه لا تأمّل في أنَّ الإذن في القبض يستدعي تحصيله، و من ضروريّاته مضيّ زمان يمكن فيه تحصيله، فهو دالّ على القبض الفعلي بالمطابقة و على الزماني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لزم من القبض الفعلي تحصيل الحاصل أو اجتماع الأمرين المحالان فحمل اللفظ على المعنى الالتزامي لتعذّر المطابقة، فلا يكفي الأوّل مع عدم مضيّ زمان يكفي فيه القبض فضلا عن الإذن؛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المقام الخامس</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280509_3650668749"/>
      <w:bookmarkStart w:id="54" w:name="_Toc21"/>
      <w:bookmarkEnd w:id="53"/>
      <w:r>
        <w:rPr>
          <w:rtl w:val="true"/>
        </w:rPr>
        <w:t>المقام السادس عشر</w:t>
      </w:r>
      <w:r>
        <w:rPr>
          <w:rtl w:val="true"/>
        </w:rPr>
        <w:t xml:space="preserve">: </w:t>
      </w:r>
      <w:r>
        <w:rPr>
          <w:rtl w:val="true"/>
        </w:rPr>
        <w:t>لو كان الموقوف منقولا أو غير منقول غائبا غيبة لا يصدق معها القبض</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خلّى بينه و بينه، فلا يكفى فيه الإذن و مضيّ الزمان أيضا حتّى يحضر الموقوف عليه أو وكيله و يقبضه بما يصدق معه من تخلية أو نقل؛ فلو وقف ما هو غائب عن البلد غيبة لا يصدق معها القبض لا يصير وقفا صحيحا أو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الإذن ليس سببا لحصوله، بل عرفت ذلك في الحاضر أيضا غالبا</w:t>
      </w:r>
      <w:r>
        <w:rPr>
          <w:rFonts w:eastAsia="Amiri" w:cs="Amiri" w:ascii="Amiri" w:hAnsi="Amiri"/>
          <w:color w:val="111111"/>
          <w:sz w:val="28"/>
          <w:szCs w:val="28"/>
          <w:rtl w:val="true"/>
          <w:lang w:bidi="ar-SA"/>
        </w:rPr>
        <w:t>.</w:t>
      </w:r>
      <w:bookmarkStart w:id="55" w:name="pg1909_23403"/>
    </w:p>
    <w:p>
      <w:pPr>
        <w:pStyle w:val="Heading4"/>
        <w:numPr>
          <w:ilvl w:val="3"/>
          <w:numId w:val="1"/>
        </w:numPr>
        <w:rPr/>
      </w:pPr>
      <w:bookmarkStart w:id="56" w:name="__RefHeading___Toc3280511_3650668749"/>
      <w:bookmarkStart w:id="57" w:name="_Toc22"/>
      <w:bookmarkEnd w:id="55"/>
      <w:bookmarkEnd w:id="56"/>
      <w:r>
        <w:rPr>
          <w:rtl w:val="true"/>
        </w:rPr>
        <w:t>المقام السابع عشر</w:t>
      </w:r>
      <w:r>
        <w:rPr>
          <w:rtl w:val="true"/>
        </w:rPr>
        <w:t xml:space="preserve">: </w:t>
      </w:r>
      <w:r>
        <w:rPr>
          <w:rtl w:val="true"/>
        </w:rPr>
        <w:t>قد عرفت كفاية قبض الأب عن أولاده الصغار،</w:t>
      </w:r>
      <w:bookmarkEnd w:id="57"/>
    </w:p>
    <w:p>
      <w:pPr>
        <w:pStyle w:val="BookText"/>
        <w:rPr/>
      </w:pPr>
      <w:r>
        <w:rPr>
          <w:rFonts w:ascii="Amiri" w:hAnsi="Amiri" w:eastAsia="Amiri" w:cs="Amiri"/>
          <w:color w:val="111111"/>
          <w:sz w:val="28"/>
          <w:sz w:val="28"/>
          <w:szCs w:val="28"/>
          <w:rtl w:val="true"/>
          <w:lang w:bidi="ar-SA"/>
        </w:rPr>
        <w:t xml:space="preserve">و هو مورد الروايات الواردة في الباب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عدم الفرق بينه و بين الجدّ للأب، بل و بين وصيّها و الحاكم المطاع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اختصاص الأخبار بالأب لأنّها إنّما أخرجت مورد التخصيص لا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الحدائق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نقله 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وجه لردّ بعض الأعاظم </w:t>
      </w:r>
      <w:r>
        <w:rPr>
          <w:rStyle w:val="FootnoteAnchor"/>
          <w:rtl w:val="true"/>
        </w:rPr>
        <w:footnoteReference w:id="109"/>
      </w:r>
      <w:r>
        <w:rPr>
          <w:rFonts w:ascii="Amiri" w:hAnsi="Amiri" w:eastAsia="Amiri" w:cs="Amiri"/>
          <w:color w:val="111111"/>
          <w:sz w:val="28"/>
          <w:sz w:val="28"/>
          <w:szCs w:val="28"/>
          <w:rtl w:val="true"/>
          <w:lang w:bidi="ar-SA"/>
        </w:rPr>
        <w:t>نظرا إلى ضعف يده و ولايته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وجه للتردّد، فإنّ أصل الولاية كاف في ذلك؛ و المعتبر هو تحقّق كونه تحت يد الواقف مضافا إلى ولايته على الموقوف عليه، فيكون يده كيده؛ و لا يظهر لضعف اليد و قوّتها أثر في ذلك</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المسألة بعد ثبوت الولاية كما لا إشكال في كفاية قبضه عنهم في الوقف من الحبس و الهبة و غيرهما؛ و من أقوى طرق تنقيح المسألة ملاحظة الأشباه و النظائر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280513_3650668749"/>
      <w:bookmarkStart w:id="59" w:name="_Toc23"/>
      <w:bookmarkEnd w:id="58"/>
      <w:r>
        <w:rPr>
          <w:rtl w:val="true"/>
        </w:rPr>
        <w:t>المقام الثامن عشر</w:t>
      </w:r>
      <w:r>
        <w:rPr>
          <w:rtl w:val="true"/>
        </w:rPr>
        <w:t>: [</w:t>
      </w:r>
      <w:r>
        <w:rPr>
          <w:rtl w:val="true"/>
        </w:rPr>
        <w:t>وقف العين المستأجرة</w:t>
      </w:r>
      <w:r>
        <w:rPr>
          <w:rtl w:val="true"/>
        </w:rPr>
        <w:t>]</w:t>
      </w:r>
      <w:bookmarkEnd w:id="59"/>
    </w:p>
    <w:p>
      <w:pPr>
        <w:pStyle w:val="BookText"/>
        <w:rPr/>
      </w:pPr>
      <w:r>
        <w:rPr>
          <w:rFonts w:ascii="Amiri" w:hAnsi="Amiri" w:eastAsia="Amiri" w:cs="Amiri"/>
          <w:color w:val="111111"/>
          <w:sz w:val="28"/>
          <w:sz w:val="28"/>
          <w:szCs w:val="28"/>
          <w:rtl w:val="true"/>
          <w:lang w:bidi="ar-SA"/>
        </w:rPr>
        <w:t>صرّح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يجوز وقف الدار المستأجرة و لا الموصى بخدمته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المستأجر و لا الموصى بخدمته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بعض شرّاح عبارة المصنّف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تحتمل أن يريد بها عدم صحّة وقفه من المالك؛ لكنّه يشكل بأنّه لا يقع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أنّه لا يتمّ إلّا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بها عدم صحّة الوقف من المستأجر، لأنّه ليس بمالك العين فلا يملك نقلها و لا حبسها و المنافع لا يتصوّر فيها مع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العبارة على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دعوى صراحتها كما عن النراقي</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آجر أرضه ثمّ وقفها فعند الشافعيّة يصحّ</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عندنا فإن أقبضه بإذن المستأجر فلا بأس، و إلّا لم يصحّ القبض و لا لزوم الوقف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 السادة من أعاظم الفقهاء قد قاربنا عصر جنابه </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تحقّق الملك في وقف العين المؤجرة يقتضي التفصيل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وقف العين المؤجرة يتصوّر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يقفها على المستأجر؛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يقفها على مصلحة مثلا لكن فوّض تولية الوقف إلى المستأجر؛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الثاني لكن فوّض توليته إلى نفسه؛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يقفها على غير المستأجر و لم يجعله متولّيا أيضا لكن أقبضها إليه بعد انقضاء مدّة الإجارة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يقفها على مصلحة و فوّض أمر التولية إلى عمرو و أقبضها إيّاه بعد انقضاء الإجارة؛</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يقفها على الموقوف عليه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يتحقّق الإقباض إليه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صحّة الوقف و لزومه ممّا لا ينبغي الإشكال فيه في غير السادس من الأقسام الخمسة المذكورة، لوجود المقتضي و انتقاء المانع</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شمول كلامه ساير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كوقف المستأجر و الوقف على الفقراء و 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تماميّة أكثر ما ذكره في الأقسام؛ فلا بأس بالإشارة إلى كلّ واحد منها مع التعرّض للصحّة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الوقف على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مسألة المأذون و المستعير و الودعي؛ و قد عرفت الإشكال في كفاية القبض السابق لعموم أدلّة اشتراط القبض عرفا، بل لا بدّ من القبض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لوجود المقتضي و 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 المقتضي لظهور الحال فيه بعد الاطّلاع بما بينّاه في أوائل البحث يغني عن التكلّم في إظهاره؛ و أمّا انتقاء المانع في الأوّل فلوضوح أنّه لا مانع إلّا انتفاء الإقباض من الواقف بعد الوقف، لكنّه غير مضرّ، لأنّ شرطيّة الإقباض إنّما تثبت إذا لم يكن الموقوف تحت يد الموقوف عليه الّذي ينبغي تسليم الوقف إليه، لأنّه الظاهر من الأدلّة الدالّة على اعتبار القبض فيه؛ فلاحظ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 حتّى يموت فهو ميراث</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مقبولة عبيد بن زرارة </w:t>
      </w:r>
      <w:r>
        <w:rPr>
          <w:rStyle w:val="FootnoteAnchor"/>
          <w:rtl w:val="true"/>
        </w:rPr>
        <w:footnoteReference w:id="120"/>
      </w:r>
      <w:r>
        <w:rPr>
          <w:rFonts w:ascii="Amiri" w:hAnsi="Amiri" w:eastAsia="Amiri" w:cs="Amiri"/>
          <w:color w:val="111111"/>
          <w:sz w:val="28"/>
          <w:sz w:val="28"/>
          <w:szCs w:val="28"/>
          <w:rtl w:val="true"/>
          <w:lang w:bidi="ar-SA"/>
        </w:rPr>
        <w:t>و كذا في ذيل صحيحة 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كبارا و لم يسلّمها إليهم و لم يخاصموا حتّى</w:t>
      </w:r>
    </w:p>
    <w:p>
      <w:pPr>
        <w:pStyle w:val="BookText"/>
        <w:rPr/>
      </w:pPr>
      <w:r>
        <w:rPr>
          <w:rFonts w:ascii="Amiri" w:hAnsi="Amiri" w:eastAsia="Amiri" w:cs="Amiri"/>
          <w:color w:val="111111"/>
          <w:sz w:val="28"/>
          <w:sz w:val="28"/>
          <w:szCs w:val="28"/>
          <w:rtl w:val="true"/>
          <w:lang w:bidi="ar-SA"/>
        </w:rPr>
        <w:t>يحوزها عنه فله أن يرجع فيها، لأنّهم لا يحوزونها عنه و قد بلغوا</w:t>
      </w:r>
      <w:r>
        <w:rPr>
          <w:rFonts w:eastAsia="Amiri" w:cs="Amiri" w:ascii="Amiri" w:hAnsi="Amiri"/>
          <w:color w:val="111111"/>
          <w:sz w:val="28"/>
          <w:szCs w:val="28"/>
          <w:rtl w:val="true"/>
          <w:lang w:bidi="ar-SA"/>
        </w:rPr>
        <w:t>»</w:t>
      </w:r>
    </w:p>
    <w:p>
      <w:pPr>
        <w:pStyle w:val="BookText"/>
        <w:rPr/>
      </w:pP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الحال في رواية كمال الدين؛ و الإجماعات المنقولة؛ و كلمات الأجلّة؛ مضافا إلى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التعليل في صحيحة محمّد بن مسلم و غيرها أنّ الإقباض إنّما هو ليدخل الموقوف تحت يد الموقوف عليه و في تصرّفه، و إذا كان حاصلا سقط اعتبار حصوله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الجواب عنه؛ فلا نطيل بالإعادة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المتن و لكن يقتضيه السياق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راجع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هذا المجال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لآية اللّه السيّد مصطفى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المسألة الحادية عشر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خيارات اللمعة، للشيخ علي كاشف الغطاء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السبزواري في جامع الخلاف و 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في المختلف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قطان الحلّي في معالم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الأنصاري في المكاسب المحرّمة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 المذكورين في المتن، راجع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عبارة المولى أحمد بن محمّد مهدي المعروف بالفاضل النراقي المتوفى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العلامة الفقيه السيّد محمّد باقر حجة الاسلام الشفتى في رسالته في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مؤسسة النشر الإسلامى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الفقيه الشيخ محمّد حسن النجفى صاحب الجواهر، راجع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ثاني الموارد حسب تجزئة 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 الأخير لبيت عجزه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 يدّعي وصلا بليلى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الفائدة الثالثة من فوائده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كان الأقوى على ما حقّق في محلّه هو حجيّة سائر المراتب الفاقدة بعد الصون عن القطع و الإرسال و الإضمار في الجملة من الصحيح عند المشهور و الصحّى مشدّدا و مخفّفا و الحسن و القوى و الموثق و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بالصحى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مشددا و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عندي يعنى 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جدير بالذكر أنّ للمؤلّف المحقّق رسالة صغيرة فى مباحث شتّى الرجالية و الفقهية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بالفوائد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ستطبع في هذه المجموعة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وضع هذا الاصطلاح فيما نعلم هو الشيخ حسن صاحب المعالم في منتقى الجمان؛ و لمزيد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الثالث من رسالة المحقّق أبي المعالي الكلباسي في تزكية الرواة من أهل الرجال، و إليك نصّه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يصحّ وقف ما لا يمكن إقباضه كالعبد الآبق و الجمل الشارد لتعذّر التسليم، و هو شرط فى الوقف عندنا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مكتب الإعلام الإسلامى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الوقوف و الصدقات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التذكرة، راجع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راجع جواهر الكلام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تمسّك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بإطلاق كلام العلّامة في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التمسك بالمعتبرة القطعية أيضا على الصحّة كما 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عفى عنه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فى 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للسيّد محمّد مهدي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ابتناء البحث على كون القبض في الأفعال الخارجيّة أو المرتبطة بالأمور القلبيّة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عفى عنه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تأمّل عندي فإنّهما و حاصلان عن الحاجة إليهما كما هو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عفي عنه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المحتمل أنّه هو العلّامة الفقيه الشيخ محمّد باقر النجفي الأصفهاني المتوفّى عام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من تلاميذ شيخنا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أيضا من أساتيد المصنّف الفقيه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الوقوف و الصدقات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مؤسسة آل البيت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الحلّي في الشرائع و العلّامة الحلّي في التحرير راجع شرايع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الكركي في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السيّد محمّد باقر حجة الإسلام الشفتي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الفقيه المحقّق السيّد محمّد باقر المعروف بحجّة الإسلام الشفتي المتوفّى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الوقف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بتحقيق سماحة الدكتور السيّد احمد التويسركاني من منشورات أسوة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الشفتى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6787</Words>
  <Characters>27704</Characters>
  <CharactersWithSpaces>34283</CharactersWithSpaces>
  <Paragraphs>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2026-08-16T19:38:19Z</dcterms:created>
  <dc:creator>ghaemiyeh.com</dc:creator>
  <dc:description/>
  <dc:language>en-US</dc:language>
  <cp:lastModifiedBy/>
  <dcterms:modified xsi:type="dcterms:W3CDTF">2026-08-16T23:08:21Z</dcterms:modified>
  <cp:revision>1</cp:revision>
  <dc:subject/>
  <dc:title>قبض الوقف</dc:title>
</cp:coreProperties>
</file>

<file path=docProps/custom.xml><?xml version="1.0" encoding="utf-8"?>
<Properties xmlns="http://schemas.openxmlformats.org/officeDocument/2006/custom-properties" xmlns:vt="http://schemas.openxmlformats.org/officeDocument/2006/docPropsVTypes"/>
</file>