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حاشیه علی رساله فی قاعده من ملک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4419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34421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34423_3650668749">
            <w:r>
              <w:rPr>
                <w:webHidden/>
                <w:rStyle w:val="IndexLink"/>
                <w:rtl w:val="true"/>
              </w:rPr>
              <w:t>[</w:t>
            </w:r>
            <w:r>
              <w:rPr>
                <w:rStyle w:val="IndexLink"/>
                <w:rtl w:val="true"/>
              </w:rPr>
              <w:t>في بيان معنى ملك الشي‌ء و محتملاته و بيان مدرك هذه القاعدة</w:t>
            </w:r>
            <w:r>
              <w:rPr>
                <w:rStyle w:val="IndexLink"/>
                <w:rtl w:val="true"/>
              </w:rPr>
              <w:t>]</w:t>
              <w:tab/>
            </w:r>
            <w:r>
              <w:rPr>
                <w:rStyle w:val="IndexLink"/>
              </w:rPr>
              <w:t>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6_22548"/>
      <w:bookmarkStart w:id="1" w:name="pg1896_22548"/>
      <w:bookmarkEnd w:id="1"/>
    </w:p>
    <w:p>
      <w:pPr>
        <w:pStyle w:val="Heading2"/>
        <w:numPr>
          <w:ilvl w:val="1"/>
          <w:numId w:val="1"/>
        </w:numPr>
        <w:rPr/>
      </w:pPr>
      <w:bookmarkStart w:id="2" w:name="pg1896_22548"/>
      <w:bookmarkStart w:id="3" w:name="__RefHeading___Toc3234419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رسالة في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ملك شيئا ملك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مامقانى، ملا عبد اللّٰه بن محمد حسن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الذخائر الإسلامية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حاشيه ايست بر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ملك شيئا ملك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رحمه الله كه در آخر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المقال في تكملة غاية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گرديده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4421_3650668749"/>
      <w:bookmarkStart w:id="6" w:name="_Toc2"/>
      <w:bookmarkEnd w:id="5"/>
      <w:r>
        <w:rPr>
          <w:rtl w:val="true"/>
        </w:rPr>
        <w:t>اشارة</w:t>
      </w:r>
      <w:bookmarkStart w:id="7" w:name="pg1896_23142"/>
      <w:bookmarkEnd w:id="6"/>
    </w:p>
    <w:p>
      <w:pPr>
        <w:pStyle w:val="Heading2"/>
        <w:numPr>
          <w:ilvl w:val="1"/>
          <w:numId w:val="1"/>
        </w:numPr>
        <w:rPr/>
      </w:pPr>
      <w:bookmarkStart w:id="8" w:name="__RefHeading___Toc3234423_3650668749"/>
      <w:bookmarkStart w:id="9" w:name="_Toc3"/>
      <w:bookmarkEnd w:id="7"/>
      <w:bookmarkEnd w:id="8"/>
      <w:r>
        <w:rPr>
          <w:rtl w:val="true"/>
        </w:rPr>
        <w:t>[</w:t>
      </w:r>
      <w:r>
        <w:rPr>
          <w:rtl w:val="true"/>
        </w:rPr>
        <w:t>في بيان معنى ملك الشي‌ء و محتملاته و بيان مدرك هذه القاعدة</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قاعدة من ملك شيئا ملك الإقرار به</w:t>
      </w:r>
    </w:p>
    <w:p>
      <w:pPr>
        <w:pStyle w:val="BookText"/>
        <w:rPr/>
      </w:pPr>
      <w:r>
        <w:rPr>
          <w:rFonts w:ascii="Amiri" w:hAnsi="Amiri" w:eastAsia="Amiri" w:cs="Amiri"/>
          <w:color w:val="111111"/>
          <w:sz w:val="28"/>
          <w:sz w:val="28"/>
          <w:szCs w:val="28"/>
          <w:rtl w:val="true"/>
          <w:lang w:bidi="ar-SA"/>
        </w:rPr>
        <w:t xml:space="preserve">قوله طاب ثراه قال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انّه قال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النّسبة في محلّها و كلمة قال في المتن مكرّرة و قد كان ينبغي ان يبدل الثّاني بقوله ما لفظه أو ما نصّه و كلمة قبض منه من سهو النّاسخ و الصّحيح قضى منه</w:t>
      </w:r>
    </w:p>
    <w:p>
      <w:pPr>
        <w:pStyle w:val="BookText"/>
        <w:rPr/>
      </w:pPr>
      <w:r>
        <w:rPr>
          <w:rFonts w:ascii="Amiri" w:hAnsi="Amiri" w:eastAsia="Amiri" w:cs="Amiri"/>
          <w:color w:val="111111"/>
          <w:sz w:val="28"/>
          <w:sz w:val="28"/>
          <w:szCs w:val="28"/>
          <w:rtl w:val="true"/>
          <w:lang w:bidi="ar-SA"/>
        </w:rPr>
        <w:t xml:space="preserve">قوله طاب ثراه و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العبارة موجودة في الشّرائع لكن الموجود فيه قبل بدل صحّ و لعلّ تبديله به سهو من النّاسخ و مثل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التمسّك بالقاعدة و إرسالها إرسال المسلّم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انّما قبل إقرار المأذون في التجارة لأنّ تصرّفه نافذ فيما اذن له فيه منها فينفذ إقراره بما يتعلّق بها لانّ من ملك شيئا ملك الإقرار به انتهى</w:t>
      </w:r>
    </w:p>
    <w:p>
      <w:pPr>
        <w:pStyle w:val="BookText"/>
        <w:rPr/>
      </w:pPr>
      <w:r>
        <w:rPr>
          <w:rFonts w:ascii="Amiri" w:hAnsi="Amiri" w:eastAsia="Amiri" w:cs="Amiri"/>
          <w:color w:val="111111"/>
          <w:sz w:val="28"/>
          <w:sz w:val="28"/>
          <w:szCs w:val="28"/>
          <w:rtl w:val="true"/>
          <w:lang w:bidi="ar-SA"/>
        </w:rPr>
        <w:t xml:space="preserve">قوله طاب ثراه و قد استدلّ على تقديم قول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الفاعل يرجع الى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 كتاب الوكالة ما لفظه إذا ادّعى الوكيل التصرّف و أنكر الموكّل مثل ان يقول بعت أو قبضت قيل القول قول الوكيل لأنّه أقرّ بما له ان يفعله و لو قيل القول قول الموكّل أمكن لكن الأوّل أشبه انتهى و وجه استشهاد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أنّه علّل تقديم قول الوكيل بصغرى طوى معها كبرى كلّية هي انّ من ملك شيئا ملك الإقرار به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ان يختلفا في التصرّف كان يقول تصرّفت كما أذنت في بيع أو عتق فيقول الموكّل لم تتصرّف بعد فالأقرب تقديم قول الوكيل لأنّه أمين و قادر على الإنشاء و التصرّف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و نحوه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في تلك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العبد مأذونا في التّجارة فأقرّ بما يتعلّق بها قبل و يؤخذ ما أقر به ممّا في يده انتهى و ليت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بعبارة القواعد الّتي قبل ذلك بيسير و قد ساقها مساق تأسيس الأصل حيث قال الثّاني المقرّ و هو قسمان مطلق و محجور فالمطلق ينفذ إقراره بكلّ ما يقدر على إنشائه انتهى و في موضع ثالث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إقرار المكاتب بالبيع و الشّراء و العين و الدّين لانّه يملكه في ملك الإقرار به انتهى و في رابع إذا أقرّ بائع العبد بغصبه من أخر فإن كان إقراره في مدّة الخيار انفسخ البيع لأنه يملك فسخه فيقبل إقراره بما يفسخه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وافقه على ذلك المحقّق الكركي في شرحه و قال في موضع خامس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أي الزّوج بالرّجوع في العدّة قبل قوله لأنه يملك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يملك التصرّف في شي‌ء ينفذ إقراره به فيه كالعبد المأذون له في التجارة إذا أقرّ بما يتعلّق بها انتهى</w:t>
      </w:r>
    </w:p>
    <w:p>
      <w:pPr>
        <w:pStyle w:val="BookText"/>
        <w:rPr/>
      </w:pPr>
      <w:r>
        <w:rPr>
          <w:rFonts w:ascii="Amiri" w:hAnsi="Amiri" w:eastAsia="Amiri" w:cs="Amiri"/>
          <w:color w:val="111111"/>
          <w:sz w:val="28"/>
          <w:sz w:val="28"/>
          <w:szCs w:val="28"/>
          <w:rtl w:val="true"/>
          <w:lang w:bidi="ar-SA"/>
        </w:rPr>
        <w:t xml:space="preserve">قوله طاب ثراه و صرّح في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لو أقرّ المسلم بأمان المشرك فإن كان في وقت يصحّ منه إنشاء الأمان صحّ إقراره و قبل منه إجماعا و إن كان في وقت لا يصحّ منه إنشاؤه كما لو أقرّ بعد الأسر لم يقبل قوله الّا ان يقوم بيّنة بأمانة قبل الأسر انتهى ولي في استشهاد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لمطلوبه نظر فانّ قبول إقراره في الشّق الأوّل ليس من حيث كونه إقرار مالك الأمر و الّا للزم قبوله فيما لو أقرّ بعد الأسر بالأمان بل من حيث كون الإقرار بالأمان في وقت يصحّ فيه إنشاء الأمان إنشاء للأمان بعد عدم لفظ خاصّ فيه فالتفصيل بين وقت يصحّ فيه الأمان و ما بعده أقوى شاهد على عدم كون ما ذكره من فروع القاعدة نعم تمسّك بالقاعدة مرسلا لها إرسال المسلّم في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بأوراق حيث قال في طيّ الكلام على الحميل الّذي يجلب من بلاد الشرك ما لفظه فإذا أخذ الطّفل من بلاد الشرك كان رقيقا فإذا أعتقه السّابي نفذ عتقه قاله الشّافعي و يثبت له الولاء عليه فان أقرّ هذا المعتق بنسب نظرت فان اعترف بنسب أب أو جدّ أو أخ أو ابن عمّ لم يقبل منه الّا ببيّنة لأنّه يبطل حقّ المولى من الولاء و هو حسن فإن أقرّ بولد ففيه ثلثة أوجه أحدها لا يقبل إقراره لما تقدّم و الثّاني يقبل لانّه يملك ان يستولد فيملك الإقرار بالولد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يكشف عن كون قبول إقراره بالأمان مبنيّا على القاعدة حيث قال فإن أقرّ مسلم انّه كان أمن هذا الأسير قبل الأسر لم يقبل منه لانّه لا يملك عقد الأمان في هذا الحال فلا يملك الإقرار به انتهى فانّ التّعليل يكشف عن انّ قبول إقراره قبل الأسر بالأمان انّما هو للقاعدة</w:t>
      </w:r>
    </w:p>
    <w:p>
      <w:pPr>
        <w:pStyle w:val="BookText"/>
        <w:rPr/>
      </w:pPr>
      <w:r>
        <w:rPr>
          <w:rFonts w:ascii="Amiri" w:hAnsi="Amiri" w:eastAsia="Amiri" w:cs="Amiri"/>
          <w:color w:val="111111"/>
          <w:sz w:val="28"/>
          <w:sz w:val="28"/>
          <w:szCs w:val="28"/>
          <w:rtl w:val="true"/>
          <w:lang w:bidi="ar-SA"/>
        </w:rPr>
        <w:t xml:space="preserve">قوله طاب ثراه على ما يظهر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يلوح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سينقل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استظهر منها ذلك و امّا عبارة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استلوح منها ذلك فهي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اختلفا يعنى الوكيل و الموكّل في التصرّف فادّعى الوكيل التصرّف مثل ان يقول بعت المال الّذي وكّلتني في بيعه فينكر الموكّل و يقول ما بعته بعد أو يصدّقه في البيع و يكذّبه في قبض الثمن و الوكيل يدّعى القبض قيل فيه قولان أحدهما انّ القول قول الوكيل لانّه يملك هذا العقد و القبض فاذا ادّعى ذلك كان القول قوله كما لو ادّعى الأب تزويج بنته الكبيرة فأنكرت البكر كان القول قوله سواء ادّعى تزويجها قبل بلوغها أو بعد و الثّاني انّ القول قول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افتى بقبول قول الأب في تزويج ابنته فإنّه بملاحظة ما أثبته في كتاب النّكاح من الولاية الإجباريّة للأب و الجدّ على البكر الرّشيد للنصّ يتمّ استلوح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طاب ثراه نعم تأمّل فيه جامع المقاصد على ما سيأتي</w:t>
      </w:r>
    </w:p>
    <w:p>
      <w:pPr>
        <w:pStyle w:val="BookText"/>
        <w:rPr/>
      </w:pPr>
      <w:r>
        <w:rPr>
          <w:rFonts w:ascii="Amiri" w:hAnsi="Amiri" w:eastAsia="Amiri" w:cs="Amiri"/>
          <w:color w:val="111111"/>
          <w:sz w:val="28"/>
          <w:sz w:val="28"/>
          <w:szCs w:val="28"/>
          <w:rtl w:val="true"/>
          <w:lang w:bidi="ar-SA"/>
        </w:rPr>
        <w:t xml:space="preserve">الظّاهر سقوط كلمة في قبل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التأمّل وقع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ان يكون بإسقاط كلمة في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مسامحة في التعبير و تأتي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للتأمّل بعد ورقة في شرح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للوليّ زوّجت 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العبارة الّتي قال انّها ظاهرة في عدم الخلاف بين الخاصّة و العامة في قبول قول المولّى الإجباري عليها في النّكاح و الوجه امّا في إذعان الخاصّة بذلك فهو تعليله عدم قبول إقراره عندنا بعدم الولاية الإجباريّة عليها و لازمه نفوذ إقراره على من له عليها ولاية إجباريّة و انّما قيدنا الولاية بالإجباريّة لانّ فرضه العبارة فيمن له ولاية الظّاهر بقرينة التعليل في الولاية الغير الإجباريّة و امّا في إذعان العامّة بذلك فهو تعليقهم نفوذ إقراره عليها على ولايته الإجباريّة فيدور النّفوذ مدارها ثمَّ انّ العبارة الّتي نقلها فيها تغيير يسير مع ما في النّسخة المعتبرة من جهات فمنها وجود كلمة عنها بعد كلمة لانتفاء الولاية و منها حتّى تساعده البالغة بدل حتّى يساعدها المرية و منها بما وكّل فيه بدل بما هو وكيل فيه و منها زيارة إقراره عليها بعد لم يقبل في أخر العبارة</w:t>
      </w:r>
    </w:p>
    <w:p>
      <w:pPr>
        <w:pStyle w:val="BookText"/>
        <w:rPr/>
      </w:pPr>
      <w:r>
        <w:rPr>
          <w:rFonts w:ascii="Amiri" w:hAnsi="Amiri" w:eastAsia="Amiri" w:cs="Amiri"/>
          <w:color w:val="111111"/>
          <w:sz w:val="28"/>
          <w:sz w:val="28"/>
          <w:szCs w:val="28"/>
          <w:rtl w:val="true"/>
          <w:lang w:bidi="ar-SA"/>
        </w:rPr>
        <w:t xml:space="preserve">قوله طاب ثراه و يظهر منه الجزم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فروع دعوى اثنين العقد على المرية ما لفظه مسئلة لو ادّعيا على الوليّ السّبق فان لم يكن مجبرا لم تسمع الدّعوى عليه و لم يحلف لانّه لو أقرّ لم يقبل إقراره كالأخ و العمّ و الوكيل و إن كان مجبرا كالأب و الجدّ له فالوجه سماع الدّعوى عليه لأنّ إقراره مقبول و من يقبل إقراره تتوجّه بالدّعوى عليه اليمين و هو أظهر انتهى المهمّ ممّا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فيما عزاه اليه</w:t>
      </w:r>
    </w:p>
    <w:p>
      <w:pPr>
        <w:pStyle w:val="BookText"/>
        <w:rPr/>
      </w:pPr>
      <w:r>
        <w:rPr>
          <w:rFonts w:ascii="Amiri" w:hAnsi="Amiri" w:eastAsia="Amiri" w:cs="Amiri"/>
          <w:color w:val="111111"/>
          <w:sz w:val="28"/>
          <w:sz w:val="28"/>
          <w:szCs w:val="28"/>
          <w:rtl w:val="true"/>
          <w:lang w:bidi="ar-SA"/>
        </w:rPr>
        <w:t xml:space="preserve">قوله طاب ثراه فنقول انّ المراد بملك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الشيخ أسد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فقرات القاعدة ما لفظه انّما اعتبر كون الشي‌ء مملوكه لوقوع الإشكال أو الخلاف النّادر في بعض أقسام المملوك كتصرّف غير الأب و الجدّ من الأولياء و الوكيل و المأذون و المراد</w:t>
      </w:r>
    </w:p>
    <w:p>
      <w:pPr>
        <w:pStyle w:val="BookText"/>
        <w:rPr/>
      </w:pPr>
      <w:r>
        <w:rPr>
          <w:rFonts w:ascii="Amiri" w:hAnsi="Amiri" w:eastAsia="Amiri" w:cs="Amiri"/>
          <w:color w:val="111111"/>
          <w:sz w:val="28"/>
          <w:sz w:val="28"/>
          <w:szCs w:val="28"/>
          <w:rtl w:val="true"/>
          <w:lang w:bidi="ar-SA"/>
        </w:rPr>
        <w:t>بالشّي‌ء حيث أخذ قيدا للتصرّف ما يعمّ الأعيان الموجودة في الخارج و المجعولة في الذمّة و كذا المنافع و الحقوق غير التصرّف الى ان قال و التصرّف أعمّ من القولي و الفعليّ و المراد بالملك أوّلا هو ما يحكم به ظاهرا بمقتضى سببه و ان حكم بعد الإقرار بخلافه في بعض صوره و المراد بملك الإقرار بالتصرّف هو تسلّطه على الإقرار بفعله و نفوذه فيه كنفوذ نفس التصرّف و بملك الإقرار بأصل الشي‌ء من الأعيان و نحوها هو تسلّطه على الإقرار به لغيره و نفوذه فيه كنفوذ نفس الملك المحكوم به ظاهرا هذا ما أهمّنا من كلامه علا مقامه</w:t>
      </w:r>
    </w:p>
    <w:p>
      <w:pPr>
        <w:pStyle w:val="BookText"/>
        <w:rPr/>
      </w:pPr>
      <w:r>
        <w:rPr>
          <w:rFonts w:ascii="Amiri" w:hAnsi="Amiri" w:eastAsia="Amiri" w:cs="Amiri"/>
          <w:color w:val="111111"/>
          <w:sz w:val="28"/>
          <w:sz w:val="28"/>
          <w:szCs w:val="28"/>
          <w:rtl w:val="true"/>
          <w:lang w:bidi="ar-SA"/>
        </w:rPr>
        <w:t xml:space="preserve">قوله طاب ثراه نعم يملك بعض التصرّفات الماليّة مثل الوصيّة و الوقف و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ممّا ذهب اليه جمع من أصحابنا فيمن بلغ عشرا للنصّ الوارد بذلك و مثل الثلاثة عتقه لكنّا قد أوضحنا في وقف منتهى المقاصد عدم الإذعان بذلك في وقفه و صدقته و عتقه وفاقا للأكثر لقصور ما نطق بذلك لضعف السّند و اختلاف المدّة من العشر و الثّمان و نحوهما عن تقييد ما دلّ من الإجماع و النّص على رفع القلم عن الصّبي حتّى يحتلم نعم وافقنا في وصيّة المنتهى أكثر الأصحاب في إنفاذ وصيّة من بلغ عشرا مع كونه بصيرا و كون وصيّته في وجوه البرّ لأقاربه للنّصوص المعتبرة سندا الواضحة دلالة المخالفة لعمدة من يتّقى منه و هو أبو حنيفة فراجع المسئلتين في الموضعين حتّى تتبيّن لك حقيقة الحال</w:t>
      </w:r>
    </w:p>
    <w:p>
      <w:pPr>
        <w:pStyle w:val="BookText"/>
        <w:rPr/>
      </w:pPr>
      <w:r>
        <w:rPr>
          <w:rFonts w:ascii="Amiri" w:hAnsi="Amiri" w:eastAsia="Amiri" w:cs="Amiri"/>
          <w:color w:val="111111"/>
          <w:sz w:val="28"/>
          <w:sz w:val="28"/>
          <w:szCs w:val="28"/>
          <w:rtl w:val="true"/>
          <w:lang w:bidi="ar-SA"/>
        </w:rPr>
        <w:t xml:space="preserve">قوله طاب ثراه و لهذا أطبقوا على الاستناد إليها في صحّة إقرار الصّغير بالأمور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الإطباق غير ثابت لأنّ أصل نفوذ وصيّته محلّ خلاف فكيف يكون نفوذ إقراره بها متّفقا عليه الّا ان يريد اتّفاق القائلين بنفوذ الأمور المذكورة منه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 فانّ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إذعانه بنفوذ وصيّته إذا بلغ عشرا في وجوه البرّ لأقاربه تأمّل في كتاب الإقرار في نفوذ إقراره بالوصيّة حيث قال في شرح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و الصّبي لا يقبل إقراره و لو كان بإذن وليّه امّا لو أقرّ بما له فعله كالوصيّة صحّ ما لفظه على ما صرّح به غير واحد لقاعدة من ملك شيئا ملك الإقرار به الّتي طفحت بها عباراتهم بل صريح بعضهم انّه لا خلاف فيها عندهم و انّه لا ينبغي ان يقع و إن كان لنا فيه اشكال فيما زاد على مقتضى قوله عليه السّلام إقرار العقلاء على أنفسهم جائز و نحوه ممّا سمعته في محلّه و منه ما نحن فيه ضرورة عدم التلازم بين جواز وصيّته بذلك و جواز إقراره به و لعلّه لذا قال الكركيّ في حاشية لا يصحّ انتهى ما في الجواهر نعم صريح جمع منهم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المراد ثبوت الملازمة المذكورة فإنه قال في غاية المراد في حكم إقرار الصّبي بالوصيّة في المعروف ما ملخّصه ان كلّ من جوّز وصيّته في ذلك جوّز إقراره بها و من منع منع من الإقرار ضرورة ان تنفيذ الإقرار بالشي‌ء فرع جواز التصرّف في ذلك الشي‌ء انتهى ملخّصا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جوّزنا وصيّته بالمعروف جوّزنا إقراره بها لانّ كلّ من ملك شيئا ملك الإقرار به و نحوه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المرام لو جوّزنا وصيّة الصّبي في المعروف جوّزنا إقراره بها لان كلّ من ملك شيئا ملك الإقرار به 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إقرار الصّبي بما ليس فعله و ان اذن له الوليّ و لو سوّغنا له الوصيّة و الصّدقة و الوقف قبل إقراره فيها انتهى لكن لا يخفى عليك انّه ينافي ما ادّعاه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الاتفاق ما يأتي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صفحة من أخر الرّسالة من نقل إنكار قبول إقرار الصّبي في وصيّته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تأمّله فيما يأتي في دلالة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الإنكار يأتي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ثمَّ التسلّط على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في الأعميّة ظاهر لما عرفت من عبائر المستدلّين بالقاعدة في صورة الوكالة و الولاية فلا تختصّ بالأصالة بعد كون مستندها عند القائل بها إرسال هؤلاء لها إرسال المسلّمات</w:t>
      </w:r>
    </w:p>
    <w:p>
      <w:pPr>
        <w:pStyle w:val="BookText"/>
        <w:rPr/>
      </w:pPr>
      <w:r>
        <w:rPr>
          <w:rFonts w:ascii="Amiri" w:hAnsi="Amiri" w:eastAsia="Amiri" w:cs="Amiri"/>
          <w:color w:val="111111"/>
          <w:sz w:val="28"/>
          <w:sz w:val="28"/>
          <w:szCs w:val="28"/>
          <w:rtl w:val="true"/>
          <w:lang w:bidi="ar-SA"/>
        </w:rPr>
        <w:t xml:space="preserve">قوله طاب ثراه حيث اختار في الشرائع عدم قبول إقرار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 بعد إثبات الإرث كسائر الأصحاب لها إلى سنة من حين الطّلاق ما لم تتزوّج أو يبرئ من مرضه الّذي طلّقها فيه ما لفظه و لو قال طلّقت في الصّحة ثلثا قبل و لم ترثه و الوجه انّه لا يقبل بالنّسبة إليها انتهى و قد رجّحنا في طلاق المنتهى قبول قوله وفاقا للمبسوط و غيره ما لم تثبت هي وقوعه في المرض لكن لا من باب هذه القاعدة بل لوجه أخر ذكرناه هناك</w:t>
      </w:r>
    </w:p>
    <w:p>
      <w:pPr>
        <w:pStyle w:val="BookText"/>
        <w:rPr/>
      </w:pPr>
      <w:r>
        <w:rPr>
          <w:rFonts w:ascii="Amiri" w:hAnsi="Amiri" w:eastAsia="Amiri" w:cs="Amiri"/>
          <w:color w:val="111111"/>
          <w:sz w:val="28"/>
          <w:sz w:val="28"/>
          <w:szCs w:val="28"/>
          <w:rtl w:val="true"/>
          <w:lang w:bidi="ar-SA"/>
        </w:rPr>
        <w:t xml:space="preserve">قوله طاب ثراه و قد نصّ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في ذيل شرح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المزبورة في إقرار العبد المأذون ما لفظه و هل يشترط في نفوذه وقوع الإقرار حالة الإذن أم ينفذ فيه و ان وقع الإقرار بعد زواله وجهان أظهرهما الأوّل كما لو أقرّ الولي بتصرّف في مال المولّى عليه بعد زوال الولاية انتهى</w:t>
      </w:r>
    </w:p>
    <w:p>
      <w:pPr>
        <w:pStyle w:val="BookText"/>
        <w:rPr/>
      </w:pPr>
      <w:r>
        <w:rPr>
          <w:rFonts w:ascii="Amiri" w:hAnsi="Amiri" w:eastAsia="Amiri" w:cs="Amiri"/>
          <w:color w:val="111111"/>
          <w:sz w:val="28"/>
          <w:sz w:val="28"/>
          <w:szCs w:val="28"/>
          <w:rtl w:val="true"/>
          <w:lang w:bidi="ar-SA"/>
        </w:rPr>
        <w:t xml:space="preserve">قوله طاب ثراه كما عن نهاية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المرام العبد لو كان مأذونا في التجارة فأقرّ في حال الإذن بما يتعلّق بها قبل و كذا لو أقرّ بما له فعله كالطّلاق</w:t>
      </w:r>
    </w:p>
    <w:p>
      <w:pPr>
        <w:pStyle w:val="BookText"/>
        <w:rPr/>
      </w:pPr>
      <w:r>
        <w:rPr>
          <w:rFonts w:ascii="Amiri" w:hAnsi="Amiri" w:eastAsia="Amiri" w:cs="Amiri"/>
          <w:color w:val="111111"/>
          <w:sz w:val="28"/>
          <w:sz w:val="28"/>
          <w:szCs w:val="28"/>
          <w:rtl w:val="true"/>
          <w:lang w:bidi="ar-SA"/>
        </w:rPr>
        <w:t xml:space="preserve">قوله طاب ثراه بل هو صريحة في مسئلة الجهاد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بمسئلة الجهاد إقرار المسلم بأنه أمن الشرك قبل الأسر و قد أسبقنا نقل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فراجع</w:t>
      </w:r>
    </w:p>
    <w:p>
      <w:pPr>
        <w:pStyle w:val="BookText"/>
        <w:rPr/>
      </w:pPr>
      <w:r>
        <w:rPr>
          <w:rFonts w:ascii="Amiri" w:hAnsi="Amiri" w:eastAsia="Amiri" w:cs="Amiri"/>
          <w:color w:val="111111"/>
          <w:sz w:val="28"/>
          <w:sz w:val="28"/>
          <w:szCs w:val="28"/>
          <w:rtl w:val="true"/>
          <w:lang w:bidi="ar-SA"/>
        </w:rPr>
        <w:t xml:space="preserve">قوله طاب ثراه و ما سيأتي منه من عدم نفوذ إقرار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الإنصاف انّ ما يأتي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مناف لما هنا لانّ غرضه فيما يأتي ليس هو إنكار القاعدة بل إبداء عدم الحاجة إليها لأنّها بمنزلة الأصل الّذي لا يعارض الدّليل و ان شئت أوضح من ذلك قلنا انّ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يأتي من كلامه انه بعد حصول الرّجعة بإقراره ذلك لا حاجة الى إدراجه في عنوان الإقرار و التعلّق في نفوذه بالقاعدة فهو نظير ما لو أنكر الطّلاق حيث يجعل ذلك رجوعا و يستغنى عن جعله منكرا و ترتيب آثار الإنكار عليه فتدبّر جيّدا</w:t>
      </w:r>
    </w:p>
    <w:p>
      <w:pPr>
        <w:pStyle w:val="BookText"/>
        <w:rPr/>
      </w:pPr>
      <w:r>
        <w:rPr>
          <w:rFonts w:ascii="Amiri" w:hAnsi="Amiri" w:eastAsia="Amiri" w:cs="Amiri"/>
          <w:color w:val="111111"/>
          <w:sz w:val="28"/>
          <w:sz w:val="28"/>
          <w:szCs w:val="28"/>
          <w:rtl w:val="true"/>
          <w:lang w:bidi="ar-SA"/>
        </w:rPr>
        <w:t xml:space="preserve">قوله طاب ثراه فيحتمل 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الإنصاف غاية صعوبة الجزم بتعيّن شي‌ء من هذه الاحتمالات لعدم كون مستند القاعدة رواية يستفاد المراد من لفظها بالقرائن و انّما مستندها كلمات الأصحاب و هي بعد اختلافها لا يكون ظاهر كلام كلّ واحد منهم حجّة في تميز شي‌ء من الاحتمالات</w:t>
      </w:r>
    </w:p>
    <w:p>
      <w:pPr>
        <w:pStyle w:val="BookText"/>
        <w:rPr/>
      </w:pPr>
      <w:r>
        <w:rPr>
          <w:rFonts w:ascii="Amiri" w:hAnsi="Amiri" w:eastAsia="Amiri" w:cs="Amiri"/>
          <w:color w:val="111111"/>
          <w:sz w:val="28"/>
          <w:sz w:val="28"/>
          <w:szCs w:val="28"/>
          <w:rtl w:val="true"/>
          <w:lang w:bidi="ar-SA"/>
        </w:rPr>
        <w:t xml:space="preserve">قوله طاب ثراه و بهذا يجمع بين حكمي المحقّق 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مرّت عباراتهما في تقديم قول الوكيل فيما إذا ادّعى على الموكّل إتيان ما وكّل فيه و امّا عبارتهما في تقديم قول الموكّل فيما إذا ادّعى الوكيل شراء العبد بمائة فهي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بعد تلك المسئلة بثلث مسائل السّادسة إذا وكّله في ابتياع عبد فاشترى بمائة فقال الموكّل اشتريته بثمانين فالقول قول الوكيل لأنّه مؤتمن و لو قيل القول قول الموكّل كان أشبه لأنّه غارم 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اشتريت بمائة فقال الموكّل بخمسين احتمل تقديم قول الوكيل لأنّه أمين و الموكّل لانّه غارم و الوكيل إن كان الشراء بالعين لانّه غارم ما زاد على الخمسين و الموكّل إن كان الشراء في الذمّة لأنّه الغارم انتهى و وجه التّنافي بين هاتين العبارتين و عبارتيهما المزبورتين ظاهر حيث قدّما هناك قول الوكيل و هنا قول الموكّل و وجه الجمع انّ نزاعهما في العبارة المزبورة انّما هو فيما وقع بينهما و هنا فيما يرجع الى ثالث كما نبّه عليه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معنى ذلك انّ الوكيل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قد بيّنا في وكالة منتهى المقاصد ان الأقرب هو تقديم قول الوكيل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تدبّر جيّدا</w:t>
      </w:r>
    </w:p>
    <w:p>
      <w:pPr>
        <w:pStyle w:val="BookText"/>
        <w:rPr/>
      </w:pPr>
      <w:r>
        <w:rPr>
          <w:rFonts w:ascii="Amiri" w:hAnsi="Amiri" w:eastAsia="Amiri" w:cs="Amiri"/>
          <w:color w:val="111111"/>
          <w:sz w:val="28"/>
          <w:sz w:val="28"/>
          <w:szCs w:val="28"/>
          <w:rtl w:val="true"/>
          <w:lang w:bidi="ar-SA"/>
        </w:rPr>
        <w:t xml:space="preserve">قوله طاب ثراه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من نقل هذه العبارة الاستشهاد بها على انّ المراد بقبول إقرار الوكيل بالنّسبة إلى الأصيل انّما هو فيما كان مرجع النزاع إليهما لا ما لو رجع النزاع الى ثالث و محلّ الشّاهد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العبارة و يخالف المسئلة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طاب ثراه لكن المحقّق</w:t>
      </w:r>
    </w:p>
    <w:p>
      <w:pPr>
        <w:pStyle w:val="BookText"/>
        <w:rPr/>
      </w:pPr>
      <w:r>
        <w:rPr>
          <w:rFonts w:ascii="Amiri" w:hAnsi="Amiri" w:eastAsia="Amiri" w:cs="Amiri"/>
          <w:color w:val="111111"/>
          <w:sz w:val="28"/>
          <w:sz w:val="28"/>
          <w:szCs w:val="28"/>
          <w:rtl w:val="true"/>
          <w:lang w:bidi="ar-SA"/>
        </w:rPr>
        <w:t xml:space="preserve">في الشّرائع تنظر في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الشرائع في أخر كتاب الوكالة ما لفظه العاشرة لو وكّله بقبض دينه من غريم فأقرّ الوكيل بالقبض و صدّقه الغريم و أنكر الموكّل فالقول قول الموكّل و فيه تردّد امّا لو امره ببيع سلعة و تسليمها و قبض ثمنها فتلف من غير تفريط فأقرّ الوكيل بالقبض و صدّقه المشتري فأنكر الموكّل فالقول قول الوكيل لانّ الدّعوى هنا على الوكيل من حيث سلّم المبيع و لم يتسلّم الثمن فكأنّه يدّعي ما يوجب الضّمان و هناك الدّعوى على الغريم و في الفرق نظر انتهى و أقول اختلف الأصحاب في الفرع الأوّل فقدّم جمع منهم قول الموكّل بيمينه و اخرون قول الموكّل بيمينه و اتفق من عدى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على تقديم قول الوكيل في الفرع الثاني و فرّقوا بين المقامين بما أشار إليه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ممّا توضيحه انّ قول الموكّل و إن كان في المقامين معتضدا بالأصل الّا انّ قوله هناك ليس يتضمّن دعوى على الوكيل لأنّه يدّعي بقاء المال على المدين دون الوكيل لاعترافه بأنّه لا يستحقّ على الوكيل شيئا بخلاف المقام فانّ قوله يتضمّن الدّعوى على الوكيل بما يوجب الخيانة و هو تسليمه المبيع قبل قبض الثمن فكأنّه يدّعي ما يوجب الضّمان عليه و وجه نظر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المسئلتين اشتراكهما في كون الدعوى على الغريم لانّ الموكّل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بعدم استحقاقه على الوكيل شيئا فلو كان هذا الاعتراف كافيا في حصر الدّعوى من الموكّل على الوكيل فليكف في المقامين و الّا فلا في المقامين إذ من البيّن عدم مدخليّة لتفريط الوكيل و عدمه في ذلك بحيث يكون سببا للفرق بينهما في الحكم المذكور مع منع دوام التفريط مع انّه قد يكون مأذونا في تسليم المبيع قبل قبض الثمن مع انّ الوكيل يدّعى قبض الثمن فلا تفريط منه بزعمه و مجرّد زعم الموكّل انه مفرّط فيه في بعض الأحوال غير قاض بدعواه به عليه مع انّه قد لا يخطر كون ذلك تفريطا من الوكيل ببال الموكل أصلا مع انه لو ادّعى الموكّل التّفريط على الوكيل كان القول قول الوكيل بيمينه لكونه منكرا و بالجملة فالمقامان متّحدان في كون الفعل فعل الوكيل و كون الدّعوى على الغير دون الوكيل و ان شئت زيادة توضيح لذلك فراجع ما حرّرناه في شرح العبارة في منتهى المقاصد</w:t>
      </w:r>
    </w:p>
    <w:p>
      <w:pPr>
        <w:pStyle w:val="BookText"/>
        <w:rPr/>
      </w:pPr>
      <w:r>
        <w:rPr>
          <w:rFonts w:ascii="Amiri" w:hAnsi="Amiri" w:eastAsia="Amiri" w:cs="Amiri"/>
          <w:color w:val="111111"/>
          <w:sz w:val="28"/>
          <w:sz w:val="28"/>
          <w:szCs w:val="28"/>
          <w:rtl w:val="true"/>
          <w:lang w:bidi="ar-SA"/>
        </w:rPr>
        <w:t xml:space="preserve">قوله طاب ثراه و ربّما يدّعى الإجماع على القضيّة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مفتاح الكرامة مشيرا الى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المطلق يعنى غير المحجور ينفذ إقراره بكلّ ما يقدر على إنشائه ما لفظه هذا معنى قولهم كل من ملك شيئا ملك الإقرار به و هي قاعدة مسلّمة لا كلام فيها و قد طفحت بها عباراتهم انتهى و استدلّ في محكي الرّياض في مضىّ إقرار البالغ عشرا بالوصيّة في المعروف بانّ من ملك تصرّفا في شي‌ء ملك الإقرار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ظاهرا انتهى و قال الفاضل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الفوائد على ما حكى عنه العلّامة الشيخ أسد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أي الزّوج بالرّجوع في العدّة قبل قوله لانّه يملك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لا اعرف فيه خلافا واضحا بل و لا ينبغي ان يقع الخلاف فيه للزوم تصديق المؤمن إذا أخبر عن فعل في وقت فوّض اليه ذلك الفعل في ذلك الوقت كما نبّه عليه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لأنه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طاب ثراه بمعنى انّ استدلال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استوفى العلّامة التستري صاحب المقابيس في بعض رسائله تقرير هذا المعنى على وجه أو في حيث قال الظّاهر انّ الأصحاب استنبطوا من استقراء الأخبار المتفرّقة في تضاعيف أبواب الفقه و الأحكام المتشعّبة المتفق عليها بينهم ممّا ذكر في أحكام الدّعاوي و الاختلاف و الإقرار و الطلاق و العدد و العتق و الوصيّة و الأمانات و الولايات و الطّهارة و النجاسة و التذكية و غيرها و من السّيرة المستمرّة الجاري عمل النّاس عليها لزوم سماع قول ذي اليد و تصديقه فيما يتعلّق بالتّكليف و العمل أو الحكم في كلّ ما يده عليه و امره إليه ما لم يثبت خلافه سواء كان من الأموال أم من الحقوق حتّى حقّ الحفظ في الأمانات و وضعها في المواضع المأمور بالوضع فيها و سواء خالف قوله الأصل أم وافقه و سواء اثبت بذلك حقّا على نفسه أم لنفسه أم لغيره حتى انّه لو تداعى اثنان فيما هو في يد ثالث فأقرّ به لأحدهما و نفاه عن الأخر صدّق فيه و إن كان غاصبا و قدّم به قول المقرّ له مع انّه بإقراره قد نفى اثر يده عن نفسه و قد فهموا من تملّك الشي‌ء و التسلّط عليه و كونه بيده ثبوت ذلك من جهة التصرّف ابتداء و من جهة الإقرار به تبعا و من ثمَّ قبلوا إقرار الصّبي بالوصيّة مع عموم أدلّة المنع له و حكوا ثبوت ذلك عندهم بالإجماع المركّب و لم يفرق معظمهم بين من كان يده على الشي‌ء أصالة أو ولاية أو وكالة و جعلوا التوكيل بتفويض الموكّل أمر ما وكّل فيه اليه و إثبات ما لنفسه له بمنزلة مالك أخر مستقلّ بذلك الشي‌ء كالأب و الجد في نكاح الصغير و الوصيّين المستقلّين و الوكيلين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إقرار كلّ من هؤلاء بما يده عليه ينفذ عليه و على الأخر كتصرّفه فكذا الوكيل بالنّسبة إلى الموكّل و ان اختلف تملّكهما بالأصالة و التبعيّة فإنّ القدر المشترك بينهما كان في إثبات الحكم المذكور فمن استنبط من تلك المدارك المعتبرة ما استنبطوا منها و وقف على ما وقفوا عليه فليحمد المنعم الفيّاض على ما هداه اليه و من قصرت فطنته عن نيل ذلك فقد حقّ له الرّجوع في ذلك إليهم و التّعويل فيه عليهم و ليس هذا تقليد أولا قولا بما لا دليل له بل عملا باتّفاقهم الكاشف إجمالا عن وجود الدّليل فيما لا يعلم دليله و قد تقرّر عندنا في الإجماع انّه كما قد يكون كاشفا عن الحكم الواقعي الواصل إليهم بطريق التّظافر و التّسامع خلفا عن سلف عن أهل بيت العصمة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كاشفا عن الحكم الظّاهري الثابت بالدّليل المعتبر و ان لم يكن قطعيّا و هذا هو الغالب فيما عدى الضّروريّات بل لا سبيل الى غيره في كلّ ما لم يقطعوا به من النظريات و فيه يكثر الاختلاف في معرفة الإجماع بحسب الاختلاف في الحدس المختلف باختلاف الأنظار و المسائل و تتبّع الأقوال و الدّلائل و ليس لأحد ان ينكر هذا القسم منه و لا حجّيته إذ لا ريب في انّا إذا اجلنا النّظر في أحوال الأصحاب و طريقتهم و لاحظنا مع شدّة اختلافهم و تباين ارائهم في الأصول و الفروع و كثرة تشاجرهم في الأدلّة الشرعيّة و مدلولاتها و الترجيح بينها و عدم مخالفتنا فيها لأقوالهم بأسرها بل موافقتنا غالبا لمعظمها أو أكثرها ثمَّ اطّلعنا على فتاوى معظمهم أو المعروفين منهم أو اجمعهم بناء على فرض إمكان العلم اليقيني بأقوال الجميع فيما عدى الضّروريّات و رأيناها متطابقة على حكم من الأحكام فإنّه كثيرا ما يحصل لنا القطع بإصابتهم الدّليل المعتبر في ذلك بحيث لو وقفنا على ما وقفوا عليه لحكمنا بما حكموا به و لم نتخطّه الى غيره كما قد يحصل مثل ذلك من نحو الاتّفاق المزبور الحاصل لسائر أرباب الفنون كأهل اللّغة و غيرهم فيما يتعلّق بفنونهم و من المعلوم انّ فقهاء الأصحاب على جلالتهم و مهارتهم و تثبّتهم و ورعهم و صرف افكارهم و أعمارهم في فنّهم ليسوا أدنى مرتبة من غيرهم من أرباب العلوم فحصول القطع المزبور من إجماعهم المذكور أمر وجدانيّ شائع معلوم لا يصادمه برهان الخصوم فيكون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العلم الإجمالي بوجود الدّليل على الحكم و هو حجّة كالتّفصيلى لعموم ما دلّ على حجيّة العلم و ليس هذا موضع تحقيق ذلك انتهى كلام المحقّق التّستري علا مقامه و ما ذكره موجّه الّا انّ النّزاع في الصّغرى فانّ الوثوق الحاصل من كلمات من تقدّم نقل كلماتهم يزول بملاحظة عدم التزام جمع بالقاعدة أو تردّدهم فيها كما أشار الى ذلك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أنكرها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المتقدّم و</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أعظم منه خرّيت هذه الصّناعة</w:t>
      </w:r>
    </w:p>
    <w:p>
      <w:pPr>
        <w:pStyle w:val="BookText"/>
        <w:rPr/>
      </w:pPr>
      <w:r>
        <w:rPr>
          <w:rFonts w:ascii="Amiri" w:hAnsi="Amiri" w:eastAsia="Amiri" w:cs="Amiri"/>
          <w:color w:val="111111"/>
          <w:sz w:val="28"/>
          <w:sz w:val="28"/>
          <w:szCs w:val="28"/>
          <w:rtl w:val="true"/>
          <w:lang w:bidi="ar-SA"/>
        </w:rPr>
        <w:t xml:space="preserve">العلّامة الطّباطبائي في المصابيح فإنّه أجاب عن استدلال بعضهم بالقاعدة على قبول قول الوكيل في إيقاع الفعل الّذي وكّل فيه بما لفظه انّه ليس المراد من قولهم ملك الإقرار به نفوذ الإقرار في حقّ الغير بل قبول دعوى المأذون من المالك أو الشارع في تصرّفاته المأذون فيها و ليس هذا من الإقرار في شي‌ء و من ثمَّ لم يسمع قوله الّا بيمينه مع فرض التنازع كما صرّحوا به في الوكيل و غيره و لو أريد به الإقرار حقيقة لوجب القول بنفوذه من غير يمين كسائر الأقارير انتهى فانّ هذا الكلام من مثل هذا النحرير القمقام يثبّطنا عن الإذعان بما افاده المحقّق التستري على انّا لو أغمضنا عن ذلك نقول لا يثبت بما صدر منهم إلّا قضيّة مهملة إذ لا يفيد في استفادة المراد بفقرات القاعدة كلام واحد أو اثنين منهم و قد عرفت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اختلاف كلماتهم في إفادة المراد بفقراتها فتدبّر جيّدا</w:t>
      </w:r>
    </w:p>
    <w:p>
      <w:pPr>
        <w:pStyle w:val="BookText"/>
        <w:rPr/>
      </w:pPr>
      <w:r>
        <w:rPr>
          <w:rFonts w:ascii="Amiri" w:hAnsi="Amiri" w:eastAsia="Amiri" w:cs="Amiri"/>
          <w:color w:val="111111"/>
          <w:sz w:val="28"/>
          <w:sz w:val="28"/>
          <w:szCs w:val="28"/>
          <w:rtl w:val="true"/>
          <w:lang w:bidi="ar-SA"/>
        </w:rPr>
        <w:t xml:space="preserve">قوله طاب ثراه فهذه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تقديم قول الموكّل عند دعوى الوكيل قبل 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بذلك الى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صدّق الموكّل الوكيل في البيع و نحوه و لكن قال كنت عزلتك قبل التصرّف و قال الوكيل بل كان العزل بعد التصرّف فهو كما لو قال الزّوج راجعتك قبل انقضاء العدّة و قالت انقضت عدّتي قبل ان راجعتنى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تقديم قول الوكيل لأصالة صحّة تصرّفه و تقديم قول الموكّل لأصالة سبق العقد و التحقيق ان كلّ واحد منهما يدّعى التقديم و الأصل عدمه فلا أولويّة من هذه الحيثيّة فتبقى أصالة بقاء الملك على صاحبه خاليا عن المعارض انتهى و قد كان على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يبدل قوله دعوى الوكيل قبل العزل التصرّف دعوى الوكيل التصرّف قبل العزل حتّى يكون قبل العزل ظرفا للتصرّف و ينطبق على المحكى لا ظرفا للدّعوى كما هو ظاهر تقديم الظرف على التصرّف</w:t>
      </w:r>
    </w:p>
    <w:p>
      <w:pPr>
        <w:pStyle w:val="BookText"/>
        <w:rPr/>
      </w:pPr>
      <w:r>
        <w:rPr>
          <w:rFonts w:ascii="Amiri" w:hAnsi="Amiri" w:eastAsia="Amiri" w:cs="Amiri"/>
          <w:color w:val="111111"/>
          <w:sz w:val="28"/>
          <w:sz w:val="28"/>
          <w:szCs w:val="28"/>
          <w:rtl w:val="true"/>
          <w:lang w:bidi="ar-SA"/>
        </w:rPr>
        <w:t xml:space="preserve">قوله طاب ثراه و تبع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دعواه نقصان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منا آنفا نقل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الكاشفة عمّا في العبارة فلاحظ و تدبّر جيّدا</w:t>
      </w:r>
    </w:p>
    <w:p>
      <w:pPr>
        <w:pStyle w:val="BookText"/>
        <w:rPr/>
      </w:pPr>
      <w:r>
        <w:rPr>
          <w:rFonts w:ascii="Amiri" w:hAnsi="Amiri" w:eastAsia="Amiri" w:cs="Amiri"/>
          <w:color w:val="111111"/>
          <w:sz w:val="28"/>
          <w:sz w:val="28"/>
          <w:szCs w:val="28"/>
          <w:rtl w:val="true"/>
          <w:lang w:bidi="ar-SA"/>
        </w:rPr>
        <w:t xml:space="preserve">قوله طاب ثراه و يظهر من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منّا في شرح 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سيأتي من عدم نفوذ إقرار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ظهور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إنكار القاعدة فلاحظ</w:t>
      </w:r>
    </w:p>
    <w:p>
      <w:pPr>
        <w:pStyle w:val="BookText"/>
        <w:rPr/>
      </w:pPr>
      <w:r>
        <w:rPr>
          <w:rFonts w:ascii="Amiri" w:hAnsi="Amiri" w:eastAsia="Amiri" w:cs="Amiri"/>
          <w:color w:val="111111"/>
          <w:sz w:val="28"/>
          <w:sz w:val="28"/>
          <w:szCs w:val="28"/>
          <w:rtl w:val="true"/>
          <w:lang w:bidi="ar-SA"/>
        </w:rPr>
        <w:t xml:space="preserve">قوله طاب ثراه و تردّد في ذلك في موضع من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أشار بذلك الى قوله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الرّجعة في وقت إمكان إنشائها قدّم قوله مع احتمال تقديم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يجعل إقراره إنشاء لها انتهى و انّما قيّده بموضع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الى قوله قبل ذلك لو أقرّ بالرّجعة في العدّة قبل قوله لانّه يملك الرّجعة انتهى و عليك بالتدبّر لعلّك تقف على ما يرفع التّنافي بين العبارتين</w:t>
      </w:r>
    </w:p>
    <w:p>
      <w:pPr>
        <w:pStyle w:val="BookText"/>
        <w:rPr/>
      </w:pPr>
      <w:r>
        <w:rPr>
          <w:rFonts w:ascii="Amiri" w:hAnsi="Amiri" w:eastAsia="Amiri" w:cs="Amiri"/>
          <w:color w:val="111111"/>
          <w:sz w:val="28"/>
          <w:sz w:val="28"/>
          <w:szCs w:val="28"/>
          <w:rtl w:val="true"/>
          <w:lang w:bidi="ar-SA"/>
        </w:rPr>
        <w:t xml:space="preserve">قوله طاب ثراه حيث تردّد في قبول إقرار العبد المأذون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مأذونا في التجارة فأقرّ بما يتعلّق بها قبل انتهى و قال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قبل إقرار المأذون لأنّه لولاه لزم الإضرار بالمدين بوجوب الصّبر الى ان ينعتق مع انّ الإذن في التجارة يقتضي جواز الاستدانة و ذلك يفضي الى انصراف الرّغبات عن مداينة العبيد فيؤدّي إلى اختلال حال التجارة و استشكل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إشكال في موضعه انتهى و يمكن المناقشة في عدّ ذلك تردّدا في القاعدة بأنّه انّما ابدى مانعا من القول بطبقها و اين ذلك من إنكار أصلها كما زعم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يشهد بما قلناه تمسّك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بالقاعدة لقبول إقرار العبد المذكور و قرّر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اشكاله في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تقريره بإبداء المانع الصّغروي حيث قال في شرح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المزبورة النّاطقة بالقبول في الفرض ما لفظه انّما قبل إقرار المأذون في التجارة لأنّ تصرّفه نافذ فيما اذن له فيه منها فينفذ إقراره بما يتعلّق بها لأنّ من ملك شيئا ملك الإقرار به و لأنه لولاه لزم الإضرار و انصراف النّاس عن مداينة العبيد فيختلّ نظام التجارة ثمَّ قال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القول و عذره واضح لعموم الحجر على المملوك الّا ما دلّ عليه الإذن و هو التجارة و كون الاستدانة من لوازمها ممنوع و لو سلّم افتقارها إليها في بعض الموارد فلا يدلّ على الملازمة و لو سلّمت فاللّازم غير بيّن فلا يدلّ الإذن فيها على الإذن فيها بالالتزام و ظاهر انتفاء دلالتي المطابقة و التضمّن انتهى المهمّ ممّا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يرحمك اللّه تعالى الى استدلاله بالقاعدة و عدم تأمّله فيها و ابدائه في 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الإشكال مانعا فكان على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متأمّلا في القاعدة أو عدم عدّ المحقّق الثّاني من المتامّلين فيها</w:t>
      </w:r>
    </w:p>
    <w:p>
      <w:pPr>
        <w:pStyle w:val="BookText"/>
        <w:rPr/>
      </w:pPr>
      <w:r>
        <w:rPr>
          <w:rFonts w:ascii="Amiri" w:hAnsi="Amiri" w:eastAsia="Amiri" w:cs="Amiri"/>
          <w:color w:val="111111"/>
          <w:sz w:val="28"/>
          <w:sz w:val="28"/>
          <w:szCs w:val="28"/>
          <w:rtl w:val="true"/>
          <w:lang w:bidi="ar-SA"/>
        </w:rPr>
        <w:t xml:space="preserve">قوله طاب ثراه في شرح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 لو قال زوّجت بنتك من فلان فقال نعم بقصد اعادة اللّفظ للإنشاء فقال الزّوج قبلت صحّ على اشكال و لو قصد الأخبار كذبا لم ينعقد و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سطره الّا انّ الموجود فيها ان بدل إذا في قوله إذا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المناقشة في استفادة التأمّل في القاعدة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ينكرها و انّما عارضها بعلّة أخرى بل لعلّ قوله و ينبغي التأمّل لذلك ظاهر في قبوله القاعدة لأنّه بمنزلة قوله لو لا القاعدة لقضينا بأصالة العدم الّا انّ القاعدة أورثت لنا التّأمل في الحكم</w:t>
      </w:r>
    </w:p>
    <w:p>
      <w:pPr>
        <w:pStyle w:val="BookText"/>
        <w:rPr/>
      </w:pPr>
      <w:r>
        <w:rPr>
          <w:rFonts w:ascii="Amiri" w:hAnsi="Amiri" w:eastAsia="Amiri" w:cs="Amiri"/>
          <w:color w:val="111111"/>
          <w:sz w:val="28"/>
          <w:sz w:val="28"/>
          <w:szCs w:val="28"/>
          <w:rtl w:val="true"/>
          <w:lang w:bidi="ar-SA"/>
        </w:rPr>
        <w:t xml:space="preserve">قوله طاب ثراه لكنّ الإنصاف أنّ القضيّة المذكورة في الجملة اجماعيّة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عليك انّ كون قضيّة مهملة مجملة مجمعا عليها لا تنفع في الاستدلال بها في موارد الشكّ كما مرّت الإشارة الى ذلك منّا</w:t>
      </w:r>
    </w:p>
    <w:p>
      <w:pPr>
        <w:pStyle w:val="BookText"/>
        <w:rPr/>
      </w:pPr>
      <w:r>
        <w:rPr>
          <w:rFonts w:ascii="Amiri" w:hAnsi="Amiri" w:eastAsia="Amiri" w:cs="Amiri"/>
          <w:color w:val="111111"/>
          <w:sz w:val="28"/>
          <w:sz w:val="28"/>
          <w:szCs w:val="28"/>
          <w:rtl w:val="true"/>
          <w:lang w:bidi="ar-SA"/>
        </w:rPr>
        <w:t xml:space="preserve">قوله طاب ثراه الّا انّه وافق الأصحاب في إقرار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عند شرح دعوى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اطباقهم على الاستناد إلى القاعدة في صحّة إقرار الصّبي في الأمور المذكورة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النّاطقة بذلك</w:t>
      </w:r>
    </w:p>
    <w:p>
      <w:pPr>
        <w:pStyle w:val="BookText"/>
        <w:rPr/>
      </w:pPr>
      <w:r>
        <w:rPr>
          <w:rFonts w:ascii="Amiri" w:hAnsi="Amiri" w:eastAsia="Amiri" w:cs="Amiri"/>
          <w:color w:val="111111"/>
          <w:sz w:val="28"/>
          <w:sz w:val="28"/>
          <w:szCs w:val="28"/>
          <w:rtl w:val="true"/>
          <w:lang w:bidi="ar-SA"/>
        </w:rPr>
        <w:t xml:space="preserve">قوله طاب ثراه مع إمكان ان يكون مراده عدم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بيّنا هذا المعنى عند نقله كلام الفخر سابقا و أشرنا إلى نظيره في عبارة القواعد المزبورة عن قريب قبل التفاتنا الى إشارته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هذا المعنى فلاحظ و تدبّر</w:t>
      </w:r>
    </w:p>
    <w:p>
      <w:pPr>
        <w:pStyle w:val="BookText"/>
        <w:rPr/>
      </w:pPr>
      <w:r>
        <w:rPr>
          <w:rFonts w:ascii="Amiri" w:hAnsi="Amiri" w:eastAsia="Amiri" w:cs="Amiri"/>
          <w:color w:val="111111"/>
          <w:sz w:val="28"/>
          <w:sz w:val="28"/>
          <w:szCs w:val="28"/>
          <w:rtl w:val="true"/>
          <w:lang w:bidi="ar-SA"/>
        </w:rPr>
        <w:t xml:space="preserve">قوله طاب ثراه و كيف كان فلم أجد فقيها أسقطه عن استقلال 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إسقاط علّامة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للقاعدة عن استقلال التمسّك و لعلّه أراد من تقدّم عليهما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p>
    <w:p>
      <w:pPr>
        <w:pStyle w:val="BookText"/>
        <w:rPr/>
      </w:pPr>
      <w:r>
        <w:rPr>
          <w:rFonts w:ascii="Amiri" w:hAnsi="Amiri" w:eastAsia="Amiri" w:cs="Amiri"/>
          <w:color w:val="111111"/>
          <w:sz w:val="28"/>
          <w:sz w:val="28"/>
          <w:szCs w:val="28"/>
          <w:rtl w:val="true"/>
          <w:lang w:bidi="ar-SA"/>
        </w:rPr>
        <w:t xml:space="preserve">قوله طاب ثراه و كذا ظاهر فتواه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المريض لو 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إقرار المريض بعد إنفاذ إقرار المريض مع التّهمة من الثلث و مع عدمها من الأصل في جملة من الموارد هو قوله و لو أقرّ بوارث فالأقرب اعتبار التهمة و عدمها و كذا إقراره بإحبال الأمة أو إعتاق أخيه المملوك و له عمّ انتهى و فيه دلالة على ما عزاه اليه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التهمة كما لا يخفى</w:t>
      </w:r>
    </w:p>
    <w:p>
      <w:pPr>
        <w:pStyle w:val="BookText"/>
        <w:rPr/>
      </w:pPr>
      <w:r>
        <w:rPr>
          <w:rFonts w:ascii="Amiri" w:hAnsi="Amiri" w:eastAsia="Amiri" w:cs="Amiri"/>
          <w:color w:val="111111"/>
          <w:sz w:val="28"/>
          <w:sz w:val="28"/>
          <w:szCs w:val="28"/>
          <w:rtl w:val="true"/>
          <w:lang w:bidi="ar-SA"/>
        </w:rPr>
        <w:t xml:space="preserve">قوله طاب ثراه الّا ان يبنى على عدم العبرة بمخالفة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يمكن التفوّه به لأنّه إذا لم يكن مخالفة مثل العلّامة أية اللّه تعالى قادحة في الإجماع إذا لتسهّل الأمر في دعوى الإجماع إلى الغاية و كيف يطمئنّ الفقيه عند مخالفة أمثاله بصدور الحكم من الإمام عليه السّلام أو وجود مستند قويم له</w:t>
      </w:r>
    </w:p>
    <w:p>
      <w:pPr>
        <w:pStyle w:val="BookText"/>
        <w:rPr/>
      </w:pPr>
      <w:r>
        <w:rPr>
          <w:rFonts w:ascii="Amiri" w:hAnsi="Amiri" w:eastAsia="Amiri" w:cs="Amiri"/>
          <w:color w:val="111111"/>
          <w:sz w:val="28"/>
          <w:sz w:val="28"/>
          <w:szCs w:val="28"/>
          <w:rtl w:val="true"/>
          <w:lang w:bidi="ar-SA"/>
        </w:rPr>
        <w:t xml:space="preserve">قوله طاب ثراه مع انّ عبارتها لا تخلو عن الحاجة الى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أفهم للتّأمّل وجها بل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عدم نفوذ إقرار الصّبي في وصيّته أيضا لأنّه قال يشترط في المقرّ البلوغ فاقارير الصبيّ لاغية سواء كان مميّزا أو لا و سواء كان اذن له الوليّ أو لا عند علمائنا الى ان قال و لنا و للشّافعيّة قول في صحة تدبيره و وصيّته فعلى هذا القول عندنا و عند الشّافعي يصحّ إقراره بهما و الحق ما تقدّم لأنّ إقراره لا يصحّ بغير ذلك و بغير ما اذن له فيه فكذا بهما و بالبيع و الشّراء</w:t>
      </w:r>
    </w:p>
    <w:p>
      <w:pPr>
        <w:pStyle w:val="BookText"/>
        <w:rPr/>
      </w:pPr>
      <w:r>
        <w:rPr>
          <w:rFonts w:ascii="Amiri" w:hAnsi="Amiri" w:eastAsia="Amiri" w:cs="Amiri"/>
          <w:color w:val="111111"/>
          <w:sz w:val="28"/>
          <w:sz w:val="28"/>
          <w:szCs w:val="28"/>
          <w:rtl w:val="true"/>
          <w:lang w:bidi="ar-SA"/>
        </w:rPr>
        <w:t>كالمجنون انتهى</w:t>
      </w:r>
    </w:p>
    <w:p>
      <w:pPr>
        <w:pStyle w:val="BookText"/>
        <w:rPr/>
      </w:pPr>
      <w:r>
        <w:rPr>
          <w:rFonts w:ascii="Amiri" w:hAnsi="Amiri" w:eastAsia="Amiri" w:cs="Amiri"/>
          <w:color w:val="111111"/>
          <w:sz w:val="28"/>
          <w:sz w:val="28"/>
          <w:szCs w:val="28"/>
          <w:rtl w:val="true"/>
          <w:lang w:bidi="ar-SA"/>
        </w:rPr>
        <w:t xml:space="preserve">قوله طاب ثراه و ظاهر ان ليس مستند له الّا القضيّة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الظهور ممنوع كما نبّهنا عليه عند نقل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الرّسالة</w:t>
      </w:r>
    </w:p>
    <w:p>
      <w:pPr>
        <w:pStyle w:val="BookText"/>
        <w:rPr/>
      </w:pPr>
      <w:r>
        <w:rPr>
          <w:rFonts w:ascii="Amiri" w:hAnsi="Amiri" w:eastAsia="Amiri" w:cs="Amiri"/>
          <w:color w:val="111111"/>
          <w:sz w:val="28"/>
          <w:sz w:val="28"/>
          <w:szCs w:val="28"/>
          <w:rtl w:val="true"/>
          <w:lang w:bidi="ar-SA"/>
        </w:rPr>
        <w:t xml:space="preserve">قوله طاب ثراه و اعتبار إقرار الولي و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اعتبار قول الصّبي و الوجه فيما افاده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لكن قد عرفت من علّامة المصابيح المنع من كون إقرار الولي و الوكيل من باب القاعدة لعدم اندراجه في الإقرار كما يكشف عن ذلك اعتبارهم ضمّ اليمين إلى إقراره و لو كان اعتباره من باب الإقرار لما احتاج الى ضمّ اليمين</w:t>
      </w:r>
    </w:p>
    <w:p>
      <w:pPr>
        <w:pStyle w:val="BookText"/>
        <w:rPr/>
      </w:pPr>
      <w:r>
        <w:rPr>
          <w:rFonts w:ascii="Amiri" w:hAnsi="Amiri" w:eastAsia="Amiri" w:cs="Amiri"/>
          <w:color w:val="111111"/>
          <w:sz w:val="28"/>
          <w:sz w:val="28"/>
          <w:szCs w:val="28"/>
          <w:rtl w:val="true"/>
          <w:lang w:bidi="ar-SA"/>
        </w:rPr>
        <w:t xml:space="preserve">قوله طاب ثراه و الحاصل انّ بين هذه القاعدة و قاعدة الايتمان عموما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لجريان هذه القاعدة فيمن يملك أمر الشي‌ء حال ملك الأمر أمينا كان أو غيره لا بعد زوال ملك الأمر و جريان قاعدة الايتمان في الأمين خاصّة حال الاستيمان و بعدها لا في غير الأمين فلكلّ منهما عموم من جهة و خصوص من جهة أخرى</w:t>
      </w:r>
    </w:p>
    <w:p>
      <w:pPr>
        <w:pStyle w:val="BookText"/>
        <w:rPr/>
      </w:pPr>
      <w:r>
        <w:rPr>
          <w:rFonts w:ascii="Amiri" w:hAnsi="Amiri" w:eastAsia="Amiri" w:cs="Amiri"/>
          <w:color w:val="111111"/>
          <w:sz w:val="28"/>
          <w:sz w:val="28"/>
          <w:szCs w:val="28"/>
          <w:rtl w:val="true"/>
          <w:lang w:bidi="ar-SA"/>
        </w:rPr>
        <w:t xml:space="preserve">قوله طاب ثراه ثمَّ انّه يمكن ان يكون الوجه في القضيّة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الإمكان لا نمنعه الّا انّ الكلام في الوقوع و كونه علة فإنّه ممّا لا شاهد عليه بوجه بل هو مجرّد حدس و تخمين و مجرّد كون هذا الظّهور أقوى من ظهور حال المسلم كما نبّه عليه بقوله و لو تأمّلت 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اعتباره بعد قيام الدّليل على اعتبار ظهور حال المسلم دون هذا الظهور و الأولويّة غير مقطوعة و الإلحاق من دونها قياس لا نقول به و قد نبّه على ما ذكرنا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أخر كلامه بقوله و لكن الظهور المذكور لا حجيّة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p>
    <w:p>
      <w:pPr>
        <w:pStyle w:val="BookText"/>
        <w:rPr/>
      </w:pPr>
      <w:r>
        <w:rPr>
          <w:rFonts w:ascii="Amiri" w:hAnsi="Amiri" w:eastAsia="Amiri" w:cs="Amiri"/>
          <w:color w:val="111111"/>
          <w:sz w:val="28"/>
          <w:sz w:val="28"/>
          <w:szCs w:val="28"/>
          <w:rtl w:val="true"/>
          <w:lang w:bidi="ar-SA"/>
        </w:rPr>
        <w:t xml:space="preserve">قوله طاب ثراه فانّ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عن التعرّض لدفع النفقة عن نفسه و انّما تضمّنت قبول إقراره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عبدا فلا يخلو امّا ان يكون صغيرا أو مراهقا أو كبيرا فان كان صغيرا له ان يلتقط بعد ان يعلم انّه عبد لأنّه يجري مجرى المال و ان كان مراهقا كبيرا مميّزا فإنّه كالضّوال مثل الإبل و الخيل ليس له ان يلتقطه فإن أخذه يرفعه الى الحاكم و يأخذه الحاكم فان كان الحظّ في حفظه حفظه و ينفق عليه حتّى يجي‌ء صاحبه و إن كان الحظّ في بيعه باعه و حفظ ثمنه على صاحبه و قال كنت أعتقته قبل هذا فهل يقبل إقراره أم لا قيل فيه وجهان أحدهما يقبل لانّه غير متّهم في هذه لأنه يقول لا أريد الثمن و الثّاني لا يقبل قوله لانّ بيع الحاكم كبيعه و لو باعه ثمَّ قال كنت أعتقته قبل البيع لم يقبل قوله و الأوّل أصحّ و الفرق بين بيعه و بيع الحاكم انه إذا أقرّ ببيع نفسه فإنّه يكذب نفسه و ليس كذلك بيع الحاكم لانّه لا يكذب نفسه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خال من التعرّض لدفع النفقة عن نفسه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2.jpeg"/><Relationship Id="rId13" Type="http://schemas.openxmlformats.org/officeDocument/2006/relationships/image" Target="media/image2.jpeg"/><Relationship Id="rId14" Type="http://schemas.openxmlformats.org/officeDocument/2006/relationships/footer" Target="footer7.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Pages>
  <Words>5666</Words>
  <Characters>21851</Characters>
  <CharactersWithSpaces>27411</CharactersWithSpaces>
  <Paragraphs>112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2026-08-16T19:35:27Z</dcterms:created>
  <dc:creator>ghaemiyeh.com</dc:creator>
  <dc:description/>
  <dc:language>en-US</dc:language>
  <cp:lastModifiedBy/>
  <dcterms:modified xsi:type="dcterms:W3CDTF">2026-08-16T23:05:28Z</dcterms:modified>
  <cp:revision>1</cp:revision>
  <dc:subject/>
  <dc:title>حاشیه علی رساله فی قاعده من ملک</dc:title>
</cp:coreProperties>
</file>

<file path=docProps/custom.xml><?xml version="1.0" encoding="utf-8"?>
<Properties xmlns="http://schemas.openxmlformats.org/officeDocument/2006/custom-properties" xmlns:vt="http://schemas.openxmlformats.org/officeDocument/2006/docPropsVTypes"/>
</file>