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المرشدین الی الحق الیقین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0726_365066874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00728_365066874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00730_3650668749">
            <w:r>
              <w:rPr>
                <w:webHidden/>
                <w:rStyle w:val="IndexLink"/>
                <w:rtl w:val="true"/>
              </w:rPr>
              <w:t>مقدمة الممثلیة</w:t>
            </w:r>
            <w:r>
              <w:rPr>
                <w:rStyle w:val="IndexLink"/>
                <w:rtl w:val="true"/>
              </w:rPr>
              <w:tab/>
            </w:r>
            <w:r>
              <w:rPr>
                <w:rStyle w:val="IndexLink"/>
              </w:rPr>
              <w:t>12</w:t>
            </w:r>
          </w:hyperlink>
        </w:p>
        <w:p>
          <w:pPr>
            <w:pStyle w:val="Contents2"/>
            <w:tabs>
              <w:tab w:val="clear" w:pos="8743"/>
              <w:tab w:val="right" w:pos="9026" w:leader="dot"/>
            </w:tabs>
            <w:rPr/>
          </w:pPr>
          <w:hyperlink w:anchor="__RefHeading___Toc1400732_3650668749">
            <w:r>
              <w:rPr>
                <w:webHidden/>
                <w:rStyle w:val="IndexLink"/>
                <w:rtl w:val="true"/>
              </w:rPr>
              <w:t>مقدمة آیة الله جعفر سبحانی‌</w:t>
            </w:r>
            <w:r>
              <w:rPr>
                <w:rStyle w:val="IndexLink"/>
                <w:rtl w:val="true"/>
              </w:rPr>
              <w:tab/>
            </w:r>
            <w:r>
              <w:rPr>
                <w:rStyle w:val="IndexLink"/>
              </w:rPr>
              <w:t>15</w:t>
            </w:r>
          </w:hyperlink>
        </w:p>
        <w:p>
          <w:pPr>
            <w:pStyle w:val="Contents2"/>
            <w:tabs>
              <w:tab w:val="clear" w:pos="8743"/>
              <w:tab w:val="right" w:pos="9026" w:leader="dot"/>
            </w:tabs>
            <w:rPr/>
          </w:pPr>
          <w:hyperlink w:anchor="__RefHeading___Toc1400734_3650668749">
            <w:r>
              <w:rPr>
                <w:webHidden/>
                <w:rStyle w:val="IndexLink"/>
                <w:rtl w:val="true"/>
              </w:rPr>
              <w:t>الفصل الأوّل</w:t>
            </w:r>
            <w:r>
              <w:rPr>
                <w:rStyle w:val="IndexLink"/>
                <w:rtl w:val="true"/>
              </w:rPr>
              <w:t xml:space="preserve">: </w:t>
            </w:r>
            <w:r>
              <w:rPr>
                <w:rStyle w:val="IndexLink"/>
                <w:rtl w:val="true"/>
              </w:rPr>
              <w:t>فی الشیعة والتشیّع‌</w:t>
            </w:r>
            <w:r>
              <w:rPr>
                <w:rStyle w:val="IndexLink"/>
                <w:rtl w:val="true"/>
              </w:rPr>
              <w:tab/>
            </w:r>
            <w:r>
              <w:rPr>
                <w:rStyle w:val="IndexLink"/>
              </w:rPr>
              <w:t>17</w:t>
            </w:r>
          </w:hyperlink>
        </w:p>
        <w:p>
          <w:pPr>
            <w:pStyle w:val="Contents3"/>
            <w:tabs>
              <w:tab w:val="clear" w:pos="8459"/>
              <w:tab w:val="right" w:pos="9026" w:leader="dot"/>
            </w:tabs>
            <w:rPr/>
          </w:pPr>
          <w:hyperlink w:anchor="__RefHeading___Toc1400736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00738_3650668749">
            <w:r>
              <w:rPr>
                <w:webHidden/>
                <w:rStyle w:val="IndexLink"/>
                <w:rtl w:val="true"/>
              </w:rPr>
              <w:t>فی الشیعة والتشیّع‌</w:t>
            </w:r>
            <w:r>
              <w:rPr>
                <w:rStyle w:val="IndexLink"/>
                <w:rtl w:val="true"/>
              </w:rPr>
              <w:tab/>
            </w:r>
            <w:r>
              <w:rPr>
                <w:rStyle w:val="IndexLink"/>
              </w:rPr>
              <w:t>18</w:t>
            </w:r>
          </w:hyperlink>
        </w:p>
        <w:p>
          <w:pPr>
            <w:pStyle w:val="Contents4"/>
            <w:tabs>
              <w:tab w:val="clear" w:pos="8176"/>
              <w:tab w:val="right" w:pos="9026" w:leader="dot"/>
            </w:tabs>
            <w:rPr/>
          </w:pPr>
          <w:hyperlink w:anchor="__RefHeading___Toc1400740_3650668749">
            <w:r>
              <w:rPr>
                <w:webHidden/>
                <w:rStyle w:val="IndexLink"/>
              </w:rPr>
              <w:t>1</w:t>
            </w:r>
            <w:r>
              <w:rPr>
                <w:rStyle w:val="IndexLink"/>
                <w:rtl w:val="true"/>
              </w:rPr>
              <w:t xml:space="preserve">. </w:t>
            </w:r>
            <w:r>
              <w:rPr>
                <w:rStyle w:val="IndexLink"/>
                <w:rtl w:val="true"/>
              </w:rPr>
              <w:t>الشیعة لغة واصطلاحاً</w:t>
            </w:r>
            <w:r>
              <w:rPr>
                <w:rStyle w:val="IndexLink"/>
                <w:rtl w:val="true"/>
              </w:rPr>
              <w:t>:</w:t>
              <w:tab/>
            </w:r>
            <w:r>
              <w:rPr>
                <w:rStyle w:val="IndexLink"/>
              </w:rPr>
              <w:t>18</w:t>
            </w:r>
          </w:hyperlink>
        </w:p>
        <w:p>
          <w:pPr>
            <w:pStyle w:val="Contents4"/>
            <w:tabs>
              <w:tab w:val="clear" w:pos="8176"/>
              <w:tab w:val="right" w:pos="9026" w:leader="dot"/>
            </w:tabs>
            <w:rPr/>
          </w:pPr>
          <w:hyperlink w:anchor="__RefHeading___Toc1400742_3650668749">
            <w:r>
              <w:rPr>
                <w:webHidden/>
                <w:rStyle w:val="IndexLink"/>
              </w:rPr>
              <w:t>2</w:t>
            </w:r>
            <w:r>
              <w:rPr>
                <w:rStyle w:val="IndexLink"/>
                <w:rtl w:val="true"/>
              </w:rPr>
              <w:t xml:space="preserve">. </w:t>
            </w:r>
            <w:r>
              <w:rPr>
                <w:rStyle w:val="IndexLink"/>
                <w:rtl w:val="true"/>
              </w:rPr>
              <w:t>لفظ الشیعة فی القرآن والسنّة</w:t>
            </w:r>
            <w:r>
              <w:rPr>
                <w:rStyle w:val="IndexLink"/>
                <w:rtl w:val="true"/>
              </w:rPr>
              <w:tab/>
            </w:r>
            <w:r>
              <w:rPr>
                <w:rStyle w:val="IndexLink"/>
              </w:rPr>
              <w:t>21</w:t>
            </w:r>
          </w:hyperlink>
        </w:p>
        <w:p>
          <w:pPr>
            <w:pStyle w:val="Contents4"/>
            <w:tabs>
              <w:tab w:val="clear" w:pos="8176"/>
              <w:tab w:val="right" w:pos="9026" w:leader="dot"/>
            </w:tabs>
            <w:rPr/>
          </w:pPr>
          <w:hyperlink w:anchor="__RefHeading___Toc1400744_3650668749">
            <w:r>
              <w:rPr>
                <w:webHidden/>
                <w:rStyle w:val="IndexLink"/>
              </w:rPr>
              <w:t>3</w:t>
            </w:r>
            <w:r>
              <w:rPr>
                <w:rStyle w:val="IndexLink"/>
                <w:rtl w:val="true"/>
              </w:rPr>
              <w:t xml:space="preserve">. </w:t>
            </w:r>
            <w:r>
              <w:rPr>
                <w:rStyle w:val="IndexLink"/>
                <w:rtl w:val="true"/>
              </w:rPr>
              <w:t>نشوء المذهب الشیعی‌</w:t>
            </w:r>
            <w:r>
              <w:rPr>
                <w:rStyle w:val="IndexLink"/>
                <w:rtl w:val="true"/>
              </w:rPr>
              <w:tab/>
            </w:r>
            <w:r>
              <w:rPr>
                <w:rStyle w:val="IndexLink"/>
              </w:rPr>
              <w:t>24</w:t>
            </w:r>
          </w:hyperlink>
        </w:p>
        <w:p>
          <w:pPr>
            <w:pStyle w:val="Contents5"/>
            <w:tabs>
              <w:tab w:val="clear" w:pos="7892"/>
              <w:tab w:val="right" w:pos="9026" w:leader="dot"/>
            </w:tabs>
            <w:rPr/>
          </w:pPr>
          <w:hyperlink w:anchor="__RefHeading___Toc1400746_365066874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400748_3650668749">
            <w:r>
              <w:rPr>
                <w:webHidden/>
                <w:rStyle w:val="IndexLink"/>
                <w:rtl w:val="true"/>
              </w:rPr>
              <w:t>أ</w:t>
            </w:r>
            <w:r>
              <w:rPr>
                <w:rStyle w:val="IndexLink"/>
                <w:rtl w:val="true"/>
              </w:rPr>
              <w:t xml:space="preserve">. </w:t>
            </w:r>
            <w:r>
              <w:rPr>
                <w:rStyle w:val="IndexLink"/>
                <w:rtl w:val="true"/>
              </w:rPr>
              <w:t>الإشادة بفضائل علی علیه السلام‌</w:t>
            </w:r>
            <w:r>
              <w:rPr>
                <w:rStyle w:val="IndexLink"/>
                <w:rtl w:val="true"/>
              </w:rPr>
              <w:tab/>
            </w:r>
            <w:r>
              <w:rPr>
                <w:rStyle w:val="IndexLink"/>
              </w:rPr>
              <w:t>25</w:t>
            </w:r>
          </w:hyperlink>
        </w:p>
        <w:p>
          <w:pPr>
            <w:pStyle w:val="Contents5"/>
            <w:tabs>
              <w:tab w:val="clear" w:pos="7892"/>
              <w:tab w:val="right" w:pos="9026" w:leader="dot"/>
            </w:tabs>
            <w:rPr/>
          </w:pPr>
          <w:hyperlink w:anchor="__RefHeading___Toc1400750_3650668749">
            <w:r>
              <w:rPr>
                <w:webHidden/>
                <w:rStyle w:val="IndexLink"/>
                <w:rtl w:val="true"/>
              </w:rPr>
              <w:t>ب</w:t>
            </w:r>
            <w:r>
              <w:rPr>
                <w:rStyle w:val="IndexLink"/>
                <w:rtl w:val="true"/>
              </w:rPr>
              <w:t xml:space="preserve">. </w:t>
            </w:r>
            <w:r>
              <w:rPr>
                <w:rStyle w:val="IndexLink"/>
                <w:rtl w:val="true"/>
              </w:rPr>
              <w:t xml:space="preserve">حدیث بدء الدعوة </w:t>
            </w:r>
            <w:r>
              <w:rPr>
                <w:rStyle w:val="IndexLink"/>
                <w:rtl w:val="true"/>
              </w:rPr>
              <w:t>(</w:t>
            </w:r>
            <w:r>
              <w:rPr>
                <w:rStyle w:val="IndexLink"/>
                <w:rtl w:val="true"/>
              </w:rPr>
              <w:t>الدار</w:t>
            </w:r>
            <w:r>
              <w:rPr>
                <w:rStyle w:val="IndexLink"/>
                <w:rtl w:val="true"/>
              </w:rPr>
              <w:t>)</w:t>
              <w:tab/>
            </w:r>
            <w:r>
              <w:rPr>
                <w:rStyle w:val="IndexLink"/>
              </w:rPr>
              <w:t>25</w:t>
            </w:r>
          </w:hyperlink>
        </w:p>
        <w:p>
          <w:pPr>
            <w:pStyle w:val="Contents5"/>
            <w:tabs>
              <w:tab w:val="clear" w:pos="7892"/>
              <w:tab w:val="right" w:pos="9026" w:leader="dot"/>
            </w:tabs>
            <w:rPr/>
          </w:pPr>
          <w:hyperlink w:anchor="__RefHeading___Toc1400752_3650668749">
            <w:r>
              <w:rPr>
                <w:webHidden/>
                <w:rStyle w:val="IndexLink"/>
                <w:rtl w:val="true"/>
              </w:rPr>
              <w:t>ج</w:t>
            </w:r>
            <w:r>
              <w:rPr>
                <w:rStyle w:val="IndexLink"/>
                <w:rtl w:val="true"/>
              </w:rPr>
              <w:t xml:space="preserve">. </w:t>
            </w:r>
            <w:r>
              <w:rPr>
                <w:rStyle w:val="IndexLink"/>
                <w:rtl w:val="true"/>
              </w:rPr>
              <w:t>حدیث المنزلة</w:t>
            </w:r>
            <w:r>
              <w:rPr>
                <w:rStyle w:val="IndexLink"/>
                <w:rtl w:val="true"/>
              </w:rPr>
              <w:tab/>
            </w:r>
            <w:r>
              <w:rPr>
                <w:rStyle w:val="IndexLink"/>
              </w:rPr>
              <w:t>26</w:t>
            </w:r>
          </w:hyperlink>
        </w:p>
        <w:p>
          <w:pPr>
            <w:pStyle w:val="Contents5"/>
            <w:tabs>
              <w:tab w:val="clear" w:pos="7892"/>
              <w:tab w:val="right" w:pos="9026" w:leader="dot"/>
            </w:tabs>
            <w:rPr/>
          </w:pPr>
          <w:hyperlink w:anchor="__RefHeading___Toc1400754_3650668749">
            <w:r>
              <w:rPr>
                <w:webHidden/>
                <w:rStyle w:val="IndexLink"/>
                <w:rtl w:val="true"/>
              </w:rPr>
              <w:t>د</w:t>
            </w:r>
            <w:r>
              <w:rPr>
                <w:rStyle w:val="IndexLink"/>
                <w:rtl w:val="true"/>
              </w:rPr>
              <w:t xml:space="preserve">. </w:t>
            </w:r>
            <w:r>
              <w:rPr>
                <w:rStyle w:val="IndexLink"/>
                <w:rtl w:val="true"/>
              </w:rPr>
              <w:t>إعلان البراءة من المشرکین‌</w:t>
            </w:r>
            <w:r>
              <w:rPr>
                <w:rStyle w:val="IndexLink"/>
                <w:rtl w:val="true"/>
              </w:rPr>
              <w:tab/>
            </w:r>
            <w:r>
              <w:rPr>
                <w:rStyle w:val="IndexLink"/>
              </w:rPr>
              <w:t>26</w:t>
            </w:r>
          </w:hyperlink>
        </w:p>
        <w:p>
          <w:pPr>
            <w:pStyle w:val="Contents5"/>
            <w:tabs>
              <w:tab w:val="clear" w:pos="7892"/>
              <w:tab w:val="right" w:pos="9026" w:leader="dot"/>
            </w:tabs>
            <w:rPr/>
          </w:pPr>
          <w:hyperlink w:anchor="__RefHeading___Toc1400756_3650668749">
            <w:r>
              <w:rPr>
                <w:webHidden/>
                <w:rStyle w:val="IndexLink"/>
                <w:rtl w:val="true"/>
              </w:rPr>
              <w:t>ه</w:t>
            </w:r>
            <w:r>
              <w:rPr>
                <w:rStyle w:val="IndexLink"/>
                <w:rtl w:val="true"/>
              </w:rPr>
              <w:t xml:space="preserve">. </w:t>
            </w:r>
            <w:r>
              <w:rPr>
                <w:rStyle w:val="IndexLink"/>
                <w:rtl w:val="true"/>
              </w:rPr>
              <w:t>مشارکة علی فی المباهلة</w:t>
            </w:r>
            <w:r>
              <w:rPr>
                <w:rStyle w:val="IndexLink"/>
                <w:rtl w:val="true"/>
              </w:rPr>
              <w:tab/>
            </w:r>
            <w:r>
              <w:rPr>
                <w:rStyle w:val="IndexLink"/>
              </w:rPr>
              <w:t>27</w:t>
            </w:r>
          </w:hyperlink>
        </w:p>
        <w:p>
          <w:pPr>
            <w:pStyle w:val="Contents5"/>
            <w:tabs>
              <w:tab w:val="clear" w:pos="7892"/>
              <w:tab w:val="right" w:pos="9026" w:leader="dot"/>
            </w:tabs>
            <w:rPr/>
          </w:pPr>
          <w:hyperlink w:anchor="__RefHeading___Toc1400758_3650668749">
            <w:r>
              <w:rPr>
                <w:webHidden/>
                <w:rStyle w:val="IndexLink"/>
                <w:rtl w:val="true"/>
              </w:rPr>
              <w:t>و</w:t>
            </w:r>
            <w:r>
              <w:rPr>
                <w:rStyle w:val="IndexLink"/>
                <w:rtl w:val="true"/>
              </w:rPr>
              <w:t xml:space="preserve">. </w:t>
            </w:r>
            <w:r>
              <w:rPr>
                <w:rStyle w:val="IndexLink"/>
                <w:rtl w:val="true"/>
              </w:rPr>
              <w:t>حدیث الغدیر</w:t>
            </w:r>
            <w:r>
              <w:rPr>
                <w:rStyle w:val="IndexLink"/>
                <w:rtl w:val="true"/>
              </w:rPr>
              <w:t>:</w:t>
              <w:tab/>
            </w:r>
            <w:r>
              <w:rPr>
                <w:rStyle w:val="IndexLink"/>
              </w:rPr>
              <w:t>27</w:t>
            </w:r>
          </w:hyperlink>
        </w:p>
        <w:p>
          <w:pPr>
            <w:pStyle w:val="Contents5"/>
            <w:tabs>
              <w:tab w:val="clear" w:pos="7892"/>
              <w:tab w:val="right" w:pos="9026" w:leader="dot"/>
            </w:tabs>
            <w:rPr/>
          </w:pPr>
          <w:hyperlink w:anchor="__RefHeading___Toc1400760_3650668749">
            <w:r>
              <w:rPr>
                <w:webHidden/>
                <w:rStyle w:val="IndexLink"/>
                <w:rtl w:val="true"/>
              </w:rPr>
              <w:t>حصیلة البحث‌</w:t>
            </w:r>
            <w:r>
              <w:rPr>
                <w:rStyle w:val="IndexLink"/>
                <w:rtl w:val="true"/>
              </w:rPr>
              <w:tab/>
            </w:r>
            <w:r>
              <w:rPr>
                <w:rStyle w:val="IndexLink"/>
              </w:rPr>
              <w:t>28</w:t>
            </w:r>
          </w:hyperlink>
        </w:p>
        <w:p>
          <w:pPr>
            <w:pStyle w:val="Contents6"/>
            <w:tabs>
              <w:tab w:val="clear" w:pos="7609"/>
              <w:tab w:val="right" w:pos="9026" w:leader="dot"/>
            </w:tabs>
            <w:rPr/>
          </w:pPr>
          <w:hyperlink w:anchor="__RefHeading___Toc1400762_3650668749">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400764_3650668749">
            <w:r>
              <w:rPr>
                <w:webHidden/>
                <w:rStyle w:val="IndexLink"/>
              </w:rPr>
              <w:t>1</w:t>
            </w:r>
            <w:r>
              <w:rPr>
                <w:rStyle w:val="IndexLink"/>
                <w:rtl w:val="true"/>
              </w:rPr>
              <w:t xml:space="preserve">. </w:t>
            </w:r>
            <w:r>
              <w:rPr>
                <w:rStyle w:val="IndexLink"/>
                <w:rtl w:val="true"/>
              </w:rPr>
              <w:t xml:space="preserve">انحیاز روّاد النصّ </w:t>
            </w:r>
            <w:r>
              <w:rPr>
                <w:rStyle w:val="IndexLink"/>
                <w:rtl w:val="true"/>
              </w:rPr>
              <w:t>(</w:t>
            </w:r>
            <w:r>
              <w:rPr>
                <w:rStyle w:val="IndexLink"/>
                <w:rtl w:val="true"/>
              </w:rPr>
              <w:t>الشیعة</w:t>
            </w:r>
            <w:r>
              <w:rPr>
                <w:rStyle w:val="IndexLink"/>
                <w:rtl w:val="true"/>
              </w:rPr>
              <w:t xml:space="preserve">) </w:t>
            </w:r>
            <w:r>
              <w:rPr>
                <w:rStyle w:val="IndexLink"/>
                <w:rtl w:val="true"/>
              </w:rPr>
              <w:t>عن غیرهم‌</w:t>
            </w:r>
            <w:r>
              <w:rPr>
                <w:rStyle w:val="IndexLink"/>
                <w:rtl w:val="true"/>
              </w:rPr>
              <w:tab/>
            </w:r>
            <w:r>
              <w:rPr>
                <w:rStyle w:val="IndexLink"/>
              </w:rPr>
              <w:t>30</w:t>
            </w:r>
          </w:hyperlink>
        </w:p>
        <w:p>
          <w:pPr>
            <w:pStyle w:val="Contents6"/>
            <w:tabs>
              <w:tab w:val="clear" w:pos="7609"/>
              <w:tab w:val="right" w:pos="9026" w:leader="dot"/>
            </w:tabs>
            <w:rPr/>
          </w:pPr>
          <w:hyperlink w:anchor="__RefHeading___Toc1400766_365066874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400768_3650668749">
            <w:r>
              <w:rPr>
                <w:webHidden/>
                <w:rStyle w:val="IndexLink"/>
                <w:rtl w:val="true"/>
              </w:rPr>
              <w:t>وقفة مع احتجاجات القوم‌</w:t>
            </w:r>
            <w:r>
              <w:rPr>
                <w:rStyle w:val="IndexLink"/>
                <w:rtl w:val="true"/>
              </w:rPr>
              <w:tab/>
            </w:r>
            <w:r>
              <w:rPr>
                <w:rStyle w:val="IndexLink"/>
              </w:rPr>
              <w:t>31</w:t>
            </w:r>
          </w:hyperlink>
        </w:p>
        <w:p>
          <w:pPr>
            <w:pStyle w:val="Contents6"/>
            <w:tabs>
              <w:tab w:val="clear" w:pos="7609"/>
              <w:tab w:val="right" w:pos="9026" w:leader="dot"/>
            </w:tabs>
            <w:rPr/>
          </w:pPr>
          <w:hyperlink w:anchor="__RefHeading___Toc1400770_3650668749">
            <w:r>
              <w:rPr>
                <w:webHidden/>
                <w:rStyle w:val="IndexLink"/>
                <w:rtl w:val="true"/>
              </w:rPr>
              <w:t>حصیلة مناقشات السقیفة</w:t>
            </w:r>
            <w:r>
              <w:rPr>
                <w:rStyle w:val="IndexLink"/>
                <w:rtl w:val="true"/>
              </w:rPr>
              <w:tab/>
            </w:r>
            <w:r>
              <w:rPr>
                <w:rStyle w:val="IndexLink"/>
              </w:rPr>
              <w:t>32</w:t>
            </w:r>
          </w:hyperlink>
        </w:p>
        <w:p>
          <w:pPr>
            <w:pStyle w:val="Contents6"/>
            <w:tabs>
              <w:tab w:val="clear" w:pos="7609"/>
              <w:tab w:val="right" w:pos="9026" w:leader="dot"/>
            </w:tabs>
            <w:rPr/>
          </w:pPr>
          <w:hyperlink w:anchor="__RefHeading___Toc1400772_3650668749">
            <w:r>
              <w:rPr>
                <w:webHidden/>
                <w:rStyle w:val="IndexLink"/>
              </w:rPr>
              <w:t>2</w:t>
            </w:r>
            <w:r>
              <w:rPr>
                <w:rStyle w:val="IndexLink"/>
                <w:rtl w:val="true"/>
              </w:rPr>
              <w:t xml:space="preserve">. </w:t>
            </w:r>
            <w:r>
              <w:rPr>
                <w:rStyle w:val="IndexLink"/>
                <w:rtl w:val="true"/>
              </w:rPr>
              <w:t>روّاد التشیع فی صدر الإسلام‌</w:t>
            </w:r>
            <w:r>
              <w:rPr>
                <w:rStyle w:val="IndexLink"/>
                <w:rtl w:val="true"/>
              </w:rPr>
              <w:tab/>
            </w:r>
            <w:r>
              <w:rPr>
                <w:rStyle w:val="IndexLink"/>
              </w:rPr>
              <w:t>33</w:t>
            </w:r>
          </w:hyperlink>
        </w:p>
        <w:p>
          <w:pPr>
            <w:pStyle w:val="Contents4"/>
            <w:tabs>
              <w:tab w:val="clear" w:pos="8176"/>
              <w:tab w:val="right" w:pos="9026" w:leader="dot"/>
            </w:tabs>
            <w:rPr/>
          </w:pPr>
          <w:hyperlink w:anchor="__RefHeading___Toc1400774_3650668749">
            <w:r>
              <w:rPr>
                <w:webHidden/>
                <w:rStyle w:val="IndexLink"/>
              </w:rPr>
              <w:t>4</w:t>
            </w:r>
            <w:r>
              <w:rPr>
                <w:rStyle w:val="IndexLink"/>
                <w:rtl w:val="true"/>
              </w:rPr>
              <w:t xml:space="preserve">. </w:t>
            </w:r>
            <w:r>
              <w:rPr>
                <w:rStyle w:val="IndexLink"/>
                <w:rtl w:val="true"/>
              </w:rPr>
              <w:t>افتراضات وهمیة حول نشوء الشیعة</w:t>
            </w:r>
            <w:r>
              <w:rPr>
                <w:rStyle w:val="IndexLink"/>
                <w:rtl w:val="true"/>
              </w:rPr>
              <w:tab/>
            </w:r>
            <w:r>
              <w:rPr>
                <w:rStyle w:val="IndexLink"/>
              </w:rPr>
              <w:t>36</w:t>
            </w:r>
          </w:hyperlink>
        </w:p>
        <w:p>
          <w:pPr>
            <w:pStyle w:val="Contents5"/>
            <w:tabs>
              <w:tab w:val="clear" w:pos="7892"/>
              <w:tab w:val="right" w:pos="9026" w:leader="dot"/>
            </w:tabs>
            <w:rPr/>
          </w:pPr>
          <w:hyperlink w:anchor="__RefHeading___Toc1400776_3650668749">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400778_3650668749">
            <w:r>
              <w:rPr>
                <w:webHidden/>
                <w:rStyle w:val="IndexLink"/>
                <w:rtl w:val="true"/>
              </w:rPr>
              <w:t>الافتراض الأوّل</w:t>
            </w:r>
            <w:r>
              <w:rPr>
                <w:rStyle w:val="IndexLink"/>
                <w:rtl w:val="true"/>
              </w:rPr>
              <w:t xml:space="preserve">: </w:t>
            </w:r>
            <w:r>
              <w:rPr>
                <w:rStyle w:val="IndexLink"/>
                <w:rtl w:val="true"/>
              </w:rPr>
              <w:t>التشیّع صنیع عبد اللَّه بن سبأ</w:t>
            </w:r>
            <w:r>
              <w:rPr>
                <w:rStyle w:val="IndexLink"/>
                <w:rtl w:val="true"/>
              </w:rPr>
              <w:tab/>
            </w:r>
            <w:r>
              <w:rPr>
                <w:rStyle w:val="IndexLink"/>
              </w:rPr>
              <w:t>37</w:t>
            </w:r>
          </w:hyperlink>
        </w:p>
        <w:p>
          <w:pPr>
            <w:pStyle w:val="Contents6"/>
            <w:tabs>
              <w:tab w:val="clear" w:pos="7609"/>
              <w:tab w:val="right" w:pos="9026" w:leader="dot"/>
            </w:tabs>
            <w:rPr/>
          </w:pPr>
          <w:hyperlink w:anchor="__RefHeading___Toc1400780_3650668749">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1400782_3650668749">
            <w:r>
              <w:rPr>
                <w:webHidden/>
                <w:rStyle w:val="IndexLink"/>
                <w:rtl w:val="true"/>
              </w:rPr>
              <w:t>نظر المحقّقین فی الفرضیة</w:t>
            </w:r>
            <w:r>
              <w:rPr>
                <w:rStyle w:val="IndexLink"/>
                <w:rtl w:val="true"/>
              </w:rPr>
              <w:tab/>
            </w:r>
            <w:r>
              <w:rPr>
                <w:rStyle w:val="IndexLink"/>
              </w:rPr>
              <w:t>39</w:t>
            </w:r>
          </w:hyperlink>
        </w:p>
        <w:p>
          <w:pPr>
            <w:pStyle w:val="Contents6"/>
            <w:tabs>
              <w:tab w:val="clear" w:pos="7609"/>
              <w:tab w:val="right" w:pos="9026" w:leader="dot"/>
            </w:tabs>
            <w:rPr/>
          </w:pPr>
          <w:hyperlink w:anchor="__RefHeading___Toc1400784_3650668749">
            <w:r>
              <w:rPr>
                <w:webHidden/>
                <w:rStyle w:val="IndexLink"/>
                <w:rtl w:val="true"/>
              </w:rPr>
              <w:t>عبد اللَّه بن سبأ اسطورة تاریخیة</w:t>
            </w:r>
            <w:r>
              <w:rPr>
                <w:rStyle w:val="IndexLink"/>
                <w:rtl w:val="true"/>
              </w:rPr>
              <w:tab/>
            </w:r>
            <w:r>
              <w:rPr>
                <w:rStyle w:val="IndexLink"/>
              </w:rPr>
              <w:t>42</w:t>
            </w:r>
          </w:hyperlink>
        </w:p>
        <w:p>
          <w:pPr>
            <w:pStyle w:val="Contents5"/>
            <w:tabs>
              <w:tab w:val="clear" w:pos="7892"/>
              <w:tab w:val="right" w:pos="9026" w:leader="dot"/>
            </w:tabs>
            <w:rPr/>
          </w:pPr>
          <w:hyperlink w:anchor="__RefHeading___Toc1400786_3650668749">
            <w:r>
              <w:rPr>
                <w:webHidden/>
                <w:rStyle w:val="IndexLink"/>
                <w:rtl w:val="true"/>
              </w:rPr>
              <w:t>الافتراض الثانی</w:t>
            </w:r>
            <w:r>
              <w:rPr>
                <w:rStyle w:val="IndexLink"/>
                <w:rtl w:val="true"/>
              </w:rPr>
              <w:t xml:space="preserve">: </w:t>
            </w:r>
            <w:r>
              <w:rPr>
                <w:rStyle w:val="IndexLink"/>
                <w:rtl w:val="true"/>
              </w:rPr>
              <w:t>التشیع فارسی‌المبدأ أو الصبغة</w:t>
            </w:r>
            <w:r>
              <w:rPr>
                <w:rStyle w:val="IndexLink"/>
                <w:rtl w:val="true"/>
              </w:rPr>
              <w:tab/>
            </w:r>
            <w:r>
              <w:rPr>
                <w:rStyle w:val="IndexLink"/>
              </w:rPr>
              <w:t>43</w:t>
            </w:r>
          </w:hyperlink>
        </w:p>
        <w:p>
          <w:pPr>
            <w:pStyle w:val="Contents4"/>
            <w:tabs>
              <w:tab w:val="clear" w:pos="8176"/>
              <w:tab w:val="right" w:pos="9026" w:leader="dot"/>
            </w:tabs>
            <w:rPr/>
          </w:pPr>
          <w:hyperlink w:anchor="__RefHeading___Toc1400788_3650668749">
            <w:r>
              <w:rPr>
                <w:webHidden/>
                <w:rStyle w:val="IndexLink"/>
              </w:rPr>
              <w:t>5</w:t>
            </w:r>
            <w:r>
              <w:rPr>
                <w:rStyle w:val="IndexLink"/>
                <w:rtl w:val="true"/>
              </w:rPr>
              <w:t xml:space="preserve">. </w:t>
            </w:r>
            <w:r>
              <w:rPr>
                <w:rStyle w:val="IndexLink"/>
                <w:rtl w:val="true"/>
              </w:rPr>
              <w:t>الشیعة الإمامیة والخلافات السائدة بینهم وبین غیرهم من طوائف الشیعة</w:t>
            </w:r>
            <w:r>
              <w:rPr>
                <w:rStyle w:val="IndexLink"/>
                <w:rtl w:val="true"/>
              </w:rPr>
              <w:t>:</w:t>
              <w:tab/>
            </w:r>
            <w:r>
              <w:rPr>
                <w:rStyle w:val="IndexLink"/>
              </w:rPr>
              <w:t>47</w:t>
            </w:r>
          </w:hyperlink>
        </w:p>
        <w:p>
          <w:pPr>
            <w:pStyle w:val="Contents5"/>
            <w:tabs>
              <w:tab w:val="clear" w:pos="7892"/>
              <w:tab w:val="right" w:pos="9026" w:leader="dot"/>
            </w:tabs>
            <w:rPr/>
          </w:pPr>
          <w:hyperlink w:anchor="__RefHeading___Toc1400790_365066874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400792_3650668749">
            <w:r>
              <w:rPr>
                <w:webHidden/>
                <w:rStyle w:val="IndexLink"/>
                <w:rtl w:val="true"/>
              </w:rPr>
              <w:t>الزیدیة والإسماعیلیة</w:t>
            </w:r>
            <w:r>
              <w:rPr>
                <w:rStyle w:val="IndexLink"/>
                <w:rtl w:val="true"/>
              </w:rPr>
              <w:tab/>
            </w:r>
            <w:r>
              <w:rPr>
                <w:rStyle w:val="IndexLink"/>
              </w:rPr>
              <w:t>48</w:t>
            </w:r>
          </w:hyperlink>
        </w:p>
        <w:p>
          <w:pPr>
            <w:pStyle w:val="Contents4"/>
            <w:tabs>
              <w:tab w:val="clear" w:pos="8176"/>
              <w:tab w:val="right" w:pos="9026" w:leader="dot"/>
            </w:tabs>
            <w:rPr/>
          </w:pPr>
          <w:hyperlink w:anchor="__RefHeading___Toc1400794_3650668749">
            <w:r>
              <w:rPr>
                <w:webHidden/>
                <w:rStyle w:val="IndexLink"/>
              </w:rPr>
              <w:t>6</w:t>
            </w:r>
            <w:r>
              <w:rPr>
                <w:rStyle w:val="IndexLink"/>
                <w:rtl w:val="true"/>
              </w:rPr>
              <w:t xml:space="preserve">. </w:t>
            </w:r>
            <w:r>
              <w:rPr>
                <w:rStyle w:val="IndexLink"/>
                <w:rtl w:val="true"/>
              </w:rPr>
              <w:t>دور الشیعة فی بناء الحضارة الإسلامیة</w:t>
            </w:r>
            <w:r>
              <w:rPr>
                <w:rStyle w:val="IndexLink"/>
                <w:rtl w:val="true"/>
              </w:rPr>
              <w:tab/>
            </w:r>
            <w:r>
              <w:rPr>
                <w:rStyle w:val="IndexLink"/>
              </w:rPr>
              <w:t>48</w:t>
            </w:r>
          </w:hyperlink>
        </w:p>
        <w:p>
          <w:pPr>
            <w:pStyle w:val="Contents2"/>
            <w:tabs>
              <w:tab w:val="clear" w:pos="8743"/>
              <w:tab w:val="right" w:pos="9026" w:leader="dot"/>
            </w:tabs>
            <w:rPr/>
          </w:pPr>
          <w:hyperlink w:anchor="__RefHeading___Toc1400796_3650668749">
            <w:r>
              <w:rPr>
                <w:webHidden/>
                <w:rStyle w:val="IndexLink"/>
                <w:rtl w:val="true"/>
              </w:rPr>
              <w:t>الفصل الثانی</w:t>
            </w:r>
            <w:r>
              <w:rPr>
                <w:rStyle w:val="IndexLink"/>
                <w:rtl w:val="true"/>
              </w:rPr>
              <w:t xml:space="preserve">: </w:t>
            </w:r>
            <w:r>
              <w:rPr>
                <w:rStyle w:val="IndexLink"/>
                <w:rtl w:val="true"/>
              </w:rPr>
              <w:t>الأُصول الاعتقادیة</w:t>
            </w:r>
            <w:r>
              <w:rPr>
                <w:rStyle w:val="IndexLink"/>
                <w:rtl w:val="true"/>
              </w:rPr>
              <w:tab/>
            </w:r>
            <w:r>
              <w:rPr>
                <w:rStyle w:val="IndexLink"/>
              </w:rPr>
              <w:t>50</w:t>
            </w:r>
          </w:hyperlink>
        </w:p>
        <w:p>
          <w:pPr>
            <w:pStyle w:val="Contents3"/>
            <w:tabs>
              <w:tab w:val="clear" w:pos="8459"/>
              <w:tab w:val="right" w:pos="9026" w:leader="dot"/>
            </w:tabs>
            <w:rPr/>
          </w:pPr>
          <w:hyperlink w:anchor="__RefHeading___Toc1400798_365066874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400800_3650668749">
            <w:r>
              <w:rPr>
                <w:webHidden/>
                <w:rStyle w:val="IndexLink"/>
                <w:rtl w:val="true"/>
              </w:rPr>
              <w:t>الأُصول الاعتقادیة</w:t>
            </w:r>
            <w:r>
              <w:rPr>
                <w:rStyle w:val="IndexLink"/>
                <w:rtl w:val="true"/>
              </w:rPr>
              <w:tab/>
            </w:r>
            <w:r>
              <w:rPr>
                <w:rStyle w:val="IndexLink"/>
              </w:rPr>
              <w:t>51</w:t>
            </w:r>
          </w:hyperlink>
        </w:p>
        <w:p>
          <w:pPr>
            <w:pStyle w:val="Contents4"/>
            <w:tabs>
              <w:tab w:val="clear" w:pos="8176"/>
              <w:tab w:val="right" w:pos="9026" w:leader="dot"/>
            </w:tabs>
            <w:rPr/>
          </w:pPr>
          <w:hyperlink w:anchor="__RefHeading___Toc1400802_365066874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400804_3650668749">
            <w:r>
              <w:rPr>
                <w:webHidden/>
                <w:rStyle w:val="IndexLink"/>
              </w:rPr>
              <w:t>1</w:t>
            </w:r>
            <w:r>
              <w:rPr>
                <w:rStyle w:val="IndexLink"/>
                <w:rtl w:val="true"/>
              </w:rPr>
              <w:t xml:space="preserve">. </w:t>
            </w:r>
            <w:r>
              <w:rPr>
                <w:rStyle w:val="IndexLink"/>
                <w:rtl w:val="true"/>
              </w:rPr>
              <w:t>التوحید الذاتی‌</w:t>
            </w:r>
            <w:r>
              <w:rPr>
                <w:rStyle w:val="IndexLink"/>
                <w:rtl w:val="true"/>
              </w:rPr>
              <w:tab/>
            </w:r>
            <w:r>
              <w:rPr>
                <w:rStyle w:val="IndexLink"/>
              </w:rPr>
              <w:t>51</w:t>
            </w:r>
          </w:hyperlink>
        </w:p>
        <w:p>
          <w:pPr>
            <w:pStyle w:val="Contents4"/>
            <w:tabs>
              <w:tab w:val="clear" w:pos="8176"/>
              <w:tab w:val="right" w:pos="9026" w:leader="dot"/>
            </w:tabs>
            <w:rPr/>
          </w:pPr>
          <w:hyperlink w:anchor="__RefHeading___Toc1400806_3650668749">
            <w:r>
              <w:rPr>
                <w:webHidden/>
                <w:rStyle w:val="IndexLink"/>
              </w:rPr>
              <w:t>2</w:t>
            </w:r>
            <w:r>
              <w:rPr>
                <w:rStyle w:val="IndexLink"/>
                <w:rtl w:val="true"/>
              </w:rPr>
              <w:t xml:space="preserve">. </w:t>
            </w:r>
            <w:r>
              <w:rPr>
                <w:rStyle w:val="IndexLink"/>
                <w:rtl w:val="true"/>
              </w:rPr>
              <w:t>التوحید فی الصفات‌</w:t>
            </w:r>
            <w:r>
              <w:rPr>
                <w:rStyle w:val="IndexLink"/>
                <w:rtl w:val="true"/>
              </w:rPr>
              <w:tab/>
            </w:r>
            <w:r>
              <w:rPr>
                <w:rStyle w:val="IndexLink"/>
              </w:rPr>
              <w:t>52</w:t>
            </w:r>
          </w:hyperlink>
        </w:p>
        <w:p>
          <w:pPr>
            <w:pStyle w:val="Contents4"/>
            <w:tabs>
              <w:tab w:val="clear" w:pos="8176"/>
              <w:tab w:val="right" w:pos="9026" w:leader="dot"/>
            </w:tabs>
            <w:rPr/>
          </w:pPr>
          <w:hyperlink w:anchor="__RefHeading___Toc1400808_3650668749">
            <w:r>
              <w:rPr>
                <w:webHidden/>
                <w:rStyle w:val="IndexLink"/>
              </w:rPr>
              <w:t>3</w:t>
            </w:r>
            <w:r>
              <w:rPr>
                <w:rStyle w:val="IndexLink"/>
                <w:rtl w:val="true"/>
              </w:rPr>
              <w:t xml:space="preserve">. </w:t>
            </w:r>
            <w:r>
              <w:rPr>
                <w:rStyle w:val="IndexLink"/>
                <w:rtl w:val="true"/>
              </w:rPr>
              <w:t>التوحید فی الخالقیة</w:t>
            </w:r>
            <w:r>
              <w:rPr>
                <w:rStyle w:val="IndexLink"/>
                <w:rtl w:val="true"/>
              </w:rPr>
              <w:tab/>
            </w:r>
            <w:r>
              <w:rPr>
                <w:rStyle w:val="IndexLink"/>
              </w:rPr>
              <w:t>53</w:t>
            </w:r>
          </w:hyperlink>
        </w:p>
        <w:p>
          <w:pPr>
            <w:pStyle w:val="Contents4"/>
            <w:tabs>
              <w:tab w:val="clear" w:pos="8176"/>
              <w:tab w:val="right" w:pos="9026" w:leader="dot"/>
            </w:tabs>
            <w:rPr/>
          </w:pPr>
          <w:hyperlink w:anchor="__RefHeading___Toc1400810_3650668749">
            <w:r>
              <w:rPr>
                <w:webHidden/>
                <w:rStyle w:val="IndexLink"/>
              </w:rPr>
              <w:t>4</w:t>
            </w:r>
            <w:r>
              <w:rPr>
                <w:rStyle w:val="IndexLink"/>
                <w:rtl w:val="true"/>
              </w:rPr>
              <w:t xml:space="preserve">. </w:t>
            </w:r>
            <w:r>
              <w:rPr>
                <w:rStyle w:val="IndexLink"/>
                <w:rtl w:val="true"/>
              </w:rPr>
              <w:t>التوحید فی الربوبیة</w:t>
            </w:r>
            <w:r>
              <w:rPr>
                <w:rStyle w:val="IndexLink"/>
                <w:rtl w:val="true"/>
              </w:rPr>
              <w:tab/>
            </w:r>
            <w:r>
              <w:rPr>
                <w:rStyle w:val="IndexLink"/>
              </w:rPr>
              <w:t>54</w:t>
            </w:r>
          </w:hyperlink>
        </w:p>
        <w:p>
          <w:pPr>
            <w:pStyle w:val="Contents4"/>
            <w:tabs>
              <w:tab w:val="clear" w:pos="8176"/>
              <w:tab w:val="right" w:pos="9026" w:leader="dot"/>
            </w:tabs>
            <w:rPr/>
          </w:pPr>
          <w:hyperlink w:anchor="__RefHeading___Toc1400812_3650668749">
            <w:r>
              <w:rPr>
                <w:webHidden/>
                <w:rStyle w:val="IndexLink"/>
              </w:rPr>
              <w:t>5</w:t>
            </w:r>
            <w:r>
              <w:rPr>
                <w:rStyle w:val="IndexLink"/>
                <w:rtl w:val="true"/>
              </w:rPr>
              <w:t xml:space="preserve">. </w:t>
            </w:r>
            <w:r>
              <w:rPr>
                <w:rStyle w:val="IndexLink"/>
                <w:rtl w:val="true"/>
              </w:rPr>
              <w:t>التوحید فی الحاکمیة</w:t>
            </w:r>
            <w:r>
              <w:rPr>
                <w:rStyle w:val="IndexLink"/>
                <w:rtl w:val="true"/>
              </w:rPr>
              <w:tab/>
            </w:r>
            <w:r>
              <w:rPr>
                <w:rStyle w:val="IndexLink"/>
              </w:rPr>
              <w:t>55</w:t>
            </w:r>
          </w:hyperlink>
        </w:p>
        <w:p>
          <w:pPr>
            <w:pStyle w:val="Contents4"/>
            <w:tabs>
              <w:tab w:val="clear" w:pos="8176"/>
              <w:tab w:val="right" w:pos="9026" w:leader="dot"/>
            </w:tabs>
            <w:rPr/>
          </w:pPr>
          <w:hyperlink w:anchor="__RefHeading___Toc1400814_3650668749">
            <w:r>
              <w:rPr>
                <w:webHidden/>
                <w:rStyle w:val="IndexLink"/>
              </w:rPr>
              <w:t>6</w:t>
            </w:r>
            <w:r>
              <w:rPr>
                <w:rStyle w:val="IndexLink"/>
                <w:rtl w:val="true"/>
              </w:rPr>
              <w:t xml:space="preserve">. </w:t>
            </w:r>
            <w:r>
              <w:rPr>
                <w:rStyle w:val="IndexLink"/>
                <w:rtl w:val="true"/>
              </w:rPr>
              <w:t>التوحید فی العبادة</w:t>
            </w:r>
            <w:r>
              <w:rPr>
                <w:rStyle w:val="IndexLink"/>
                <w:rtl w:val="true"/>
              </w:rPr>
              <w:tab/>
            </w:r>
            <w:r>
              <w:rPr>
                <w:rStyle w:val="IndexLink"/>
              </w:rPr>
              <w:t>56</w:t>
            </w:r>
          </w:hyperlink>
        </w:p>
        <w:p>
          <w:pPr>
            <w:pStyle w:val="Contents4"/>
            <w:tabs>
              <w:tab w:val="clear" w:pos="8176"/>
              <w:tab w:val="right" w:pos="9026" w:leader="dot"/>
            </w:tabs>
            <w:rPr/>
          </w:pPr>
          <w:hyperlink w:anchor="__RefHeading___Toc1400816_3650668749">
            <w:r>
              <w:rPr>
                <w:webHidden/>
                <w:rStyle w:val="IndexLink"/>
              </w:rPr>
              <w:t>7</w:t>
            </w:r>
            <w:r>
              <w:rPr>
                <w:rStyle w:val="IndexLink"/>
                <w:rtl w:val="true"/>
              </w:rPr>
              <w:t xml:space="preserve">. </w:t>
            </w:r>
            <w:r>
              <w:rPr>
                <w:rStyle w:val="IndexLink"/>
                <w:rtl w:val="true"/>
              </w:rPr>
              <w:t>صفات الذات وصفات الفعل‌</w:t>
            </w:r>
            <w:r>
              <w:rPr>
                <w:rStyle w:val="IndexLink"/>
                <w:rtl w:val="true"/>
              </w:rPr>
              <w:tab/>
            </w:r>
            <w:r>
              <w:rPr>
                <w:rStyle w:val="IndexLink"/>
              </w:rPr>
              <w:t>57</w:t>
            </w:r>
          </w:hyperlink>
        </w:p>
        <w:p>
          <w:pPr>
            <w:pStyle w:val="Contents4"/>
            <w:tabs>
              <w:tab w:val="clear" w:pos="8176"/>
              <w:tab w:val="right" w:pos="9026" w:leader="dot"/>
            </w:tabs>
            <w:rPr/>
          </w:pPr>
          <w:hyperlink w:anchor="__RefHeading___Toc1400818_3650668749">
            <w:r>
              <w:rPr>
                <w:webHidden/>
                <w:rStyle w:val="IndexLink"/>
              </w:rPr>
              <w:t>8</w:t>
            </w:r>
            <w:r>
              <w:rPr>
                <w:rStyle w:val="IndexLink"/>
                <w:rtl w:val="true"/>
              </w:rPr>
              <w:t xml:space="preserve">. </w:t>
            </w:r>
            <w:r>
              <w:rPr>
                <w:rStyle w:val="IndexLink"/>
                <w:rtl w:val="true"/>
              </w:rPr>
              <w:t>صفاته الثبوتیة والسلبیة</w:t>
            </w:r>
            <w:r>
              <w:rPr>
                <w:rStyle w:val="IndexLink"/>
                <w:rtl w:val="true"/>
              </w:rPr>
              <w:tab/>
            </w:r>
            <w:r>
              <w:rPr>
                <w:rStyle w:val="IndexLink"/>
              </w:rPr>
              <w:t>57</w:t>
            </w:r>
          </w:hyperlink>
        </w:p>
        <w:p>
          <w:pPr>
            <w:pStyle w:val="Contents4"/>
            <w:tabs>
              <w:tab w:val="clear" w:pos="8176"/>
              <w:tab w:val="right" w:pos="9026" w:leader="dot"/>
            </w:tabs>
            <w:rPr/>
          </w:pPr>
          <w:hyperlink w:anchor="__RefHeading___Toc1400820_3650668749">
            <w:r>
              <w:rPr>
                <w:webHidden/>
                <w:rStyle w:val="IndexLink"/>
              </w:rPr>
              <w:t>9</w:t>
            </w:r>
            <w:r>
              <w:rPr>
                <w:rStyle w:val="IndexLink"/>
                <w:rtl w:val="true"/>
              </w:rPr>
              <w:t xml:space="preserve">. </w:t>
            </w:r>
            <w:r>
              <w:rPr>
                <w:rStyle w:val="IndexLink"/>
                <w:rtl w:val="true"/>
              </w:rPr>
              <w:t>صفاته الخبریة</w:t>
            </w:r>
            <w:r>
              <w:rPr>
                <w:rStyle w:val="IndexLink"/>
                <w:rtl w:val="true"/>
              </w:rPr>
              <w:tab/>
            </w:r>
            <w:r>
              <w:rPr>
                <w:rStyle w:val="IndexLink"/>
              </w:rPr>
              <w:t>58</w:t>
            </w:r>
          </w:hyperlink>
        </w:p>
        <w:p>
          <w:pPr>
            <w:pStyle w:val="Contents4"/>
            <w:tabs>
              <w:tab w:val="clear" w:pos="8176"/>
              <w:tab w:val="right" w:pos="9026" w:leader="dot"/>
            </w:tabs>
            <w:rPr/>
          </w:pPr>
          <w:hyperlink w:anchor="__RefHeading___Toc1400822_3650668749">
            <w:r>
              <w:rPr>
                <w:webHidden/>
                <w:rStyle w:val="IndexLink"/>
              </w:rPr>
              <w:t>10</w:t>
            </w:r>
            <w:r>
              <w:rPr>
                <w:rStyle w:val="IndexLink"/>
                <w:rtl w:val="true"/>
              </w:rPr>
              <w:t xml:space="preserve">. </w:t>
            </w:r>
            <w:r>
              <w:rPr>
                <w:rStyle w:val="IndexLink"/>
                <w:rtl w:val="true"/>
              </w:rPr>
              <w:t>القضاء والقدر</w:t>
            </w:r>
            <w:r>
              <w:rPr>
                <w:rStyle w:val="IndexLink"/>
                <w:rtl w:val="true"/>
              </w:rPr>
              <w:tab/>
            </w:r>
            <w:r>
              <w:rPr>
                <w:rStyle w:val="IndexLink"/>
              </w:rPr>
              <w:t>59</w:t>
            </w:r>
          </w:hyperlink>
        </w:p>
        <w:p>
          <w:pPr>
            <w:pStyle w:val="Contents4"/>
            <w:tabs>
              <w:tab w:val="clear" w:pos="8176"/>
              <w:tab w:val="right" w:pos="9026" w:leader="dot"/>
            </w:tabs>
            <w:rPr/>
          </w:pPr>
          <w:hyperlink w:anchor="__RefHeading___Toc1400824_3650668749">
            <w:r>
              <w:rPr>
                <w:webHidden/>
                <w:rStyle w:val="IndexLink"/>
              </w:rPr>
              <w:t>11</w:t>
            </w:r>
            <w:r>
              <w:rPr>
                <w:rStyle w:val="IndexLink"/>
                <w:rtl w:val="true"/>
              </w:rPr>
              <w:t xml:space="preserve">. </w:t>
            </w:r>
            <w:r>
              <w:rPr>
                <w:rStyle w:val="IndexLink"/>
                <w:rtl w:val="true"/>
              </w:rPr>
              <w:t>الإنسان موجود مختار</w:t>
            </w:r>
            <w:r>
              <w:rPr>
                <w:rStyle w:val="IndexLink"/>
                <w:rtl w:val="true"/>
              </w:rPr>
              <w:tab/>
            </w:r>
            <w:r>
              <w:rPr>
                <w:rStyle w:val="IndexLink"/>
              </w:rPr>
              <w:t>60</w:t>
            </w:r>
          </w:hyperlink>
        </w:p>
        <w:p>
          <w:pPr>
            <w:pStyle w:val="Contents4"/>
            <w:tabs>
              <w:tab w:val="clear" w:pos="8176"/>
              <w:tab w:val="right" w:pos="9026" w:leader="dot"/>
            </w:tabs>
            <w:rPr/>
          </w:pPr>
          <w:hyperlink w:anchor="__RefHeading___Toc1400826_3650668749">
            <w:r>
              <w:rPr>
                <w:webHidden/>
                <w:rStyle w:val="IndexLink"/>
              </w:rPr>
              <w:t>12</w:t>
            </w:r>
            <w:r>
              <w:rPr>
                <w:rStyle w:val="IndexLink"/>
                <w:rtl w:val="true"/>
              </w:rPr>
              <w:t xml:space="preserve">. </w:t>
            </w:r>
            <w:r>
              <w:rPr>
                <w:rStyle w:val="IndexLink"/>
                <w:rtl w:val="true"/>
              </w:rPr>
              <w:t>ضرورة النبوّة العامّة</w:t>
            </w:r>
            <w:r>
              <w:rPr>
                <w:rStyle w:val="IndexLink"/>
                <w:rtl w:val="true"/>
              </w:rPr>
              <w:tab/>
            </w:r>
            <w:r>
              <w:rPr>
                <w:rStyle w:val="IndexLink"/>
              </w:rPr>
              <w:t>60</w:t>
            </w:r>
          </w:hyperlink>
        </w:p>
        <w:p>
          <w:pPr>
            <w:pStyle w:val="Contents5"/>
            <w:tabs>
              <w:tab w:val="clear" w:pos="7892"/>
              <w:tab w:val="right" w:pos="9026" w:leader="dot"/>
            </w:tabs>
            <w:rPr/>
          </w:pPr>
          <w:hyperlink w:anchor="__RefHeading___Toc1400828_365066874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400830_3650668749">
            <w:r>
              <w:rPr>
                <w:webHidden/>
                <w:rStyle w:val="IndexLink"/>
                <w:rtl w:val="true"/>
              </w:rPr>
              <w:t>صفات الأنبیاء</w:t>
            </w:r>
            <w:r>
              <w:rPr>
                <w:rStyle w:val="IndexLink"/>
                <w:rtl w:val="true"/>
              </w:rPr>
              <w:tab/>
            </w:r>
            <w:r>
              <w:rPr>
                <w:rStyle w:val="IndexLink"/>
              </w:rPr>
              <w:t>61</w:t>
            </w:r>
          </w:hyperlink>
        </w:p>
        <w:p>
          <w:pPr>
            <w:pStyle w:val="Contents4"/>
            <w:tabs>
              <w:tab w:val="clear" w:pos="8176"/>
              <w:tab w:val="right" w:pos="9026" w:leader="dot"/>
            </w:tabs>
            <w:rPr/>
          </w:pPr>
          <w:hyperlink w:anchor="__RefHeading___Toc1400832_3650668749">
            <w:r>
              <w:rPr>
                <w:webHidden/>
                <w:rStyle w:val="IndexLink"/>
              </w:rPr>
              <w:t>13</w:t>
            </w:r>
            <w:r>
              <w:rPr>
                <w:rStyle w:val="IndexLink"/>
                <w:rtl w:val="true"/>
              </w:rPr>
              <w:t xml:space="preserve">. </w:t>
            </w:r>
            <w:r>
              <w:rPr>
                <w:rStyle w:val="IndexLink"/>
                <w:rtl w:val="true"/>
              </w:rPr>
              <w:t>النبوة الخاصّة</w:t>
            </w:r>
            <w:r>
              <w:rPr>
                <w:rStyle w:val="IndexLink"/>
                <w:rtl w:val="true"/>
              </w:rPr>
              <w:tab/>
            </w:r>
            <w:r>
              <w:rPr>
                <w:rStyle w:val="IndexLink"/>
              </w:rPr>
              <w:t>61</w:t>
            </w:r>
          </w:hyperlink>
        </w:p>
        <w:p>
          <w:pPr>
            <w:pStyle w:val="Contents4"/>
            <w:tabs>
              <w:tab w:val="clear" w:pos="8176"/>
              <w:tab w:val="right" w:pos="9026" w:leader="dot"/>
            </w:tabs>
            <w:rPr/>
          </w:pPr>
          <w:hyperlink w:anchor="__RefHeading___Toc1400834_3650668749">
            <w:r>
              <w:rPr>
                <w:webHidden/>
                <w:rStyle w:val="IndexLink"/>
              </w:rPr>
              <w:t>14</w:t>
            </w:r>
            <w:r>
              <w:rPr>
                <w:rStyle w:val="IndexLink"/>
                <w:rtl w:val="true"/>
              </w:rPr>
              <w:t xml:space="preserve">. </w:t>
            </w:r>
            <w:r>
              <w:rPr>
                <w:rStyle w:val="IndexLink"/>
                <w:rtl w:val="true"/>
              </w:rPr>
              <w:t>المعاد والقیامة</w:t>
            </w:r>
            <w:r>
              <w:rPr>
                <w:rStyle w:val="IndexLink"/>
                <w:rtl w:val="true"/>
              </w:rPr>
              <w:tab/>
            </w:r>
            <w:r>
              <w:rPr>
                <w:rStyle w:val="IndexLink"/>
              </w:rPr>
              <w:t>62</w:t>
            </w:r>
          </w:hyperlink>
        </w:p>
        <w:p>
          <w:pPr>
            <w:pStyle w:val="Contents4"/>
            <w:tabs>
              <w:tab w:val="clear" w:pos="8176"/>
              <w:tab w:val="right" w:pos="9026" w:leader="dot"/>
            </w:tabs>
            <w:rPr/>
          </w:pPr>
          <w:hyperlink w:anchor="__RefHeading___Toc1400836_3650668749">
            <w:r>
              <w:rPr>
                <w:webHidden/>
                <w:rStyle w:val="IndexLink"/>
              </w:rPr>
              <w:t>15</w:t>
            </w:r>
            <w:r>
              <w:rPr>
                <w:rStyle w:val="IndexLink"/>
                <w:rtl w:val="true"/>
              </w:rPr>
              <w:t xml:space="preserve">. </w:t>
            </w:r>
            <w:r>
              <w:rPr>
                <w:rStyle w:val="IndexLink"/>
                <w:rtl w:val="true"/>
              </w:rPr>
              <w:t>المسائل الکلامیة</w:t>
            </w:r>
            <w:r>
              <w:rPr>
                <w:rStyle w:val="IndexLink"/>
                <w:rtl w:val="true"/>
              </w:rPr>
              <w:t xml:space="preserve">: </w:t>
            </w:r>
            <w:r>
              <w:rPr>
                <w:rStyle w:val="IndexLink"/>
                <w:rtl w:val="true"/>
              </w:rPr>
              <w:t>الّتی تفرّدت بها الإمامیة</w:t>
            </w:r>
            <w:r>
              <w:rPr>
                <w:rStyle w:val="IndexLink"/>
                <w:rtl w:val="true"/>
              </w:rPr>
              <w:tab/>
            </w:r>
            <w:r>
              <w:rPr>
                <w:rStyle w:val="IndexLink"/>
              </w:rPr>
              <w:t>63</w:t>
            </w:r>
          </w:hyperlink>
        </w:p>
        <w:p>
          <w:pPr>
            <w:pStyle w:val="Contents2"/>
            <w:tabs>
              <w:tab w:val="clear" w:pos="8743"/>
              <w:tab w:val="right" w:pos="9026" w:leader="dot"/>
            </w:tabs>
            <w:rPr/>
          </w:pPr>
          <w:hyperlink w:anchor="__RefHeading___Toc1400838_3650668749">
            <w:r>
              <w:rPr>
                <w:webHidden/>
                <w:rStyle w:val="IndexLink"/>
                <w:rtl w:val="true"/>
              </w:rPr>
              <w:t>الفصل الثالث</w:t>
            </w:r>
            <w:r>
              <w:rPr>
                <w:rStyle w:val="IndexLink"/>
                <w:rtl w:val="true"/>
              </w:rPr>
              <w:t xml:space="preserve">: </w:t>
            </w:r>
            <w:r>
              <w:rPr>
                <w:rStyle w:val="IndexLink"/>
                <w:rtl w:val="true"/>
              </w:rPr>
              <w:t>ملاک التوحید والشرک فی العبادة</w:t>
            </w:r>
            <w:r>
              <w:rPr>
                <w:rStyle w:val="IndexLink"/>
                <w:rtl w:val="true"/>
              </w:rPr>
              <w:tab/>
            </w:r>
            <w:r>
              <w:rPr>
                <w:rStyle w:val="IndexLink"/>
              </w:rPr>
              <w:t>66</w:t>
            </w:r>
          </w:hyperlink>
        </w:p>
        <w:p>
          <w:pPr>
            <w:pStyle w:val="Contents3"/>
            <w:tabs>
              <w:tab w:val="clear" w:pos="8459"/>
              <w:tab w:val="right" w:pos="9026" w:leader="dot"/>
            </w:tabs>
            <w:rPr/>
          </w:pPr>
          <w:hyperlink w:anchor="__RefHeading___Toc1400840_3650668749">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400842_3650668749">
            <w:r>
              <w:rPr>
                <w:webHidden/>
                <w:rStyle w:val="IndexLink"/>
                <w:rtl w:val="true"/>
              </w:rPr>
              <w:t>ملاک التوحید والشرک فی العبادة</w:t>
            </w:r>
            <w:r>
              <w:rPr>
                <w:rStyle w:val="IndexLink"/>
                <w:rtl w:val="true"/>
              </w:rPr>
              <w:tab/>
            </w:r>
            <w:r>
              <w:rPr>
                <w:rStyle w:val="IndexLink"/>
              </w:rPr>
              <w:t>67</w:t>
            </w:r>
          </w:hyperlink>
        </w:p>
        <w:p>
          <w:pPr>
            <w:pStyle w:val="Contents4"/>
            <w:tabs>
              <w:tab w:val="clear" w:pos="8176"/>
              <w:tab w:val="right" w:pos="9026" w:leader="dot"/>
            </w:tabs>
            <w:rPr/>
          </w:pPr>
          <w:hyperlink w:anchor="__RefHeading___Toc1400844_365066874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00846_3650668749">
            <w:r>
              <w:rPr>
                <w:webHidden/>
                <w:rStyle w:val="IndexLink"/>
              </w:rPr>
              <w:t>1</w:t>
            </w:r>
            <w:r>
              <w:rPr>
                <w:rStyle w:val="IndexLink"/>
                <w:rtl w:val="true"/>
              </w:rPr>
              <w:t xml:space="preserve">- </w:t>
            </w:r>
            <w:r>
              <w:rPr>
                <w:rStyle w:val="IndexLink"/>
                <w:rtl w:val="true"/>
              </w:rPr>
              <w:t>الاستعانة بغیر اللَّه سبحانه‌</w:t>
            </w:r>
            <w:r>
              <w:rPr>
                <w:rStyle w:val="IndexLink"/>
                <w:rtl w:val="true"/>
              </w:rPr>
              <w:tab/>
            </w:r>
            <w:r>
              <w:rPr>
                <w:rStyle w:val="IndexLink"/>
              </w:rPr>
              <w:t>75</w:t>
            </w:r>
          </w:hyperlink>
        </w:p>
        <w:p>
          <w:pPr>
            <w:pStyle w:val="Contents4"/>
            <w:tabs>
              <w:tab w:val="clear" w:pos="8176"/>
              <w:tab w:val="right" w:pos="9026" w:leader="dot"/>
            </w:tabs>
            <w:rPr/>
          </w:pPr>
          <w:hyperlink w:anchor="__RefHeading___Toc1400848_3650668749">
            <w:r>
              <w:rPr>
                <w:webHidden/>
                <w:rStyle w:val="IndexLink"/>
              </w:rPr>
              <w:t>2</w:t>
            </w:r>
            <w:r>
              <w:rPr>
                <w:rStyle w:val="IndexLink"/>
                <w:rtl w:val="true"/>
              </w:rPr>
              <w:t xml:space="preserve">- </w:t>
            </w:r>
            <w:r>
              <w:rPr>
                <w:rStyle w:val="IndexLink"/>
                <w:rtl w:val="true"/>
              </w:rPr>
              <w:t>طلب الشفاعة من المأذونین بها</w:t>
            </w:r>
            <w:r>
              <w:rPr>
                <w:rStyle w:val="IndexLink"/>
                <w:rtl w:val="true"/>
              </w:rPr>
              <w:tab/>
            </w:r>
            <w:r>
              <w:rPr>
                <w:rStyle w:val="IndexLink"/>
              </w:rPr>
              <w:t>79</w:t>
            </w:r>
          </w:hyperlink>
        </w:p>
        <w:p>
          <w:pPr>
            <w:pStyle w:val="Contents5"/>
            <w:tabs>
              <w:tab w:val="clear" w:pos="7892"/>
              <w:tab w:val="right" w:pos="9026" w:leader="dot"/>
            </w:tabs>
            <w:rPr/>
          </w:pPr>
          <w:hyperlink w:anchor="__RefHeading___Toc1400850_365066874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400852_3650668749">
            <w:r>
              <w:rPr>
                <w:webHidden/>
                <w:rStyle w:val="IndexLink"/>
                <w:rtl w:val="true"/>
              </w:rPr>
              <w:t>الأوّل</w:t>
            </w:r>
            <w:r>
              <w:rPr>
                <w:rStyle w:val="IndexLink"/>
                <w:rtl w:val="true"/>
              </w:rPr>
              <w:t xml:space="preserve">: </w:t>
            </w:r>
            <w:r>
              <w:rPr>
                <w:rStyle w:val="IndexLink"/>
                <w:rtl w:val="true"/>
              </w:rPr>
              <w:t>حقیقة الشفاعة ومعناها</w:t>
            </w:r>
            <w:r>
              <w:rPr>
                <w:rStyle w:val="IndexLink"/>
                <w:rtl w:val="true"/>
              </w:rPr>
              <w:tab/>
            </w:r>
            <w:r>
              <w:rPr>
                <w:rStyle w:val="IndexLink"/>
              </w:rPr>
              <w:t>79</w:t>
            </w:r>
          </w:hyperlink>
        </w:p>
        <w:p>
          <w:pPr>
            <w:pStyle w:val="Contents5"/>
            <w:tabs>
              <w:tab w:val="clear" w:pos="7892"/>
              <w:tab w:val="right" w:pos="9026" w:leader="dot"/>
            </w:tabs>
            <w:rPr/>
          </w:pPr>
          <w:hyperlink w:anchor="__RefHeading___Toc1400854_3650668749">
            <w:r>
              <w:rPr>
                <w:webHidden/>
                <w:rStyle w:val="IndexLink"/>
                <w:rtl w:val="true"/>
              </w:rPr>
              <w:t>الثانی</w:t>
            </w:r>
            <w:r>
              <w:rPr>
                <w:rStyle w:val="IndexLink"/>
                <w:rtl w:val="true"/>
              </w:rPr>
              <w:t xml:space="preserve">: </w:t>
            </w:r>
            <w:r>
              <w:rPr>
                <w:rStyle w:val="IndexLink"/>
                <w:rtl w:val="true"/>
              </w:rPr>
              <w:t>دراسة الآیات النافیة والمثبتة للشفاعة</w:t>
            </w:r>
            <w:r>
              <w:rPr>
                <w:rStyle w:val="IndexLink"/>
                <w:rtl w:val="true"/>
              </w:rPr>
              <w:tab/>
            </w:r>
            <w:r>
              <w:rPr>
                <w:rStyle w:val="IndexLink"/>
              </w:rPr>
              <w:t>82</w:t>
            </w:r>
          </w:hyperlink>
        </w:p>
        <w:p>
          <w:pPr>
            <w:pStyle w:val="Contents6"/>
            <w:tabs>
              <w:tab w:val="clear" w:pos="7609"/>
              <w:tab w:val="right" w:pos="9026" w:leader="dot"/>
            </w:tabs>
            <w:rPr/>
          </w:pPr>
          <w:hyperlink w:anchor="__RefHeading___Toc1400856_365066874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400858_3650668749">
            <w:r>
              <w:rPr>
                <w:webHidden/>
                <w:rStyle w:val="IndexLink"/>
                <w:rtl w:val="true"/>
              </w:rPr>
              <w:t>الصنف الأوّل</w:t>
            </w:r>
            <w:r>
              <w:rPr>
                <w:rStyle w:val="IndexLink"/>
                <w:rtl w:val="true"/>
              </w:rPr>
              <w:t xml:space="preserve">: </w:t>
            </w:r>
            <w:r>
              <w:rPr>
                <w:rStyle w:val="IndexLink"/>
                <w:rtl w:val="true"/>
              </w:rPr>
              <w:t>ماینفی الشفاعة</w:t>
            </w:r>
            <w:r>
              <w:rPr>
                <w:rStyle w:val="IndexLink"/>
                <w:rtl w:val="true"/>
              </w:rPr>
              <w:tab/>
            </w:r>
            <w:r>
              <w:rPr>
                <w:rStyle w:val="IndexLink"/>
              </w:rPr>
              <w:t>82</w:t>
            </w:r>
          </w:hyperlink>
        </w:p>
        <w:p>
          <w:pPr>
            <w:pStyle w:val="Contents6"/>
            <w:tabs>
              <w:tab w:val="clear" w:pos="7609"/>
              <w:tab w:val="right" w:pos="9026" w:leader="dot"/>
            </w:tabs>
            <w:rPr/>
          </w:pPr>
          <w:hyperlink w:anchor="__RefHeading___Toc1400860_3650668749">
            <w:r>
              <w:rPr>
                <w:webHidden/>
                <w:rStyle w:val="IndexLink"/>
                <w:rtl w:val="true"/>
              </w:rPr>
              <w:t>الصنف الثانی</w:t>
            </w:r>
            <w:r>
              <w:rPr>
                <w:rStyle w:val="IndexLink"/>
                <w:rtl w:val="true"/>
              </w:rPr>
              <w:t xml:space="preserve">: </w:t>
            </w:r>
            <w:r>
              <w:rPr>
                <w:rStyle w:val="IndexLink"/>
                <w:rtl w:val="true"/>
              </w:rPr>
              <w:t>ما ینفی الشفاعة الّتی تعتقدها الیهود للشفاعة</w:t>
            </w:r>
            <w:r>
              <w:rPr>
                <w:rStyle w:val="IndexLink"/>
                <w:rtl w:val="true"/>
              </w:rPr>
              <w:tab/>
            </w:r>
            <w:r>
              <w:rPr>
                <w:rStyle w:val="IndexLink"/>
              </w:rPr>
              <w:t>83</w:t>
            </w:r>
          </w:hyperlink>
        </w:p>
        <w:p>
          <w:pPr>
            <w:pStyle w:val="Contents6"/>
            <w:tabs>
              <w:tab w:val="clear" w:pos="7609"/>
              <w:tab w:val="right" w:pos="9026" w:leader="dot"/>
            </w:tabs>
            <w:rPr/>
          </w:pPr>
          <w:hyperlink w:anchor="__RefHeading___Toc1400862_3650668749">
            <w:r>
              <w:rPr>
                <w:webHidden/>
                <w:rStyle w:val="IndexLink"/>
                <w:rtl w:val="true"/>
              </w:rPr>
              <w:t>الصنف الثالث</w:t>
            </w:r>
            <w:r>
              <w:rPr>
                <w:rStyle w:val="IndexLink"/>
                <w:rtl w:val="true"/>
              </w:rPr>
              <w:t xml:space="preserve">: </w:t>
            </w:r>
            <w:r>
              <w:rPr>
                <w:rStyle w:val="IndexLink"/>
                <w:rtl w:val="true"/>
              </w:rPr>
              <w:t>ما ینفی صلاحیة الأصنام للشفاعة</w:t>
            </w:r>
            <w:r>
              <w:rPr>
                <w:rStyle w:val="IndexLink"/>
                <w:rtl w:val="true"/>
              </w:rPr>
              <w:tab/>
            </w:r>
            <w:r>
              <w:rPr>
                <w:rStyle w:val="IndexLink"/>
              </w:rPr>
              <w:t>83</w:t>
            </w:r>
          </w:hyperlink>
        </w:p>
        <w:p>
          <w:pPr>
            <w:pStyle w:val="Contents6"/>
            <w:tabs>
              <w:tab w:val="clear" w:pos="7609"/>
              <w:tab w:val="right" w:pos="9026" w:leader="dot"/>
            </w:tabs>
            <w:rPr/>
          </w:pPr>
          <w:hyperlink w:anchor="__RefHeading___Toc1400864_3650668749">
            <w:r>
              <w:rPr>
                <w:webHidden/>
                <w:rStyle w:val="IndexLink"/>
                <w:rtl w:val="true"/>
              </w:rPr>
              <w:t>الصنف الرابع</w:t>
            </w:r>
            <w:r>
              <w:rPr>
                <w:rStyle w:val="IndexLink"/>
                <w:rtl w:val="true"/>
              </w:rPr>
              <w:t xml:space="preserve">: </w:t>
            </w:r>
            <w:r>
              <w:rPr>
                <w:rStyle w:val="IndexLink"/>
                <w:rtl w:val="true"/>
              </w:rPr>
              <w:t>ما یخص الشفاعة باللَّه سبحانه وأنّه لا یشارکه فیها غیره‌</w:t>
            </w:r>
            <w:r>
              <w:rPr>
                <w:rStyle w:val="IndexLink"/>
                <w:rtl w:val="true"/>
              </w:rPr>
              <w:tab/>
            </w:r>
            <w:r>
              <w:rPr>
                <w:rStyle w:val="IndexLink"/>
              </w:rPr>
              <w:t>83</w:t>
            </w:r>
          </w:hyperlink>
        </w:p>
        <w:p>
          <w:pPr>
            <w:pStyle w:val="Contents6"/>
            <w:tabs>
              <w:tab w:val="clear" w:pos="7609"/>
              <w:tab w:val="right" w:pos="9026" w:leader="dot"/>
            </w:tabs>
            <w:rPr/>
          </w:pPr>
          <w:hyperlink w:anchor="__RefHeading___Toc1400866_3650668749">
            <w:r>
              <w:rPr>
                <w:webHidden/>
                <w:rStyle w:val="IndexLink"/>
                <w:rtl w:val="true"/>
              </w:rPr>
              <w:t>الصنف الخامس</w:t>
            </w:r>
            <w:r>
              <w:rPr>
                <w:rStyle w:val="IndexLink"/>
                <w:rtl w:val="true"/>
              </w:rPr>
              <w:t xml:space="preserve">: </w:t>
            </w:r>
            <w:r>
              <w:rPr>
                <w:rStyle w:val="IndexLink"/>
                <w:rtl w:val="true"/>
              </w:rPr>
              <w:t>الشفاعة المأذونة من اللَّه سبحانه‌</w:t>
            </w:r>
            <w:r>
              <w:rPr>
                <w:rStyle w:val="IndexLink"/>
                <w:rtl w:val="true"/>
              </w:rPr>
              <w:tab/>
            </w:r>
            <w:r>
              <w:rPr>
                <w:rStyle w:val="IndexLink"/>
              </w:rPr>
              <w:t>84</w:t>
            </w:r>
          </w:hyperlink>
        </w:p>
        <w:p>
          <w:pPr>
            <w:pStyle w:val="Contents6"/>
            <w:tabs>
              <w:tab w:val="clear" w:pos="7609"/>
              <w:tab w:val="right" w:pos="9026" w:leader="dot"/>
            </w:tabs>
            <w:rPr/>
          </w:pPr>
          <w:hyperlink w:anchor="__RefHeading___Toc1400868_3650668749">
            <w:r>
              <w:rPr>
                <w:webHidden/>
                <w:rStyle w:val="IndexLink"/>
                <w:rtl w:val="true"/>
              </w:rPr>
              <w:t>الصنف السادس</w:t>
            </w:r>
            <w:r>
              <w:rPr>
                <w:rStyle w:val="IndexLink"/>
                <w:rtl w:val="true"/>
              </w:rPr>
              <w:t xml:space="preserve">: </w:t>
            </w:r>
            <w:r>
              <w:rPr>
                <w:rStyle w:val="IndexLink"/>
                <w:rtl w:val="true"/>
              </w:rPr>
              <w:t>تسمیة بعض المأذونین بالشفاعة</w:t>
            </w:r>
            <w:r>
              <w:rPr>
                <w:rStyle w:val="IndexLink"/>
                <w:rtl w:val="true"/>
              </w:rPr>
              <w:tab/>
            </w:r>
            <w:r>
              <w:rPr>
                <w:rStyle w:val="IndexLink"/>
              </w:rPr>
              <w:t>86</w:t>
            </w:r>
          </w:hyperlink>
        </w:p>
        <w:p>
          <w:pPr>
            <w:pStyle w:val="Contents5"/>
            <w:tabs>
              <w:tab w:val="clear" w:pos="7892"/>
              <w:tab w:val="right" w:pos="9026" w:leader="dot"/>
            </w:tabs>
            <w:rPr/>
          </w:pPr>
          <w:hyperlink w:anchor="__RefHeading___Toc1400870_3650668749">
            <w:r>
              <w:rPr>
                <w:webHidden/>
                <w:rStyle w:val="IndexLink"/>
                <w:rtl w:val="true"/>
              </w:rPr>
              <w:t>الثالث</w:t>
            </w:r>
            <w:r>
              <w:rPr>
                <w:rStyle w:val="IndexLink"/>
                <w:rtl w:val="true"/>
              </w:rPr>
              <w:t xml:space="preserve">: </w:t>
            </w:r>
            <w:r>
              <w:rPr>
                <w:rStyle w:val="IndexLink"/>
                <w:rtl w:val="true"/>
              </w:rPr>
              <w:t>حدود الشفاعة</w:t>
            </w:r>
            <w:r>
              <w:rPr>
                <w:rStyle w:val="IndexLink"/>
                <w:rtl w:val="true"/>
              </w:rPr>
              <w:tab/>
            </w:r>
            <w:r>
              <w:rPr>
                <w:rStyle w:val="IndexLink"/>
              </w:rPr>
              <w:t>87</w:t>
            </w:r>
          </w:hyperlink>
        </w:p>
        <w:p>
          <w:pPr>
            <w:pStyle w:val="Contents5"/>
            <w:tabs>
              <w:tab w:val="clear" w:pos="7892"/>
              <w:tab w:val="right" w:pos="9026" w:leader="dot"/>
            </w:tabs>
            <w:rPr/>
          </w:pPr>
          <w:hyperlink w:anchor="__RefHeading___Toc1400872_3650668749">
            <w:r>
              <w:rPr>
                <w:webHidden/>
                <w:rStyle w:val="IndexLink"/>
                <w:rtl w:val="true"/>
              </w:rPr>
              <w:t>الرابع</w:t>
            </w:r>
            <w:r>
              <w:rPr>
                <w:rStyle w:val="IndexLink"/>
                <w:rtl w:val="true"/>
              </w:rPr>
              <w:t xml:space="preserve">: </w:t>
            </w:r>
            <w:r>
              <w:rPr>
                <w:rStyle w:val="IndexLink"/>
                <w:rtl w:val="true"/>
              </w:rPr>
              <w:t>ثمرة الشفاعة</w:t>
            </w:r>
            <w:r>
              <w:rPr>
                <w:rStyle w:val="IndexLink"/>
                <w:rtl w:val="true"/>
              </w:rPr>
              <w:tab/>
            </w:r>
            <w:r>
              <w:rPr>
                <w:rStyle w:val="IndexLink"/>
              </w:rPr>
              <w:t>88</w:t>
            </w:r>
          </w:hyperlink>
        </w:p>
        <w:p>
          <w:pPr>
            <w:pStyle w:val="Contents5"/>
            <w:tabs>
              <w:tab w:val="clear" w:pos="7892"/>
              <w:tab w:val="right" w:pos="9026" w:leader="dot"/>
            </w:tabs>
            <w:rPr/>
          </w:pPr>
          <w:hyperlink w:anchor="__RefHeading___Toc1400874_3650668749">
            <w:r>
              <w:rPr>
                <w:webHidden/>
                <w:rStyle w:val="IndexLink"/>
                <w:rtl w:val="true"/>
              </w:rPr>
              <w:t>الخامس</w:t>
            </w:r>
            <w:r>
              <w:rPr>
                <w:rStyle w:val="IndexLink"/>
                <w:rtl w:val="true"/>
              </w:rPr>
              <w:t xml:space="preserve">: </w:t>
            </w:r>
            <w:r>
              <w:rPr>
                <w:rStyle w:val="IndexLink"/>
                <w:rtl w:val="true"/>
              </w:rPr>
              <w:t>طلب الشفاعة من النبی والأولیاء المأذونین بها</w:t>
            </w:r>
            <w:r>
              <w:rPr>
                <w:rStyle w:val="IndexLink"/>
                <w:rtl w:val="true"/>
              </w:rPr>
              <w:tab/>
            </w:r>
            <w:r>
              <w:rPr>
                <w:rStyle w:val="IndexLink"/>
              </w:rPr>
              <w:t>89</w:t>
            </w:r>
          </w:hyperlink>
        </w:p>
        <w:p>
          <w:pPr>
            <w:pStyle w:val="Contents6"/>
            <w:tabs>
              <w:tab w:val="clear" w:pos="7609"/>
              <w:tab w:val="right" w:pos="9026" w:leader="dot"/>
            </w:tabs>
            <w:rPr/>
          </w:pPr>
          <w:hyperlink w:anchor="__RefHeading___Toc1400876_365066874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400878_3650668749">
            <w:r>
              <w:rPr>
                <w:webHidden/>
                <w:rStyle w:val="IndexLink"/>
                <w:rtl w:val="true"/>
              </w:rPr>
              <w:t>السلف وطلب الشفاعة من النبی الأکرم صلی الله علیه و آله و سلم‌</w:t>
            </w:r>
            <w:r>
              <w:rPr>
                <w:rStyle w:val="IndexLink"/>
                <w:rtl w:val="true"/>
              </w:rPr>
              <w:tab/>
            </w:r>
            <w:r>
              <w:rPr>
                <w:rStyle w:val="IndexLink"/>
              </w:rPr>
              <w:t>91</w:t>
            </w:r>
          </w:hyperlink>
        </w:p>
        <w:p>
          <w:pPr>
            <w:pStyle w:val="Contents6"/>
            <w:tabs>
              <w:tab w:val="clear" w:pos="7609"/>
              <w:tab w:val="right" w:pos="9026" w:leader="dot"/>
            </w:tabs>
            <w:rPr/>
          </w:pPr>
          <w:hyperlink w:anchor="__RefHeading___Toc1400880_365066874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400882_3650668749">
            <w:r>
              <w:rPr>
                <w:webHidden/>
                <w:rStyle w:val="IndexLink"/>
                <w:rtl w:val="true"/>
              </w:rPr>
              <w:t>شبهتان فی المقام‌</w:t>
            </w:r>
            <w:r>
              <w:rPr>
                <w:rStyle w:val="IndexLink"/>
                <w:rtl w:val="true"/>
              </w:rPr>
              <w:tab/>
            </w:r>
            <w:r>
              <w:rPr>
                <w:rStyle w:val="IndexLink"/>
              </w:rPr>
              <w:t>94</w:t>
            </w:r>
          </w:hyperlink>
        </w:p>
        <w:p>
          <w:pPr>
            <w:pStyle w:val="Contents6"/>
            <w:tabs>
              <w:tab w:val="clear" w:pos="7609"/>
              <w:tab w:val="right" w:pos="9026" w:leader="dot"/>
            </w:tabs>
            <w:rPr/>
          </w:pPr>
          <w:hyperlink w:anchor="__RefHeading___Toc1400884_365066874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400886_3650668749">
            <w:r>
              <w:rPr>
                <w:webHidden/>
                <w:rStyle w:val="IndexLink"/>
              </w:rPr>
              <w:t>1</w:t>
            </w:r>
            <w:r>
              <w:rPr>
                <w:rStyle w:val="IndexLink"/>
                <w:rtl w:val="true"/>
              </w:rPr>
              <w:t xml:space="preserve">. </w:t>
            </w:r>
            <w:r>
              <w:rPr>
                <w:rStyle w:val="IndexLink"/>
                <w:rtl w:val="true"/>
              </w:rPr>
              <w:t>طلب المشرکین الشفاعة من الأصنام‌</w:t>
            </w:r>
            <w:r>
              <w:rPr>
                <w:rStyle w:val="IndexLink"/>
                <w:rtl w:val="true"/>
              </w:rPr>
              <w:tab/>
            </w:r>
            <w:r>
              <w:rPr>
                <w:rStyle w:val="IndexLink"/>
              </w:rPr>
              <w:t>94</w:t>
            </w:r>
          </w:hyperlink>
        </w:p>
        <w:p>
          <w:pPr>
            <w:pStyle w:val="Contents6"/>
            <w:tabs>
              <w:tab w:val="clear" w:pos="7609"/>
              <w:tab w:val="right" w:pos="9026" w:leader="dot"/>
            </w:tabs>
            <w:rPr/>
          </w:pPr>
          <w:hyperlink w:anchor="__RefHeading___Toc1400888_3650668749">
            <w:r>
              <w:rPr>
                <w:webHidden/>
                <w:rStyle w:val="IndexLink"/>
              </w:rPr>
              <w:t>2</w:t>
            </w:r>
            <w:r>
              <w:rPr>
                <w:rStyle w:val="IndexLink"/>
                <w:rtl w:val="true"/>
              </w:rPr>
              <w:t xml:space="preserve">. </w:t>
            </w:r>
            <w:r>
              <w:rPr>
                <w:rStyle w:val="IndexLink"/>
                <w:rtl w:val="true"/>
              </w:rPr>
              <w:t>طلب الشفاعة من المیّت لغو</w:t>
            </w:r>
            <w:r>
              <w:rPr>
                <w:rStyle w:val="IndexLink"/>
                <w:rtl w:val="true"/>
              </w:rPr>
              <w:tab/>
            </w:r>
            <w:r>
              <w:rPr>
                <w:rStyle w:val="IndexLink"/>
              </w:rPr>
              <w:t>96</w:t>
            </w:r>
          </w:hyperlink>
        </w:p>
        <w:p>
          <w:pPr>
            <w:pStyle w:val="Contents4"/>
            <w:tabs>
              <w:tab w:val="clear" w:pos="8176"/>
              <w:tab w:val="right" w:pos="9026" w:leader="dot"/>
            </w:tabs>
            <w:rPr/>
          </w:pPr>
          <w:hyperlink w:anchor="__RefHeading___Toc1400890_3650668749">
            <w:r>
              <w:rPr>
                <w:webHidden/>
                <w:rStyle w:val="IndexLink"/>
              </w:rPr>
              <w:t>3</w:t>
            </w:r>
            <w:r>
              <w:rPr>
                <w:rStyle w:val="IndexLink"/>
                <w:rtl w:val="true"/>
              </w:rPr>
              <w:t xml:space="preserve">- </w:t>
            </w:r>
            <w:r>
              <w:rPr>
                <w:rStyle w:val="IndexLink"/>
                <w:rtl w:val="true"/>
              </w:rPr>
              <w:t>النذر للأولیاء</w:t>
            </w:r>
            <w:r>
              <w:rPr>
                <w:rStyle w:val="IndexLink"/>
                <w:rtl w:val="true"/>
              </w:rPr>
              <w:tab/>
            </w:r>
            <w:r>
              <w:rPr>
                <w:rStyle w:val="IndexLink"/>
              </w:rPr>
              <w:t>97</w:t>
            </w:r>
          </w:hyperlink>
        </w:p>
        <w:p>
          <w:pPr>
            <w:pStyle w:val="Contents4"/>
            <w:tabs>
              <w:tab w:val="clear" w:pos="8176"/>
              <w:tab w:val="right" w:pos="9026" w:leader="dot"/>
            </w:tabs>
            <w:rPr/>
          </w:pPr>
          <w:hyperlink w:anchor="__RefHeading___Toc1400892_3650668749">
            <w:r>
              <w:rPr>
                <w:webHidden/>
                <w:rStyle w:val="IndexLink"/>
              </w:rPr>
              <w:t>4</w:t>
            </w:r>
            <w:r>
              <w:rPr>
                <w:rStyle w:val="IndexLink"/>
                <w:rtl w:val="true"/>
              </w:rPr>
              <w:t xml:space="preserve">- </w:t>
            </w:r>
            <w:r>
              <w:rPr>
                <w:rStyle w:val="IndexLink"/>
                <w:rtl w:val="true"/>
              </w:rPr>
              <w:t>التبرک بآثار الأولیاء</w:t>
            </w:r>
            <w:r>
              <w:rPr>
                <w:rStyle w:val="IndexLink"/>
                <w:rtl w:val="true"/>
              </w:rPr>
              <w:tab/>
            </w:r>
            <w:r>
              <w:rPr>
                <w:rStyle w:val="IndexLink"/>
              </w:rPr>
              <w:t>100</w:t>
            </w:r>
          </w:hyperlink>
        </w:p>
        <w:p>
          <w:pPr>
            <w:pStyle w:val="Contents5"/>
            <w:tabs>
              <w:tab w:val="clear" w:pos="7892"/>
              <w:tab w:val="right" w:pos="9026" w:leader="dot"/>
            </w:tabs>
            <w:rPr/>
          </w:pPr>
          <w:hyperlink w:anchor="__RefHeading___Toc1400894_365066874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400896_3650668749">
            <w:r>
              <w:rPr>
                <w:webHidden/>
                <w:rStyle w:val="IndexLink"/>
              </w:rPr>
              <w:t>1</w:t>
            </w:r>
            <w:r>
              <w:rPr>
                <w:rStyle w:val="IndexLink"/>
                <w:rtl w:val="true"/>
              </w:rPr>
              <w:t xml:space="preserve">. </w:t>
            </w:r>
            <w:r>
              <w:rPr>
                <w:rStyle w:val="IndexLink"/>
                <w:rtl w:val="true"/>
              </w:rPr>
              <w:t>التبرّک بمقام إبراهیم علیه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1400898_3650668749">
            <w:r>
              <w:rPr>
                <w:webHidden/>
                <w:rStyle w:val="IndexLink"/>
              </w:rPr>
              <w:t>2</w:t>
            </w:r>
            <w:r>
              <w:rPr>
                <w:rStyle w:val="IndexLink"/>
                <w:rtl w:val="true"/>
              </w:rPr>
              <w:t xml:space="preserve">. </w:t>
            </w:r>
            <w:r>
              <w:rPr>
                <w:rStyle w:val="IndexLink"/>
                <w:rtl w:val="true"/>
              </w:rPr>
              <w:t>قمیص یوسف علیه السلام وعودة البصر إلی یعقوب‌</w:t>
            </w:r>
            <w:r>
              <w:rPr>
                <w:rStyle w:val="IndexLink"/>
                <w:rtl w:val="true"/>
              </w:rPr>
              <w:tab/>
            </w:r>
            <w:r>
              <w:rPr>
                <w:rStyle w:val="IndexLink"/>
              </w:rPr>
              <w:t>102</w:t>
            </w:r>
          </w:hyperlink>
        </w:p>
        <w:p>
          <w:pPr>
            <w:pStyle w:val="Contents5"/>
            <w:tabs>
              <w:tab w:val="clear" w:pos="7892"/>
              <w:tab w:val="right" w:pos="9026" w:leader="dot"/>
            </w:tabs>
            <w:rPr/>
          </w:pPr>
          <w:hyperlink w:anchor="__RefHeading___Toc1400900_3650668749">
            <w:r>
              <w:rPr>
                <w:webHidden/>
                <w:rStyle w:val="IndexLink"/>
              </w:rPr>
              <w:t>3</w:t>
            </w:r>
            <w:r>
              <w:rPr>
                <w:rStyle w:val="IndexLink"/>
                <w:rtl w:val="true"/>
              </w:rPr>
              <w:t xml:space="preserve">. </w:t>
            </w:r>
            <w:r>
              <w:rPr>
                <w:rStyle w:val="IndexLink"/>
                <w:rtl w:val="true"/>
              </w:rPr>
              <w:t>تابوت بنی إسرائیل والسکینة</w:t>
            </w:r>
            <w:r>
              <w:rPr>
                <w:rStyle w:val="IndexLink"/>
                <w:rtl w:val="true"/>
              </w:rPr>
              <w:tab/>
            </w:r>
            <w:r>
              <w:rPr>
                <w:rStyle w:val="IndexLink"/>
              </w:rPr>
              <w:t>103</w:t>
            </w:r>
          </w:hyperlink>
        </w:p>
        <w:p>
          <w:pPr>
            <w:pStyle w:val="Contents5"/>
            <w:tabs>
              <w:tab w:val="clear" w:pos="7892"/>
              <w:tab w:val="right" w:pos="9026" w:leader="dot"/>
            </w:tabs>
            <w:rPr/>
          </w:pPr>
          <w:hyperlink w:anchor="__RefHeading___Toc1400902_3650668749">
            <w:r>
              <w:rPr>
                <w:webHidden/>
                <w:rStyle w:val="IndexLink"/>
              </w:rPr>
              <w:t>4</w:t>
            </w:r>
            <w:r>
              <w:rPr>
                <w:rStyle w:val="IndexLink"/>
                <w:rtl w:val="true"/>
              </w:rPr>
              <w:t xml:space="preserve">. </w:t>
            </w:r>
            <w:r>
              <w:rPr>
                <w:rStyle w:val="IndexLink"/>
                <w:rtl w:val="true"/>
              </w:rPr>
              <w:t>التبرّک بمقام أصحاب الکهف‌</w:t>
            </w:r>
            <w:r>
              <w:rPr>
                <w:rStyle w:val="IndexLink"/>
                <w:rtl w:val="true"/>
              </w:rPr>
              <w:tab/>
            </w:r>
            <w:r>
              <w:rPr>
                <w:rStyle w:val="IndexLink"/>
              </w:rPr>
              <w:t>104</w:t>
            </w:r>
          </w:hyperlink>
        </w:p>
        <w:p>
          <w:pPr>
            <w:pStyle w:val="Contents4"/>
            <w:tabs>
              <w:tab w:val="clear" w:pos="8176"/>
              <w:tab w:val="right" w:pos="9026" w:leader="dot"/>
            </w:tabs>
            <w:rPr/>
          </w:pPr>
          <w:hyperlink w:anchor="__RefHeading___Toc1400904_3650668749">
            <w:r>
              <w:rPr>
                <w:webHidden/>
                <w:rStyle w:val="IndexLink"/>
              </w:rPr>
              <w:t>5</w:t>
            </w:r>
            <w:r>
              <w:rPr>
                <w:rStyle w:val="IndexLink"/>
                <w:rtl w:val="true"/>
              </w:rPr>
              <w:t xml:space="preserve">- </w:t>
            </w:r>
            <w:r>
              <w:rPr>
                <w:rStyle w:val="IndexLink"/>
                <w:rtl w:val="true"/>
              </w:rPr>
              <w:t>زیارة القبور</w:t>
            </w:r>
            <w:r>
              <w:rPr>
                <w:rStyle w:val="IndexLink"/>
                <w:rtl w:val="true"/>
              </w:rPr>
              <w:tab/>
            </w:r>
            <w:r>
              <w:rPr>
                <w:rStyle w:val="IndexLink"/>
              </w:rPr>
              <w:t>108</w:t>
            </w:r>
          </w:hyperlink>
        </w:p>
        <w:p>
          <w:pPr>
            <w:pStyle w:val="Contents5"/>
            <w:tabs>
              <w:tab w:val="clear" w:pos="7892"/>
              <w:tab w:val="right" w:pos="9026" w:leader="dot"/>
            </w:tabs>
            <w:rPr/>
          </w:pPr>
          <w:hyperlink w:anchor="__RefHeading___Toc1400906_3650668749">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400908_3650668749">
            <w:r>
              <w:rPr>
                <w:webHidden/>
                <w:rStyle w:val="IndexLink"/>
                <w:rtl w:val="true"/>
              </w:rPr>
              <w:t>زیارة قبر النبی صلی الله علیه و آله و سلم‌</w:t>
            </w:r>
            <w:r>
              <w:rPr>
                <w:rStyle w:val="IndexLink"/>
                <w:rtl w:val="true"/>
              </w:rPr>
              <w:tab/>
            </w:r>
            <w:r>
              <w:rPr>
                <w:rStyle w:val="IndexLink"/>
              </w:rPr>
              <w:t>110</w:t>
            </w:r>
          </w:hyperlink>
        </w:p>
        <w:p>
          <w:pPr>
            <w:pStyle w:val="Contents4"/>
            <w:tabs>
              <w:tab w:val="clear" w:pos="8176"/>
              <w:tab w:val="right" w:pos="9026" w:leader="dot"/>
            </w:tabs>
            <w:rPr/>
          </w:pPr>
          <w:hyperlink w:anchor="__RefHeading___Toc1400910_3650668749">
            <w:r>
              <w:rPr>
                <w:webHidden/>
                <w:rStyle w:val="IndexLink"/>
              </w:rPr>
              <w:t>6</w:t>
            </w:r>
            <w:r>
              <w:rPr>
                <w:rStyle w:val="IndexLink"/>
                <w:rtl w:val="true"/>
              </w:rPr>
              <w:t xml:space="preserve">- </w:t>
            </w:r>
            <w:r>
              <w:rPr>
                <w:rStyle w:val="IndexLink"/>
                <w:rtl w:val="true"/>
              </w:rPr>
              <w:t>البناء علی القبور</w:t>
            </w:r>
            <w:r>
              <w:rPr>
                <w:rStyle w:val="IndexLink"/>
                <w:rtl w:val="true"/>
              </w:rPr>
              <w:tab/>
            </w:r>
            <w:r>
              <w:rPr>
                <w:rStyle w:val="IndexLink"/>
              </w:rPr>
              <w:t>113</w:t>
            </w:r>
          </w:hyperlink>
        </w:p>
        <w:p>
          <w:pPr>
            <w:pStyle w:val="Contents4"/>
            <w:tabs>
              <w:tab w:val="clear" w:pos="8176"/>
              <w:tab w:val="right" w:pos="9026" w:leader="dot"/>
            </w:tabs>
            <w:rPr/>
          </w:pPr>
          <w:hyperlink w:anchor="__RefHeading___Toc1400912_3650668749">
            <w:r>
              <w:rPr>
                <w:webHidden/>
                <w:rStyle w:val="IndexLink"/>
              </w:rPr>
              <w:t>7</w:t>
            </w:r>
            <w:r>
              <w:rPr>
                <w:rStyle w:val="IndexLink"/>
                <w:rtl w:val="true"/>
              </w:rPr>
              <w:t xml:space="preserve">- </w:t>
            </w:r>
            <w:r>
              <w:rPr>
                <w:rStyle w:val="IndexLink"/>
                <w:rtl w:val="true"/>
              </w:rPr>
              <w:t>بناء المساجد علی القبور والصلاة فیها</w:t>
            </w:r>
            <w:r>
              <w:rPr>
                <w:rStyle w:val="IndexLink"/>
                <w:rtl w:val="true"/>
              </w:rPr>
              <w:tab/>
            </w:r>
            <w:r>
              <w:rPr>
                <w:rStyle w:val="IndexLink"/>
              </w:rPr>
              <w:t>118</w:t>
            </w:r>
          </w:hyperlink>
        </w:p>
        <w:p>
          <w:pPr>
            <w:pStyle w:val="Contents5"/>
            <w:tabs>
              <w:tab w:val="clear" w:pos="7892"/>
              <w:tab w:val="right" w:pos="9026" w:leader="dot"/>
            </w:tabs>
            <w:rPr/>
          </w:pPr>
          <w:hyperlink w:anchor="__RefHeading___Toc1400914_365066874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400916_3650668749">
            <w:r>
              <w:rPr>
                <w:webHidden/>
                <w:rStyle w:val="IndexLink"/>
                <w:rtl w:val="true"/>
              </w:rPr>
              <w:t>سیرة المسلمین فی البناء علی قبور الصالحین‌</w:t>
            </w:r>
            <w:r>
              <w:rPr>
                <w:rStyle w:val="IndexLink"/>
                <w:rtl w:val="true"/>
              </w:rPr>
              <w:tab/>
            </w:r>
            <w:r>
              <w:rPr>
                <w:rStyle w:val="IndexLink"/>
              </w:rPr>
              <w:t>120</w:t>
            </w:r>
          </w:hyperlink>
        </w:p>
        <w:p>
          <w:pPr>
            <w:pStyle w:val="Contents4"/>
            <w:tabs>
              <w:tab w:val="clear" w:pos="8176"/>
              <w:tab w:val="right" w:pos="9026" w:leader="dot"/>
            </w:tabs>
            <w:rPr/>
          </w:pPr>
          <w:hyperlink w:anchor="__RefHeading___Toc1400918_3650668749">
            <w:r>
              <w:rPr>
                <w:webHidden/>
                <w:rStyle w:val="IndexLink"/>
              </w:rPr>
              <w:t>8</w:t>
            </w:r>
            <w:r>
              <w:rPr>
                <w:rStyle w:val="IndexLink"/>
                <w:rtl w:val="true"/>
              </w:rPr>
              <w:t xml:space="preserve">- </w:t>
            </w:r>
            <w:r>
              <w:rPr>
                <w:rStyle w:val="IndexLink"/>
                <w:rtl w:val="true"/>
              </w:rPr>
              <w:t>البکاء علی المیت‌</w:t>
            </w:r>
            <w:r>
              <w:rPr>
                <w:rStyle w:val="IndexLink"/>
                <w:rtl w:val="true"/>
              </w:rPr>
              <w:tab/>
            </w:r>
            <w:r>
              <w:rPr>
                <w:rStyle w:val="IndexLink"/>
              </w:rPr>
              <w:t>128</w:t>
            </w:r>
          </w:hyperlink>
        </w:p>
        <w:p>
          <w:pPr>
            <w:pStyle w:val="Contents5"/>
            <w:tabs>
              <w:tab w:val="clear" w:pos="7892"/>
              <w:tab w:val="right" w:pos="9026" w:leader="dot"/>
            </w:tabs>
            <w:rPr/>
          </w:pPr>
          <w:hyperlink w:anchor="__RefHeading___Toc1400920_3650668749">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400922_3650668749">
            <w:r>
              <w:rPr>
                <w:webHidden/>
                <w:rStyle w:val="IndexLink"/>
                <w:rtl w:val="true"/>
              </w:rPr>
              <w:t>تحلیل حدیث تعذیب المیت ببکاء أهله‌</w:t>
            </w:r>
            <w:r>
              <w:rPr>
                <w:rStyle w:val="IndexLink"/>
                <w:rtl w:val="true"/>
              </w:rPr>
              <w:tab/>
            </w:r>
            <w:r>
              <w:rPr>
                <w:rStyle w:val="IndexLink"/>
              </w:rPr>
              <w:t>132</w:t>
            </w:r>
          </w:hyperlink>
        </w:p>
        <w:p>
          <w:pPr>
            <w:pStyle w:val="Contents4"/>
            <w:tabs>
              <w:tab w:val="clear" w:pos="8176"/>
              <w:tab w:val="right" w:pos="9026" w:leader="dot"/>
            </w:tabs>
            <w:rPr/>
          </w:pPr>
          <w:hyperlink w:anchor="__RefHeading___Toc1400924_3650668749">
            <w:r>
              <w:rPr>
                <w:webHidden/>
                <w:rStyle w:val="IndexLink"/>
              </w:rPr>
              <w:t>9</w:t>
            </w:r>
            <w:r>
              <w:rPr>
                <w:rStyle w:val="IndexLink"/>
                <w:rtl w:val="true"/>
              </w:rPr>
              <w:t xml:space="preserve">- </w:t>
            </w:r>
            <w:r>
              <w:rPr>
                <w:rStyle w:val="IndexLink"/>
                <w:rtl w:val="true"/>
              </w:rPr>
              <w:t>التوسّل بالنبی صلی الله علیه و آله و سلم والأولیاء بأصنافه‌</w:t>
            </w:r>
            <w:r>
              <w:rPr>
                <w:rStyle w:val="IndexLink"/>
                <w:rtl w:val="true"/>
              </w:rPr>
              <w:tab/>
            </w:r>
            <w:r>
              <w:rPr>
                <w:rStyle w:val="IndexLink"/>
              </w:rPr>
              <w:t>135</w:t>
            </w:r>
          </w:hyperlink>
        </w:p>
        <w:p>
          <w:pPr>
            <w:pStyle w:val="Contents5"/>
            <w:tabs>
              <w:tab w:val="clear" w:pos="7892"/>
              <w:tab w:val="right" w:pos="9026" w:leader="dot"/>
            </w:tabs>
            <w:rPr/>
          </w:pPr>
          <w:hyperlink w:anchor="__RefHeading___Toc1400926_3650668749">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400928_3650668749">
            <w:r>
              <w:rPr>
                <w:webHidden/>
                <w:rStyle w:val="IndexLink"/>
                <w:rtl w:val="true"/>
              </w:rPr>
              <w:t>الأوّل</w:t>
            </w:r>
            <w:r>
              <w:rPr>
                <w:rStyle w:val="IndexLink"/>
                <w:rtl w:val="true"/>
              </w:rPr>
              <w:t xml:space="preserve">: </w:t>
            </w:r>
            <w:r>
              <w:rPr>
                <w:rStyle w:val="IndexLink"/>
                <w:rtl w:val="true"/>
              </w:rPr>
              <w:t>التوسّل بذات النبی صلی الله علیه و آله و سلم و قدسیته وشخصیته‌</w:t>
            </w:r>
            <w:r>
              <w:rPr>
                <w:rStyle w:val="IndexLink"/>
                <w:rtl w:val="true"/>
              </w:rPr>
              <w:tab/>
            </w:r>
            <w:r>
              <w:rPr>
                <w:rStyle w:val="IndexLink"/>
              </w:rPr>
              <w:t>136</w:t>
            </w:r>
          </w:hyperlink>
        </w:p>
        <w:p>
          <w:pPr>
            <w:pStyle w:val="Contents6"/>
            <w:tabs>
              <w:tab w:val="clear" w:pos="7609"/>
              <w:tab w:val="right" w:pos="9026" w:leader="dot"/>
            </w:tabs>
            <w:rPr/>
          </w:pPr>
          <w:hyperlink w:anchor="__RefHeading___Toc1400930_365066874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400932_3650668749">
            <w:r>
              <w:rPr>
                <w:webHidden/>
                <w:rStyle w:val="IndexLink"/>
                <w:rtl w:val="true"/>
              </w:rPr>
              <w:t>ویستفاد من الحدیث أمران</w:t>
            </w:r>
            <w:r>
              <w:rPr>
                <w:rStyle w:val="IndexLink"/>
                <w:rtl w:val="true"/>
              </w:rPr>
              <w:t>:</w:t>
              <w:tab/>
            </w:r>
            <w:r>
              <w:rPr>
                <w:rStyle w:val="IndexLink"/>
              </w:rPr>
              <w:t>137</w:t>
            </w:r>
          </w:hyperlink>
        </w:p>
        <w:p>
          <w:pPr>
            <w:pStyle w:val="Contents6"/>
            <w:tabs>
              <w:tab w:val="clear" w:pos="7609"/>
              <w:tab w:val="right" w:pos="9026" w:leader="dot"/>
            </w:tabs>
            <w:rPr/>
          </w:pPr>
          <w:hyperlink w:anchor="__RefHeading___Toc1400934_3650668749">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400936_3650668749">
            <w:r>
              <w:rPr>
                <w:webHidden/>
                <w:rStyle w:val="IndexLink"/>
              </w:rPr>
              <w:t>1</w:t>
            </w:r>
            <w:r>
              <w:rPr>
                <w:rStyle w:val="IndexLink"/>
                <w:rtl w:val="true"/>
              </w:rPr>
              <w:t xml:space="preserve">. </w:t>
            </w:r>
            <w:r>
              <w:rPr>
                <w:rStyle w:val="IndexLink"/>
                <w:rtl w:val="true"/>
              </w:rPr>
              <w:t>اللّهمّ إنّی أسألک وأتوجه إلیک بنبیّک‌</w:t>
            </w:r>
            <w:r>
              <w:rPr>
                <w:rStyle w:val="IndexLink"/>
                <w:rtl w:val="true"/>
              </w:rPr>
              <w:tab/>
            </w:r>
            <w:r>
              <w:rPr>
                <w:rStyle w:val="IndexLink"/>
              </w:rPr>
              <w:t>137</w:t>
            </w:r>
          </w:hyperlink>
        </w:p>
        <w:p>
          <w:pPr>
            <w:pStyle w:val="Contents6"/>
            <w:tabs>
              <w:tab w:val="clear" w:pos="7609"/>
              <w:tab w:val="right" w:pos="9026" w:leader="dot"/>
            </w:tabs>
            <w:rPr/>
          </w:pPr>
          <w:hyperlink w:anchor="__RefHeading___Toc1400938_3650668749">
            <w:r>
              <w:rPr>
                <w:webHidden/>
                <w:rStyle w:val="IndexLink"/>
              </w:rPr>
              <w:t>2</w:t>
            </w:r>
            <w:r>
              <w:rPr>
                <w:rStyle w:val="IndexLink"/>
                <w:rtl w:val="true"/>
              </w:rPr>
              <w:t xml:space="preserve">. </w:t>
            </w:r>
            <w:r>
              <w:rPr>
                <w:rStyle w:val="IndexLink"/>
                <w:rtl w:val="true"/>
              </w:rPr>
              <w:t>محمد نبی الرحمة</w:t>
            </w:r>
            <w:r>
              <w:rPr>
                <w:rStyle w:val="IndexLink"/>
                <w:rtl w:val="true"/>
              </w:rPr>
              <w:tab/>
            </w:r>
            <w:r>
              <w:rPr>
                <w:rStyle w:val="IndexLink"/>
              </w:rPr>
              <w:t>137</w:t>
            </w:r>
          </w:hyperlink>
        </w:p>
        <w:p>
          <w:pPr>
            <w:pStyle w:val="Contents6"/>
            <w:tabs>
              <w:tab w:val="clear" w:pos="7609"/>
              <w:tab w:val="right" w:pos="9026" w:leader="dot"/>
            </w:tabs>
            <w:rPr/>
          </w:pPr>
          <w:hyperlink w:anchor="__RefHeading___Toc1400940_3650668749">
            <w:r>
              <w:rPr>
                <w:webHidden/>
                <w:rStyle w:val="IndexLink"/>
              </w:rPr>
              <w:t>3</w:t>
            </w:r>
            <w:r>
              <w:rPr>
                <w:rStyle w:val="IndexLink"/>
                <w:rtl w:val="true"/>
              </w:rPr>
              <w:t xml:space="preserve">. </w:t>
            </w:r>
            <w:r>
              <w:rPr>
                <w:rStyle w:val="IndexLink"/>
                <w:rtl w:val="true"/>
              </w:rPr>
              <w:t>یا محمّد إنّی أتوجّه بک إلی ربّی‌</w:t>
            </w:r>
            <w:r>
              <w:rPr>
                <w:rStyle w:val="IndexLink"/>
                <w:rtl w:val="true"/>
              </w:rPr>
              <w:tab/>
            </w:r>
            <w:r>
              <w:rPr>
                <w:rStyle w:val="IndexLink"/>
              </w:rPr>
              <w:t>137</w:t>
            </w:r>
          </w:hyperlink>
        </w:p>
        <w:p>
          <w:pPr>
            <w:pStyle w:val="Contents6"/>
            <w:tabs>
              <w:tab w:val="clear" w:pos="7609"/>
              <w:tab w:val="right" w:pos="9026" w:leader="dot"/>
            </w:tabs>
            <w:rPr/>
          </w:pPr>
          <w:hyperlink w:anchor="__RefHeading___Toc1400942_3650668749">
            <w:r>
              <w:rPr>
                <w:webHidden/>
                <w:rStyle w:val="IndexLink"/>
              </w:rPr>
              <w:t>1</w:t>
            </w:r>
            <w:r>
              <w:rPr>
                <w:rStyle w:val="IndexLink"/>
                <w:rtl w:val="true"/>
              </w:rPr>
              <w:t xml:space="preserve">. </w:t>
            </w:r>
            <w:r>
              <w:rPr>
                <w:rStyle w:val="IndexLink"/>
                <w:rtl w:val="true"/>
              </w:rPr>
              <w:t>استسقاء عبد المطلب بالنبی صلی الله علیه و آله و سلم وهو رضیع</w:t>
            </w:r>
            <w:r>
              <w:rPr>
                <w:rStyle w:val="IndexLink"/>
                <w:rtl w:val="true"/>
              </w:rPr>
              <w:t>:</w:t>
              <w:tab/>
            </w:r>
            <w:r>
              <w:rPr>
                <w:rStyle w:val="IndexLink"/>
              </w:rPr>
              <w:t>140</w:t>
            </w:r>
          </w:hyperlink>
        </w:p>
        <w:p>
          <w:pPr>
            <w:pStyle w:val="Contents6"/>
            <w:tabs>
              <w:tab w:val="clear" w:pos="7609"/>
              <w:tab w:val="right" w:pos="9026" w:leader="dot"/>
            </w:tabs>
            <w:rPr/>
          </w:pPr>
          <w:hyperlink w:anchor="__RefHeading___Toc1400944_3650668749">
            <w:r>
              <w:rPr>
                <w:webHidden/>
                <w:rStyle w:val="IndexLink"/>
              </w:rPr>
              <w:t>2</w:t>
            </w:r>
            <w:r>
              <w:rPr>
                <w:rStyle w:val="IndexLink"/>
                <w:rtl w:val="true"/>
              </w:rPr>
              <w:t xml:space="preserve">. </w:t>
            </w:r>
            <w:r>
              <w:rPr>
                <w:rStyle w:val="IndexLink"/>
                <w:rtl w:val="true"/>
              </w:rPr>
              <w:t>استسقاء أبی طالب بالنبی صلی الله علیه و آله و سلم</w:t>
            </w:r>
            <w:r>
              <w:rPr>
                <w:rStyle w:val="IndexLink"/>
                <w:rtl w:val="true"/>
              </w:rPr>
              <w:t>:</w:t>
              <w:tab/>
            </w:r>
            <w:r>
              <w:rPr>
                <w:rStyle w:val="IndexLink"/>
              </w:rPr>
              <w:t>140</w:t>
            </w:r>
          </w:hyperlink>
        </w:p>
        <w:p>
          <w:pPr>
            <w:pStyle w:val="Contents6"/>
            <w:tabs>
              <w:tab w:val="clear" w:pos="7609"/>
              <w:tab w:val="right" w:pos="9026" w:leader="dot"/>
            </w:tabs>
            <w:rPr/>
          </w:pPr>
          <w:hyperlink w:anchor="__RefHeading___Toc1400946_3650668749">
            <w:r>
              <w:rPr>
                <w:webHidden/>
                <w:rStyle w:val="IndexLink"/>
              </w:rPr>
              <w:t>3</w:t>
            </w:r>
            <w:r>
              <w:rPr>
                <w:rStyle w:val="IndexLink"/>
                <w:rtl w:val="true"/>
              </w:rPr>
              <w:t xml:space="preserve">. </w:t>
            </w:r>
            <w:r>
              <w:rPr>
                <w:rStyle w:val="IndexLink"/>
                <w:rtl w:val="true"/>
              </w:rPr>
              <w:t>التوسّل بعمّ النبی صلی الله علیه و آله و سلم‌</w:t>
            </w:r>
            <w:r>
              <w:rPr>
                <w:rStyle w:val="IndexLink"/>
                <w:rtl w:val="true"/>
              </w:rPr>
              <w:tab/>
            </w:r>
            <w:r>
              <w:rPr>
                <w:rStyle w:val="IndexLink"/>
              </w:rPr>
              <w:t>142</w:t>
            </w:r>
          </w:hyperlink>
        </w:p>
        <w:p>
          <w:pPr>
            <w:pStyle w:val="Contents5"/>
            <w:tabs>
              <w:tab w:val="clear" w:pos="7892"/>
              <w:tab w:val="right" w:pos="9026" w:leader="dot"/>
            </w:tabs>
            <w:rPr/>
          </w:pPr>
          <w:hyperlink w:anchor="__RefHeading___Toc1400948_3650668749">
            <w:r>
              <w:rPr>
                <w:webHidden/>
                <w:rStyle w:val="IndexLink"/>
                <w:rtl w:val="true"/>
              </w:rPr>
              <w:t>الثانی</w:t>
            </w:r>
            <w:r>
              <w:rPr>
                <w:rStyle w:val="IndexLink"/>
                <w:rtl w:val="true"/>
              </w:rPr>
              <w:t xml:space="preserve">: </w:t>
            </w:r>
            <w:r>
              <w:rPr>
                <w:rStyle w:val="IndexLink"/>
                <w:rtl w:val="true"/>
              </w:rPr>
              <w:t>التوسّل بحقّ النبی صلی الله علیه و آله و سلم والأنبیاء والصالحین‌</w:t>
            </w:r>
            <w:r>
              <w:rPr>
                <w:rStyle w:val="IndexLink"/>
                <w:rtl w:val="true"/>
              </w:rPr>
              <w:tab/>
            </w:r>
            <w:r>
              <w:rPr>
                <w:rStyle w:val="IndexLink"/>
              </w:rPr>
              <w:t>143</w:t>
            </w:r>
          </w:hyperlink>
        </w:p>
        <w:p>
          <w:pPr>
            <w:pStyle w:val="Contents5"/>
            <w:tabs>
              <w:tab w:val="clear" w:pos="7892"/>
              <w:tab w:val="right" w:pos="9026" w:leader="dot"/>
            </w:tabs>
            <w:rPr/>
          </w:pPr>
          <w:hyperlink w:anchor="__RefHeading___Toc1400950_3650668749">
            <w:r>
              <w:rPr>
                <w:webHidden/>
                <w:rStyle w:val="IndexLink"/>
                <w:rtl w:val="true"/>
              </w:rPr>
              <w:t>الثالث</w:t>
            </w:r>
            <w:r>
              <w:rPr>
                <w:rStyle w:val="IndexLink"/>
                <w:rtl w:val="true"/>
              </w:rPr>
              <w:t xml:space="preserve">: </w:t>
            </w:r>
            <w:r>
              <w:rPr>
                <w:rStyle w:val="IndexLink"/>
                <w:rtl w:val="true"/>
              </w:rPr>
              <w:t>التوسّل بدعاء النبی صلی الله علیه و آله و سلم والصالحین بعد رحیلهم‌</w:t>
            </w:r>
            <w:r>
              <w:rPr>
                <w:rStyle w:val="IndexLink"/>
                <w:rtl w:val="true"/>
              </w:rPr>
              <w:tab/>
            </w:r>
            <w:r>
              <w:rPr>
                <w:rStyle w:val="IndexLink"/>
              </w:rPr>
              <w:t>145</w:t>
            </w:r>
          </w:hyperlink>
        </w:p>
        <w:p>
          <w:pPr>
            <w:pStyle w:val="Contents2"/>
            <w:tabs>
              <w:tab w:val="clear" w:pos="8743"/>
              <w:tab w:val="right" w:pos="9026" w:leader="dot"/>
            </w:tabs>
            <w:rPr/>
          </w:pPr>
          <w:hyperlink w:anchor="__RefHeading___Toc1400952_3650668749">
            <w:r>
              <w:rPr>
                <w:webHidden/>
                <w:rStyle w:val="IndexLink"/>
                <w:rtl w:val="true"/>
              </w:rPr>
              <w:t>الفصل الرابع</w:t>
            </w:r>
            <w:r>
              <w:rPr>
                <w:rStyle w:val="IndexLink"/>
                <w:rtl w:val="true"/>
              </w:rPr>
              <w:t xml:space="preserve">: </w:t>
            </w:r>
            <w:r>
              <w:rPr>
                <w:rStyle w:val="IndexLink"/>
                <w:rtl w:val="true"/>
              </w:rPr>
              <w:t>القرآن عند الشیعة الإمامیة</w:t>
            </w:r>
            <w:r>
              <w:rPr>
                <w:rStyle w:val="IndexLink"/>
                <w:rtl w:val="true"/>
              </w:rPr>
              <w:tab/>
            </w:r>
            <w:r>
              <w:rPr>
                <w:rStyle w:val="IndexLink"/>
              </w:rPr>
              <w:t>147</w:t>
            </w:r>
          </w:hyperlink>
        </w:p>
        <w:p>
          <w:pPr>
            <w:pStyle w:val="Contents3"/>
            <w:tabs>
              <w:tab w:val="clear" w:pos="8459"/>
              <w:tab w:val="right" w:pos="9026" w:leader="dot"/>
            </w:tabs>
            <w:rPr/>
          </w:pPr>
          <w:hyperlink w:anchor="__RefHeading___Toc1400954_365066874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400956_3650668749">
            <w:r>
              <w:rPr>
                <w:webHidden/>
                <w:rStyle w:val="IndexLink"/>
              </w:rPr>
              <w:t>1</w:t>
            </w:r>
            <w:r>
              <w:rPr>
                <w:rStyle w:val="IndexLink"/>
                <w:rtl w:val="true"/>
              </w:rPr>
              <w:t xml:space="preserve">. </w:t>
            </w:r>
            <w:r>
              <w:rPr>
                <w:rStyle w:val="IndexLink"/>
                <w:rtl w:val="true"/>
              </w:rPr>
              <w:t>أخبار عرض الأحادیث علی القرآن الکریم‌</w:t>
            </w:r>
            <w:r>
              <w:rPr>
                <w:rStyle w:val="IndexLink"/>
                <w:rtl w:val="true"/>
              </w:rPr>
              <w:tab/>
            </w:r>
            <w:r>
              <w:rPr>
                <w:rStyle w:val="IndexLink"/>
              </w:rPr>
              <w:t>147</w:t>
            </w:r>
          </w:hyperlink>
        </w:p>
        <w:p>
          <w:pPr>
            <w:pStyle w:val="Contents3"/>
            <w:tabs>
              <w:tab w:val="clear" w:pos="8459"/>
              <w:tab w:val="right" w:pos="9026" w:leader="dot"/>
            </w:tabs>
            <w:rPr/>
          </w:pPr>
          <w:hyperlink w:anchor="__RefHeading___Toc1400958_3650668749">
            <w:r>
              <w:rPr>
                <w:webHidden/>
                <w:rStyle w:val="IndexLink"/>
              </w:rPr>
              <w:t>2</w:t>
            </w:r>
            <w:r>
              <w:rPr>
                <w:rStyle w:val="IndexLink"/>
                <w:rtl w:val="true"/>
              </w:rPr>
              <w:t xml:space="preserve">. </w:t>
            </w:r>
            <w:r>
              <w:rPr>
                <w:rStyle w:val="IndexLink"/>
                <w:rtl w:val="true"/>
              </w:rPr>
              <w:t>حدیث الثقلین‌</w:t>
            </w:r>
            <w:r>
              <w:rPr>
                <w:rStyle w:val="IndexLink"/>
                <w:rtl w:val="true"/>
              </w:rPr>
              <w:tab/>
            </w:r>
            <w:r>
              <w:rPr>
                <w:rStyle w:val="IndexLink"/>
              </w:rPr>
              <w:t>147</w:t>
            </w:r>
          </w:hyperlink>
        </w:p>
        <w:p>
          <w:pPr>
            <w:pStyle w:val="Contents4"/>
            <w:tabs>
              <w:tab w:val="clear" w:pos="8176"/>
              <w:tab w:val="right" w:pos="9026" w:leader="dot"/>
            </w:tabs>
            <w:rPr/>
          </w:pPr>
          <w:hyperlink w:anchor="__RefHeading___Toc1400960_365066874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400962_3650668749">
            <w:r>
              <w:rPr>
                <w:webHidden/>
                <w:rStyle w:val="IndexLink"/>
              </w:rPr>
              <w:t>1</w:t>
            </w:r>
            <w:r>
              <w:rPr>
                <w:rStyle w:val="IndexLink"/>
                <w:rtl w:val="true"/>
              </w:rPr>
              <w:t xml:space="preserve">. </w:t>
            </w:r>
            <w:r>
              <w:rPr>
                <w:rStyle w:val="IndexLink"/>
                <w:rtl w:val="true"/>
              </w:rPr>
              <w:t>منزلة القرآن الکریم عند الشیعة الإمامیة</w:t>
            </w:r>
            <w:r>
              <w:rPr>
                <w:rStyle w:val="IndexLink"/>
                <w:rtl w:val="true"/>
              </w:rPr>
              <w:tab/>
            </w:r>
            <w:r>
              <w:rPr>
                <w:rStyle w:val="IndexLink"/>
              </w:rPr>
              <w:t>148</w:t>
            </w:r>
          </w:hyperlink>
        </w:p>
        <w:p>
          <w:pPr>
            <w:pStyle w:val="Contents4"/>
            <w:tabs>
              <w:tab w:val="clear" w:pos="8176"/>
              <w:tab w:val="right" w:pos="9026" w:leader="dot"/>
            </w:tabs>
            <w:rPr/>
          </w:pPr>
          <w:hyperlink w:anchor="__RefHeading___Toc1400964_3650668749">
            <w:r>
              <w:rPr>
                <w:webHidden/>
                <w:rStyle w:val="IndexLink"/>
              </w:rPr>
              <w:t>2</w:t>
            </w:r>
            <w:r>
              <w:rPr>
                <w:rStyle w:val="IndexLink"/>
                <w:rtl w:val="true"/>
              </w:rPr>
              <w:t xml:space="preserve">. </w:t>
            </w:r>
            <w:r>
              <w:rPr>
                <w:rStyle w:val="IndexLink"/>
                <w:rtl w:val="true"/>
              </w:rPr>
              <w:t>صیانة القرآن من التحریف‌</w:t>
            </w:r>
            <w:r>
              <w:rPr>
                <w:rStyle w:val="IndexLink"/>
                <w:rtl w:val="true"/>
              </w:rPr>
              <w:tab/>
            </w:r>
            <w:r>
              <w:rPr>
                <w:rStyle w:val="IndexLink"/>
              </w:rPr>
              <w:t>149</w:t>
            </w:r>
          </w:hyperlink>
        </w:p>
        <w:p>
          <w:pPr>
            <w:pStyle w:val="Contents4"/>
            <w:tabs>
              <w:tab w:val="clear" w:pos="8176"/>
              <w:tab w:val="right" w:pos="9026" w:leader="dot"/>
            </w:tabs>
            <w:rPr/>
          </w:pPr>
          <w:hyperlink w:anchor="__RefHeading___Toc1400966_3650668749">
            <w:r>
              <w:rPr>
                <w:webHidden/>
                <w:rStyle w:val="IndexLink"/>
              </w:rPr>
              <w:t>3</w:t>
            </w:r>
            <w:r>
              <w:rPr>
                <w:rStyle w:val="IndexLink"/>
                <w:rtl w:val="true"/>
              </w:rPr>
              <w:t xml:space="preserve">. </w:t>
            </w:r>
            <w:r>
              <w:rPr>
                <w:rStyle w:val="IndexLink"/>
                <w:rtl w:val="true"/>
              </w:rPr>
              <w:t>التحریف لغة واصطلاحاً</w:t>
            </w:r>
            <w:r>
              <w:rPr>
                <w:rStyle w:val="IndexLink"/>
                <w:rtl w:val="true"/>
              </w:rPr>
              <w:tab/>
            </w:r>
            <w:r>
              <w:rPr>
                <w:rStyle w:val="IndexLink"/>
              </w:rPr>
              <w:t>149</w:t>
            </w:r>
          </w:hyperlink>
        </w:p>
        <w:p>
          <w:pPr>
            <w:pStyle w:val="Contents4"/>
            <w:tabs>
              <w:tab w:val="clear" w:pos="8176"/>
              <w:tab w:val="right" w:pos="9026" w:leader="dot"/>
            </w:tabs>
            <w:rPr/>
          </w:pPr>
          <w:hyperlink w:anchor="__RefHeading___Toc1400968_3650668749">
            <w:r>
              <w:rPr>
                <w:webHidden/>
                <w:rStyle w:val="IndexLink"/>
              </w:rPr>
              <w:t>4</w:t>
            </w:r>
            <w:r>
              <w:rPr>
                <w:rStyle w:val="IndexLink"/>
                <w:rtl w:val="true"/>
              </w:rPr>
              <w:t xml:space="preserve">. </w:t>
            </w:r>
            <w:r>
              <w:rPr>
                <w:rStyle w:val="IndexLink"/>
                <w:rtl w:val="true"/>
              </w:rPr>
              <w:t>امتناع تطرّق التحریف إلی القرآن‌</w:t>
            </w:r>
            <w:r>
              <w:rPr>
                <w:rStyle w:val="IndexLink"/>
                <w:rtl w:val="true"/>
              </w:rPr>
              <w:tab/>
            </w:r>
            <w:r>
              <w:rPr>
                <w:rStyle w:val="IndexLink"/>
              </w:rPr>
              <w:t>153</w:t>
            </w:r>
          </w:hyperlink>
        </w:p>
        <w:p>
          <w:pPr>
            <w:pStyle w:val="Contents4"/>
            <w:tabs>
              <w:tab w:val="clear" w:pos="8176"/>
              <w:tab w:val="right" w:pos="9026" w:leader="dot"/>
            </w:tabs>
            <w:rPr/>
          </w:pPr>
          <w:hyperlink w:anchor="__RefHeading___Toc1400970_3650668749">
            <w:r>
              <w:rPr>
                <w:webHidden/>
                <w:rStyle w:val="IndexLink"/>
              </w:rPr>
              <w:t>5</w:t>
            </w:r>
            <w:r>
              <w:rPr>
                <w:rStyle w:val="IndexLink"/>
                <w:rtl w:val="true"/>
              </w:rPr>
              <w:t xml:space="preserve">. </w:t>
            </w:r>
            <w:r>
              <w:rPr>
                <w:rStyle w:val="IndexLink"/>
                <w:rtl w:val="true"/>
              </w:rPr>
              <w:t>شهادة القرآن علی عدم التحریف</w:t>
            </w:r>
            <w:r>
              <w:rPr>
                <w:rStyle w:val="IndexLink"/>
                <w:rtl w:val="true"/>
              </w:rPr>
              <w:t>:</w:t>
              <w:tab/>
            </w:r>
            <w:r>
              <w:rPr>
                <w:rStyle w:val="IndexLink"/>
              </w:rPr>
              <w:t>156</w:t>
            </w:r>
          </w:hyperlink>
        </w:p>
        <w:p>
          <w:pPr>
            <w:pStyle w:val="Contents5"/>
            <w:tabs>
              <w:tab w:val="clear" w:pos="7892"/>
              <w:tab w:val="right" w:pos="9026" w:leader="dot"/>
            </w:tabs>
            <w:rPr/>
          </w:pPr>
          <w:hyperlink w:anchor="__RefHeading___Toc1400972_3650668749">
            <w:r>
              <w:rPr>
                <w:webHidden/>
                <w:rStyle w:val="IndexLink"/>
                <w:rtl w:val="true"/>
              </w:rPr>
              <w:t>آیة الحفظ</w:t>
            </w:r>
            <w:r>
              <w:rPr>
                <w:rStyle w:val="IndexLink"/>
                <w:rtl w:val="true"/>
              </w:rPr>
              <w:tab/>
            </w:r>
            <w:r>
              <w:rPr>
                <w:rStyle w:val="IndexLink"/>
              </w:rPr>
              <w:t>156</w:t>
            </w:r>
          </w:hyperlink>
        </w:p>
        <w:p>
          <w:pPr>
            <w:pStyle w:val="Contents5"/>
            <w:tabs>
              <w:tab w:val="clear" w:pos="7892"/>
              <w:tab w:val="right" w:pos="9026" w:leader="dot"/>
            </w:tabs>
            <w:rPr/>
          </w:pPr>
          <w:hyperlink w:anchor="__RefHeading___Toc1400974_3650668749">
            <w:r>
              <w:rPr>
                <w:webHidden/>
                <w:rStyle w:val="IndexLink"/>
                <w:rtl w:val="true"/>
              </w:rPr>
              <w:t>آیة نفی الباطل‌</w:t>
            </w:r>
            <w:r>
              <w:rPr>
                <w:rStyle w:val="IndexLink"/>
                <w:rtl w:val="true"/>
              </w:rPr>
              <w:tab/>
            </w:r>
            <w:r>
              <w:rPr>
                <w:rStyle w:val="IndexLink"/>
              </w:rPr>
              <w:t>158</w:t>
            </w:r>
          </w:hyperlink>
        </w:p>
        <w:p>
          <w:pPr>
            <w:pStyle w:val="Contents5"/>
            <w:tabs>
              <w:tab w:val="clear" w:pos="7892"/>
              <w:tab w:val="right" w:pos="9026" w:leader="dot"/>
            </w:tabs>
            <w:rPr/>
          </w:pPr>
          <w:hyperlink w:anchor="__RefHeading___Toc1400976_3650668749">
            <w:r>
              <w:rPr>
                <w:webHidden/>
                <w:rStyle w:val="IndexLink"/>
                <w:rtl w:val="true"/>
              </w:rPr>
              <w:t>آیة جمع القرآن الکریم وقراءته‌</w:t>
            </w:r>
            <w:r>
              <w:rPr>
                <w:rStyle w:val="IndexLink"/>
                <w:rtl w:val="true"/>
              </w:rPr>
              <w:tab/>
            </w:r>
            <w:r>
              <w:rPr>
                <w:rStyle w:val="IndexLink"/>
              </w:rPr>
              <w:t>160</w:t>
            </w:r>
          </w:hyperlink>
        </w:p>
        <w:p>
          <w:pPr>
            <w:pStyle w:val="Contents4"/>
            <w:tabs>
              <w:tab w:val="clear" w:pos="8176"/>
              <w:tab w:val="right" w:pos="9026" w:leader="dot"/>
            </w:tabs>
            <w:rPr/>
          </w:pPr>
          <w:hyperlink w:anchor="__RefHeading___Toc1400978_3650668749">
            <w:r>
              <w:rPr>
                <w:webHidden/>
                <w:rStyle w:val="IndexLink"/>
              </w:rPr>
              <w:t>6</w:t>
            </w:r>
            <w:r>
              <w:rPr>
                <w:rStyle w:val="IndexLink"/>
                <w:rtl w:val="true"/>
              </w:rPr>
              <w:t xml:space="preserve">. </w:t>
            </w:r>
            <w:r>
              <w:rPr>
                <w:rStyle w:val="IndexLink"/>
                <w:rtl w:val="true"/>
              </w:rPr>
              <w:t>شهادة الروایات علی مصونیة القرآن الکریم من التحریف‌</w:t>
            </w:r>
            <w:r>
              <w:rPr>
                <w:rStyle w:val="IndexLink"/>
                <w:rtl w:val="true"/>
              </w:rPr>
              <w:tab/>
            </w:r>
            <w:r>
              <w:rPr>
                <w:rStyle w:val="IndexLink"/>
              </w:rPr>
              <w:t>161</w:t>
            </w:r>
          </w:hyperlink>
        </w:p>
        <w:p>
          <w:pPr>
            <w:pStyle w:val="Contents5"/>
            <w:tabs>
              <w:tab w:val="clear" w:pos="7892"/>
              <w:tab w:val="right" w:pos="9026" w:leader="dot"/>
            </w:tabs>
            <w:rPr/>
          </w:pPr>
          <w:hyperlink w:anchor="__RefHeading___Toc1400980_365066874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400982_3650668749">
            <w:r>
              <w:rPr>
                <w:webHidden/>
                <w:rStyle w:val="IndexLink"/>
              </w:rPr>
              <w:t>1</w:t>
            </w:r>
            <w:r>
              <w:rPr>
                <w:rStyle w:val="IndexLink"/>
                <w:rtl w:val="true"/>
              </w:rPr>
              <w:t xml:space="preserve">. </w:t>
            </w:r>
            <w:r>
              <w:rPr>
                <w:rStyle w:val="IndexLink"/>
                <w:rtl w:val="true"/>
              </w:rPr>
              <w:t>أخبار عرض الأحادیث علی القرآن الکریم‌</w:t>
            </w:r>
            <w:r>
              <w:rPr>
                <w:rStyle w:val="IndexLink"/>
                <w:rtl w:val="true"/>
              </w:rPr>
              <w:tab/>
            </w:r>
            <w:r>
              <w:rPr>
                <w:rStyle w:val="IndexLink"/>
              </w:rPr>
              <w:t>161</w:t>
            </w:r>
          </w:hyperlink>
        </w:p>
        <w:p>
          <w:pPr>
            <w:pStyle w:val="Contents5"/>
            <w:tabs>
              <w:tab w:val="clear" w:pos="7892"/>
              <w:tab w:val="right" w:pos="9026" w:leader="dot"/>
            </w:tabs>
            <w:rPr/>
          </w:pPr>
          <w:hyperlink w:anchor="__RefHeading___Toc1400984_3650668749">
            <w:r>
              <w:rPr>
                <w:webHidden/>
                <w:rStyle w:val="IndexLink"/>
              </w:rPr>
              <w:t>2</w:t>
            </w:r>
            <w:r>
              <w:rPr>
                <w:rStyle w:val="IndexLink"/>
                <w:rtl w:val="true"/>
              </w:rPr>
              <w:t xml:space="preserve">. </w:t>
            </w:r>
            <w:r>
              <w:rPr>
                <w:rStyle w:val="IndexLink"/>
                <w:rtl w:val="true"/>
              </w:rPr>
              <w:t>حدیث الثقلین‌</w:t>
            </w:r>
            <w:r>
              <w:rPr>
                <w:rStyle w:val="IndexLink"/>
                <w:rtl w:val="true"/>
              </w:rPr>
              <w:tab/>
            </w:r>
            <w:r>
              <w:rPr>
                <w:rStyle w:val="IndexLink"/>
              </w:rPr>
              <w:t>162</w:t>
            </w:r>
          </w:hyperlink>
        </w:p>
        <w:p>
          <w:pPr>
            <w:pStyle w:val="Contents4"/>
            <w:tabs>
              <w:tab w:val="clear" w:pos="8176"/>
              <w:tab w:val="right" w:pos="9026" w:leader="dot"/>
            </w:tabs>
            <w:rPr/>
          </w:pPr>
          <w:hyperlink w:anchor="__RefHeading___Toc1400986_3650668749">
            <w:r>
              <w:rPr>
                <w:webHidden/>
                <w:rStyle w:val="IndexLink"/>
              </w:rPr>
              <w:t>7</w:t>
            </w:r>
            <w:r>
              <w:rPr>
                <w:rStyle w:val="IndexLink"/>
                <w:rtl w:val="true"/>
              </w:rPr>
              <w:t xml:space="preserve">. </w:t>
            </w:r>
            <w:r>
              <w:rPr>
                <w:rStyle w:val="IndexLink"/>
                <w:rtl w:val="true"/>
              </w:rPr>
              <w:t>أئمة أهل البیت وصیانة القرآن من التحریف‌</w:t>
            </w:r>
            <w:r>
              <w:rPr>
                <w:rStyle w:val="IndexLink"/>
                <w:rtl w:val="true"/>
              </w:rPr>
              <w:tab/>
            </w:r>
            <w:r>
              <w:rPr>
                <w:rStyle w:val="IndexLink"/>
              </w:rPr>
              <w:t>163</w:t>
            </w:r>
          </w:hyperlink>
        </w:p>
        <w:p>
          <w:pPr>
            <w:pStyle w:val="Contents4"/>
            <w:tabs>
              <w:tab w:val="clear" w:pos="8176"/>
              <w:tab w:val="right" w:pos="9026" w:leader="dot"/>
            </w:tabs>
            <w:rPr/>
          </w:pPr>
          <w:hyperlink w:anchor="__RefHeading___Toc1400988_3650668749">
            <w:r>
              <w:rPr>
                <w:webHidden/>
                <w:rStyle w:val="IndexLink"/>
              </w:rPr>
              <w:t>8</w:t>
            </w:r>
            <w:r>
              <w:rPr>
                <w:rStyle w:val="IndexLink"/>
                <w:rtl w:val="true"/>
              </w:rPr>
              <w:t xml:space="preserve">. </w:t>
            </w:r>
            <w:r>
              <w:rPr>
                <w:rStyle w:val="IndexLink"/>
                <w:rtl w:val="true"/>
              </w:rPr>
              <w:t>علماء الشیعة وصیانة القرآن من التحریف‌</w:t>
            </w:r>
            <w:r>
              <w:rPr>
                <w:rStyle w:val="IndexLink"/>
                <w:rtl w:val="true"/>
              </w:rPr>
              <w:tab/>
            </w:r>
            <w:r>
              <w:rPr>
                <w:rStyle w:val="IndexLink"/>
              </w:rPr>
              <w:t>165</w:t>
            </w:r>
          </w:hyperlink>
        </w:p>
        <w:p>
          <w:pPr>
            <w:pStyle w:val="Contents4"/>
            <w:tabs>
              <w:tab w:val="clear" w:pos="8176"/>
              <w:tab w:val="right" w:pos="9026" w:leader="dot"/>
            </w:tabs>
            <w:rPr/>
          </w:pPr>
          <w:hyperlink w:anchor="__RefHeading___Toc1400990_3650668749">
            <w:r>
              <w:rPr>
                <w:webHidden/>
                <w:rStyle w:val="IndexLink"/>
              </w:rPr>
              <w:t>9</w:t>
            </w:r>
            <w:r>
              <w:rPr>
                <w:rStyle w:val="IndexLink"/>
                <w:rtl w:val="true"/>
              </w:rPr>
              <w:t xml:space="preserve">. </w:t>
            </w:r>
            <w:r>
              <w:rPr>
                <w:rStyle w:val="IndexLink"/>
                <w:rtl w:val="true"/>
              </w:rPr>
              <w:t>آیات غیر مکتوبة ادّعیت انّها من القرآن الکریم‌</w:t>
            </w:r>
            <w:r>
              <w:rPr>
                <w:rStyle w:val="IndexLink"/>
                <w:rtl w:val="true"/>
              </w:rPr>
              <w:tab/>
            </w:r>
            <w:r>
              <w:rPr>
                <w:rStyle w:val="IndexLink"/>
              </w:rPr>
              <w:t>169</w:t>
            </w:r>
          </w:hyperlink>
        </w:p>
        <w:p>
          <w:pPr>
            <w:pStyle w:val="Contents5"/>
            <w:tabs>
              <w:tab w:val="clear" w:pos="7892"/>
              <w:tab w:val="right" w:pos="9026" w:leader="dot"/>
            </w:tabs>
            <w:rPr/>
          </w:pPr>
          <w:hyperlink w:anchor="__RefHeading___Toc1400992_3650668749">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400994_3650668749">
            <w:r>
              <w:rPr>
                <w:webHidden/>
                <w:rStyle w:val="IndexLink"/>
              </w:rPr>
              <w:t>1</w:t>
            </w:r>
            <w:r>
              <w:rPr>
                <w:rStyle w:val="IndexLink"/>
                <w:rtl w:val="true"/>
              </w:rPr>
              <w:t xml:space="preserve">. </w:t>
            </w:r>
            <w:r>
              <w:rPr>
                <w:rStyle w:val="IndexLink"/>
                <w:rtl w:val="true"/>
              </w:rPr>
              <w:t>آیة الرجم‌</w:t>
            </w:r>
            <w:r>
              <w:rPr>
                <w:rStyle w:val="IndexLink"/>
                <w:rtl w:val="true"/>
              </w:rPr>
              <w:tab/>
            </w:r>
            <w:r>
              <w:rPr>
                <w:rStyle w:val="IndexLink"/>
              </w:rPr>
              <w:t>169</w:t>
            </w:r>
          </w:hyperlink>
        </w:p>
        <w:p>
          <w:pPr>
            <w:pStyle w:val="Contents5"/>
            <w:tabs>
              <w:tab w:val="clear" w:pos="7892"/>
              <w:tab w:val="right" w:pos="9026" w:leader="dot"/>
            </w:tabs>
            <w:rPr/>
          </w:pPr>
          <w:hyperlink w:anchor="__RefHeading___Toc1400996_3650668749">
            <w:r>
              <w:rPr>
                <w:webHidden/>
                <w:rStyle w:val="IndexLink"/>
              </w:rPr>
              <w:t>2</w:t>
            </w:r>
            <w:r>
              <w:rPr>
                <w:rStyle w:val="IndexLink"/>
                <w:rtl w:val="true"/>
              </w:rPr>
              <w:t xml:space="preserve">. </w:t>
            </w:r>
            <w:r>
              <w:rPr>
                <w:rStyle w:val="IndexLink"/>
                <w:rtl w:val="true"/>
              </w:rPr>
              <w:t>آیة الفراش‌</w:t>
            </w:r>
            <w:r>
              <w:rPr>
                <w:rStyle w:val="IndexLink"/>
                <w:rtl w:val="true"/>
              </w:rPr>
              <w:tab/>
            </w:r>
            <w:r>
              <w:rPr>
                <w:rStyle w:val="IndexLink"/>
              </w:rPr>
              <w:t>169</w:t>
            </w:r>
          </w:hyperlink>
        </w:p>
        <w:p>
          <w:pPr>
            <w:pStyle w:val="Contents5"/>
            <w:tabs>
              <w:tab w:val="clear" w:pos="7892"/>
              <w:tab w:val="right" w:pos="9026" w:leader="dot"/>
            </w:tabs>
            <w:rPr/>
          </w:pPr>
          <w:hyperlink w:anchor="__RefHeading___Toc1400998_3650668749">
            <w:r>
              <w:rPr>
                <w:webHidden/>
                <w:rStyle w:val="IndexLink"/>
              </w:rPr>
              <w:t>3</w:t>
            </w:r>
            <w:r>
              <w:rPr>
                <w:rStyle w:val="IndexLink"/>
                <w:rtl w:val="true"/>
              </w:rPr>
              <w:t xml:space="preserve">. </w:t>
            </w:r>
            <w:r>
              <w:rPr>
                <w:rStyle w:val="IndexLink"/>
                <w:rtl w:val="true"/>
              </w:rPr>
              <w:t>آیة الرغبة</w:t>
            </w:r>
            <w:r>
              <w:rPr>
                <w:rStyle w:val="IndexLink"/>
                <w:rtl w:val="true"/>
              </w:rPr>
              <w:tab/>
            </w:r>
            <w:r>
              <w:rPr>
                <w:rStyle w:val="IndexLink"/>
              </w:rPr>
              <w:t>170</w:t>
            </w:r>
          </w:hyperlink>
        </w:p>
        <w:p>
          <w:pPr>
            <w:pStyle w:val="Contents5"/>
            <w:tabs>
              <w:tab w:val="clear" w:pos="7892"/>
              <w:tab w:val="right" w:pos="9026" w:leader="dot"/>
            </w:tabs>
            <w:rPr/>
          </w:pPr>
          <w:hyperlink w:anchor="__RefHeading___Toc1401000_3650668749">
            <w:r>
              <w:rPr>
                <w:webHidden/>
                <w:rStyle w:val="IndexLink"/>
              </w:rPr>
              <w:t>4</w:t>
            </w:r>
            <w:r>
              <w:rPr>
                <w:rStyle w:val="IndexLink"/>
                <w:rtl w:val="true"/>
              </w:rPr>
              <w:t xml:space="preserve">. </w:t>
            </w:r>
            <w:r>
              <w:rPr>
                <w:rStyle w:val="IndexLink"/>
                <w:rtl w:val="true"/>
              </w:rPr>
              <w:t>آیة الجهاد</w:t>
            </w:r>
            <w:r>
              <w:rPr>
                <w:rStyle w:val="IndexLink"/>
                <w:rtl w:val="true"/>
              </w:rPr>
              <w:tab/>
            </w:r>
            <w:r>
              <w:rPr>
                <w:rStyle w:val="IndexLink"/>
              </w:rPr>
              <w:t>170</w:t>
            </w:r>
          </w:hyperlink>
        </w:p>
        <w:p>
          <w:pPr>
            <w:pStyle w:val="Contents5"/>
            <w:tabs>
              <w:tab w:val="clear" w:pos="7892"/>
              <w:tab w:val="right" w:pos="9026" w:leader="dot"/>
            </w:tabs>
            <w:rPr/>
          </w:pPr>
          <w:hyperlink w:anchor="__RefHeading___Toc1401002_3650668749">
            <w:r>
              <w:rPr>
                <w:webHidden/>
                <w:rStyle w:val="IndexLink"/>
              </w:rPr>
              <w:t>5</w:t>
            </w:r>
            <w:r>
              <w:rPr>
                <w:rStyle w:val="IndexLink"/>
                <w:rtl w:val="true"/>
              </w:rPr>
              <w:t xml:space="preserve">. </w:t>
            </w:r>
            <w:r>
              <w:rPr>
                <w:rStyle w:val="IndexLink"/>
                <w:rtl w:val="true"/>
              </w:rPr>
              <w:t>آیة الرضعات‌</w:t>
            </w:r>
            <w:r>
              <w:rPr>
                <w:rStyle w:val="IndexLink"/>
                <w:rtl w:val="true"/>
              </w:rPr>
              <w:tab/>
            </w:r>
            <w:r>
              <w:rPr>
                <w:rStyle w:val="IndexLink"/>
              </w:rPr>
              <w:t>170</w:t>
            </w:r>
          </w:hyperlink>
        </w:p>
        <w:p>
          <w:pPr>
            <w:pStyle w:val="Contents4"/>
            <w:tabs>
              <w:tab w:val="clear" w:pos="8176"/>
              <w:tab w:val="right" w:pos="9026" w:leader="dot"/>
            </w:tabs>
            <w:rPr/>
          </w:pPr>
          <w:hyperlink w:anchor="__RefHeading___Toc1401004_3650668749">
            <w:r>
              <w:rPr>
                <w:webHidden/>
                <w:rStyle w:val="IndexLink"/>
              </w:rPr>
              <w:t>10</w:t>
            </w:r>
            <w:r>
              <w:rPr>
                <w:rStyle w:val="IndexLink"/>
                <w:rtl w:val="true"/>
              </w:rPr>
              <w:t xml:space="preserve">. </w:t>
            </w:r>
            <w:r>
              <w:rPr>
                <w:rStyle w:val="IndexLink"/>
                <w:rtl w:val="true"/>
              </w:rPr>
              <w:t>شبهتان حول التحریف‌</w:t>
            </w:r>
            <w:r>
              <w:rPr>
                <w:rStyle w:val="IndexLink"/>
                <w:rtl w:val="true"/>
              </w:rPr>
              <w:tab/>
            </w:r>
            <w:r>
              <w:rPr>
                <w:rStyle w:val="IndexLink"/>
              </w:rPr>
              <w:t>171</w:t>
            </w:r>
          </w:hyperlink>
        </w:p>
        <w:p>
          <w:pPr>
            <w:pStyle w:val="Contents5"/>
            <w:tabs>
              <w:tab w:val="clear" w:pos="7892"/>
              <w:tab w:val="right" w:pos="9026" w:leader="dot"/>
            </w:tabs>
            <w:rPr/>
          </w:pPr>
          <w:hyperlink w:anchor="__RefHeading___Toc1401006_3650668749">
            <w:r>
              <w:rPr>
                <w:webHidden/>
                <w:rStyle w:val="IndexLink"/>
                <w:rtl w:val="true"/>
              </w:rPr>
              <w:t>الشبهة الأُولی</w:t>
            </w:r>
            <w:r>
              <w:rPr>
                <w:rStyle w:val="IndexLink"/>
                <w:rtl w:val="true"/>
              </w:rPr>
              <w:t xml:space="preserve">: </w:t>
            </w:r>
            <w:r>
              <w:rPr>
                <w:rStyle w:val="IndexLink"/>
                <w:rtl w:val="true"/>
              </w:rPr>
              <w:t>وجود مصحف لعلی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1401008_3650668749">
            <w:r>
              <w:rPr>
                <w:webHidden/>
                <w:rStyle w:val="IndexLink"/>
                <w:rtl w:val="true"/>
              </w:rPr>
              <w:t>الشبهة الثانیة</w:t>
            </w:r>
            <w:r>
              <w:rPr>
                <w:rStyle w:val="IndexLink"/>
                <w:rtl w:val="true"/>
              </w:rPr>
              <w:t xml:space="preserve">: </w:t>
            </w:r>
            <w:r>
              <w:rPr>
                <w:rStyle w:val="IndexLink"/>
                <w:rtl w:val="true"/>
              </w:rPr>
              <w:t>مصحف فاطمة</w:t>
            </w:r>
            <w:r>
              <w:rPr>
                <w:rStyle w:val="IndexLink"/>
                <w:rtl w:val="true"/>
              </w:rPr>
              <w:tab/>
            </w:r>
            <w:r>
              <w:rPr>
                <w:rStyle w:val="IndexLink"/>
              </w:rPr>
              <w:t>172</w:t>
            </w:r>
          </w:hyperlink>
        </w:p>
        <w:p>
          <w:pPr>
            <w:pStyle w:val="Contents4"/>
            <w:tabs>
              <w:tab w:val="clear" w:pos="8176"/>
              <w:tab w:val="right" w:pos="9026" w:leader="dot"/>
            </w:tabs>
            <w:rPr/>
          </w:pPr>
          <w:hyperlink w:anchor="__RefHeading___Toc1401010_3650668749">
            <w:r>
              <w:rPr>
                <w:webHidden/>
                <w:rStyle w:val="IndexLink"/>
              </w:rPr>
              <w:t>11</w:t>
            </w:r>
            <w:r>
              <w:rPr>
                <w:rStyle w:val="IndexLink"/>
                <w:rtl w:val="true"/>
              </w:rPr>
              <w:t xml:space="preserve">. </w:t>
            </w:r>
            <w:r>
              <w:rPr>
                <w:rStyle w:val="IndexLink"/>
                <w:rtl w:val="true"/>
              </w:rPr>
              <w:t>تاریخ جمع القرآن الکریم‌</w:t>
            </w:r>
            <w:r>
              <w:rPr>
                <w:rStyle w:val="IndexLink"/>
                <w:rtl w:val="true"/>
              </w:rPr>
              <w:tab/>
            </w:r>
            <w:r>
              <w:rPr>
                <w:rStyle w:val="IndexLink"/>
              </w:rPr>
              <w:t>174</w:t>
            </w:r>
          </w:hyperlink>
        </w:p>
        <w:p>
          <w:pPr>
            <w:pStyle w:val="Contents5"/>
            <w:tabs>
              <w:tab w:val="clear" w:pos="7892"/>
              <w:tab w:val="right" w:pos="9026" w:leader="dot"/>
            </w:tabs>
            <w:rPr/>
          </w:pPr>
          <w:hyperlink w:anchor="__RefHeading___Toc1401012_365066874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401014_3650668749">
            <w:r>
              <w:rPr>
                <w:webHidden/>
                <w:rStyle w:val="IndexLink"/>
                <w:rtl w:val="true"/>
              </w:rPr>
              <w:t>القرآن قد جمع فی عصر النبی الأکرم صلی الله علیه و آله و سلم‌</w:t>
            </w:r>
            <w:r>
              <w:rPr>
                <w:rStyle w:val="IndexLink"/>
                <w:rtl w:val="true"/>
              </w:rPr>
              <w:tab/>
            </w:r>
            <w:r>
              <w:rPr>
                <w:rStyle w:val="IndexLink"/>
              </w:rPr>
              <w:t>175</w:t>
            </w:r>
          </w:hyperlink>
        </w:p>
        <w:p>
          <w:pPr>
            <w:pStyle w:val="Contents5"/>
            <w:tabs>
              <w:tab w:val="clear" w:pos="7892"/>
              <w:tab w:val="right" w:pos="9026" w:leader="dot"/>
            </w:tabs>
            <w:rPr/>
          </w:pPr>
          <w:hyperlink w:anchor="__RefHeading___Toc1401016_3650668749">
            <w:r>
              <w:rPr>
                <w:webHidden/>
                <w:rStyle w:val="IndexLink"/>
                <w:rtl w:val="true"/>
              </w:rPr>
              <w:t>الشواهد التاریخیة علی جمع القرآن فی زمن النبی صلی الله علیه و آله و سلم‌</w:t>
            </w:r>
            <w:r>
              <w:rPr>
                <w:rStyle w:val="IndexLink"/>
                <w:rtl w:val="true"/>
              </w:rPr>
              <w:tab/>
            </w:r>
            <w:r>
              <w:rPr>
                <w:rStyle w:val="IndexLink"/>
              </w:rPr>
              <w:t>175</w:t>
            </w:r>
          </w:hyperlink>
        </w:p>
        <w:p>
          <w:pPr>
            <w:pStyle w:val="Contents5"/>
            <w:tabs>
              <w:tab w:val="clear" w:pos="7892"/>
              <w:tab w:val="right" w:pos="9026" w:leader="dot"/>
            </w:tabs>
            <w:rPr/>
          </w:pPr>
          <w:hyperlink w:anchor="__RefHeading___Toc1401018_3650668749">
            <w:r>
              <w:rPr>
                <w:webHidden/>
                <w:rStyle w:val="IndexLink"/>
                <w:rtl w:val="true"/>
              </w:rPr>
              <w:t>أحادیث جمع القرآن بعد رحیل النبی صلی الله علیه و آله و سلم تُعارضُ نصَّ القرآن‌</w:t>
            </w:r>
            <w:r>
              <w:rPr>
                <w:rStyle w:val="IndexLink"/>
                <w:rtl w:val="true"/>
              </w:rPr>
              <w:tab/>
            </w:r>
            <w:r>
              <w:rPr>
                <w:rStyle w:val="IndexLink"/>
              </w:rPr>
              <w:t>178</w:t>
            </w:r>
          </w:hyperlink>
        </w:p>
        <w:p>
          <w:pPr>
            <w:pStyle w:val="Contents5"/>
            <w:tabs>
              <w:tab w:val="clear" w:pos="7892"/>
              <w:tab w:val="right" w:pos="9026" w:leader="dot"/>
            </w:tabs>
            <w:rPr/>
          </w:pPr>
          <w:hyperlink w:anchor="__RefHeading___Toc1401020_3650668749">
            <w:r>
              <w:rPr>
                <w:webHidden/>
                <w:rStyle w:val="IndexLink"/>
                <w:rtl w:val="true"/>
              </w:rPr>
              <w:t>أحادیث جمع القرآن بعد ارتحال النبی صلی الله علیه و آله و سلم لا تنسجم مع حکم العقل‌</w:t>
            </w:r>
            <w:r>
              <w:rPr>
                <w:rStyle w:val="IndexLink"/>
                <w:rtl w:val="true"/>
              </w:rPr>
              <w:tab/>
            </w:r>
            <w:r>
              <w:rPr>
                <w:rStyle w:val="IndexLink"/>
              </w:rPr>
              <w:t>179</w:t>
            </w:r>
          </w:hyperlink>
        </w:p>
        <w:p>
          <w:pPr>
            <w:pStyle w:val="Contents2"/>
            <w:tabs>
              <w:tab w:val="clear" w:pos="8743"/>
              <w:tab w:val="right" w:pos="9026" w:leader="dot"/>
            </w:tabs>
            <w:rPr/>
          </w:pPr>
          <w:hyperlink w:anchor="__RefHeading___Toc1401022_3650668749">
            <w:r>
              <w:rPr>
                <w:webHidden/>
                <w:rStyle w:val="IndexLink"/>
                <w:rtl w:val="true"/>
              </w:rPr>
              <w:t>الفصل الخامس</w:t>
            </w:r>
            <w:r>
              <w:rPr>
                <w:rStyle w:val="IndexLink"/>
                <w:rtl w:val="true"/>
              </w:rPr>
              <w:t xml:space="preserve">: </w:t>
            </w:r>
            <w:r>
              <w:rPr>
                <w:rStyle w:val="IndexLink"/>
                <w:rtl w:val="true"/>
              </w:rPr>
              <w:t>الإمامة عند السنّة والشیعة</w:t>
            </w:r>
            <w:r>
              <w:rPr>
                <w:rStyle w:val="IndexLink"/>
                <w:rtl w:val="true"/>
              </w:rPr>
              <w:tab/>
            </w:r>
            <w:r>
              <w:rPr>
                <w:rStyle w:val="IndexLink"/>
              </w:rPr>
              <w:t>182</w:t>
            </w:r>
          </w:hyperlink>
        </w:p>
        <w:p>
          <w:pPr>
            <w:pStyle w:val="Contents3"/>
            <w:tabs>
              <w:tab w:val="clear" w:pos="8459"/>
              <w:tab w:val="right" w:pos="9026" w:leader="dot"/>
            </w:tabs>
            <w:rPr/>
          </w:pPr>
          <w:hyperlink w:anchor="__RefHeading___Toc1401024_3650668749">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401026_3650668749">
            <w:r>
              <w:rPr>
                <w:webHidden/>
                <w:rStyle w:val="IndexLink"/>
                <w:rtl w:val="true"/>
              </w:rPr>
              <w:t>الإمامة عند السنّة والشیعة</w:t>
            </w:r>
            <w:r>
              <w:rPr>
                <w:rStyle w:val="IndexLink"/>
                <w:rtl w:val="true"/>
              </w:rPr>
              <w:tab/>
            </w:r>
            <w:r>
              <w:rPr>
                <w:rStyle w:val="IndexLink"/>
              </w:rPr>
              <w:t>183</w:t>
            </w:r>
          </w:hyperlink>
        </w:p>
        <w:p>
          <w:pPr>
            <w:pStyle w:val="Contents4"/>
            <w:tabs>
              <w:tab w:val="clear" w:pos="8176"/>
              <w:tab w:val="right" w:pos="9026" w:leader="dot"/>
            </w:tabs>
            <w:rPr/>
          </w:pPr>
          <w:hyperlink w:anchor="__RefHeading___Toc1401028_365066874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01030_3650668749">
            <w:r>
              <w:rPr>
                <w:webHidden/>
                <w:rStyle w:val="IndexLink"/>
              </w:rPr>
              <w:t>1</w:t>
            </w:r>
            <w:r>
              <w:rPr>
                <w:rStyle w:val="IndexLink"/>
                <w:rtl w:val="true"/>
              </w:rPr>
              <w:t xml:space="preserve">. </w:t>
            </w:r>
            <w:r>
              <w:rPr>
                <w:rStyle w:val="IndexLink"/>
                <w:rtl w:val="true"/>
              </w:rPr>
              <w:t xml:space="preserve">دور </w:t>
            </w:r>
            <w:r>
              <w:rPr>
                <w:rStyle w:val="IndexLink"/>
                <w:rtl w:val="true"/>
              </w:rPr>
              <w:t>«</w:t>
            </w:r>
            <w:r>
              <w:rPr>
                <w:rStyle w:val="IndexLink"/>
                <w:rtl w:val="true"/>
              </w:rPr>
              <w:t>الإمامة</w:t>
            </w:r>
            <w:r>
              <w:rPr>
                <w:rStyle w:val="IndexLink"/>
                <w:rtl w:val="true"/>
              </w:rPr>
              <w:t xml:space="preserve">» </w:t>
            </w:r>
            <w:r>
              <w:rPr>
                <w:rStyle w:val="IndexLink"/>
                <w:rtl w:val="true"/>
              </w:rPr>
              <w:t>عند الشیعة الإمامیّة</w:t>
            </w:r>
            <w:r>
              <w:rPr>
                <w:rStyle w:val="IndexLink"/>
                <w:rtl w:val="true"/>
              </w:rPr>
              <w:tab/>
            </w:r>
            <w:r>
              <w:rPr>
                <w:rStyle w:val="IndexLink"/>
              </w:rPr>
              <w:t>184</w:t>
            </w:r>
          </w:hyperlink>
        </w:p>
        <w:p>
          <w:pPr>
            <w:pStyle w:val="Contents4"/>
            <w:tabs>
              <w:tab w:val="clear" w:pos="8176"/>
              <w:tab w:val="right" w:pos="9026" w:leader="dot"/>
            </w:tabs>
            <w:rPr/>
          </w:pPr>
          <w:hyperlink w:anchor="__RefHeading___Toc1401032_3650668749">
            <w:r>
              <w:rPr>
                <w:webHidden/>
                <w:rStyle w:val="IndexLink"/>
              </w:rPr>
              <w:t>2</w:t>
            </w:r>
            <w:r>
              <w:rPr>
                <w:rStyle w:val="IndexLink"/>
                <w:rtl w:val="true"/>
              </w:rPr>
              <w:t xml:space="preserve">. </w:t>
            </w:r>
            <w:r>
              <w:rPr>
                <w:rStyle w:val="IndexLink"/>
                <w:rtl w:val="true"/>
              </w:rPr>
              <w:t>صیغة الحکومة بعد رحلة النبی صلی الله علیه و آله و سلم‌</w:t>
            </w:r>
            <w:r>
              <w:rPr>
                <w:rStyle w:val="IndexLink"/>
                <w:rtl w:val="true"/>
              </w:rPr>
              <w:tab/>
            </w:r>
            <w:r>
              <w:rPr>
                <w:rStyle w:val="IndexLink"/>
              </w:rPr>
              <w:t>185</w:t>
            </w:r>
          </w:hyperlink>
        </w:p>
        <w:p>
          <w:pPr>
            <w:pStyle w:val="Contents5"/>
            <w:tabs>
              <w:tab w:val="clear" w:pos="7892"/>
              <w:tab w:val="right" w:pos="9026" w:leader="dot"/>
            </w:tabs>
            <w:rPr/>
          </w:pPr>
          <w:hyperlink w:anchor="__RefHeading___Toc1401034_365066874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401036_3650668749">
            <w:r>
              <w:rPr>
                <w:webHidden/>
                <w:rStyle w:val="IndexLink"/>
                <w:rtl w:val="true"/>
              </w:rPr>
              <w:t>الصیغة الأُولی</w:t>
            </w:r>
            <w:r>
              <w:rPr>
                <w:rStyle w:val="IndexLink"/>
                <w:rtl w:val="true"/>
              </w:rPr>
              <w:t xml:space="preserve">: </w:t>
            </w:r>
            <w:r>
              <w:rPr>
                <w:rStyle w:val="IndexLink"/>
                <w:rtl w:val="true"/>
              </w:rPr>
              <w:t>تنصیص النبی علی الإمام بعده‌</w:t>
            </w:r>
            <w:r>
              <w:rPr>
                <w:rStyle w:val="IndexLink"/>
                <w:rtl w:val="true"/>
              </w:rPr>
              <w:tab/>
            </w:r>
            <w:r>
              <w:rPr>
                <w:rStyle w:val="IndexLink"/>
              </w:rPr>
              <w:t>185</w:t>
            </w:r>
          </w:hyperlink>
        </w:p>
        <w:p>
          <w:pPr>
            <w:pStyle w:val="Contents6"/>
            <w:tabs>
              <w:tab w:val="clear" w:pos="7609"/>
              <w:tab w:val="right" w:pos="9026" w:leader="dot"/>
            </w:tabs>
            <w:rPr/>
          </w:pPr>
          <w:hyperlink w:anchor="__RefHeading___Toc1401038_365066874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401040_3650668749">
            <w:r>
              <w:rPr>
                <w:webHidden/>
                <w:rStyle w:val="IndexLink"/>
              </w:rPr>
              <w:t>1</w:t>
            </w:r>
            <w:r>
              <w:rPr>
                <w:rStyle w:val="IndexLink"/>
                <w:rtl w:val="true"/>
              </w:rPr>
              <w:t xml:space="preserve">. </w:t>
            </w:r>
            <w:r>
              <w:rPr>
                <w:rStyle w:val="IndexLink"/>
                <w:rtl w:val="true"/>
              </w:rPr>
              <w:t>استحالة ترک الأُمة بلا قائد</w:t>
            </w:r>
            <w:r>
              <w:rPr>
                <w:rStyle w:val="IndexLink"/>
                <w:rtl w:val="true"/>
              </w:rPr>
              <w:tab/>
            </w:r>
            <w:r>
              <w:rPr>
                <w:rStyle w:val="IndexLink"/>
              </w:rPr>
              <w:t>186</w:t>
            </w:r>
          </w:hyperlink>
        </w:p>
        <w:p>
          <w:pPr>
            <w:pStyle w:val="Contents6"/>
            <w:tabs>
              <w:tab w:val="clear" w:pos="7609"/>
              <w:tab w:val="right" w:pos="9026" w:leader="dot"/>
            </w:tabs>
            <w:rPr/>
          </w:pPr>
          <w:hyperlink w:anchor="__RefHeading___Toc1401042_3650668749">
            <w:r>
              <w:rPr>
                <w:webHidden/>
                <w:rStyle w:val="IndexLink"/>
              </w:rPr>
              <w:t>2</w:t>
            </w:r>
            <w:r>
              <w:rPr>
                <w:rStyle w:val="IndexLink"/>
                <w:rtl w:val="true"/>
              </w:rPr>
              <w:t xml:space="preserve">. </w:t>
            </w:r>
            <w:r>
              <w:rPr>
                <w:rStyle w:val="IndexLink"/>
                <w:rtl w:val="true"/>
              </w:rPr>
              <w:t>الأُمة الإسلامیّة والخطر الثلاثی‌</w:t>
            </w:r>
            <w:r>
              <w:rPr>
                <w:rStyle w:val="IndexLink"/>
                <w:rtl w:val="true"/>
              </w:rPr>
              <w:tab/>
            </w:r>
            <w:r>
              <w:rPr>
                <w:rStyle w:val="IndexLink"/>
              </w:rPr>
              <w:t>187</w:t>
            </w:r>
          </w:hyperlink>
        </w:p>
        <w:p>
          <w:pPr>
            <w:pStyle w:val="Contents6"/>
            <w:tabs>
              <w:tab w:val="clear" w:pos="7609"/>
              <w:tab w:val="right" w:pos="9026" w:leader="dot"/>
            </w:tabs>
            <w:rPr/>
          </w:pPr>
          <w:hyperlink w:anchor="__RefHeading___Toc1401044_3650668749">
            <w:r>
              <w:rPr>
                <w:webHidden/>
                <w:rStyle w:val="IndexLink"/>
              </w:rPr>
              <w:t>3</w:t>
            </w:r>
            <w:r>
              <w:rPr>
                <w:rStyle w:val="IndexLink"/>
                <w:rtl w:val="true"/>
              </w:rPr>
              <w:t xml:space="preserve">. </w:t>
            </w:r>
            <w:r>
              <w:rPr>
                <w:rStyle w:val="IndexLink"/>
                <w:rtl w:val="true"/>
              </w:rPr>
              <w:t>تعیین الإمام فی أحادیث الرسول صلی الله علیه و آله و سلم‌</w:t>
            </w:r>
            <w:r>
              <w:rPr>
                <w:rStyle w:val="IndexLink"/>
                <w:rtl w:val="true"/>
              </w:rPr>
              <w:tab/>
            </w:r>
            <w:r>
              <w:rPr>
                <w:rStyle w:val="IndexLink"/>
              </w:rPr>
              <w:t>189</w:t>
            </w:r>
          </w:hyperlink>
        </w:p>
        <w:p>
          <w:pPr>
            <w:pStyle w:val="Contents6"/>
            <w:tabs>
              <w:tab w:val="clear" w:pos="7609"/>
              <w:tab w:val="right" w:pos="9026" w:leader="dot"/>
            </w:tabs>
            <w:rPr/>
          </w:pPr>
          <w:hyperlink w:anchor="__RefHeading___Toc1401046_365066874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401048_3650668749">
            <w:r>
              <w:rPr>
                <w:webHidden/>
                <w:rStyle w:val="IndexLink"/>
              </w:rPr>
              <w:t>1</w:t>
            </w:r>
            <w:r>
              <w:rPr>
                <w:rStyle w:val="IndexLink"/>
                <w:rtl w:val="true"/>
              </w:rPr>
              <w:t xml:space="preserve">. </w:t>
            </w:r>
            <w:r>
              <w:rPr>
                <w:rStyle w:val="IndexLink"/>
                <w:rtl w:val="true"/>
              </w:rPr>
              <w:t>حدیث یوم الدار</w:t>
            </w:r>
            <w:r>
              <w:rPr>
                <w:rStyle w:val="IndexLink"/>
                <w:rtl w:val="true"/>
              </w:rPr>
              <w:tab/>
            </w:r>
            <w:r>
              <w:rPr>
                <w:rStyle w:val="IndexLink"/>
              </w:rPr>
              <w:t>189</w:t>
            </w:r>
          </w:hyperlink>
        </w:p>
        <w:p>
          <w:pPr>
            <w:pStyle w:val="Contents6"/>
            <w:tabs>
              <w:tab w:val="clear" w:pos="7609"/>
              <w:tab w:val="right" w:pos="9026" w:leader="dot"/>
            </w:tabs>
            <w:rPr/>
          </w:pPr>
          <w:hyperlink w:anchor="__RefHeading___Toc1401050_3650668749">
            <w:r>
              <w:rPr>
                <w:webHidden/>
                <w:rStyle w:val="IndexLink"/>
              </w:rPr>
              <w:t>2</w:t>
            </w:r>
            <w:r>
              <w:rPr>
                <w:rStyle w:val="IndexLink"/>
                <w:rtl w:val="true"/>
              </w:rPr>
              <w:t xml:space="preserve">. </w:t>
            </w:r>
            <w:r>
              <w:rPr>
                <w:rStyle w:val="IndexLink"/>
                <w:rtl w:val="true"/>
              </w:rPr>
              <w:t>حَدیِثُ المَنْزِلَةِ</w:t>
            </w:r>
            <w:r>
              <w:rPr>
                <w:rStyle w:val="IndexLink"/>
                <w:rtl w:val="true"/>
              </w:rPr>
              <w:tab/>
            </w:r>
            <w:r>
              <w:rPr>
                <w:rStyle w:val="IndexLink"/>
              </w:rPr>
              <w:t>190</w:t>
            </w:r>
          </w:hyperlink>
        </w:p>
        <w:p>
          <w:pPr>
            <w:pStyle w:val="Contents6"/>
            <w:tabs>
              <w:tab w:val="clear" w:pos="7609"/>
              <w:tab w:val="right" w:pos="9026" w:leader="dot"/>
            </w:tabs>
            <w:rPr/>
          </w:pPr>
          <w:hyperlink w:anchor="__RefHeading___Toc1401052_3650668749">
            <w:r>
              <w:rPr>
                <w:webHidden/>
                <w:rStyle w:val="IndexLink"/>
              </w:rPr>
              <w:t>3</w:t>
            </w:r>
            <w:r>
              <w:rPr>
                <w:rStyle w:val="IndexLink"/>
                <w:rtl w:val="true"/>
              </w:rPr>
              <w:t xml:space="preserve">. </w:t>
            </w:r>
            <w:r>
              <w:rPr>
                <w:rStyle w:val="IndexLink"/>
                <w:rtl w:val="true"/>
              </w:rPr>
              <w:t>نصب الإمام یوم الغدیر</w:t>
            </w:r>
            <w:r>
              <w:rPr>
                <w:rStyle w:val="IndexLink"/>
                <w:rtl w:val="true"/>
              </w:rPr>
              <w:tab/>
            </w:r>
            <w:r>
              <w:rPr>
                <w:rStyle w:val="IndexLink"/>
              </w:rPr>
              <w:t>191</w:t>
            </w:r>
          </w:hyperlink>
        </w:p>
        <w:p>
          <w:pPr>
            <w:pStyle w:val="Contents5"/>
            <w:tabs>
              <w:tab w:val="clear" w:pos="7892"/>
              <w:tab w:val="right" w:pos="9026" w:leader="dot"/>
            </w:tabs>
            <w:rPr/>
          </w:pPr>
          <w:hyperlink w:anchor="__RefHeading___Toc1401054_3650668749">
            <w:r>
              <w:rPr>
                <w:webHidden/>
                <w:rStyle w:val="IndexLink"/>
                <w:rtl w:val="true"/>
              </w:rPr>
              <w:t>الصیغة الثانیة</w:t>
            </w:r>
            <w:r>
              <w:rPr>
                <w:rStyle w:val="IndexLink"/>
                <w:rtl w:val="true"/>
              </w:rPr>
              <w:t xml:space="preserve">: </w:t>
            </w:r>
            <w:r>
              <w:rPr>
                <w:rStyle w:val="IndexLink"/>
                <w:rtl w:val="true"/>
              </w:rPr>
              <w:t>تفویض الأمر إلی الأُمّة</w:t>
            </w:r>
            <w:r>
              <w:rPr>
                <w:rStyle w:val="IndexLink"/>
                <w:rtl w:val="true"/>
              </w:rPr>
              <w:tab/>
            </w:r>
            <w:r>
              <w:rPr>
                <w:rStyle w:val="IndexLink"/>
              </w:rPr>
              <w:t>195</w:t>
            </w:r>
          </w:hyperlink>
        </w:p>
        <w:p>
          <w:pPr>
            <w:pStyle w:val="Contents6"/>
            <w:tabs>
              <w:tab w:val="clear" w:pos="7609"/>
              <w:tab w:val="right" w:pos="9026" w:leader="dot"/>
            </w:tabs>
            <w:rPr/>
          </w:pPr>
          <w:hyperlink w:anchor="__RefHeading___Toc1401056_365066874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401058_3650668749">
            <w:r>
              <w:rPr>
                <w:webHidden/>
                <w:rStyle w:val="IndexLink"/>
                <w:rtl w:val="true"/>
              </w:rPr>
              <w:t>إجماع المسلمین‌</w:t>
            </w:r>
            <w:r>
              <w:rPr>
                <w:rStyle w:val="IndexLink"/>
                <w:rtl w:val="true"/>
              </w:rPr>
              <w:tab/>
            </w:r>
            <w:r>
              <w:rPr>
                <w:rStyle w:val="IndexLink"/>
              </w:rPr>
              <w:t>196</w:t>
            </w:r>
          </w:hyperlink>
        </w:p>
        <w:p>
          <w:pPr>
            <w:pStyle w:val="Contents6"/>
            <w:tabs>
              <w:tab w:val="clear" w:pos="7609"/>
              <w:tab w:val="right" w:pos="9026" w:leader="dot"/>
            </w:tabs>
            <w:rPr/>
          </w:pPr>
          <w:hyperlink w:anchor="__RefHeading___Toc1401060_3650668749">
            <w:r>
              <w:rPr>
                <w:webHidden/>
                <w:rStyle w:val="IndexLink"/>
                <w:rtl w:val="true"/>
              </w:rPr>
              <w:t>هل الشوری أساس الحکم؟</w:t>
            </w:r>
            <w:r>
              <w:rPr>
                <w:rStyle w:val="IndexLink"/>
                <w:rtl w:val="true"/>
              </w:rPr>
              <w:t>!</w:t>
              <w:tab/>
            </w:r>
            <w:r>
              <w:rPr>
                <w:rStyle w:val="IndexLink"/>
              </w:rPr>
              <w:t>198</w:t>
            </w:r>
          </w:hyperlink>
        </w:p>
        <w:p>
          <w:pPr>
            <w:pStyle w:val="Contents6"/>
            <w:tabs>
              <w:tab w:val="clear" w:pos="7609"/>
              <w:tab w:val="right" w:pos="9026" w:leader="dot"/>
            </w:tabs>
            <w:rPr/>
          </w:pPr>
          <w:hyperlink w:anchor="__RefHeading___Toc1401062_3650668749">
            <w:r>
              <w:rPr>
                <w:webHidden/>
                <w:rStyle w:val="IndexLink"/>
                <w:rtl w:val="true"/>
              </w:rPr>
              <w:t>هل البیعة أساس الحکم؟</w:t>
            </w:r>
            <w:r>
              <w:rPr>
                <w:rStyle w:val="IndexLink"/>
                <w:rtl w:val="true"/>
              </w:rPr>
              <w:tab/>
            </w:r>
            <w:r>
              <w:rPr>
                <w:rStyle w:val="IndexLink"/>
              </w:rPr>
              <w:t>200</w:t>
            </w:r>
          </w:hyperlink>
        </w:p>
        <w:p>
          <w:pPr>
            <w:pStyle w:val="Contents5"/>
            <w:tabs>
              <w:tab w:val="clear" w:pos="7892"/>
              <w:tab w:val="right" w:pos="9026" w:leader="dot"/>
            </w:tabs>
            <w:rPr/>
          </w:pPr>
          <w:hyperlink w:anchor="__RefHeading___Toc1401064_3650668749">
            <w:r>
              <w:rPr>
                <w:webHidden/>
                <w:rStyle w:val="IndexLink"/>
                <w:rtl w:val="true"/>
              </w:rPr>
              <w:t>السنّة النبویة والأئمة الاثنا عشر</w:t>
            </w:r>
            <w:r>
              <w:rPr>
                <w:rStyle w:val="IndexLink"/>
                <w:rtl w:val="true"/>
              </w:rPr>
              <w:tab/>
            </w:r>
            <w:r>
              <w:rPr>
                <w:rStyle w:val="IndexLink"/>
              </w:rPr>
              <w:t>201</w:t>
            </w:r>
          </w:hyperlink>
        </w:p>
        <w:p>
          <w:pPr>
            <w:pStyle w:val="Contents6"/>
            <w:tabs>
              <w:tab w:val="clear" w:pos="7609"/>
              <w:tab w:val="right" w:pos="9026" w:leader="dot"/>
            </w:tabs>
            <w:rPr/>
          </w:pPr>
          <w:hyperlink w:anchor="__RefHeading___Toc1401066_365066874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401068_3650668749">
            <w:r>
              <w:rPr>
                <w:webHidden/>
                <w:rStyle w:val="IndexLink"/>
              </w:rPr>
              <w:t>1</w:t>
            </w:r>
            <w:r>
              <w:rPr>
                <w:rStyle w:val="IndexLink"/>
                <w:rtl w:val="true"/>
              </w:rPr>
              <w:t xml:space="preserve">. </w:t>
            </w:r>
            <w:r>
              <w:rPr>
                <w:rStyle w:val="IndexLink"/>
                <w:rtl w:val="true"/>
              </w:rPr>
              <w:t>کلّهم من قریش‌</w:t>
            </w:r>
            <w:r>
              <w:rPr>
                <w:rStyle w:val="IndexLink"/>
                <w:rtl w:val="true"/>
              </w:rPr>
              <w:tab/>
            </w:r>
            <w:r>
              <w:rPr>
                <w:rStyle w:val="IndexLink"/>
              </w:rPr>
              <w:t>202</w:t>
            </w:r>
          </w:hyperlink>
        </w:p>
        <w:p>
          <w:pPr>
            <w:pStyle w:val="Contents6"/>
            <w:tabs>
              <w:tab w:val="clear" w:pos="7609"/>
              <w:tab w:val="right" w:pos="9026" w:leader="dot"/>
            </w:tabs>
            <w:rPr/>
          </w:pPr>
          <w:hyperlink w:anchor="__RefHeading___Toc1401070_3650668749">
            <w:r>
              <w:rPr>
                <w:webHidden/>
                <w:rStyle w:val="IndexLink"/>
              </w:rPr>
              <w:t>2</w:t>
            </w:r>
            <w:r>
              <w:rPr>
                <w:rStyle w:val="IndexLink"/>
                <w:rtl w:val="true"/>
              </w:rPr>
              <w:t xml:space="preserve">. </w:t>
            </w:r>
            <w:r>
              <w:rPr>
                <w:rStyle w:val="IndexLink"/>
                <w:rtl w:val="true"/>
              </w:rPr>
              <w:t>لایزال الإسلام عزیزاً</w:t>
            </w:r>
            <w:r>
              <w:rPr>
                <w:rStyle w:val="IndexLink"/>
                <w:rtl w:val="true"/>
              </w:rPr>
              <w:tab/>
            </w:r>
            <w:r>
              <w:rPr>
                <w:rStyle w:val="IndexLink"/>
              </w:rPr>
              <w:t>202</w:t>
            </w:r>
          </w:hyperlink>
        </w:p>
        <w:p>
          <w:pPr>
            <w:pStyle w:val="Contents6"/>
            <w:tabs>
              <w:tab w:val="clear" w:pos="7609"/>
              <w:tab w:val="right" w:pos="9026" w:leader="dot"/>
            </w:tabs>
            <w:rPr/>
          </w:pPr>
          <w:hyperlink w:anchor="__RefHeading___Toc1401072_3650668749">
            <w:r>
              <w:rPr>
                <w:webHidden/>
                <w:rStyle w:val="IndexLink"/>
              </w:rPr>
              <w:t>3</w:t>
            </w:r>
            <w:r>
              <w:rPr>
                <w:rStyle w:val="IndexLink"/>
                <w:rtl w:val="true"/>
              </w:rPr>
              <w:t xml:space="preserve">. </w:t>
            </w:r>
            <w:r>
              <w:rPr>
                <w:rStyle w:val="IndexLink"/>
                <w:rtl w:val="true"/>
              </w:rPr>
              <w:t>لا یزال الدین عزیزاً منیعاً</w:t>
            </w:r>
            <w:r>
              <w:rPr>
                <w:rStyle w:val="IndexLink"/>
                <w:rtl w:val="true"/>
              </w:rPr>
              <w:tab/>
            </w:r>
            <w:r>
              <w:rPr>
                <w:rStyle w:val="IndexLink"/>
              </w:rPr>
              <w:t>202</w:t>
            </w:r>
          </w:hyperlink>
        </w:p>
        <w:p>
          <w:pPr>
            <w:pStyle w:val="Contents6"/>
            <w:tabs>
              <w:tab w:val="clear" w:pos="7609"/>
              <w:tab w:val="right" w:pos="9026" w:leader="dot"/>
            </w:tabs>
            <w:rPr/>
          </w:pPr>
          <w:hyperlink w:anchor="__RefHeading___Toc1401074_3650668749">
            <w:r>
              <w:rPr>
                <w:webHidden/>
                <w:rStyle w:val="IndexLink"/>
              </w:rPr>
              <w:t>4</w:t>
            </w:r>
            <w:r>
              <w:rPr>
                <w:rStyle w:val="IndexLink"/>
                <w:rtl w:val="true"/>
              </w:rPr>
              <w:t xml:space="preserve">. </w:t>
            </w:r>
            <w:r>
              <w:rPr>
                <w:rStyle w:val="IndexLink"/>
                <w:rtl w:val="true"/>
              </w:rPr>
              <w:t>لایزال الدین قائماً</w:t>
            </w:r>
            <w:r>
              <w:rPr>
                <w:rStyle w:val="IndexLink"/>
                <w:rtl w:val="true"/>
              </w:rPr>
              <w:tab/>
            </w:r>
            <w:r>
              <w:rPr>
                <w:rStyle w:val="IndexLink"/>
              </w:rPr>
              <w:t>203</w:t>
            </w:r>
          </w:hyperlink>
        </w:p>
        <w:p>
          <w:pPr>
            <w:pStyle w:val="Contents6"/>
            <w:tabs>
              <w:tab w:val="clear" w:pos="7609"/>
              <w:tab w:val="right" w:pos="9026" w:leader="dot"/>
            </w:tabs>
            <w:rPr/>
          </w:pPr>
          <w:hyperlink w:anchor="__RefHeading___Toc1401076_3650668749">
            <w:r>
              <w:rPr>
                <w:webHidden/>
                <w:rStyle w:val="IndexLink"/>
              </w:rPr>
              <w:t>5</w:t>
            </w:r>
            <w:r>
              <w:rPr>
                <w:rStyle w:val="IndexLink"/>
                <w:rtl w:val="true"/>
              </w:rPr>
              <w:t xml:space="preserve">. </w:t>
            </w:r>
            <w:r>
              <w:rPr>
                <w:rStyle w:val="IndexLink"/>
                <w:rtl w:val="true"/>
              </w:rPr>
              <w:t>لا یزال الدین ظاهراً</w:t>
            </w:r>
            <w:r>
              <w:rPr>
                <w:rStyle w:val="IndexLink"/>
                <w:rtl w:val="true"/>
              </w:rPr>
              <w:tab/>
            </w:r>
            <w:r>
              <w:rPr>
                <w:rStyle w:val="IndexLink"/>
              </w:rPr>
              <w:t>203</w:t>
            </w:r>
          </w:hyperlink>
        </w:p>
        <w:p>
          <w:pPr>
            <w:pStyle w:val="Contents6"/>
            <w:tabs>
              <w:tab w:val="clear" w:pos="7609"/>
              <w:tab w:val="right" w:pos="9026" w:leader="dot"/>
            </w:tabs>
            <w:rPr/>
          </w:pPr>
          <w:hyperlink w:anchor="__RefHeading___Toc1401078_3650668749">
            <w:r>
              <w:rPr>
                <w:webHidden/>
                <w:rStyle w:val="IndexLink"/>
              </w:rPr>
              <w:t>6</w:t>
            </w:r>
            <w:r>
              <w:rPr>
                <w:rStyle w:val="IndexLink"/>
                <w:rtl w:val="true"/>
              </w:rPr>
              <w:t xml:space="preserve">. </w:t>
            </w:r>
            <w:r>
              <w:rPr>
                <w:rStyle w:val="IndexLink"/>
                <w:rtl w:val="true"/>
              </w:rPr>
              <w:t>لا یزال هذا الأمر صالحاً</w:t>
            </w:r>
            <w:r>
              <w:rPr>
                <w:rStyle w:val="IndexLink"/>
                <w:rtl w:val="true"/>
              </w:rPr>
              <w:tab/>
            </w:r>
            <w:r>
              <w:rPr>
                <w:rStyle w:val="IndexLink"/>
              </w:rPr>
              <w:t>203</w:t>
            </w:r>
          </w:hyperlink>
        </w:p>
        <w:p>
          <w:pPr>
            <w:pStyle w:val="Contents5"/>
            <w:tabs>
              <w:tab w:val="clear" w:pos="7892"/>
              <w:tab w:val="right" w:pos="9026" w:leader="dot"/>
            </w:tabs>
            <w:rPr/>
          </w:pPr>
          <w:hyperlink w:anchor="__RefHeading___Toc1401080_3650668749">
            <w:r>
              <w:rPr>
                <w:webHidden/>
                <w:rStyle w:val="IndexLink"/>
                <w:rtl w:val="true"/>
              </w:rPr>
              <w:t>أوصاف الإمام‌</w:t>
            </w:r>
            <w:r>
              <w:rPr>
                <w:rStyle w:val="IndexLink"/>
                <w:rtl w:val="true"/>
              </w:rPr>
              <w:tab/>
            </w:r>
            <w:r>
              <w:rPr>
                <w:rStyle w:val="IndexLink"/>
              </w:rPr>
              <w:t>207</w:t>
            </w:r>
          </w:hyperlink>
        </w:p>
        <w:p>
          <w:pPr>
            <w:pStyle w:val="Contents6"/>
            <w:tabs>
              <w:tab w:val="clear" w:pos="7609"/>
              <w:tab w:val="right" w:pos="9026" w:leader="dot"/>
            </w:tabs>
            <w:rPr/>
          </w:pPr>
          <w:hyperlink w:anchor="__RefHeading___Toc1401082_365066874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401084_3650668749">
            <w:r>
              <w:rPr>
                <w:webHidden/>
                <w:rStyle w:val="IndexLink"/>
              </w:rPr>
              <w:t>1</w:t>
            </w:r>
            <w:r>
              <w:rPr>
                <w:rStyle w:val="IndexLink"/>
                <w:rtl w:val="true"/>
              </w:rPr>
              <w:t xml:space="preserve">. </w:t>
            </w:r>
            <w:r>
              <w:rPr>
                <w:rStyle w:val="IndexLink"/>
                <w:rtl w:val="true"/>
              </w:rPr>
              <w:t>العصمة</w:t>
            </w:r>
            <w:r>
              <w:rPr>
                <w:rStyle w:val="IndexLink"/>
                <w:rtl w:val="true"/>
              </w:rPr>
              <w:tab/>
            </w:r>
            <w:r>
              <w:rPr>
                <w:rStyle w:val="IndexLink"/>
              </w:rPr>
              <w:t>207</w:t>
            </w:r>
          </w:hyperlink>
        </w:p>
        <w:p>
          <w:pPr>
            <w:pStyle w:val="Contents6"/>
            <w:tabs>
              <w:tab w:val="clear" w:pos="7609"/>
              <w:tab w:val="right" w:pos="9026" w:leader="dot"/>
            </w:tabs>
            <w:rPr/>
          </w:pPr>
          <w:hyperlink w:anchor="__RefHeading___Toc1401086_365066874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401088_3650668749">
            <w:r>
              <w:rPr>
                <w:webHidden/>
                <w:rStyle w:val="IndexLink"/>
                <w:rtl w:val="true"/>
              </w:rPr>
              <w:t>عصمة الإمام فی القرآن الکریم‌</w:t>
            </w:r>
            <w:r>
              <w:rPr>
                <w:rStyle w:val="IndexLink"/>
                <w:rtl w:val="true"/>
              </w:rPr>
              <w:tab/>
            </w:r>
            <w:r>
              <w:rPr>
                <w:rStyle w:val="IndexLink"/>
              </w:rPr>
              <w:t>208</w:t>
            </w:r>
          </w:hyperlink>
        </w:p>
        <w:p>
          <w:pPr>
            <w:pStyle w:val="Contents6"/>
            <w:tabs>
              <w:tab w:val="clear" w:pos="7609"/>
              <w:tab w:val="right" w:pos="9026" w:leader="dot"/>
            </w:tabs>
            <w:rPr/>
          </w:pPr>
          <w:hyperlink w:anchor="__RefHeading___Toc1401090_3650668749">
            <w:r>
              <w:rPr>
                <w:webHidden/>
                <w:rStyle w:val="IndexLink"/>
              </w:rPr>
              <w:t>2</w:t>
            </w:r>
            <w:r>
              <w:rPr>
                <w:rStyle w:val="IndexLink"/>
                <w:rtl w:val="true"/>
              </w:rPr>
              <w:t xml:space="preserve">. </w:t>
            </w:r>
            <w:r>
              <w:rPr>
                <w:rStyle w:val="IndexLink"/>
                <w:rtl w:val="true"/>
              </w:rPr>
              <w:t>الأعلمیة</w:t>
            </w:r>
            <w:r>
              <w:rPr>
                <w:rStyle w:val="IndexLink"/>
                <w:rtl w:val="true"/>
              </w:rPr>
              <w:tab/>
            </w:r>
            <w:r>
              <w:rPr>
                <w:rStyle w:val="IndexLink"/>
              </w:rPr>
              <w:t>210</w:t>
            </w:r>
          </w:hyperlink>
        </w:p>
        <w:p>
          <w:pPr>
            <w:pStyle w:val="Contents6"/>
            <w:tabs>
              <w:tab w:val="clear" w:pos="7609"/>
              <w:tab w:val="right" w:pos="9026" w:leader="dot"/>
            </w:tabs>
            <w:rPr/>
          </w:pPr>
          <w:hyperlink w:anchor="__RefHeading___Toc1401092_3650668749">
            <w:r>
              <w:rPr>
                <w:webHidden/>
                <w:rStyle w:val="IndexLink"/>
              </w:rPr>
              <w:t>3</w:t>
            </w:r>
            <w:r>
              <w:rPr>
                <w:rStyle w:val="IndexLink"/>
                <w:rtl w:val="true"/>
              </w:rPr>
              <w:t xml:space="preserve">. </w:t>
            </w:r>
            <w:r>
              <w:rPr>
                <w:rStyle w:val="IndexLink"/>
                <w:rtl w:val="true"/>
              </w:rPr>
              <w:t>أفضل الناس‌</w:t>
            </w:r>
            <w:r>
              <w:rPr>
                <w:rStyle w:val="IndexLink"/>
                <w:rtl w:val="true"/>
              </w:rPr>
              <w:tab/>
            </w:r>
            <w:r>
              <w:rPr>
                <w:rStyle w:val="IndexLink"/>
              </w:rPr>
              <w:t>211</w:t>
            </w:r>
          </w:hyperlink>
        </w:p>
        <w:p>
          <w:pPr>
            <w:pStyle w:val="Contents5"/>
            <w:tabs>
              <w:tab w:val="clear" w:pos="7892"/>
              <w:tab w:val="right" w:pos="9026" w:leader="dot"/>
            </w:tabs>
            <w:rPr/>
          </w:pPr>
          <w:hyperlink w:anchor="__RefHeading___Toc1401094_3650668749">
            <w:r>
              <w:rPr>
                <w:webHidden/>
                <w:rStyle w:val="IndexLink"/>
                <w:rtl w:val="true"/>
              </w:rPr>
              <w:t>الغلاة لیسوا من الشیعة الإمامیة</w:t>
            </w:r>
            <w:r>
              <w:rPr>
                <w:rStyle w:val="IndexLink"/>
                <w:rtl w:val="true"/>
              </w:rPr>
              <w:tab/>
            </w:r>
            <w:r>
              <w:rPr>
                <w:rStyle w:val="IndexLink"/>
              </w:rPr>
              <w:t>211</w:t>
            </w:r>
          </w:hyperlink>
        </w:p>
        <w:p>
          <w:pPr>
            <w:pStyle w:val="Contents5"/>
            <w:tabs>
              <w:tab w:val="clear" w:pos="7892"/>
              <w:tab w:val="right" w:pos="9026" w:leader="dot"/>
            </w:tabs>
            <w:rPr/>
          </w:pPr>
          <w:hyperlink w:anchor="__RefHeading___Toc1401096_3650668749">
            <w:r>
              <w:rPr>
                <w:webHidden/>
                <w:rStyle w:val="IndexLink"/>
                <w:rtl w:val="true"/>
              </w:rPr>
              <w:t>الفرق بین النبی والرسول والإمام‌</w:t>
            </w:r>
            <w:r>
              <w:rPr>
                <w:rStyle w:val="IndexLink"/>
                <w:rtl w:val="true"/>
              </w:rPr>
              <w:tab/>
            </w:r>
            <w:r>
              <w:rPr>
                <w:rStyle w:val="IndexLink"/>
              </w:rPr>
              <w:t>213</w:t>
            </w:r>
          </w:hyperlink>
        </w:p>
        <w:p>
          <w:pPr>
            <w:pStyle w:val="Contents2"/>
            <w:tabs>
              <w:tab w:val="clear" w:pos="8743"/>
              <w:tab w:val="right" w:pos="9026" w:leader="dot"/>
            </w:tabs>
            <w:rPr/>
          </w:pPr>
          <w:hyperlink w:anchor="__RefHeading___Toc1401098_3650668749">
            <w:r>
              <w:rPr>
                <w:webHidden/>
                <w:rStyle w:val="IndexLink"/>
                <w:rtl w:val="true"/>
              </w:rPr>
              <w:t>الفصل السادس</w:t>
            </w:r>
            <w:r>
              <w:rPr>
                <w:rStyle w:val="IndexLink"/>
                <w:rtl w:val="true"/>
              </w:rPr>
              <w:t xml:space="preserve">: </w:t>
            </w:r>
            <w:r>
              <w:rPr>
                <w:rStyle w:val="IndexLink"/>
                <w:rtl w:val="true"/>
              </w:rPr>
              <w:t>أهل البیت علیهم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401100_3650668749">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401102_3650668749">
            <w:r>
              <w:rPr>
                <w:webHidden/>
                <w:rStyle w:val="IndexLink"/>
                <w:rtl w:val="true"/>
              </w:rPr>
              <w:t>أهل البیت علیهم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401104_365066874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01106_3650668749">
            <w:r>
              <w:rPr>
                <w:webHidden/>
                <w:rStyle w:val="IndexLink"/>
              </w:rPr>
              <w:t>1</w:t>
            </w:r>
            <w:r>
              <w:rPr>
                <w:rStyle w:val="IndexLink"/>
                <w:rtl w:val="true"/>
              </w:rPr>
              <w:t xml:space="preserve">. </w:t>
            </w:r>
            <w:r>
              <w:rPr>
                <w:rStyle w:val="IndexLink"/>
                <w:rtl w:val="true"/>
              </w:rPr>
              <w:t>مفهوم أهل البیت علیهم السلام فی معاجم اللغة</w:t>
            </w:r>
            <w:r>
              <w:rPr>
                <w:rStyle w:val="IndexLink"/>
                <w:rtl w:val="true"/>
              </w:rPr>
              <w:tab/>
            </w:r>
            <w:r>
              <w:rPr>
                <w:rStyle w:val="IndexLink"/>
              </w:rPr>
              <w:t>217</w:t>
            </w:r>
          </w:hyperlink>
        </w:p>
        <w:p>
          <w:pPr>
            <w:pStyle w:val="Contents4"/>
            <w:tabs>
              <w:tab w:val="clear" w:pos="8176"/>
              <w:tab w:val="right" w:pos="9026" w:leader="dot"/>
            </w:tabs>
            <w:rPr/>
          </w:pPr>
          <w:hyperlink w:anchor="__RefHeading___Toc1401108_3650668749">
            <w:r>
              <w:rPr>
                <w:webHidden/>
                <w:rStyle w:val="IndexLink"/>
              </w:rPr>
              <w:t>2</w:t>
            </w:r>
            <w:r>
              <w:rPr>
                <w:rStyle w:val="IndexLink"/>
                <w:rtl w:val="true"/>
              </w:rPr>
              <w:t xml:space="preserve">. </w:t>
            </w:r>
            <w:r>
              <w:rPr>
                <w:rStyle w:val="IndexLink"/>
                <w:rtl w:val="true"/>
              </w:rPr>
              <w:t>أهل البیت فی القرآن الکریم‌</w:t>
            </w:r>
            <w:r>
              <w:rPr>
                <w:rStyle w:val="IndexLink"/>
                <w:rtl w:val="true"/>
              </w:rPr>
              <w:tab/>
            </w:r>
            <w:r>
              <w:rPr>
                <w:rStyle w:val="IndexLink"/>
              </w:rPr>
              <w:t>219</w:t>
            </w:r>
          </w:hyperlink>
        </w:p>
        <w:p>
          <w:pPr>
            <w:pStyle w:val="Contents5"/>
            <w:tabs>
              <w:tab w:val="clear" w:pos="7892"/>
              <w:tab w:val="right" w:pos="9026" w:leader="dot"/>
            </w:tabs>
            <w:rPr/>
          </w:pPr>
          <w:hyperlink w:anchor="__RefHeading___Toc1401110_3650668749">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401112_3650668749">
            <w:r>
              <w:rPr>
                <w:webHidden/>
                <w:rStyle w:val="IndexLink"/>
                <w:rtl w:val="true"/>
              </w:rPr>
              <w:t>دراسة آیة التطهیر</w:t>
            </w:r>
            <w:r>
              <w:rPr>
                <w:rStyle w:val="IndexLink"/>
                <w:rtl w:val="true"/>
              </w:rPr>
              <w:tab/>
            </w:r>
            <w:r>
              <w:rPr>
                <w:rStyle w:val="IndexLink"/>
              </w:rPr>
              <w:t>220</w:t>
            </w:r>
          </w:hyperlink>
        </w:p>
        <w:p>
          <w:pPr>
            <w:pStyle w:val="Contents5"/>
            <w:tabs>
              <w:tab w:val="clear" w:pos="7892"/>
              <w:tab w:val="right" w:pos="9026" w:leader="dot"/>
            </w:tabs>
            <w:rPr/>
          </w:pPr>
          <w:hyperlink w:anchor="__RefHeading___Toc1401114_3650668749">
            <w:r>
              <w:rPr>
                <w:webHidden/>
                <w:rStyle w:val="IndexLink"/>
                <w:rtl w:val="true"/>
              </w:rPr>
              <w:t>القرینة الأُولی</w:t>
            </w:r>
            <w:r>
              <w:rPr>
                <w:rStyle w:val="IndexLink"/>
                <w:rtl w:val="true"/>
              </w:rPr>
              <w:t xml:space="preserve">: </w:t>
            </w:r>
            <w:r>
              <w:rPr>
                <w:rStyle w:val="IndexLink"/>
                <w:rtl w:val="true"/>
              </w:rPr>
              <w:t xml:space="preserve">اللام فی </w:t>
            </w:r>
            <w:r>
              <w:rPr>
                <w:rStyle w:val="IndexLink"/>
                <w:rtl w:val="true"/>
              </w:rPr>
              <w:t>«</w:t>
            </w:r>
            <w:r>
              <w:rPr>
                <w:rStyle w:val="IndexLink"/>
                <w:rtl w:val="true"/>
              </w:rPr>
              <w:t>أهل البیت</w:t>
            </w:r>
            <w:r>
              <w:rPr>
                <w:rStyle w:val="IndexLink"/>
                <w:rtl w:val="true"/>
              </w:rPr>
              <w:t xml:space="preserve">» </w:t>
            </w:r>
            <w:r>
              <w:rPr>
                <w:rStyle w:val="IndexLink"/>
                <w:rtl w:val="true"/>
              </w:rPr>
              <w:t>للعهد</w:t>
            </w:r>
            <w:r>
              <w:rPr>
                <w:rStyle w:val="IndexLink"/>
                <w:rtl w:val="true"/>
              </w:rPr>
              <w:tab/>
            </w:r>
            <w:r>
              <w:rPr>
                <w:rStyle w:val="IndexLink"/>
              </w:rPr>
              <w:t>221</w:t>
            </w:r>
          </w:hyperlink>
        </w:p>
        <w:p>
          <w:pPr>
            <w:pStyle w:val="Contents5"/>
            <w:tabs>
              <w:tab w:val="clear" w:pos="7892"/>
              <w:tab w:val="right" w:pos="9026" w:leader="dot"/>
            </w:tabs>
            <w:rPr/>
          </w:pPr>
          <w:hyperlink w:anchor="__RefHeading___Toc1401116_3650668749">
            <w:r>
              <w:rPr>
                <w:webHidden/>
                <w:rStyle w:val="IndexLink"/>
                <w:rtl w:val="true"/>
              </w:rPr>
              <w:t>القرینة الثانیة</w:t>
            </w:r>
            <w:r>
              <w:rPr>
                <w:rStyle w:val="IndexLink"/>
                <w:rtl w:val="true"/>
              </w:rPr>
              <w:t xml:space="preserve">: </w:t>
            </w:r>
            <w:r>
              <w:rPr>
                <w:rStyle w:val="IndexLink"/>
                <w:rtl w:val="true"/>
              </w:rPr>
              <w:t>تذکیر الضمائر</w:t>
            </w:r>
            <w:r>
              <w:rPr>
                <w:rStyle w:val="IndexLink"/>
                <w:rtl w:val="true"/>
              </w:rPr>
              <w:tab/>
            </w:r>
            <w:r>
              <w:rPr>
                <w:rStyle w:val="IndexLink"/>
              </w:rPr>
              <w:t>224</w:t>
            </w:r>
          </w:hyperlink>
        </w:p>
        <w:p>
          <w:pPr>
            <w:pStyle w:val="Contents5"/>
            <w:tabs>
              <w:tab w:val="clear" w:pos="7892"/>
              <w:tab w:val="right" w:pos="9026" w:leader="dot"/>
            </w:tabs>
            <w:rPr/>
          </w:pPr>
          <w:hyperlink w:anchor="__RefHeading___Toc1401118_3650668749">
            <w:r>
              <w:rPr>
                <w:webHidden/>
                <w:rStyle w:val="IndexLink"/>
                <w:rtl w:val="true"/>
              </w:rPr>
              <w:t>القرینة الثالثة</w:t>
            </w:r>
            <w:r>
              <w:rPr>
                <w:rStyle w:val="IndexLink"/>
                <w:rtl w:val="true"/>
              </w:rPr>
              <w:t xml:space="preserve">: </w:t>
            </w:r>
            <w:r>
              <w:rPr>
                <w:rStyle w:val="IndexLink"/>
                <w:rtl w:val="true"/>
              </w:rPr>
              <w:t>العدول عن السیاق‌</w:t>
            </w:r>
            <w:r>
              <w:rPr>
                <w:rStyle w:val="IndexLink"/>
                <w:rtl w:val="true"/>
              </w:rPr>
              <w:tab/>
            </w:r>
            <w:r>
              <w:rPr>
                <w:rStyle w:val="IndexLink"/>
              </w:rPr>
              <w:t>227</w:t>
            </w:r>
          </w:hyperlink>
        </w:p>
        <w:p>
          <w:pPr>
            <w:pStyle w:val="Contents4"/>
            <w:tabs>
              <w:tab w:val="clear" w:pos="8176"/>
              <w:tab w:val="right" w:pos="9026" w:leader="dot"/>
            </w:tabs>
            <w:rPr/>
          </w:pPr>
          <w:hyperlink w:anchor="__RefHeading___Toc1401120_3650668749">
            <w:r>
              <w:rPr>
                <w:webHidden/>
                <w:rStyle w:val="IndexLink"/>
              </w:rPr>
              <w:t>3</w:t>
            </w:r>
            <w:r>
              <w:rPr>
                <w:rStyle w:val="IndexLink"/>
                <w:rtl w:val="true"/>
              </w:rPr>
              <w:t xml:space="preserve">. </w:t>
            </w:r>
            <w:r>
              <w:rPr>
                <w:rStyle w:val="IndexLink"/>
                <w:rtl w:val="true"/>
              </w:rPr>
              <w:t>التعریف بأهل البیت علیهم السلام فی أحادیث الرسول صلی الله علیه و آله و سلم‌</w:t>
            </w:r>
            <w:r>
              <w:rPr>
                <w:rStyle w:val="IndexLink"/>
                <w:rtl w:val="true"/>
              </w:rPr>
              <w:tab/>
            </w:r>
            <w:r>
              <w:rPr>
                <w:rStyle w:val="IndexLink"/>
              </w:rPr>
              <w:t>227</w:t>
            </w:r>
          </w:hyperlink>
        </w:p>
        <w:p>
          <w:pPr>
            <w:pStyle w:val="Contents5"/>
            <w:tabs>
              <w:tab w:val="clear" w:pos="7892"/>
              <w:tab w:val="right" w:pos="9026" w:leader="dot"/>
            </w:tabs>
            <w:rPr/>
          </w:pPr>
          <w:hyperlink w:anchor="__RefHeading___Toc1401122_3650668749">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401124_3650668749">
            <w:r>
              <w:rPr>
                <w:webHidden/>
                <w:rStyle w:val="IndexLink"/>
                <w:rtl w:val="true"/>
              </w:rPr>
              <w:t>أ</w:t>
            </w:r>
            <w:r>
              <w:rPr>
                <w:rStyle w:val="IndexLink"/>
                <w:rtl w:val="true"/>
              </w:rPr>
              <w:t xml:space="preserve">. </w:t>
            </w:r>
            <w:r>
              <w:rPr>
                <w:rStyle w:val="IndexLink"/>
                <w:rtl w:val="true"/>
              </w:rPr>
              <w:t>التصریح بالأسماء</w:t>
            </w:r>
            <w:r>
              <w:rPr>
                <w:rStyle w:val="IndexLink"/>
                <w:rtl w:val="true"/>
              </w:rPr>
              <w:t>:</w:t>
              <w:tab/>
            </w:r>
            <w:r>
              <w:rPr>
                <w:rStyle w:val="IndexLink"/>
              </w:rPr>
              <w:t>229</w:t>
            </w:r>
          </w:hyperlink>
        </w:p>
        <w:p>
          <w:pPr>
            <w:pStyle w:val="Contents5"/>
            <w:tabs>
              <w:tab w:val="clear" w:pos="7892"/>
              <w:tab w:val="right" w:pos="9026" w:leader="dot"/>
            </w:tabs>
            <w:rPr/>
          </w:pPr>
          <w:hyperlink w:anchor="__RefHeading___Toc1401126_3650668749">
            <w:r>
              <w:rPr>
                <w:webHidden/>
                <w:rStyle w:val="IndexLink"/>
                <w:rtl w:val="true"/>
              </w:rPr>
              <w:t>ب</w:t>
            </w:r>
            <w:r>
              <w:rPr>
                <w:rStyle w:val="IndexLink"/>
                <w:rtl w:val="true"/>
              </w:rPr>
              <w:t xml:space="preserve">. </w:t>
            </w:r>
            <w:r>
              <w:rPr>
                <w:rStyle w:val="IndexLink"/>
                <w:rtl w:val="true"/>
              </w:rPr>
              <w:t>إدخالهم تحت الکساء</w:t>
            </w:r>
            <w:r>
              <w:rPr>
                <w:rStyle w:val="IndexLink"/>
                <w:rtl w:val="true"/>
              </w:rPr>
              <w:tab/>
            </w:r>
            <w:r>
              <w:rPr>
                <w:rStyle w:val="IndexLink"/>
              </w:rPr>
              <w:t>229</w:t>
            </w:r>
          </w:hyperlink>
        </w:p>
        <w:p>
          <w:pPr>
            <w:pStyle w:val="Contents5"/>
            <w:tabs>
              <w:tab w:val="clear" w:pos="7892"/>
              <w:tab w:val="right" w:pos="9026" w:leader="dot"/>
            </w:tabs>
            <w:rPr/>
          </w:pPr>
          <w:hyperlink w:anchor="__RefHeading___Toc1401128_3650668749">
            <w:r>
              <w:rPr>
                <w:webHidden/>
                <w:rStyle w:val="IndexLink"/>
                <w:rtl w:val="true"/>
              </w:rPr>
              <w:t>ج</w:t>
            </w:r>
            <w:r>
              <w:rPr>
                <w:rStyle w:val="IndexLink"/>
                <w:rtl w:val="true"/>
              </w:rPr>
              <w:t xml:space="preserve">. </w:t>
            </w:r>
            <w:r>
              <w:rPr>
                <w:rStyle w:val="IndexLink"/>
                <w:rtl w:val="true"/>
              </w:rPr>
              <w:t>تعیینهم بتلاوة الآیة علی بابهم‌</w:t>
            </w:r>
            <w:r>
              <w:rPr>
                <w:rStyle w:val="IndexLink"/>
                <w:rtl w:val="true"/>
              </w:rPr>
              <w:tab/>
            </w:r>
            <w:r>
              <w:rPr>
                <w:rStyle w:val="IndexLink"/>
              </w:rPr>
              <w:t>229</w:t>
            </w:r>
          </w:hyperlink>
        </w:p>
        <w:p>
          <w:pPr>
            <w:pStyle w:val="Contents4"/>
            <w:tabs>
              <w:tab w:val="clear" w:pos="8176"/>
              <w:tab w:val="right" w:pos="9026" w:leader="dot"/>
            </w:tabs>
            <w:rPr/>
          </w:pPr>
          <w:hyperlink w:anchor="__RefHeading___Toc1401130_3650668749">
            <w:r>
              <w:rPr>
                <w:webHidden/>
                <w:rStyle w:val="IndexLink"/>
              </w:rPr>
              <w:t>4</w:t>
            </w:r>
            <w:r>
              <w:rPr>
                <w:rStyle w:val="IndexLink"/>
                <w:rtl w:val="true"/>
              </w:rPr>
              <w:t xml:space="preserve">. </w:t>
            </w:r>
            <w:r>
              <w:rPr>
                <w:rStyle w:val="IndexLink"/>
                <w:rtl w:val="true"/>
              </w:rPr>
              <w:t>المرجعیة العلمیة لأهل البیت علیهم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1401132_365066874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401134_3650668749">
            <w:r>
              <w:rPr>
                <w:webHidden/>
                <w:rStyle w:val="IndexLink"/>
              </w:rPr>
              <w:t>1</w:t>
            </w:r>
            <w:r>
              <w:rPr>
                <w:rStyle w:val="IndexLink"/>
                <w:rtl w:val="true"/>
              </w:rPr>
              <w:t xml:space="preserve">. </w:t>
            </w:r>
            <w:r>
              <w:rPr>
                <w:rStyle w:val="IndexLink"/>
                <w:rtl w:val="true"/>
              </w:rPr>
              <w:t>حدیث الثقلین‌</w:t>
            </w:r>
            <w:r>
              <w:rPr>
                <w:rStyle w:val="IndexLink"/>
                <w:rtl w:val="true"/>
              </w:rPr>
              <w:tab/>
            </w:r>
            <w:r>
              <w:rPr>
                <w:rStyle w:val="IndexLink"/>
              </w:rPr>
              <w:t>231</w:t>
            </w:r>
          </w:hyperlink>
        </w:p>
        <w:p>
          <w:pPr>
            <w:pStyle w:val="Contents5"/>
            <w:tabs>
              <w:tab w:val="clear" w:pos="7892"/>
              <w:tab w:val="right" w:pos="9026" w:leader="dot"/>
            </w:tabs>
            <w:rPr/>
          </w:pPr>
          <w:hyperlink w:anchor="__RefHeading___Toc1401136_3650668749">
            <w:r>
              <w:rPr>
                <w:webHidden/>
                <w:rStyle w:val="IndexLink"/>
              </w:rPr>
              <w:t>2</w:t>
            </w:r>
            <w:r>
              <w:rPr>
                <w:rStyle w:val="IndexLink"/>
                <w:rtl w:val="true"/>
              </w:rPr>
              <w:t xml:space="preserve">. </w:t>
            </w:r>
            <w:r>
              <w:rPr>
                <w:rStyle w:val="IndexLink"/>
                <w:rtl w:val="true"/>
              </w:rPr>
              <w:t>حدیث السفینة</w:t>
            </w:r>
            <w:r>
              <w:rPr>
                <w:rStyle w:val="IndexLink"/>
                <w:rtl w:val="true"/>
              </w:rPr>
              <w:tab/>
            </w:r>
            <w:r>
              <w:rPr>
                <w:rStyle w:val="IndexLink"/>
              </w:rPr>
              <w:t>233</w:t>
            </w:r>
          </w:hyperlink>
        </w:p>
        <w:p>
          <w:pPr>
            <w:pStyle w:val="Contents5"/>
            <w:tabs>
              <w:tab w:val="clear" w:pos="7892"/>
              <w:tab w:val="right" w:pos="9026" w:leader="dot"/>
            </w:tabs>
            <w:rPr/>
          </w:pPr>
          <w:hyperlink w:anchor="__RefHeading___Toc1401138_3650668749">
            <w:r>
              <w:rPr>
                <w:webHidden/>
                <w:rStyle w:val="IndexLink"/>
              </w:rPr>
              <w:t>3</w:t>
            </w:r>
            <w:r>
              <w:rPr>
                <w:rStyle w:val="IndexLink"/>
                <w:rtl w:val="true"/>
              </w:rPr>
              <w:t xml:space="preserve">. </w:t>
            </w:r>
            <w:r>
              <w:rPr>
                <w:rStyle w:val="IndexLink"/>
                <w:rtl w:val="true"/>
              </w:rPr>
              <w:t>اعتراف أئمّة المذاهب بأفقهیة أهل البیت علیهم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1401140_3650668749">
            <w:r>
              <w:rPr>
                <w:webHidden/>
                <w:rStyle w:val="IndexLink"/>
              </w:rPr>
              <w:t>5</w:t>
            </w:r>
            <w:r>
              <w:rPr>
                <w:rStyle w:val="IndexLink"/>
                <w:rtl w:val="true"/>
              </w:rPr>
              <w:t xml:space="preserve">. </w:t>
            </w:r>
            <w:r>
              <w:rPr>
                <w:rStyle w:val="IndexLink"/>
                <w:rtl w:val="true"/>
              </w:rPr>
              <w:t>دور أهل البیت فی توحید الأُمة</w:t>
            </w:r>
            <w:r>
              <w:rPr>
                <w:rStyle w:val="IndexLink"/>
                <w:rtl w:val="true"/>
              </w:rPr>
              <w:tab/>
            </w:r>
            <w:r>
              <w:rPr>
                <w:rStyle w:val="IndexLink"/>
              </w:rPr>
              <w:t>235</w:t>
            </w:r>
          </w:hyperlink>
        </w:p>
        <w:p>
          <w:pPr>
            <w:pStyle w:val="Contents4"/>
            <w:tabs>
              <w:tab w:val="clear" w:pos="8176"/>
              <w:tab w:val="right" w:pos="9026" w:leader="dot"/>
            </w:tabs>
            <w:rPr/>
          </w:pPr>
          <w:hyperlink w:anchor="__RefHeading___Toc1401142_3650668749">
            <w:r>
              <w:rPr>
                <w:webHidden/>
                <w:rStyle w:val="IndexLink"/>
              </w:rPr>
              <w:t>6</w:t>
            </w:r>
            <w:r>
              <w:rPr>
                <w:rStyle w:val="IndexLink"/>
                <w:rtl w:val="true"/>
              </w:rPr>
              <w:t xml:space="preserve">. </w:t>
            </w:r>
            <w:r>
              <w:rPr>
                <w:rStyle w:val="IndexLink"/>
                <w:rtl w:val="true"/>
              </w:rPr>
              <w:t>تراث أهل البیت علیهم السلام العلمی‌</w:t>
            </w:r>
            <w:r>
              <w:rPr>
                <w:rStyle w:val="IndexLink"/>
                <w:rtl w:val="true"/>
              </w:rPr>
              <w:tab/>
            </w:r>
            <w:r>
              <w:rPr>
                <w:rStyle w:val="IndexLink"/>
              </w:rPr>
              <w:t>236</w:t>
            </w:r>
          </w:hyperlink>
        </w:p>
        <w:p>
          <w:pPr>
            <w:pStyle w:val="Contents5"/>
            <w:tabs>
              <w:tab w:val="clear" w:pos="7892"/>
              <w:tab w:val="right" w:pos="9026" w:leader="dot"/>
            </w:tabs>
            <w:rPr/>
          </w:pPr>
          <w:hyperlink w:anchor="__RefHeading___Toc1401144_3650668749">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401146_3650668749">
            <w:r>
              <w:rPr>
                <w:webHidden/>
                <w:rStyle w:val="IndexLink"/>
                <w:rtl w:val="true"/>
              </w:rPr>
              <w:t>الأوّل</w:t>
            </w:r>
            <w:r>
              <w:rPr>
                <w:rStyle w:val="IndexLink"/>
                <w:rtl w:val="true"/>
              </w:rPr>
              <w:t xml:space="preserve">: </w:t>
            </w:r>
            <w:r>
              <w:rPr>
                <w:rStyle w:val="IndexLink"/>
                <w:rtl w:val="true"/>
              </w:rPr>
              <w:t>کتاب علی‌</w:t>
            </w:r>
            <w:r>
              <w:rPr>
                <w:rStyle w:val="IndexLink"/>
                <w:rtl w:val="true"/>
              </w:rPr>
              <w:tab/>
            </w:r>
            <w:r>
              <w:rPr>
                <w:rStyle w:val="IndexLink"/>
              </w:rPr>
              <w:t>237</w:t>
            </w:r>
          </w:hyperlink>
        </w:p>
        <w:p>
          <w:pPr>
            <w:pStyle w:val="Contents5"/>
            <w:tabs>
              <w:tab w:val="clear" w:pos="7892"/>
              <w:tab w:val="right" w:pos="9026" w:leader="dot"/>
            </w:tabs>
            <w:rPr/>
          </w:pPr>
          <w:hyperlink w:anchor="__RefHeading___Toc1401148_3650668749">
            <w:r>
              <w:rPr>
                <w:webHidden/>
                <w:rStyle w:val="IndexLink"/>
                <w:rtl w:val="true"/>
              </w:rPr>
              <w:t>الثانی</w:t>
            </w:r>
            <w:r>
              <w:rPr>
                <w:rStyle w:val="IndexLink"/>
                <w:rtl w:val="true"/>
              </w:rPr>
              <w:t xml:space="preserve">: </w:t>
            </w:r>
            <w:r>
              <w:rPr>
                <w:rStyle w:val="IndexLink"/>
                <w:rtl w:val="true"/>
              </w:rPr>
              <w:t>نهج البلاغة</w:t>
            </w:r>
            <w:r>
              <w:rPr>
                <w:rStyle w:val="IndexLink"/>
                <w:rtl w:val="true"/>
              </w:rPr>
              <w:tab/>
            </w:r>
            <w:r>
              <w:rPr>
                <w:rStyle w:val="IndexLink"/>
              </w:rPr>
              <w:t>239</w:t>
            </w:r>
          </w:hyperlink>
        </w:p>
        <w:p>
          <w:pPr>
            <w:pStyle w:val="Contents5"/>
            <w:tabs>
              <w:tab w:val="clear" w:pos="7892"/>
              <w:tab w:val="right" w:pos="9026" w:leader="dot"/>
            </w:tabs>
            <w:rPr/>
          </w:pPr>
          <w:hyperlink w:anchor="__RefHeading___Toc1401150_3650668749">
            <w:r>
              <w:rPr>
                <w:webHidden/>
                <w:rStyle w:val="IndexLink"/>
                <w:rtl w:val="true"/>
              </w:rPr>
              <w:t>الثالث</w:t>
            </w:r>
            <w:r>
              <w:rPr>
                <w:rStyle w:val="IndexLink"/>
                <w:rtl w:val="true"/>
              </w:rPr>
              <w:t xml:space="preserve">: </w:t>
            </w:r>
            <w:r>
              <w:rPr>
                <w:rStyle w:val="IndexLink"/>
                <w:rtl w:val="true"/>
              </w:rPr>
              <w:t>الصحیفة السجادیة</w:t>
            </w:r>
            <w:r>
              <w:rPr>
                <w:rStyle w:val="IndexLink"/>
                <w:rtl w:val="true"/>
              </w:rPr>
              <w:tab/>
            </w:r>
            <w:r>
              <w:rPr>
                <w:rStyle w:val="IndexLink"/>
              </w:rPr>
              <w:t>240</w:t>
            </w:r>
          </w:hyperlink>
        </w:p>
        <w:p>
          <w:pPr>
            <w:pStyle w:val="Contents5"/>
            <w:tabs>
              <w:tab w:val="clear" w:pos="7892"/>
              <w:tab w:val="right" w:pos="9026" w:leader="dot"/>
            </w:tabs>
            <w:rPr/>
          </w:pPr>
          <w:hyperlink w:anchor="__RefHeading___Toc1401152_3650668749">
            <w:r>
              <w:rPr>
                <w:webHidden/>
                <w:rStyle w:val="IndexLink"/>
                <w:rtl w:val="true"/>
              </w:rPr>
              <w:t>الرابع</w:t>
            </w:r>
            <w:r>
              <w:rPr>
                <w:rStyle w:val="IndexLink"/>
                <w:rtl w:val="true"/>
              </w:rPr>
              <w:t xml:space="preserve">: </w:t>
            </w:r>
            <w:r>
              <w:rPr>
                <w:rStyle w:val="IndexLink"/>
                <w:rtl w:val="true"/>
              </w:rPr>
              <w:t>رسالة الحقوق‌</w:t>
            </w:r>
            <w:r>
              <w:rPr>
                <w:rStyle w:val="IndexLink"/>
                <w:rtl w:val="true"/>
              </w:rPr>
              <w:tab/>
            </w:r>
            <w:r>
              <w:rPr>
                <w:rStyle w:val="IndexLink"/>
              </w:rPr>
              <w:t>240</w:t>
            </w:r>
          </w:hyperlink>
        </w:p>
        <w:p>
          <w:pPr>
            <w:pStyle w:val="Contents5"/>
            <w:tabs>
              <w:tab w:val="clear" w:pos="7892"/>
              <w:tab w:val="right" w:pos="9026" w:leader="dot"/>
            </w:tabs>
            <w:rPr/>
          </w:pPr>
          <w:hyperlink w:anchor="__RefHeading___Toc1401154_3650668749">
            <w:r>
              <w:rPr>
                <w:webHidden/>
                <w:rStyle w:val="IndexLink"/>
                <w:rtl w:val="true"/>
              </w:rPr>
              <w:t>الخامس</w:t>
            </w:r>
            <w:r>
              <w:rPr>
                <w:rStyle w:val="IndexLink"/>
                <w:rtl w:val="true"/>
              </w:rPr>
              <w:t xml:space="preserve">: </w:t>
            </w:r>
            <w:r>
              <w:rPr>
                <w:rStyle w:val="IndexLink"/>
                <w:rtl w:val="true"/>
              </w:rPr>
              <w:t>رسالة الإمام الرضا علیه السلام فی الفرائض والسنن‌</w:t>
            </w:r>
            <w:r>
              <w:rPr>
                <w:rStyle w:val="IndexLink"/>
                <w:rtl w:val="true"/>
              </w:rPr>
              <w:tab/>
            </w:r>
            <w:r>
              <w:rPr>
                <w:rStyle w:val="IndexLink"/>
              </w:rPr>
              <w:t>241</w:t>
            </w:r>
          </w:hyperlink>
        </w:p>
        <w:p>
          <w:pPr>
            <w:pStyle w:val="Contents5"/>
            <w:tabs>
              <w:tab w:val="clear" w:pos="7892"/>
              <w:tab w:val="right" w:pos="9026" w:leader="dot"/>
            </w:tabs>
            <w:rPr/>
          </w:pPr>
          <w:hyperlink w:anchor="__RefHeading___Toc1401156_3650668749">
            <w:r>
              <w:rPr>
                <w:webHidden/>
                <w:rStyle w:val="IndexLink"/>
                <w:rtl w:val="true"/>
              </w:rPr>
              <w:t>السادس</w:t>
            </w:r>
            <w:r>
              <w:rPr>
                <w:rStyle w:val="IndexLink"/>
                <w:rtl w:val="true"/>
              </w:rPr>
              <w:t xml:space="preserve">: </w:t>
            </w:r>
            <w:r>
              <w:rPr>
                <w:rStyle w:val="IndexLink"/>
                <w:rtl w:val="true"/>
              </w:rPr>
              <w:t>رسالة الإمام الهادی علیه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1401158_3650668749">
            <w:r>
              <w:rPr>
                <w:webHidden/>
                <w:rStyle w:val="IndexLink"/>
                <w:rtl w:val="true"/>
              </w:rPr>
              <w:t>السابع</w:t>
            </w:r>
            <w:r>
              <w:rPr>
                <w:rStyle w:val="IndexLink"/>
                <w:rtl w:val="true"/>
              </w:rPr>
              <w:t xml:space="preserve">: </w:t>
            </w:r>
            <w:r>
              <w:rPr>
                <w:rStyle w:val="IndexLink"/>
                <w:rtl w:val="true"/>
              </w:rPr>
              <w:t>أربعمائة مصنَّف لأربعمائة مصنِّف‌</w:t>
            </w:r>
            <w:r>
              <w:rPr>
                <w:rStyle w:val="IndexLink"/>
                <w:rtl w:val="true"/>
              </w:rPr>
              <w:tab/>
            </w:r>
            <w:r>
              <w:rPr>
                <w:rStyle w:val="IndexLink"/>
              </w:rPr>
              <w:t>242</w:t>
            </w:r>
          </w:hyperlink>
        </w:p>
        <w:p>
          <w:pPr>
            <w:pStyle w:val="Contents4"/>
            <w:tabs>
              <w:tab w:val="clear" w:pos="8176"/>
              <w:tab w:val="right" w:pos="9026" w:leader="dot"/>
            </w:tabs>
            <w:rPr/>
          </w:pPr>
          <w:hyperlink w:anchor="__RefHeading___Toc1401160_3650668749">
            <w:r>
              <w:rPr>
                <w:webHidden/>
                <w:rStyle w:val="IndexLink"/>
              </w:rPr>
              <w:t>7</w:t>
            </w:r>
            <w:r>
              <w:rPr>
                <w:rStyle w:val="IndexLink"/>
                <w:rtl w:val="true"/>
              </w:rPr>
              <w:t xml:space="preserve">. </w:t>
            </w:r>
            <w:r>
              <w:rPr>
                <w:rStyle w:val="IndexLink"/>
                <w:rtl w:val="true"/>
              </w:rPr>
              <w:t>فاطمة الزهراء علیها السلام فی کلام النبی صلی الله علیه و آله و سلم‌</w:t>
            </w:r>
            <w:r>
              <w:rPr>
                <w:rStyle w:val="IndexLink"/>
                <w:rtl w:val="true"/>
              </w:rPr>
              <w:tab/>
            </w:r>
            <w:r>
              <w:rPr>
                <w:rStyle w:val="IndexLink"/>
              </w:rPr>
              <w:t>244</w:t>
            </w:r>
          </w:hyperlink>
        </w:p>
        <w:p>
          <w:pPr>
            <w:pStyle w:val="Contents5"/>
            <w:tabs>
              <w:tab w:val="clear" w:pos="7892"/>
              <w:tab w:val="right" w:pos="9026" w:leader="dot"/>
            </w:tabs>
            <w:rPr/>
          </w:pPr>
          <w:hyperlink w:anchor="__RefHeading___Toc1401162_365066874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401164_3650668749">
            <w:r>
              <w:rPr>
                <w:webHidden/>
                <w:rStyle w:val="IndexLink"/>
                <w:rtl w:val="true"/>
              </w:rPr>
              <w:t>منزلة بیت فاطمة علیها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1401166_3650668749">
            <w:r>
              <w:rPr>
                <w:webHidden/>
                <w:rStyle w:val="IndexLink"/>
                <w:rtl w:val="true"/>
              </w:rPr>
              <w:t>الفصل السابع</w:t>
            </w:r>
            <w:r>
              <w:rPr>
                <w:rStyle w:val="IndexLink"/>
                <w:rtl w:val="true"/>
              </w:rPr>
              <w:t xml:space="preserve">: </w:t>
            </w:r>
            <w:r>
              <w:rPr>
                <w:rStyle w:val="IndexLink"/>
                <w:rtl w:val="true"/>
              </w:rPr>
              <w:t>الإمام المهدی المنتظر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401168_3650668749">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401170_3650668749">
            <w:r>
              <w:rPr>
                <w:webHidden/>
                <w:rStyle w:val="IndexLink"/>
                <w:rtl w:val="true"/>
              </w:rPr>
              <w:t>الإمام المهدی المنتظر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1401172_3650668749">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401174_3650668749">
            <w:r>
              <w:rPr>
                <w:webHidden/>
                <w:rStyle w:val="IndexLink"/>
              </w:rPr>
              <w:t>1</w:t>
            </w:r>
            <w:r>
              <w:rPr>
                <w:rStyle w:val="IndexLink"/>
                <w:rtl w:val="true"/>
              </w:rPr>
              <w:t xml:space="preserve">. </w:t>
            </w:r>
            <w:r>
              <w:rPr>
                <w:rStyle w:val="IndexLink"/>
                <w:rtl w:val="true"/>
              </w:rPr>
              <w:t>ظهور مصلح عالمی فی آخر الزمان‌</w:t>
            </w:r>
            <w:r>
              <w:rPr>
                <w:rStyle w:val="IndexLink"/>
                <w:rtl w:val="true"/>
              </w:rPr>
              <w:tab/>
            </w:r>
            <w:r>
              <w:rPr>
                <w:rStyle w:val="IndexLink"/>
              </w:rPr>
              <w:t>248</w:t>
            </w:r>
          </w:hyperlink>
        </w:p>
        <w:p>
          <w:pPr>
            <w:pStyle w:val="Contents4"/>
            <w:tabs>
              <w:tab w:val="clear" w:pos="8176"/>
              <w:tab w:val="right" w:pos="9026" w:leader="dot"/>
            </w:tabs>
            <w:rPr/>
          </w:pPr>
          <w:hyperlink w:anchor="__RefHeading___Toc1401176_3650668749">
            <w:r>
              <w:rPr>
                <w:webHidden/>
                <w:rStyle w:val="IndexLink"/>
              </w:rPr>
              <w:t>2</w:t>
            </w:r>
            <w:r>
              <w:rPr>
                <w:rStyle w:val="IndexLink"/>
                <w:rtl w:val="true"/>
              </w:rPr>
              <w:t xml:space="preserve">. </w:t>
            </w:r>
            <w:r>
              <w:rPr>
                <w:rStyle w:val="IndexLink"/>
                <w:rtl w:val="true"/>
              </w:rPr>
              <w:t>أصله ونسبه‌</w:t>
            </w:r>
            <w:r>
              <w:rPr>
                <w:rStyle w:val="IndexLink"/>
                <w:rtl w:val="true"/>
              </w:rPr>
              <w:tab/>
            </w:r>
            <w:r>
              <w:rPr>
                <w:rStyle w:val="IndexLink"/>
              </w:rPr>
              <w:t>249</w:t>
            </w:r>
          </w:hyperlink>
        </w:p>
        <w:p>
          <w:pPr>
            <w:pStyle w:val="Contents4"/>
            <w:tabs>
              <w:tab w:val="clear" w:pos="8176"/>
              <w:tab w:val="right" w:pos="9026" w:leader="dot"/>
            </w:tabs>
            <w:rPr/>
          </w:pPr>
          <w:hyperlink w:anchor="__RefHeading___Toc1401178_3650668749">
            <w:r>
              <w:rPr>
                <w:webHidden/>
                <w:rStyle w:val="IndexLink"/>
              </w:rPr>
              <w:t>3</w:t>
            </w:r>
            <w:r>
              <w:rPr>
                <w:rStyle w:val="IndexLink"/>
                <w:rtl w:val="true"/>
              </w:rPr>
              <w:t xml:space="preserve">. </w:t>
            </w:r>
            <w:r>
              <w:rPr>
                <w:rStyle w:val="IndexLink"/>
                <w:rtl w:val="true"/>
              </w:rPr>
              <w:t>ولادة الإمام المهدی المنتظر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401180_3650668749">
            <w:r>
              <w:rPr>
                <w:webHidden/>
                <w:rStyle w:val="IndexLink"/>
              </w:rPr>
              <w:t>4</w:t>
            </w:r>
            <w:r>
              <w:rPr>
                <w:rStyle w:val="IndexLink"/>
                <w:rtl w:val="true"/>
              </w:rPr>
              <w:t xml:space="preserve">. </w:t>
            </w:r>
            <w:r>
              <w:rPr>
                <w:rStyle w:val="IndexLink"/>
                <w:rtl w:val="true"/>
              </w:rPr>
              <w:t>تقسیم أولیاء اللَّه إلی ظاهر مشهود، وغائب غیر مشهود</w:t>
            </w:r>
            <w:r>
              <w:rPr>
                <w:rStyle w:val="IndexLink"/>
                <w:rtl w:val="true"/>
              </w:rPr>
              <w:tab/>
            </w:r>
            <w:r>
              <w:rPr>
                <w:rStyle w:val="IndexLink"/>
              </w:rPr>
              <w:t>254</w:t>
            </w:r>
          </w:hyperlink>
        </w:p>
        <w:p>
          <w:pPr>
            <w:pStyle w:val="Contents4"/>
            <w:tabs>
              <w:tab w:val="clear" w:pos="8176"/>
              <w:tab w:val="right" w:pos="9026" w:leader="dot"/>
            </w:tabs>
            <w:rPr/>
          </w:pPr>
          <w:hyperlink w:anchor="__RefHeading___Toc1401182_3650668749">
            <w:r>
              <w:rPr>
                <w:webHidden/>
                <w:rStyle w:val="IndexLink"/>
              </w:rPr>
              <w:t>5</w:t>
            </w:r>
            <w:r>
              <w:rPr>
                <w:rStyle w:val="IndexLink"/>
                <w:rtl w:val="true"/>
              </w:rPr>
              <w:t xml:space="preserve">. </w:t>
            </w:r>
            <w:r>
              <w:rPr>
                <w:rStyle w:val="IndexLink"/>
                <w:rtl w:val="true"/>
              </w:rPr>
              <w:t>غیبة بعض الأنبیاء علیهم السلام فی الأُمم السابقة</w:t>
            </w:r>
            <w:r>
              <w:rPr>
                <w:rStyle w:val="IndexLink"/>
                <w:rtl w:val="true"/>
              </w:rPr>
              <w:tab/>
            </w:r>
            <w:r>
              <w:rPr>
                <w:rStyle w:val="IndexLink"/>
              </w:rPr>
              <w:t>256</w:t>
            </w:r>
          </w:hyperlink>
        </w:p>
        <w:p>
          <w:pPr>
            <w:pStyle w:val="Contents4"/>
            <w:tabs>
              <w:tab w:val="clear" w:pos="8176"/>
              <w:tab w:val="right" w:pos="9026" w:leader="dot"/>
            </w:tabs>
            <w:rPr/>
          </w:pPr>
          <w:hyperlink w:anchor="__RefHeading___Toc1401184_3650668749">
            <w:r>
              <w:rPr>
                <w:webHidden/>
                <w:rStyle w:val="IndexLink"/>
              </w:rPr>
              <w:t>6</w:t>
            </w:r>
            <w:r>
              <w:rPr>
                <w:rStyle w:val="IndexLink"/>
                <w:rtl w:val="true"/>
              </w:rPr>
              <w:t xml:space="preserve">. </w:t>
            </w:r>
            <w:r>
              <w:rPr>
                <w:rStyle w:val="IndexLink"/>
                <w:rtl w:val="true"/>
              </w:rPr>
              <w:t>الإمام المهدی وطول العمر</w:t>
            </w:r>
            <w:r>
              <w:rPr>
                <w:rStyle w:val="IndexLink"/>
                <w:rtl w:val="true"/>
              </w:rPr>
              <w:tab/>
            </w:r>
            <w:r>
              <w:rPr>
                <w:rStyle w:val="IndexLink"/>
              </w:rPr>
              <w:t>258</w:t>
            </w:r>
          </w:hyperlink>
        </w:p>
        <w:p>
          <w:pPr>
            <w:pStyle w:val="Contents4"/>
            <w:tabs>
              <w:tab w:val="clear" w:pos="8176"/>
              <w:tab w:val="right" w:pos="9026" w:leader="dot"/>
            </w:tabs>
            <w:rPr/>
          </w:pPr>
          <w:hyperlink w:anchor="__RefHeading___Toc1401186_3650668749">
            <w:r>
              <w:rPr>
                <w:webHidden/>
                <w:rStyle w:val="IndexLink"/>
              </w:rPr>
              <w:t>7</w:t>
            </w:r>
            <w:r>
              <w:rPr>
                <w:rStyle w:val="IndexLink"/>
                <w:rtl w:val="true"/>
              </w:rPr>
              <w:t xml:space="preserve">. </w:t>
            </w:r>
            <w:r>
              <w:rPr>
                <w:rStyle w:val="IndexLink"/>
                <w:rtl w:val="true"/>
              </w:rPr>
              <w:t>علائم ظهور الإمام المنتظر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1401188_3650668749">
            <w:r>
              <w:rPr>
                <w:webHidden/>
                <w:rStyle w:val="IndexLink"/>
              </w:rPr>
              <w:t>8</w:t>
            </w:r>
            <w:r>
              <w:rPr>
                <w:rStyle w:val="IndexLink"/>
                <w:rtl w:val="true"/>
              </w:rPr>
              <w:t xml:space="preserve">. </w:t>
            </w:r>
            <w:r>
              <w:rPr>
                <w:rStyle w:val="IndexLink"/>
                <w:rtl w:val="true"/>
              </w:rPr>
              <w:t>الآثار البنّاءة لوجود الإمام المنتظر علیه السلام‌</w:t>
            </w:r>
            <w:r>
              <w:rPr>
                <w:rStyle w:val="IndexLink"/>
                <w:rtl w:val="true"/>
              </w:rPr>
              <w:tab/>
            </w:r>
            <w:r>
              <w:rPr>
                <w:rStyle w:val="IndexLink"/>
              </w:rPr>
              <w:t>261</w:t>
            </w:r>
          </w:hyperlink>
        </w:p>
        <w:p>
          <w:pPr>
            <w:pStyle w:val="Contents2"/>
            <w:tabs>
              <w:tab w:val="clear" w:pos="8743"/>
              <w:tab w:val="right" w:pos="9026" w:leader="dot"/>
            </w:tabs>
            <w:rPr/>
          </w:pPr>
          <w:hyperlink w:anchor="__RefHeading___Toc1401190_3650668749">
            <w:r>
              <w:rPr>
                <w:webHidden/>
                <w:rStyle w:val="IndexLink"/>
                <w:rtl w:val="true"/>
              </w:rPr>
              <w:t>الفصل الثامن</w:t>
            </w:r>
            <w:r>
              <w:rPr>
                <w:rStyle w:val="IndexLink"/>
                <w:rtl w:val="true"/>
              </w:rPr>
              <w:t xml:space="preserve">: </w:t>
            </w:r>
            <w:r>
              <w:rPr>
                <w:rStyle w:val="IndexLink"/>
                <w:rtl w:val="true"/>
              </w:rPr>
              <w:t>البدعة فی الکتاب والسنّة</w:t>
            </w:r>
            <w:r>
              <w:rPr>
                <w:rStyle w:val="IndexLink"/>
                <w:rtl w:val="true"/>
              </w:rPr>
              <w:tab/>
            </w:r>
            <w:r>
              <w:rPr>
                <w:rStyle w:val="IndexLink"/>
              </w:rPr>
              <w:t>266</w:t>
            </w:r>
          </w:hyperlink>
        </w:p>
        <w:p>
          <w:pPr>
            <w:pStyle w:val="Contents3"/>
            <w:tabs>
              <w:tab w:val="clear" w:pos="8459"/>
              <w:tab w:val="right" w:pos="9026" w:leader="dot"/>
            </w:tabs>
            <w:rPr/>
          </w:pPr>
          <w:hyperlink w:anchor="__RefHeading___Toc1401192_3650668749">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401194_3650668749">
            <w:r>
              <w:rPr>
                <w:webHidden/>
                <w:rStyle w:val="IndexLink"/>
                <w:rtl w:val="true"/>
              </w:rPr>
              <w:t>البدعة فی الکتاب والسنّة</w:t>
            </w:r>
            <w:r>
              <w:rPr>
                <w:rStyle w:val="IndexLink"/>
                <w:rtl w:val="true"/>
              </w:rPr>
              <w:tab/>
            </w:r>
            <w:r>
              <w:rPr>
                <w:rStyle w:val="IndexLink"/>
              </w:rPr>
              <w:t>267</w:t>
            </w:r>
          </w:hyperlink>
        </w:p>
        <w:p>
          <w:pPr>
            <w:pStyle w:val="Contents4"/>
            <w:tabs>
              <w:tab w:val="clear" w:pos="8176"/>
              <w:tab w:val="right" w:pos="9026" w:leader="dot"/>
            </w:tabs>
            <w:rPr/>
          </w:pPr>
          <w:hyperlink w:anchor="__RefHeading___Toc1401196_3650668749">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401198_3650668749">
            <w:r>
              <w:rPr>
                <w:webHidden/>
                <w:rStyle w:val="IndexLink"/>
              </w:rPr>
              <w:t>1</w:t>
            </w:r>
            <w:r>
              <w:rPr>
                <w:rStyle w:val="IndexLink"/>
                <w:rtl w:val="true"/>
              </w:rPr>
              <w:t xml:space="preserve">. </w:t>
            </w:r>
            <w:r>
              <w:rPr>
                <w:rStyle w:val="IndexLink"/>
                <w:rtl w:val="true"/>
              </w:rPr>
              <w:t>البدعة لغة واصطلاحاً</w:t>
            </w:r>
            <w:r>
              <w:rPr>
                <w:rStyle w:val="IndexLink"/>
                <w:rtl w:val="true"/>
              </w:rPr>
              <w:tab/>
            </w:r>
            <w:r>
              <w:rPr>
                <w:rStyle w:val="IndexLink"/>
              </w:rPr>
              <w:t>267</w:t>
            </w:r>
          </w:hyperlink>
        </w:p>
        <w:p>
          <w:pPr>
            <w:pStyle w:val="Contents4"/>
            <w:tabs>
              <w:tab w:val="clear" w:pos="8176"/>
              <w:tab w:val="right" w:pos="9026" w:leader="dot"/>
            </w:tabs>
            <w:rPr/>
          </w:pPr>
          <w:hyperlink w:anchor="__RefHeading___Toc1401200_3650668749">
            <w:r>
              <w:rPr>
                <w:webHidden/>
                <w:rStyle w:val="IndexLink"/>
              </w:rPr>
              <w:t>2</w:t>
            </w:r>
            <w:r>
              <w:rPr>
                <w:rStyle w:val="IndexLink"/>
                <w:rtl w:val="true"/>
              </w:rPr>
              <w:t xml:space="preserve">. </w:t>
            </w:r>
            <w:r>
              <w:rPr>
                <w:rStyle w:val="IndexLink"/>
                <w:rtl w:val="true"/>
              </w:rPr>
              <w:t>الابتداع فی تعریف البدعة</w:t>
            </w:r>
            <w:r>
              <w:rPr>
                <w:rStyle w:val="IndexLink"/>
                <w:rtl w:val="true"/>
              </w:rPr>
              <w:tab/>
            </w:r>
            <w:r>
              <w:rPr>
                <w:rStyle w:val="IndexLink"/>
              </w:rPr>
              <w:t>270</w:t>
            </w:r>
          </w:hyperlink>
        </w:p>
        <w:p>
          <w:pPr>
            <w:pStyle w:val="Contents4"/>
            <w:tabs>
              <w:tab w:val="clear" w:pos="8176"/>
              <w:tab w:val="right" w:pos="9026" w:leader="dot"/>
            </w:tabs>
            <w:rPr/>
          </w:pPr>
          <w:hyperlink w:anchor="__RefHeading___Toc1401202_3650668749">
            <w:r>
              <w:rPr>
                <w:webHidden/>
                <w:rStyle w:val="IndexLink"/>
              </w:rPr>
              <w:t>3</w:t>
            </w:r>
            <w:r>
              <w:rPr>
                <w:rStyle w:val="IndexLink"/>
                <w:rtl w:val="true"/>
              </w:rPr>
              <w:t xml:space="preserve">. </w:t>
            </w:r>
            <w:r>
              <w:rPr>
                <w:rStyle w:val="IndexLink"/>
                <w:rtl w:val="true"/>
              </w:rPr>
              <w:t>أسباب نشوء البدعة</w:t>
            </w:r>
            <w:r>
              <w:rPr>
                <w:rStyle w:val="IndexLink"/>
                <w:rtl w:val="true"/>
              </w:rPr>
              <w:tab/>
            </w:r>
            <w:r>
              <w:rPr>
                <w:rStyle w:val="IndexLink"/>
              </w:rPr>
              <w:t>273</w:t>
            </w:r>
          </w:hyperlink>
        </w:p>
        <w:p>
          <w:pPr>
            <w:pStyle w:val="Contents4"/>
            <w:tabs>
              <w:tab w:val="clear" w:pos="8176"/>
              <w:tab w:val="right" w:pos="9026" w:leader="dot"/>
            </w:tabs>
            <w:rPr/>
          </w:pPr>
          <w:hyperlink w:anchor="__RefHeading___Toc1401204_3650668749">
            <w:r>
              <w:rPr>
                <w:webHidden/>
                <w:rStyle w:val="IndexLink"/>
              </w:rPr>
              <w:t>4</w:t>
            </w:r>
            <w:r>
              <w:rPr>
                <w:rStyle w:val="IndexLink"/>
                <w:rtl w:val="true"/>
              </w:rPr>
              <w:t xml:space="preserve">. </w:t>
            </w:r>
            <w:r>
              <w:rPr>
                <w:rStyle w:val="IndexLink"/>
                <w:rtl w:val="true"/>
              </w:rPr>
              <w:t>تقسیم البدعة إلی حسنة وسیئة</w:t>
            </w:r>
            <w:r>
              <w:rPr>
                <w:rStyle w:val="IndexLink"/>
                <w:rtl w:val="true"/>
              </w:rPr>
              <w:tab/>
            </w:r>
            <w:r>
              <w:rPr>
                <w:rStyle w:val="IndexLink"/>
              </w:rPr>
              <w:t>275</w:t>
            </w:r>
          </w:hyperlink>
        </w:p>
        <w:p>
          <w:pPr>
            <w:pStyle w:val="Contents4"/>
            <w:tabs>
              <w:tab w:val="clear" w:pos="8176"/>
              <w:tab w:val="right" w:pos="9026" w:leader="dot"/>
            </w:tabs>
            <w:rPr/>
          </w:pPr>
          <w:hyperlink w:anchor="__RefHeading___Toc1401206_3650668749">
            <w:r>
              <w:rPr>
                <w:webHidden/>
                <w:rStyle w:val="IndexLink"/>
              </w:rPr>
              <w:t>5</w:t>
            </w:r>
            <w:r>
              <w:rPr>
                <w:rStyle w:val="IndexLink"/>
                <w:rtl w:val="true"/>
              </w:rPr>
              <w:t xml:space="preserve">. </w:t>
            </w:r>
            <w:r>
              <w:rPr>
                <w:rStyle w:val="IndexLink"/>
                <w:rtl w:val="true"/>
              </w:rPr>
              <w:t>هل الأُمور التالیة من البدع؟</w:t>
            </w:r>
            <w:r>
              <w:rPr>
                <w:rStyle w:val="IndexLink"/>
                <w:rtl w:val="true"/>
              </w:rPr>
              <w:tab/>
            </w:r>
            <w:r>
              <w:rPr>
                <w:rStyle w:val="IndexLink"/>
              </w:rPr>
              <w:t>277</w:t>
            </w:r>
          </w:hyperlink>
        </w:p>
        <w:p>
          <w:pPr>
            <w:pStyle w:val="Contents5"/>
            <w:tabs>
              <w:tab w:val="clear" w:pos="7892"/>
              <w:tab w:val="right" w:pos="9026" w:leader="dot"/>
            </w:tabs>
            <w:rPr/>
          </w:pPr>
          <w:hyperlink w:anchor="__RefHeading___Toc1401208_365066874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401210_3650668749">
            <w:r>
              <w:rPr>
                <w:webHidden/>
                <w:rStyle w:val="IndexLink"/>
              </w:rPr>
              <w:t>1</w:t>
            </w:r>
            <w:r>
              <w:rPr>
                <w:rStyle w:val="IndexLink"/>
                <w:rtl w:val="true"/>
              </w:rPr>
              <w:t xml:space="preserve">- </w:t>
            </w:r>
            <w:r>
              <w:rPr>
                <w:rStyle w:val="IndexLink"/>
                <w:rtl w:val="true"/>
              </w:rPr>
              <w:t>التقیة عند الخوف علی النفس والنفیس‌</w:t>
            </w:r>
            <w:r>
              <w:rPr>
                <w:rStyle w:val="IndexLink"/>
                <w:rtl w:val="true"/>
              </w:rPr>
              <w:tab/>
            </w:r>
            <w:r>
              <w:rPr>
                <w:rStyle w:val="IndexLink"/>
              </w:rPr>
              <w:t>277</w:t>
            </w:r>
          </w:hyperlink>
        </w:p>
        <w:p>
          <w:pPr>
            <w:pStyle w:val="Contents5"/>
            <w:tabs>
              <w:tab w:val="clear" w:pos="7892"/>
              <w:tab w:val="right" w:pos="9026" w:leader="dot"/>
            </w:tabs>
            <w:rPr/>
          </w:pPr>
          <w:hyperlink w:anchor="__RefHeading___Toc1401212_3650668749">
            <w:r>
              <w:rPr>
                <w:webHidden/>
                <w:rStyle w:val="IndexLink"/>
              </w:rPr>
              <w:t>2</w:t>
            </w:r>
            <w:r>
              <w:rPr>
                <w:rStyle w:val="IndexLink"/>
                <w:rtl w:val="true"/>
              </w:rPr>
              <w:t xml:space="preserve">- </w:t>
            </w:r>
            <w:r>
              <w:rPr>
                <w:rStyle w:val="IndexLink"/>
                <w:rtl w:val="true"/>
              </w:rPr>
              <w:t>الزواج المؤقّت‌</w:t>
            </w:r>
            <w:r>
              <w:rPr>
                <w:rStyle w:val="IndexLink"/>
                <w:rtl w:val="true"/>
              </w:rPr>
              <w:tab/>
            </w:r>
            <w:r>
              <w:rPr>
                <w:rStyle w:val="IndexLink"/>
              </w:rPr>
              <w:t>281</w:t>
            </w:r>
          </w:hyperlink>
        </w:p>
        <w:p>
          <w:pPr>
            <w:pStyle w:val="Contents5"/>
            <w:tabs>
              <w:tab w:val="clear" w:pos="7892"/>
              <w:tab w:val="right" w:pos="9026" w:leader="dot"/>
            </w:tabs>
            <w:rPr/>
          </w:pPr>
          <w:hyperlink w:anchor="__RefHeading___Toc1401214_3650668749">
            <w:r>
              <w:rPr>
                <w:webHidden/>
                <w:rStyle w:val="IndexLink"/>
              </w:rPr>
              <w:t>3</w:t>
            </w:r>
            <w:r>
              <w:rPr>
                <w:rStyle w:val="IndexLink"/>
                <w:rtl w:val="true"/>
              </w:rPr>
              <w:t xml:space="preserve">- </w:t>
            </w:r>
            <w:r>
              <w:rPr>
                <w:rStyle w:val="IndexLink"/>
                <w:rtl w:val="true"/>
              </w:rPr>
              <w:t>البداء وتغییر المصیر بالأعمال الصالحة والطالحة</w:t>
            </w:r>
            <w:r>
              <w:rPr>
                <w:rStyle w:val="IndexLink"/>
                <w:rtl w:val="true"/>
              </w:rPr>
              <w:tab/>
            </w:r>
            <w:r>
              <w:rPr>
                <w:rStyle w:val="IndexLink"/>
              </w:rPr>
              <w:t>285</w:t>
            </w:r>
          </w:hyperlink>
        </w:p>
        <w:p>
          <w:pPr>
            <w:pStyle w:val="Contents5"/>
            <w:tabs>
              <w:tab w:val="clear" w:pos="7892"/>
              <w:tab w:val="right" w:pos="9026" w:leader="dot"/>
            </w:tabs>
            <w:rPr/>
          </w:pPr>
          <w:hyperlink w:anchor="__RefHeading___Toc1401216_3650668749">
            <w:r>
              <w:rPr>
                <w:webHidden/>
                <w:rStyle w:val="IndexLink"/>
              </w:rPr>
              <w:t>4</w:t>
            </w:r>
            <w:r>
              <w:rPr>
                <w:rStyle w:val="IndexLink"/>
                <w:rtl w:val="true"/>
              </w:rPr>
              <w:t xml:space="preserve">- </w:t>
            </w:r>
            <w:r>
              <w:rPr>
                <w:rStyle w:val="IndexLink"/>
                <w:rtl w:val="true"/>
              </w:rPr>
              <w:t>الخمس فی الکتاب والسنّة</w:t>
            </w:r>
            <w:r>
              <w:rPr>
                <w:rStyle w:val="IndexLink"/>
                <w:rtl w:val="true"/>
              </w:rPr>
              <w:tab/>
            </w:r>
            <w:r>
              <w:rPr>
                <w:rStyle w:val="IndexLink"/>
              </w:rPr>
              <w:t>291</w:t>
            </w:r>
          </w:hyperlink>
        </w:p>
        <w:p>
          <w:pPr>
            <w:pStyle w:val="Contents6"/>
            <w:tabs>
              <w:tab w:val="clear" w:pos="7609"/>
              <w:tab w:val="right" w:pos="9026" w:leader="dot"/>
            </w:tabs>
            <w:rPr/>
          </w:pPr>
          <w:hyperlink w:anchor="__RefHeading___Toc1401218_3650668749">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401220_3650668749">
            <w:r>
              <w:rPr>
                <w:webHidden/>
                <w:rStyle w:val="IndexLink"/>
                <w:rtl w:val="true"/>
              </w:rPr>
              <w:t>الأوّل</w:t>
            </w:r>
            <w:r>
              <w:rPr>
                <w:rStyle w:val="IndexLink"/>
                <w:rtl w:val="true"/>
              </w:rPr>
              <w:t xml:space="preserve">: </w:t>
            </w:r>
            <w:r>
              <w:rPr>
                <w:rStyle w:val="IndexLink"/>
                <w:rtl w:val="true"/>
              </w:rPr>
              <w:t>الغنیمة مطلق ما یفوز به الإنسان‌</w:t>
            </w:r>
            <w:r>
              <w:rPr>
                <w:rStyle w:val="IndexLink"/>
                <w:rtl w:val="true"/>
              </w:rPr>
              <w:tab/>
            </w:r>
            <w:r>
              <w:rPr>
                <w:rStyle w:val="IndexLink"/>
              </w:rPr>
              <w:t>291</w:t>
            </w:r>
          </w:hyperlink>
        </w:p>
        <w:p>
          <w:pPr>
            <w:pStyle w:val="Contents6"/>
            <w:tabs>
              <w:tab w:val="clear" w:pos="7609"/>
              <w:tab w:val="right" w:pos="9026" w:leader="dot"/>
            </w:tabs>
            <w:rPr/>
          </w:pPr>
          <w:hyperlink w:anchor="__RefHeading___Toc1401222_3650668749">
            <w:r>
              <w:rPr>
                <w:webHidden/>
                <w:rStyle w:val="IndexLink"/>
                <w:rtl w:val="true"/>
              </w:rPr>
              <w:t>الثانی</w:t>
            </w:r>
            <w:r>
              <w:rPr>
                <w:rStyle w:val="IndexLink"/>
                <w:rtl w:val="true"/>
              </w:rPr>
              <w:t xml:space="preserve">: </w:t>
            </w:r>
            <w:r>
              <w:rPr>
                <w:rStyle w:val="IndexLink"/>
                <w:rtl w:val="true"/>
              </w:rPr>
              <w:t>المورد غیر مخصّص‌</w:t>
            </w:r>
            <w:r>
              <w:rPr>
                <w:rStyle w:val="IndexLink"/>
                <w:rtl w:val="true"/>
              </w:rPr>
              <w:tab/>
            </w:r>
            <w:r>
              <w:rPr>
                <w:rStyle w:val="IndexLink"/>
              </w:rPr>
              <w:t>295</w:t>
            </w:r>
          </w:hyperlink>
        </w:p>
        <w:p>
          <w:pPr>
            <w:pStyle w:val="Contents6"/>
            <w:tabs>
              <w:tab w:val="clear" w:pos="7609"/>
              <w:tab w:val="right" w:pos="9026" w:leader="dot"/>
            </w:tabs>
            <w:rPr/>
          </w:pPr>
          <w:hyperlink w:anchor="__RefHeading___Toc1401224_3650668749">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1401226_3650668749">
            <w:r>
              <w:rPr>
                <w:webHidden/>
                <w:rStyle w:val="IndexLink"/>
              </w:rPr>
              <w:t>1</w:t>
            </w:r>
            <w:r>
              <w:rPr>
                <w:rStyle w:val="IndexLink"/>
                <w:rtl w:val="true"/>
              </w:rPr>
              <w:t xml:space="preserve">. </w:t>
            </w:r>
            <w:r>
              <w:rPr>
                <w:rStyle w:val="IndexLink"/>
                <w:rtl w:val="true"/>
              </w:rPr>
              <w:t>وجوب الخمس فی الرکاز من باب الغنیمة</w:t>
            </w:r>
            <w:r>
              <w:rPr>
                <w:rStyle w:val="IndexLink"/>
                <w:rtl w:val="true"/>
              </w:rPr>
              <w:tab/>
            </w:r>
            <w:r>
              <w:rPr>
                <w:rStyle w:val="IndexLink"/>
              </w:rPr>
              <w:t>296</w:t>
            </w:r>
          </w:hyperlink>
        </w:p>
        <w:p>
          <w:pPr>
            <w:pStyle w:val="Contents6"/>
            <w:tabs>
              <w:tab w:val="clear" w:pos="7609"/>
              <w:tab w:val="right" w:pos="9026" w:leader="dot"/>
            </w:tabs>
            <w:rPr/>
          </w:pPr>
          <w:hyperlink w:anchor="__RefHeading___Toc1401228_3650668749">
            <w:r>
              <w:rPr>
                <w:webHidden/>
                <w:rStyle w:val="IndexLink"/>
              </w:rPr>
              <w:t>2</w:t>
            </w:r>
            <w:r>
              <w:rPr>
                <w:rStyle w:val="IndexLink"/>
                <w:rtl w:val="true"/>
              </w:rPr>
              <w:t xml:space="preserve">. </w:t>
            </w:r>
            <w:r>
              <w:rPr>
                <w:rStyle w:val="IndexLink"/>
                <w:rtl w:val="true"/>
              </w:rPr>
              <w:t>الخمس فی أرباح المکاسب‌</w:t>
            </w:r>
            <w:r>
              <w:rPr>
                <w:rStyle w:val="IndexLink"/>
                <w:rtl w:val="true"/>
              </w:rPr>
              <w:tab/>
            </w:r>
            <w:r>
              <w:rPr>
                <w:rStyle w:val="IndexLink"/>
              </w:rPr>
              <w:t>300</w:t>
            </w:r>
          </w:hyperlink>
        </w:p>
        <w:p>
          <w:pPr>
            <w:pStyle w:val="Contents6"/>
            <w:tabs>
              <w:tab w:val="clear" w:pos="7609"/>
              <w:tab w:val="right" w:pos="9026" w:leader="dot"/>
            </w:tabs>
            <w:rPr/>
          </w:pPr>
          <w:hyperlink w:anchor="__RefHeading___Toc1401230_3650668749">
            <w:r>
              <w:rPr>
                <w:webHidden/>
                <w:rStyle w:val="IndexLink"/>
                <w:rtl w:val="true"/>
              </w:rPr>
              <w:t>إیضاح الاستدلال بهذه المکاتیب‌</w:t>
            </w:r>
            <w:r>
              <w:rPr>
                <w:rStyle w:val="IndexLink"/>
                <w:rtl w:val="true"/>
              </w:rPr>
              <w:tab/>
            </w:r>
            <w:r>
              <w:rPr>
                <w:rStyle w:val="IndexLink"/>
              </w:rPr>
              <w:t>303</w:t>
            </w:r>
          </w:hyperlink>
        </w:p>
        <w:p>
          <w:pPr>
            <w:pStyle w:val="Contents4"/>
            <w:tabs>
              <w:tab w:val="clear" w:pos="8176"/>
              <w:tab w:val="right" w:pos="9026" w:leader="dot"/>
            </w:tabs>
            <w:rPr/>
          </w:pPr>
          <w:hyperlink w:anchor="__RefHeading___Toc1401232_3650668749">
            <w:r>
              <w:rPr>
                <w:webHidden/>
                <w:rStyle w:val="IndexLink"/>
              </w:rPr>
              <w:t>5</w:t>
            </w:r>
            <w:r>
              <w:rPr>
                <w:rStyle w:val="IndexLink"/>
                <w:rtl w:val="true"/>
              </w:rPr>
              <w:t xml:space="preserve">- </w:t>
            </w:r>
            <w:r>
              <w:rPr>
                <w:rStyle w:val="IndexLink"/>
                <w:rtl w:val="true"/>
              </w:rPr>
              <w:t>الرجعة فی الکتاب العزیز</w:t>
            </w:r>
            <w:r>
              <w:rPr>
                <w:rStyle w:val="IndexLink"/>
                <w:rtl w:val="true"/>
              </w:rPr>
              <w:tab/>
            </w:r>
            <w:r>
              <w:rPr>
                <w:rStyle w:val="IndexLink"/>
              </w:rPr>
              <w:t>308</w:t>
            </w:r>
          </w:hyperlink>
        </w:p>
        <w:p>
          <w:pPr>
            <w:pStyle w:val="Contents5"/>
            <w:tabs>
              <w:tab w:val="clear" w:pos="7892"/>
              <w:tab w:val="right" w:pos="9026" w:leader="dot"/>
            </w:tabs>
            <w:rPr/>
          </w:pPr>
          <w:hyperlink w:anchor="__RefHeading___Toc1401234_3650668749">
            <w:r>
              <w:rPr>
                <w:webHidden/>
                <w:rStyle w:val="IndexLink"/>
                <w:rtl w:val="true"/>
              </w:rPr>
              <w:t>الرجعة فی مصطلح العلماء</w:t>
            </w:r>
            <w:r>
              <w:rPr>
                <w:rStyle w:val="IndexLink"/>
                <w:rtl w:val="true"/>
              </w:rPr>
              <w:tab/>
            </w:r>
            <w:r>
              <w:rPr>
                <w:rStyle w:val="IndexLink"/>
              </w:rPr>
              <w:t>308</w:t>
            </w:r>
          </w:hyperlink>
        </w:p>
        <w:p>
          <w:pPr>
            <w:pStyle w:val="Contents6"/>
            <w:tabs>
              <w:tab w:val="clear" w:pos="7609"/>
              <w:tab w:val="right" w:pos="9026" w:leader="dot"/>
            </w:tabs>
            <w:rPr/>
          </w:pPr>
          <w:hyperlink w:anchor="__RefHeading___Toc1401236_3650668749">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401238_3650668749">
            <w:r>
              <w:rPr>
                <w:webHidden/>
                <w:rStyle w:val="IndexLink"/>
              </w:rPr>
              <w:t>1</w:t>
            </w:r>
            <w:r>
              <w:rPr>
                <w:rStyle w:val="IndexLink"/>
                <w:rtl w:val="true"/>
              </w:rPr>
              <w:t xml:space="preserve">. </w:t>
            </w:r>
            <w:r>
              <w:rPr>
                <w:rStyle w:val="IndexLink"/>
                <w:rtl w:val="true"/>
              </w:rPr>
              <w:t>إمکان الرجعة</w:t>
            </w:r>
            <w:r>
              <w:rPr>
                <w:rStyle w:val="IndexLink"/>
                <w:rtl w:val="true"/>
              </w:rPr>
              <w:tab/>
            </w:r>
            <w:r>
              <w:rPr>
                <w:rStyle w:val="IndexLink"/>
              </w:rPr>
              <w:t>310</w:t>
            </w:r>
          </w:hyperlink>
        </w:p>
        <w:p>
          <w:pPr>
            <w:pStyle w:val="Contents6"/>
            <w:tabs>
              <w:tab w:val="clear" w:pos="7609"/>
              <w:tab w:val="right" w:pos="9026" w:leader="dot"/>
            </w:tabs>
            <w:rPr/>
          </w:pPr>
          <w:hyperlink w:anchor="__RefHeading___Toc1401240_3650668749">
            <w:r>
              <w:rPr>
                <w:webHidden/>
                <w:rStyle w:val="IndexLink"/>
              </w:rPr>
              <w:t>2</w:t>
            </w:r>
            <w:r>
              <w:rPr>
                <w:rStyle w:val="IndexLink"/>
                <w:rtl w:val="true"/>
              </w:rPr>
              <w:t xml:space="preserve">. </w:t>
            </w:r>
            <w:r>
              <w:rPr>
                <w:rStyle w:val="IndexLink"/>
                <w:rtl w:val="true"/>
              </w:rPr>
              <w:t>الرجعة فی الأُمم السالفة</w:t>
            </w:r>
            <w:r>
              <w:rPr>
                <w:rStyle w:val="IndexLink"/>
                <w:rtl w:val="true"/>
              </w:rPr>
              <w:tab/>
            </w:r>
            <w:r>
              <w:rPr>
                <w:rStyle w:val="IndexLink"/>
              </w:rPr>
              <w:t>310</w:t>
            </w:r>
          </w:hyperlink>
        </w:p>
        <w:p>
          <w:pPr>
            <w:pStyle w:val="Contents5"/>
            <w:tabs>
              <w:tab w:val="clear" w:pos="7892"/>
              <w:tab w:val="right" w:pos="9026" w:leader="dot"/>
            </w:tabs>
            <w:rPr/>
          </w:pPr>
          <w:hyperlink w:anchor="__RefHeading___Toc1401242_3650668749">
            <w:r>
              <w:rPr>
                <w:webHidden/>
                <w:rStyle w:val="IndexLink"/>
                <w:rtl w:val="true"/>
              </w:rPr>
              <w:t xml:space="preserve">*** </w:t>
            </w:r>
            <w:r>
              <w:rPr>
                <w:rStyle w:val="IndexLink"/>
                <w:rtl w:val="true"/>
              </w:rPr>
              <w:t>الرجعةُ فی الأُمة الإسلامیة</w:t>
            </w:r>
            <w:r>
              <w:rPr>
                <w:rStyle w:val="IndexLink"/>
                <w:rtl w:val="true"/>
              </w:rPr>
              <w:tab/>
            </w:r>
            <w:r>
              <w:rPr>
                <w:rStyle w:val="IndexLink"/>
              </w:rPr>
              <w:t>311</w:t>
            </w:r>
          </w:hyperlink>
        </w:p>
        <w:p>
          <w:pPr>
            <w:pStyle w:val="Contents5"/>
            <w:tabs>
              <w:tab w:val="clear" w:pos="7892"/>
              <w:tab w:val="right" w:pos="9026" w:leader="dot"/>
            </w:tabs>
            <w:rPr/>
          </w:pPr>
          <w:hyperlink w:anchor="__RefHeading___Toc1401244_3650668749">
            <w:r>
              <w:rPr>
                <w:webHidden/>
                <w:rStyle w:val="IndexLink"/>
                <w:rtl w:val="true"/>
              </w:rPr>
              <w:t>أسئلة و أجوبتها</w:t>
            </w:r>
            <w:r>
              <w:rPr>
                <w:rStyle w:val="IndexLink"/>
                <w:rtl w:val="true"/>
              </w:rPr>
              <w:tab/>
            </w:r>
            <w:r>
              <w:rPr>
                <w:rStyle w:val="IndexLink"/>
              </w:rPr>
              <w:t>316</w:t>
            </w:r>
          </w:hyperlink>
        </w:p>
        <w:p>
          <w:pPr>
            <w:pStyle w:val="Contents2"/>
            <w:tabs>
              <w:tab w:val="clear" w:pos="8743"/>
              <w:tab w:val="right" w:pos="9026" w:leader="dot"/>
            </w:tabs>
            <w:rPr/>
          </w:pPr>
          <w:hyperlink w:anchor="__RefHeading___Toc1401246_3650668749">
            <w:r>
              <w:rPr>
                <w:webHidden/>
                <w:rStyle w:val="IndexLink"/>
                <w:rtl w:val="true"/>
              </w:rPr>
              <w:t>الفصل التاسع</w:t>
            </w:r>
            <w:r>
              <w:rPr>
                <w:rStyle w:val="IndexLink"/>
                <w:rtl w:val="true"/>
              </w:rPr>
              <w:t xml:space="preserve">: </w:t>
            </w:r>
            <w:r>
              <w:rPr>
                <w:rStyle w:val="IndexLink"/>
                <w:rtl w:val="true"/>
              </w:rPr>
              <w:t>فی الصحابة والتابعین‌</w:t>
            </w:r>
            <w:r>
              <w:rPr>
                <w:rStyle w:val="IndexLink"/>
                <w:rtl w:val="true"/>
              </w:rPr>
              <w:tab/>
            </w:r>
            <w:r>
              <w:rPr>
                <w:rStyle w:val="IndexLink"/>
              </w:rPr>
              <w:t>318</w:t>
            </w:r>
          </w:hyperlink>
        </w:p>
        <w:p>
          <w:pPr>
            <w:pStyle w:val="Contents3"/>
            <w:tabs>
              <w:tab w:val="clear" w:pos="8459"/>
              <w:tab w:val="right" w:pos="9026" w:leader="dot"/>
            </w:tabs>
            <w:rPr/>
          </w:pPr>
          <w:hyperlink w:anchor="__RefHeading___Toc1401248_3650668749">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401250_3650668749">
            <w:r>
              <w:rPr>
                <w:webHidden/>
                <w:rStyle w:val="IndexLink"/>
                <w:rtl w:val="true"/>
              </w:rPr>
              <w:t>فی الصحابة والتابعین‌</w:t>
            </w:r>
            <w:r>
              <w:rPr>
                <w:rStyle w:val="IndexLink"/>
                <w:rtl w:val="true"/>
              </w:rPr>
              <w:tab/>
            </w:r>
            <w:r>
              <w:rPr>
                <w:rStyle w:val="IndexLink"/>
              </w:rPr>
              <w:t>319</w:t>
            </w:r>
          </w:hyperlink>
        </w:p>
        <w:p>
          <w:pPr>
            <w:pStyle w:val="Contents4"/>
            <w:tabs>
              <w:tab w:val="clear" w:pos="8176"/>
              <w:tab w:val="right" w:pos="9026" w:leader="dot"/>
            </w:tabs>
            <w:rPr/>
          </w:pPr>
          <w:hyperlink w:anchor="__RefHeading___Toc1401252_3650668749">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401254_3650668749">
            <w:r>
              <w:rPr>
                <w:webHidden/>
                <w:rStyle w:val="IndexLink"/>
              </w:rPr>
              <w:t>1</w:t>
            </w:r>
            <w:r>
              <w:rPr>
                <w:rStyle w:val="IndexLink"/>
                <w:rtl w:val="true"/>
              </w:rPr>
              <w:t xml:space="preserve">- </w:t>
            </w:r>
            <w:r>
              <w:rPr>
                <w:rStyle w:val="IndexLink"/>
                <w:rtl w:val="true"/>
              </w:rPr>
              <w:t>فی تعریف الصحابی والتابعی‌</w:t>
            </w:r>
            <w:r>
              <w:rPr>
                <w:rStyle w:val="IndexLink"/>
                <w:rtl w:val="true"/>
              </w:rPr>
              <w:tab/>
            </w:r>
            <w:r>
              <w:rPr>
                <w:rStyle w:val="IndexLink"/>
              </w:rPr>
              <w:t>320</w:t>
            </w:r>
          </w:hyperlink>
        </w:p>
        <w:p>
          <w:pPr>
            <w:pStyle w:val="Contents4"/>
            <w:tabs>
              <w:tab w:val="clear" w:pos="8176"/>
              <w:tab w:val="right" w:pos="9026" w:leader="dot"/>
            </w:tabs>
            <w:rPr/>
          </w:pPr>
          <w:hyperlink w:anchor="__RefHeading___Toc1401256_3650668749">
            <w:r>
              <w:rPr>
                <w:webHidden/>
                <w:rStyle w:val="IndexLink"/>
              </w:rPr>
              <w:t>2</w:t>
            </w:r>
            <w:r>
              <w:rPr>
                <w:rStyle w:val="IndexLink"/>
                <w:rtl w:val="true"/>
              </w:rPr>
              <w:t xml:space="preserve">- </w:t>
            </w:r>
            <w:r>
              <w:rPr>
                <w:rStyle w:val="IndexLink"/>
                <w:rtl w:val="true"/>
              </w:rPr>
              <w:t>تأثیر الصحبة فی النفوس‌</w:t>
            </w:r>
            <w:r>
              <w:rPr>
                <w:rStyle w:val="IndexLink"/>
                <w:rtl w:val="true"/>
              </w:rPr>
              <w:tab/>
            </w:r>
            <w:r>
              <w:rPr>
                <w:rStyle w:val="IndexLink"/>
              </w:rPr>
              <w:t>321</w:t>
            </w:r>
          </w:hyperlink>
        </w:p>
        <w:p>
          <w:pPr>
            <w:pStyle w:val="Contents4"/>
            <w:tabs>
              <w:tab w:val="clear" w:pos="8176"/>
              <w:tab w:val="right" w:pos="9026" w:leader="dot"/>
            </w:tabs>
            <w:rPr/>
          </w:pPr>
          <w:hyperlink w:anchor="__RefHeading___Toc1401258_3650668749">
            <w:r>
              <w:rPr>
                <w:webHidden/>
                <w:rStyle w:val="IndexLink"/>
              </w:rPr>
              <w:t>3</w:t>
            </w:r>
            <w:r>
              <w:rPr>
                <w:rStyle w:val="IndexLink"/>
                <w:rtl w:val="true"/>
              </w:rPr>
              <w:t xml:space="preserve">- </w:t>
            </w:r>
            <w:r>
              <w:rPr>
                <w:rStyle w:val="IndexLink"/>
                <w:rtl w:val="true"/>
              </w:rPr>
              <w:t>العدالة ملکة تدریجیة الحصول‌</w:t>
            </w:r>
            <w:r>
              <w:rPr>
                <w:rStyle w:val="IndexLink"/>
                <w:rtl w:val="true"/>
              </w:rPr>
              <w:tab/>
            </w:r>
            <w:r>
              <w:rPr>
                <w:rStyle w:val="IndexLink"/>
              </w:rPr>
              <w:t>325</w:t>
            </w:r>
          </w:hyperlink>
        </w:p>
        <w:p>
          <w:pPr>
            <w:pStyle w:val="Contents4"/>
            <w:tabs>
              <w:tab w:val="clear" w:pos="8176"/>
              <w:tab w:val="right" w:pos="9026" w:leader="dot"/>
            </w:tabs>
            <w:rPr/>
          </w:pPr>
          <w:hyperlink w:anchor="__RefHeading___Toc1401260_3650668749">
            <w:r>
              <w:rPr>
                <w:webHidden/>
                <w:rStyle w:val="IndexLink"/>
              </w:rPr>
              <w:t>4</w:t>
            </w:r>
            <w:r>
              <w:rPr>
                <w:rStyle w:val="IndexLink"/>
                <w:rtl w:val="true"/>
              </w:rPr>
              <w:t xml:space="preserve">- </w:t>
            </w:r>
            <w:r>
              <w:rPr>
                <w:rStyle w:val="IndexLink"/>
                <w:rtl w:val="true"/>
              </w:rPr>
              <w:t>أصناف الصحابة فی الکتاب‌</w:t>
            </w:r>
            <w:r>
              <w:rPr>
                <w:rStyle w:val="IndexLink"/>
                <w:rtl w:val="true"/>
              </w:rPr>
              <w:tab/>
            </w:r>
            <w:r>
              <w:rPr>
                <w:rStyle w:val="IndexLink"/>
              </w:rPr>
              <w:t>326</w:t>
            </w:r>
          </w:hyperlink>
        </w:p>
        <w:p>
          <w:pPr>
            <w:pStyle w:val="Contents4"/>
            <w:tabs>
              <w:tab w:val="clear" w:pos="8176"/>
              <w:tab w:val="right" w:pos="9026" w:leader="dot"/>
            </w:tabs>
            <w:rPr/>
          </w:pPr>
          <w:hyperlink w:anchor="__RefHeading___Toc1401262_3650668749">
            <w:r>
              <w:rPr>
                <w:webHidden/>
                <w:rStyle w:val="IndexLink"/>
              </w:rPr>
              <w:t>5</w:t>
            </w:r>
            <w:r>
              <w:rPr>
                <w:rStyle w:val="IndexLink"/>
                <w:rtl w:val="true"/>
              </w:rPr>
              <w:t xml:space="preserve">- </w:t>
            </w:r>
            <w:r>
              <w:rPr>
                <w:rStyle w:val="IndexLink"/>
                <w:rtl w:val="true"/>
              </w:rPr>
              <w:t>الصحابة أعرف بحالهم من غیرهم‌</w:t>
            </w:r>
            <w:r>
              <w:rPr>
                <w:rStyle w:val="IndexLink"/>
                <w:rtl w:val="true"/>
              </w:rPr>
              <w:tab/>
            </w:r>
            <w:r>
              <w:rPr>
                <w:rStyle w:val="IndexLink"/>
              </w:rPr>
              <w:t>328</w:t>
            </w:r>
          </w:hyperlink>
        </w:p>
        <w:p>
          <w:pPr>
            <w:pStyle w:val="Contents4"/>
            <w:tabs>
              <w:tab w:val="clear" w:pos="8176"/>
              <w:tab w:val="right" w:pos="9026" w:leader="dot"/>
            </w:tabs>
            <w:rPr/>
          </w:pPr>
          <w:hyperlink w:anchor="__RefHeading___Toc1401264_3650668749">
            <w:r>
              <w:rPr>
                <w:webHidden/>
                <w:rStyle w:val="IndexLink"/>
              </w:rPr>
              <w:t>6</w:t>
            </w:r>
            <w:r>
              <w:rPr>
                <w:rStyle w:val="IndexLink"/>
                <w:rtl w:val="true"/>
              </w:rPr>
              <w:t xml:space="preserve">- </w:t>
            </w:r>
            <w:r>
              <w:rPr>
                <w:rStyle w:val="IndexLink"/>
                <w:rtl w:val="true"/>
              </w:rPr>
              <w:t>القرآن الکریم وعدالة الصحابة</w:t>
            </w:r>
            <w:r>
              <w:rPr>
                <w:rStyle w:val="IndexLink"/>
                <w:rtl w:val="true"/>
              </w:rPr>
              <w:tab/>
            </w:r>
            <w:r>
              <w:rPr>
                <w:rStyle w:val="IndexLink"/>
              </w:rPr>
              <w:t>330</w:t>
            </w:r>
          </w:hyperlink>
        </w:p>
        <w:p>
          <w:pPr>
            <w:pStyle w:val="Contents5"/>
            <w:tabs>
              <w:tab w:val="clear" w:pos="7892"/>
              <w:tab w:val="right" w:pos="9026" w:leader="dot"/>
            </w:tabs>
            <w:rPr/>
          </w:pPr>
          <w:hyperlink w:anchor="__RefHeading___Toc1401266_365066874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401268_3650668749">
            <w:r>
              <w:rPr>
                <w:webHidden/>
                <w:rStyle w:val="IndexLink"/>
                <w:rtl w:val="true"/>
              </w:rPr>
              <w:t>أ</w:t>
            </w:r>
            <w:r>
              <w:rPr>
                <w:rStyle w:val="IndexLink"/>
                <w:rtl w:val="true"/>
              </w:rPr>
              <w:t xml:space="preserve">. </w:t>
            </w:r>
            <w:r>
              <w:rPr>
                <w:rStyle w:val="IndexLink"/>
                <w:rtl w:val="true"/>
              </w:rPr>
              <w:t>تنبّؤ القرآن بارتداد لفیف من الصحابة</w:t>
            </w:r>
            <w:r>
              <w:rPr>
                <w:rStyle w:val="IndexLink"/>
                <w:rtl w:val="true"/>
              </w:rPr>
              <w:tab/>
            </w:r>
            <w:r>
              <w:rPr>
                <w:rStyle w:val="IndexLink"/>
              </w:rPr>
              <w:t>330</w:t>
            </w:r>
          </w:hyperlink>
        </w:p>
        <w:p>
          <w:pPr>
            <w:pStyle w:val="Contents5"/>
            <w:tabs>
              <w:tab w:val="clear" w:pos="7892"/>
              <w:tab w:val="right" w:pos="9026" w:leader="dot"/>
            </w:tabs>
            <w:rPr/>
          </w:pPr>
          <w:hyperlink w:anchor="__RefHeading___Toc1401270_3650668749">
            <w:r>
              <w:rPr>
                <w:webHidden/>
                <w:rStyle w:val="IndexLink"/>
                <w:rtl w:val="true"/>
              </w:rPr>
              <w:t>ب</w:t>
            </w:r>
            <w:r>
              <w:rPr>
                <w:rStyle w:val="IndexLink"/>
                <w:rtl w:val="true"/>
              </w:rPr>
              <w:t xml:space="preserve">. </w:t>
            </w:r>
            <w:r>
              <w:rPr>
                <w:rStyle w:val="IndexLink"/>
                <w:rtl w:val="true"/>
              </w:rPr>
              <w:t>ترک الرسول قائماً وهو یخطب‌</w:t>
            </w:r>
            <w:r>
              <w:rPr>
                <w:rStyle w:val="IndexLink"/>
                <w:rtl w:val="true"/>
              </w:rPr>
              <w:tab/>
            </w:r>
            <w:r>
              <w:rPr>
                <w:rStyle w:val="IndexLink"/>
              </w:rPr>
              <w:t>331</w:t>
            </w:r>
          </w:hyperlink>
        </w:p>
        <w:p>
          <w:pPr>
            <w:pStyle w:val="Contents5"/>
            <w:tabs>
              <w:tab w:val="clear" w:pos="7892"/>
              <w:tab w:val="right" w:pos="9026" w:leader="dot"/>
            </w:tabs>
            <w:rPr/>
          </w:pPr>
          <w:hyperlink w:anchor="__RefHeading___Toc1401272_3650668749">
            <w:r>
              <w:rPr>
                <w:webHidden/>
                <w:rStyle w:val="IndexLink"/>
                <w:rtl w:val="true"/>
              </w:rPr>
              <w:t>ج</w:t>
            </w:r>
            <w:r>
              <w:rPr>
                <w:rStyle w:val="IndexLink"/>
                <w:rtl w:val="true"/>
              </w:rPr>
              <w:t xml:space="preserve">. </w:t>
            </w:r>
            <w:r>
              <w:rPr>
                <w:rStyle w:val="IndexLink"/>
                <w:rtl w:val="true"/>
              </w:rPr>
              <w:t>الخیانة بالنکاح سرّاً</w:t>
            </w:r>
            <w:r>
              <w:rPr>
                <w:rStyle w:val="IndexLink"/>
                <w:rtl w:val="true"/>
              </w:rPr>
              <w:tab/>
            </w:r>
            <w:r>
              <w:rPr>
                <w:rStyle w:val="IndexLink"/>
              </w:rPr>
              <w:t>333</w:t>
            </w:r>
          </w:hyperlink>
        </w:p>
        <w:p>
          <w:pPr>
            <w:pStyle w:val="Contents5"/>
            <w:tabs>
              <w:tab w:val="clear" w:pos="7892"/>
              <w:tab w:val="right" w:pos="9026" w:leader="dot"/>
            </w:tabs>
            <w:rPr/>
          </w:pPr>
          <w:hyperlink w:anchor="__RefHeading___Toc1401274_3650668749">
            <w:r>
              <w:rPr>
                <w:webHidden/>
                <w:rStyle w:val="IndexLink"/>
                <w:rtl w:val="true"/>
              </w:rPr>
              <w:t>د</w:t>
            </w:r>
            <w:r>
              <w:rPr>
                <w:rStyle w:val="IndexLink"/>
                <w:rtl w:val="true"/>
              </w:rPr>
              <w:t xml:space="preserve">. </w:t>
            </w:r>
            <w:r>
              <w:rPr>
                <w:rStyle w:val="IndexLink"/>
                <w:rtl w:val="true"/>
              </w:rPr>
              <w:t>خیانة بعض البدریّین‌</w:t>
            </w:r>
            <w:r>
              <w:rPr>
                <w:rStyle w:val="IndexLink"/>
                <w:rtl w:val="true"/>
              </w:rPr>
              <w:tab/>
            </w:r>
            <w:r>
              <w:rPr>
                <w:rStyle w:val="IndexLink"/>
              </w:rPr>
              <w:t>334</w:t>
            </w:r>
          </w:hyperlink>
        </w:p>
        <w:p>
          <w:pPr>
            <w:pStyle w:val="Contents5"/>
            <w:tabs>
              <w:tab w:val="clear" w:pos="7892"/>
              <w:tab w:val="right" w:pos="9026" w:leader="dot"/>
            </w:tabs>
            <w:rPr/>
          </w:pPr>
          <w:hyperlink w:anchor="__RefHeading___Toc1401276_3650668749">
            <w:r>
              <w:rPr>
                <w:webHidden/>
                <w:rStyle w:val="IndexLink"/>
                <w:rtl w:val="true"/>
              </w:rPr>
              <w:t>ه</w:t>
            </w:r>
            <w:r>
              <w:rPr>
                <w:rStyle w:val="IndexLink"/>
                <w:rtl w:val="true"/>
              </w:rPr>
              <w:t xml:space="preserve">. </w:t>
            </w:r>
            <w:r>
              <w:rPr>
                <w:rStyle w:val="IndexLink"/>
                <w:rtl w:val="true"/>
              </w:rPr>
              <w:t>فاسق یغرّ النبیّ وأصحابه‌</w:t>
            </w:r>
            <w:r>
              <w:rPr>
                <w:rStyle w:val="IndexLink"/>
                <w:rtl w:val="true"/>
              </w:rPr>
              <w:tab/>
            </w:r>
            <w:r>
              <w:rPr>
                <w:rStyle w:val="IndexLink"/>
              </w:rPr>
              <w:t>335</w:t>
            </w:r>
          </w:hyperlink>
        </w:p>
        <w:p>
          <w:pPr>
            <w:pStyle w:val="Contents5"/>
            <w:tabs>
              <w:tab w:val="clear" w:pos="7892"/>
              <w:tab w:val="right" w:pos="9026" w:leader="dot"/>
            </w:tabs>
            <w:rPr/>
          </w:pPr>
          <w:hyperlink w:anchor="__RefHeading___Toc1401278_3650668749">
            <w:r>
              <w:rPr>
                <w:webHidden/>
                <w:rStyle w:val="IndexLink"/>
                <w:rtl w:val="true"/>
              </w:rPr>
              <w:t>و</w:t>
            </w:r>
            <w:r>
              <w:rPr>
                <w:rStyle w:val="IndexLink"/>
                <w:rtl w:val="true"/>
              </w:rPr>
              <w:t xml:space="preserve">. </w:t>
            </w:r>
            <w:r>
              <w:rPr>
                <w:rStyle w:val="IndexLink"/>
                <w:rtl w:val="true"/>
              </w:rPr>
              <w:t>تنازعهم فی الغنائم إلی حدّ التخاصم‌</w:t>
            </w:r>
            <w:r>
              <w:rPr>
                <w:rStyle w:val="IndexLink"/>
                <w:rtl w:val="true"/>
              </w:rPr>
              <w:tab/>
            </w:r>
            <w:r>
              <w:rPr>
                <w:rStyle w:val="IndexLink"/>
              </w:rPr>
              <w:t>336</w:t>
            </w:r>
          </w:hyperlink>
        </w:p>
        <w:p>
          <w:pPr>
            <w:pStyle w:val="Contents5"/>
            <w:tabs>
              <w:tab w:val="clear" w:pos="7892"/>
              <w:tab w:val="right" w:pos="9026" w:leader="dot"/>
            </w:tabs>
            <w:rPr/>
          </w:pPr>
          <w:hyperlink w:anchor="__RefHeading___Toc1401280_3650668749">
            <w:r>
              <w:rPr>
                <w:webHidden/>
                <w:rStyle w:val="IndexLink"/>
                <w:rtl w:val="true"/>
              </w:rPr>
              <w:t>ز</w:t>
            </w:r>
            <w:r>
              <w:rPr>
                <w:rStyle w:val="IndexLink"/>
                <w:rtl w:val="true"/>
              </w:rPr>
              <w:t xml:space="preserve">. </w:t>
            </w:r>
            <w:r>
              <w:rPr>
                <w:rStyle w:val="IndexLink"/>
                <w:rtl w:val="true"/>
              </w:rPr>
              <w:t>استحقاقهم مسّ عذاب عظیم‌</w:t>
            </w:r>
            <w:r>
              <w:rPr>
                <w:rStyle w:val="IndexLink"/>
                <w:rtl w:val="true"/>
              </w:rPr>
              <w:tab/>
            </w:r>
            <w:r>
              <w:rPr>
                <w:rStyle w:val="IndexLink"/>
              </w:rPr>
              <w:t>337</w:t>
            </w:r>
          </w:hyperlink>
        </w:p>
        <w:p>
          <w:pPr>
            <w:pStyle w:val="Contents5"/>
            <w:tabs>
              <w:tab w:val="clear" w:pos="7892"/>
              <w:tab w:val="right" w:pos="9026" w:leader="dot"/>
            </w:tabs>
            <w:rPr/>
          </w:pPr>
          <w:hyperlink w:anchor="__RefHeading___Toc1401282_3650668749">
            <w:r>
              <w:rPr>
                <w:webHidden/>
                <w:rStyle w:val="IndexLink"/>
                <w:rtl w:val="true"/>
              </w:rPr>
              <w:t>ح</w:t>
            </w:r>
            <w:r>
              <w:rPr>
                <w:rStyle w:val="IndexLink"/>
                <w:rtl w:val="true"/>
              </w:rPr>
              <w:t xml:space="preserve">. </w:t>
            </w:r>
            <w:r>
              <w:rPr>
                <w:rStyle w:val="IndexLink"/>
                <w:rtl w:val="true"/>
              </w:rPr>
              <w:t>الفرار من الزحف‌</w:t>
            </w:r>
            <w:r>
              <w:rPr>
                <w:rStyle w:val="IndexLink"/>
                <w:rtl w:val="true"/>
              </w:rPr>
              <w:tab/>
            </w:r>
            <w:r>
              <w:rPr>
                <w:rStyle w:val="IndexLink"/>
              </w:rPr>
              <w:t>339</w:t>
            </w:r>
          </w:hyperlink>
        </w:p>
        <w:p>
          <w:pPr>
            <w:pStyle w:val="Contents5"/>
            <w:tabs>
              <w:tab w:val="clear" w:pos="7892"/>
              <w:tab w:val="right" w:pos="9026" w:leader="dot"/>
            </w:tabs>
            <w:rPr/>
          </w:pPr>
          <w:hyperlink w:anchor="__RefHeading___Toc1401284_3650668749">
            <w:r>
              <w:rPr>
                <w:webHidden/>
                <w:rStyle w:val="IndexLink"/>
                <w:rtl w:val="true"/>
              </w:rPr>
              <w:t>ط</w:t>
            </w:r>
            <w:r>
              <w:rPr>
                <w:rStyle w:val="IndexLink"/>
                <w:rtl w:val="true"/>
              </w:rPr>
              <w:t xml:space="preserve">. </w:t>
            </w:r>
            <w:r>
              <w:rPr>
                <w:rStyle w:val="IndexLink"/>
                <w:rtl w:val="true"/>
              </w:rPr>
              <w:t>نسبة الغرور إلی اللَّه ورسوله‌</w:t>
            </w:r>
            <w:r>
              <w:rPr>
                <w:rStyle w:val="IndexLink"/>
                <w:rtl w:val="true"/>
              </w:rPr>
              <w:tab/>
            </w:r>
            <w:r>
              <w:rPr>
                <w:rStyle w:val="IndexLink"/>
              </w:rPr>
              <w:t>341</w:t>
            </w:r>
          </w:hyperlink>
        </w:p>
        <w:p>
          <w:pPr>
            <w:pStyle w:val="Contents5"/>
            <w:tabs>
              <w:tab w:val="clear" w:pos="7892"/>
              <w:tab w:val="right" w:pos="9026" w:leader="dot"/>
            </w:tabs>
            <w:rPr/>
          </w:pPr>
          <w:hyperlink w:anchor="__RefHeading___Toc1401286_3650668749">
            <w:r>
              <w:rPr>
                <w:webHidden/>
                <w:rStyle w:val="IndexLink"/>
                <w:rtl w:val="true"/>
              </w:rPr>
              <w:t>ی</w:t>
            </w:r>
            <w:r>
              <w:rPr>
                <w:rStyle w:val="IndexLink"/>
                <w:rtl w:val="true"/>
              </w:rPr>
              <w:t xml:space="preserve">. </w:t>
            </w:r>
            <w:r>
              <w:rPr>
                <w:rStyle w:val="IndexLink"/>
                <w:rtl w:val="true"/>
              </w:rPr>
              <w:t>المنافقون المندسّون بین الصحابة</w:t>
            </w:r>
            <w:r>
              <w:rPr>
                <w:rStyle w:val="IndexLink"/>
                <w:rtl w:val="true"/>
              </w:rPr>
              <w:tab/>
            </w:r>
            <w:r>
              <w:rPr>
                <w:rStyle w:val="IndexLink"/>
              </w:rPr>
              <w:t>342</w:t>
            </w:r>
          </w:hyperlink>
        </w:p>
        <w:p>
          <w:pPr>
            <w:pStyle w:val="Contents4"/>
            <w:tabs>
              <w:tab w:val="clear" w:pos="8176"/>
              <w:tab w:val="right" w:pos="9026" w:leader="dot"/>
            </w:tabs>
            <w:rPr/>
          </w:pPr>
          <w:hyperlink w:anchor="__RefHeading___Toc1401288_3650668749">
            <w:r>
              <w:rPr>
                <w:webHidden/>
                <w:rStyle w:val="IndexLink"/>
              </w:rPr>
              <w:t>7</w:t>
            </w:r>
            <w:r>
              <w:rPr>
                <w:rStyle w:val="IndexLink"/>
                <w:rtl w:val="true"/>
              </w:rPr>
              <w:t xml:space="preserve">- </w:t>
            </w:r>
            <w:r>
              <w:rPr>
                <w:rStyle w:val="IndexLink"/>
                <w:rtl w:val="true"/>
              </w:rPr>
              <w:t>السنّة النبویة وعدالة الصحابة</w:t>
            </w:r>
            <w:r>
              <w:rPr>
                <w:rStyle w:val="IndexLink"/>
                <w:rtl w:val="true"/>
              </w:rPr>
              <w:tab/>
            </w:r>
            <w:r>
              <w:rPr>
                <w:rStyle w:val="IndexLink"/>
              </w:rPr>
              <w:t>344</w:t>
            </w:r>
          </w:hyperlink>
        </w:p>
        <w:p>
          <w:pPr>
            <w:pStyle w:val="Contents5"/>
            <w:tabs>
              <w:tab w:val="clear" w:pos="7892"/>
              <w:tab w:val="right" w:pos="9026" w:leader="dot"/>
            </w:tabs>
            <w:rPr/>
          </w:pPr>
          <w:hyperlink w:anchor="__RefHeading___Toc1401290_365066874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401292_3650668749">
            <w:r>
              <w:rPr>
                <w:webHidden/>
                <w:rStyle w:val="IndexLink"/>
                <w:rtl w:val="true"/>
              </w:rPr>
              <w:t>أ</w:t>
            </w:r>
            <w:r>
              <w:rPr>
                <w:rStyle w:val="IndexLink"/>
                <w:rtl w:val="true"/>
              </w:rPr>
              <w:t xml:space="preserve">. </w:t>
            </w:r>
            <w:r>
              <w:rPr>
                <w:rStyle w:val="IndexLink"/>
                <w:rtl w:val="true"/>
              </w:rPr>
              <w:t>زعیم الفئة الباغیة</w:t>
            </w:r>
            <w:r>
              <w:rPr>
                <w:rStyle w:val="IndexLink"/>
                <w:rtl w:val="true"/>
              </w:rPr>
              <w:tab/>
            </w:r>
            <w:r>
              <w:rPr>
                <w:rStyle w:val="IndexLink"/>
              </w:rPr>
              <w:t>344</w:t>
            </w:r>
          </w:hyperlink>
        </w:p>
        <w:p>
          <w:pPr>
            <w:pStyle w:val="Contents5"/>
            <w:tabs>
              <w:tab w:val="clear" w:pos="7892"/>
              <w:tab w:val="right" w:pos="9026" w:leader="dot"/>
            </w:tabs>
            <w:rPr/>
          </w:pPr>
          <w:hyperlink w:anchor="__RefHeading___Toc1401294_3650668749">
            <w:r>
              <w:rPr>
                <w:webHidden/>
                <w:rStyle w:val="IndexLink"/>
                <w:rtl w:val="true"/>
              </w:rPr>
              <w:t>ب</w:t>
            </w:r>
            <w:r>
              <w:rPr>
                <w:rStyle w:val="IndexLink"/>
                <w:rtl w:val="true"/>
              </w:rPr>
              <w:t xml:space="preserve">. </w:t>
            </w:r>
            <w:r>
              <w:rPr>
                <w:rStyle w:val="IndexLink"/>
                <w:rtl w:val="true"/>
              </w:rPr>
              <w:t>عصیان أمر النبی صلی الله علیه و آله و سلم بإحضار القلم والدواة</w:t>
            </w:r>
            <w:r>
              <w:rPr>
                <w:rStyle w:val="IndexLink"/>
                <w:rtl w:val="true"/>
              </w:rPr>
              <w:tab/>
            </w:r>
            <w:r>
              <w:rPr>
                <w:rStyle w:val="IndexLink"/>
              </w:rPr>
              <w:t>345</w:t>
            </w:r>
          </w:hyperlink>
        </w:p>
        <w:p>
          <w:pPr>
            <w:pStyle w:val="Contents5"/>
            <w:tabs>
              <w:tab w:val="clear" w:pos="7892"/>
              <w:tab w:val="right" w:pos="9026" w:leader="dot"/>
            </w:tabs>
            <w:rPr/>
          </w:pPr>
          <w:hyperlink w:anchor="__RefHeading___Toc1401296_3650668749">
            <w:r>
              <w:rPr>
                <w:webHidden/>
                <w:rStyle w:val="IndexLink"/>
                <w:rtl w:val="true"/>
              </w:rPr>
              <w:t>ج</w:t>
            </w:r>
            <w:r>
              <w:rPr>
                <w:rStyle w:val="IndexLink"/>
                <w:rtl w:val="true"/>
              </w:rPr>
              <w:t xml:space="preserve">. </w:t>
            </w:r>
            <w:r>
              <w:rPr>
                <w:rStyle w:val="IndexLink"/>
                <w:rtl w:val="true"/>
              </w:rPr>
              <w:t>الانقلاب علی الأعقاب بعد رحیل النبی صلی الله علیه و آله و سلم‌</w:t>
            </w:r>
            <w:r>
              <w:rPr>
                <w:rStyle w:val="IndexLink"/>
                <w:rtl w:val="true"/>
              </w:rPr>
              <w:tab/>
            </w:r>
            <w:r>
              <w:rPr>
                <w:rStyle w:val="IndexLink"/>
              </w:rPr>
              <w:t>348</w:t>
            </w:r>
          </w:hyperlink>
        </w:p>
        <w:p>
          <w:pPr>
            <w:pStyle w:val="Contents4"/>
            <w:tabs>
              <w:tab w:val="clear" w:pos="8176"/>
              <w:tab w:val="right" w:pos="9026" w:leader="dot"/>
            </w:tabs>
            <w:rPr/>
          </w:pPr>
          <w:hyperlink w:anchor="__RefHeading___Toc1401298_3650668749">
            <w:r>
              <w:rPr>
                <w:webHidden/>
                <w:rStyle w:val="IndexLink"/>
              </w:rPr>
              <w:t>8</w:t>
            </w:r>
            <w:r>
              <w:rPr>
                <w:rStyle w:val="IndexLink"/>
                <w:rtl w:val="true"/>
              </w:rPr>
              <w:t xml:space="preserve">- </w:t>
            </w:r>
            <w:r>
              <w:rPr>
                <w:rStyle w:val="IndexLink"/>
                <w:rtl w:val="true"/>
              </w:rPr>
              <w:t>موقف النبی صلی الله علیه و آله و سلم ممّن لم تحسن صحبته‌</w:t>
            </w:r>
            <w:r>
              <w:rPr>
                <w:rStyle w:val="IndexLink"/>
                <w:rtl w:val="true"/>
              </w:rPr>
              <w:tab/>
            </w:r>
            <w:r>
              <w:rPr>
                <w:rStyle w:val="IndexLink"/>
              </w:rPr>
              <w:t>355</w:t>
            </w:r>
          </w:hyperlink>
        </w:p>
        <w:p>
          <w:pPr>
            <w:pStyle w:val="Contents5"/>
            <w:tabs>
              <w:tab w:val="clear" w:pos="7892"/>
              <w:tab w:val="right" w:pos="9026" w:leader="dot"/>
            </w:tabs>
            <w:rPr/>
          </w:pPr>
          <w:hyperlink w:anchor="__RefHeading___Toc1401300_3650668749">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401302_3650668749">
            <w:r>
              <w:rPr>
                <w:webHidden/>
                <w:rStyle w:val="IndexLink"/>
                <w:rtl w:val="true"/>
              </w:rPr>
              <w:t>أ</w:t>
            </w:r>
            <w:r>
              <w:rPr>
                <w:rStyle w:val="IndexLink"/>
                <w:rtl w:val="true"/>
              </w:rPr>
              <w:t xml:space="preserve">. </w:t>
            </w:r>
            <w:r>
              <w:rPr>
                <w:rStyle w:val="IndexLink"/>
                <w:rtl w:val="true"/>
              </w:rPr>
              <w:t>کلّهم مغفور له إلّا</w:t>
            </w:r>
            <w:r>
              <w:rPr>
                <w:rStyle w:val="IndexLink"/>
                <w:rtl w:val="true"/>
              </w:rPr>
              <w:tab/>
            </w:r>
            <w:r>
              <w:rPr>
                <w:rStyle w:val="IndexLink"/>
              </w:rPr>
              <w:t>355</w:t>
            </w:r>
          </w:hyperlink>
        </w:p>
        <w:p>
          <w:pPr>
            <w:pStyle w:val="Contents5"/>
            <w:tabs>
              <w:tab w:val="clear" w:pos="7892"/>
              <w:tab w:val="right" w:pos="9026" w:leader="dot"/>
            </w:tabs>
            <w:rPr/>
          </w:pPr>
          <w:hyperlink w:anchor="__RefHeading___Toc1401304_3650668749">
            <w:r>
              <w:rPr>
                <w:webHidden/>
                <w:rStyle w:val="IndexLink"/>
                <w:rtl w:val="true"/>
              </w:rPr>
              <w:t>ب</w:t>
            </w:r>
            <w:r>
              <w:rPr>
                <w:rStyle w:val="IndexLink"/>
                <w:rtl w:val="true"/>
              </w:rPr>
              <w:t xml:space="preserve">. </w:t>
            </w:r>
            <w:r>
              <w:rPr>
                <w:rStyle w:val="IndexLink"/>
                <w:rtl w:val="true"/>
              </w:rPr>
              <w:t>اللّهم إنّی أبرأ إلیک ممّا صنع خالد</w:t>
            </w:r>
            <w:r>
              <w:rPr>
                <w:rStyle w:val="IndexLink"/>
                <w:rtl w:val="true"/>
              </w:rPr>
              <w:tab/>
            </w:r>
            <w:r>
              <w:rPr>
                <w:rStyle w:val="IndexLink"/>
              </w:rPr>
              <w:t>356</w:t>
            </w:r>
          </w:hyperlink>
        </w:p>
        <w:p>
          <w:pPr>
            <w:pStyle w:val="Contents5"/>
            <w:tabs>
              <w:tab w:val="clear" w:pos="7892"/>
              <w:tab w:val="right" w:pos="9026" w:leader="dot"/>
            </w:tabs>
            <w:rPr/>
          </w:pPr>
          <w:hyperlink w:anchor="__RefHeading___Toc1401306_3650668749">
            <w:r>
              <w:rPr>
                <w:webHidden/>
                <w:rStyle w:val="IndexLink"/>
                <w:rtl w:val="true"/>
              </w:rPr>
              <w:t>ج</w:t>
            </w:r>
            <w:r>
              <w:rPr>
                <w:rStyle w:val="IndexLink"/>
                <w:rtl w:val="true"/>
              </w:rPr>
              <w:t xml:space="preserve">. </w:t>
            </w:r>
            <w:r>
              <w:rPr>
                <w:rStyle w:val="IndexLink"/>
                <w:rtl w:val="true"/>
              </w:rPr>
              <w:t>تنبّؤه بمصیر ذی الخویصرة</w:t>
            </w:r>
            <w:r>
              <w:rPr>
                <w:rStyle w:val="IndexLink"/>
                <w:rtl w:val="true"/>
              </w:rPr>
              <w:tab/>
            </w:r>
            <w:r>
              <w:rPr>
                <w:rStyle w:val="IndexLink"/>
              </w:rPr>
              <w:t>357</w:t>
            </w:r>
          </w:hyperlink>
        </w:p>
        <w:p>
          <w:pPr>
            <w:pStyle w:val="Contents5"/>
            <w:tabs>
              <w:tab w:val="clear" w:pos="7892"/>
              <w:tab w:val="right" w:pos="9026" w:leader="dot"/>
            </w:tabs>
            <w:rPr/>
          </w:pPr>
          <w:hyperlink w:anchor="__RefHeading___Toc1401308_3650668749">
            <w:r>
              <w:rPr>
                <w:webHidden/>
                <w:rStyle w:val="IndexLink"/>
                <w:rtl w:val="true"/>
              </w:rPr>
              <w:t>د</w:t>
            </w:r>
            <w:r>
              <w:rPr>
                <w:rStyle w:val="IndexLink"/>
                <w:rtl w:val="true"/>
              </w:rPr>
              <w:t xml:space="preserve">. </w:t>
            </w:r>
            <w:r>
              <w:rPr>
                <w:rStyle w:val="IndexLink"/>
                <w:rtl w:val="true"/>
              </w:rPr>
              <w:t>انّ فیک شعبة من الکفر</w:t>
            </w:r>
            <w:r>
              <w:rPr>
                <w:rStyle w:val="IndexLink"/>
                <w:rtl w:val="true"/>
              </w:rPr>
              <w:tab/>
            </w:r>
            <w:r>
              <w:rPr>
                <w:rStyle w:val="IndexLink"/>
              </w:rPr>
              <w:t>357</w:t>
            </w:r>
          </w:hyperlink>
        </w:p>
        <w:p>
          <w:pPr>
            <w:pStyle w:val="Contents5"/>
            <w:tabs>
              <w:tab w:val="clear" w:pos="7892"/>
              <w:tab w:val="right" w:pos="9026" w:leader="dot"/>
            </w:tabs>
            <w:rPr/>
          </w:pPr>
          <w:hyperlink w:anchor="__RefHeading___Toc1401310_3650668749">
            <w:r>
              <w:rPr>
                <w:webHidden/>
                <w:rStyle w:val="IndexLink"/>
                <w:rtl w:val="true"/>
              </w:rPr>
              <w:t>ه</w:t>
            </w:r>
            <w:r>
              <w:rPr>
                <w:rStyle w:val="IndexLink"/>
                <w:rtl w:val="true"/>
              </w:rPr>
              <w:t xml:space="preserve">. </w:t>
            </w:r>
            <w:r>
              <w:rPr>
                <w:rStyle w:val="IndexLink"/>
                <w:rtl w:val="true"/>
              </w:rPr>
              <w:t>امتناع الرسول من الصلاةعلی أحد أصحابه‌</w:t>
            </w:r>
            <w:r>
              <w:rPr>
                <w:rStyle w:val="IndexLink"/>
                <w:rtl w:val="true"/>
              </w:rPr>
              <w:tab/>
            </w:r>
            <w:r>
              <w:rPr>
                <w:rStyle w:val="IndexLink"/>
              </w:rPr>
              <w:t>357</w:t>
            </w:r>
          </w:hyperlink>
        </w:p>
        <w:p>
          <w:pPr>
            <w:pStyle w:val="Contents5"/>
            <w:tabs>
              <w:tab w:val="clear" w:pos="7892"/>
              <w:tab w:val="right" w:pos="9026" w:leader="dot"/>
            </w:tabs>
            <w:rPr/>
          </w:pPr>
          <w:hyperlink w:anchor="__RefHeading___Toc1401312_3650668749">
            <w:r>
              <w:rPr>
                <w:webHidden/>
                <w:rStyle w:val="IndexLink"/>
                <w:rtl w:val="true"/>
              </w:rPr>
              <w:t>و</w:t>
            </w:r>
            <w:r>
              <w:rPr>
                <w:rStyle w:val="IndexLink"/>
                <w:rtl w:val="true"/>
              </w:rPr>
              <w:t xml:space="preserve">. </w:t>
            </w:r>
            <w:r>
              <w:rPr>
                <w:rStyle w:val="IndexLink"/>
                <w:rtl w:val="true"/>
              </w:rPr>
              <w:t>تنبّؤ النبی صلی الله علیه و آله و سلم بالمصیر الأسود لبعض أصحابه‌</w:t>
            </w:r>
            <w:r>
              <w:rPr>
                <w:rStyle w:val="IndexLink"/>
                <w:rtl w:val="true"/>
              </w:rPr>
              <w:tab/>
            </w:r>
            <w:r>
              <w:rPr>
                <w:rStyle w:val="IndexLink"/>
              </w:rPr>
              <w:t>358</w:t>
            </w:r>
          </w:hyperlink>
        </w:p>
        <w:p>
          <w:pPr>
            <w:pStyle w:val="Contents5"/>
            <w:tabs>
              <w:tab w:val="clear" w:pos="7892"/>
              <w:tab w:val="right" w:pos="9026" w:leader="dot"/>
            </w:tabs>
            <w:rPr/>
          </w:pPr>
          <w:hyperlink w:anchor="__RefHeading___Toc1401314_3650668749">
            <w:r>
              <w:rPr>
                <w:webHidden/>
                <w:rStyle w:val="IndexLink"/>
                <w:rtl w:val="true"/>
              </w:rPr>
              <w:t>ز</w:t>
            </w:r>
            <w:r>
              <w:rPr>
                <w:rStyle w:val="IndexLink"/>
                <w:rtl w:val="true"/>
              </w:rPr>
              <w:t xml:space="preserve">. </w:t>
            </w:r>
            <w:r>
              <w:rPr>
                <w:rStyle w:val="IndexLink"/>
                <w:rtl w:val="true"/>
              </w:rPr>
              <w:t>صحابی یخلو بامرأة</w:t>
            </w:r>
            <w:r>
              <w:rPr>
                <w:rStyle w:val="IndexLink"/>
                <w:rtl w:val="true"/>
              </w:rPr>
              <w:tab/>
            </w:r>
            <w:r>
              <w:rPr>
                <w:rStyle w:val="IndexLink"/>
              </w:rPr>
              <w:t>358</w:t>
            </w:r>
          </w:hyperlink>
        </w:p>
        <w:p>
          <w:pPr>
            <w:pStyle w:val="Contents5"/>
            <w:tabs>
              <w:tab w:val="clear" w:pos="7892"/>
              <w:tab w:val="right" w:pos="9026" w:leader="dot"/>
            </w:tabs>
            <w:rPr/>
          </w:pPr>
          <w:hyperlink w:anchor="__RefHeading___Toc1401316_3650668749">
            <w:r>
              <w:rPr>
                <w:webHidden/>
                <w:rStyle w:val="IndexLink"/>
                <w:rtl w:val="true"/>
              </w:rPr>
              <w:t>ح</w:t>
            </w:r>
            <w:r>
              <w:rPr>
                <w:rStyle w:val="IndexLink"/>
                <w:rtl w:val="true"/>
              </w:rPr>
              <w:t xml:space="preserve">. </w:t>
            </w:r>
            <w:r>
              <w:rPr>
                <w:rStyle w:val="IndexLink"/>
                <w:rtl w:val="true"/>
              </w:rPr>
              <w:t>صحابی یجلس بین رجلی امرأة</w:t>
            </w:r>
            <w:r>
              <w:rPr>
                <w:rStyle w:val="IndexLink"/>
                <w:rtl w:val="true"/>
              </w:rPr>
              <w:tab/>
            </w:r>
            <w:r>
              <w:rPr>
                <w:rStyle w:val="IndexLink"/>
              </w:rPr>
              <w:t>359</w:t>
            </w:r>
          </w:hyperlink>
        </w:p>
        <w:p>
          <w:pPr>
            <w:pStyle w:val="Contents5"/>
            <w:tabs>
              <w:tab w:val="clear" w:pos="7892"/>
              <w:tab w:val="right" w:pos="9026" w:leader="dot"/>
            </w:tabs>
            <w:rPr/>
          </w:pPr>
          <w:hyperlink w:anchor="__RefHeading___Toc1401318_3650668749">
            <w:r>
              <w:rPr>
                <w:webHidden/>
                <w:rStyle w:val="IndexLink"/>
                <w:rtl w:val="true"/>
              </w:rPr>
              <w:t>ط</w:t>
            </w:r>
            <w:r>
              <w:rPr>
                <w:rStyle w:val="IndexLink"/>
                <w:rtl w:val="true"/>
              </w:rPr>
              <w:t xml:space="preserve">. </w:t>
            </w:r>
            <w:r>
              <w:rPr>
                <w:rStyle w:val="IndexLink"/>
                <w:rtl w:val="true"/>
              </w:rPr>
              <w:t>صحابی یُقتصّ منه‌</w:t>
            </w:r>
            <w:r>
              <w:rPr>
                <w:rStyle w:val="IndexLink"/>
                <w:rtl w:val="true"/>
              </w:rPr>
              <w:tab/>
            </w:r>
            <w:r>
              <w:rPr>
                <w:rStyle w:val="IndexLink"/>
              </w:rPr>
              <w:t>359</w:t>
            </w:r>
          </w:hyperlink>
        </w:p>
        <w:p>
          <w:pPr>
            <w:pStyle w:val="Contents5"/>
            <w:tabs>
              <w:tab w:val="clear" w:pos="7892"/>
              <w:tab w:val="right" w:pos="9026" w:leader="dot"/>
            </w:tabs>
            <w:rPr/>
          </w:pPr>
          <w:hyperlink w:anchor="__RefHeading___Toc1401320_3650668749">
            <w:r>
              <w:rPr>
                <w:webHidden/>
                <w:rStyle w:val="IndexLink"/>
                <w:rtl w:val="true"/>
              </w:rPr>
              <w:t>ی</w:t>
            </w:r>
            <w:r>
              <w:rPr>
                <w:rStyle w:val="IndexLink"/>
                <w:rtl w:val="true"/>
              </w:rPr>
              <w:t xml:space="preserve">. </w:t>
            </w:r>
            <w:r>
              <w:rPr>
                <w:rStyle w:val="IndexLink"/>
                <w:rtl w:val="true"/>
              </w:rPr>
              <w:t>دعاء النبی علی مُحلم بن جثامة</w:t>
            </w:r>
            <w:r>
              <w:rPr>
                <w:rStyle w:val="IndexLink"/>
                <w:rtl w:val="true"/>
              </w:rPr>
              <w:tab/>
            </w:r>
            <w:r>
              <w:rPr>
                <w:rStyle w:val="IndexLink"/>
              </w:rPr>
              <w:t>360</w:t>
            </w:r>
          </w:hyperlink>
        </w:p>
        <w:p>
          <w:pPr>
            <w:pStyle w:val="Contents4"/>
            <w:tabs>
              <w:tab w:val="clear" w:pos="8176"/>
              <w:tab w:val="right" w:pos="9026" w:leader="dot"/>
            </w:tabs>
            <w:rPr/>
          </w:pPr>
          <w:hyperlink w:anchor="__RefHeading___Toc1401322_3650668749">
            <w:r>
              <w:rPr>
                <w:webHidden/>
                <w:rStyle w:val="IndexLink"/>
              </w:rPr>
              <w:t>9</w:t>
            </w:r>
            <w:r>
              <w:rPr>
                <w:rStyle w:val="IndexLink"/>
                <w:rtl w:val="true"/>
              </w:rPr>
              <w:t xml:space="preserve">- </w:t>
            </w:r>
            <w:r>
              <w:rPr>
                <w:rStyle w:val="IndexLink"/>
                <w:rtl w:val="true"/>
              </w:rPr>
              <w:t>الصحابة فی مرآة التاریخ‌</w:t>
            </w:r>
            <w:r>
              <w:rPr>
                <w:rStyle w:val="IndexLink"/>
                <w:rtl w:val="true"/>
              </w:rPr>
              <w:tab/>
            </w:r>
            <w:r>
              <w:rPr>
                <w:rStyle w:val="IndexLink"/>
              </w:rPr>
              <w:t>361</w:t>
            </w:r>
          </w:hyperlink>
        </w:p>
        <w:p>
          <w:pPr>
            <w:pStyle w:val="Contents4"/>
            <w:tabs>
              <w:tab w:val="clear" w:pos="8176"/>
              <w:tab w:val="right" w:pos="9026" w:leader="dot"/>
            </w:tabs>
            <w:rPr/>
          </w:pPr>
          <w:hyperlink w:anchor="__RefHeading___Toc1401324_3650668749">
            <w:r>
              <w:rPr>
                <w:webHidden/>
                <w:rStyle w:val="IndexLink"/>
              </w:rPr>
              <w:t>10</w:t>
            </w:r>
            <w:r>
              <w:rPr>
                <w:rStyle w:val="IndexLink"/>
                <w:rtl w:val="true"/>
              </w:rPr>
              <w:t xml:space="preserve">- </w:t>
            </w:r>
            <w:r>
              <w:rPr>
                <w:rStyle w:val="IndexLink"/>
                <w:rtl w:val="true"/>
              </w:rPr>
              <w:t>ما هی الغایة من دراسة عدالة الصحابة؟</w:t>
            </w:r>
            <w:r>
              <w:rPr>
                <w:rStyle w:val="IndexLink"/>
                <w:rtl w:val="true"/>
              </w:rPr>
              <w:tab/>
            </w:r>
            <w:r>
              <w:rPr>
                <w:rStyle w:val="IndexLink"/>
              </w:rPr>
              <w:t>364</w:t>
            </w:r>
          </w:hyperlink>
        </w:p>
        <w:p>
          <w:pPr>
            <w:pStyle w:val="Contents4"/>
            <w:tabs>
              <w:tab w:val="clear" w:pos="8176"/>
              <w:tab w:val="right" w:pos="9026" w:leader="dot"/>
            </w:tabs>
            <w:rPr/>
          </w:pPr>
          <w:hyperlink w:anchor="__RefHeading___Toc1401326_3650668749">
            <w:r>
              <w:rPr>
                <w:webHidden/>
                <w:rStyle w:val="IndexLink"/>
              </w:rPr>
              <w:t>11</w:t>
            </w:r>
            <w:r>
              <w:rPr>
                <w:rStyle w:val="IndexLink"/>
                <w:rtl w:val="true"/>
              </w:rPr>
              <w:t xml:space="preserve">- </w:t>
            </w:r>
            <w:r>
              <w:rPr>
                <w:rStyle w:val="IndexLink"/>
                <w:rtl w:val="true"/>
              </w:rPr>
              <w:t>هل قول الصحابی من مصادر التشریع؟</w:t>
            </w:r>
            <w:r>
              <w:rPr>
                <w:rStyle w:val="IndexLink"/>
                <w:rtl w:val="true"/>
              </w:rPr>
              <w:tab/>
            </w:r>
            <w:r>
              <w:rPr>
                <w:rStyle w:val="IndexLink"/>
              </w:rPr>
              <w:t>366</w:t>
            </w:r>
          </w:hyperlink>
        </w:p>
        <w:p>
          <w:pPr>
            <w:pStyle w:val="Contents4"/>
            <w:tabs>
              <w:tab w:val="clear" w:pos="8176"/>
              <w:tab w:val="right" w:pos="9026" w:leader="dot"/>
            </w:tabs>
            <w:rPr/>
          </w:pPr>
          <w:hyperlink w:anchor="__RefHeading___Toc1401328_3650668749">
            <w:r>
              <w:rPr>
                <w:webHidden/>
                <w:rStyle w:val="IndexLink"/>
              </w:rPr>
              <w:t>12</w:t>
            </w:r>
            <w:r>
              <w:rPr>
                <w:rStyle w:val="IndexLink"/>
                <w:rtl w:val="true"/>
              </w:rPr>
              <w:t xml:space="preserve">- </w:t>
            </w:r>
            <w:r>
              <w:rPr>
                <w:rStyle w:val="IndexLink"/>
                <w:rtl w:val="true"/>
              </w:rPr>
              <w:t>هل رؤیا الصحابی من مصادر التشریع؟</w:t>
            </w:r>
            <w:r>
              <w:rPr>
                <w:rStyle w:val="IndexLink"/>
                <w:rtl w:val="true"/>
              </w:rPr>
              <w:tab/>
            </w:r>
            <w:r>
              <w:rPr>
                <w:rStyle w:val="IndexLink"/>
              </w:rPr>
              <w:t>368</w:t>
            </w:r>
          </w:hyperlink>
        </w:p>
        <w:p>
          <w:pPr>
            <w:pStyle w:val="Contents2"/>
            <w:tabs>
              <w:tab w:val="clear" w:pos="8743"/>
              <w:tab w:val="right" w:pos="9026" w:leader="dot"/>
            </w:tabs>
            <w:rPr/>
          </w:pPr>
          <w:hyperlink w:anchor="__RefHeading___Toc1401330_3650668749">
            <w:r>
              <w:rPr>
                <w:webHidden/>
                <w:rStyle w:val="IndexLink"/>
                <w:rtl w:val="true"/>
              </w:rPr>
              <w:t>الفصل العاشر</w:t>
            </w:r>
            <w:r>
              <w:rPr>
                <w:rStyle w:val="IndexLink"/>
                <w:rtl w:val="true"/>
              </w:rPr>
              <w:tab/>
            </w:r>
            <w:r>
              <w:rPr>
                <w:rStyle w:val="IndexLink"/>
              </w:rPr>
              <w:t>370</w:t>
            </w:r>
          </w:hyperlink>
        </w:p>
        <w:p>
          <w:pPr>
            <w:pStyle w:val="Contents3"/>
            <w:tabs>
              <w:tab w:val="clear" w:pos="8459"/>
              <w:tab w:val="right" w:pos="9026" w:leader="dot"/>
            </w:tabs>
            <w:rPr/>
          </w:pPr>
          <w:hyperlink w:anchor="__RefHeading___Toc1401332_3650668749">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401334_3650668749">
            <w:r>
              <w:rPr>
                <w:webHidden/>
                <w:rStyle w:val="IndexLink"/>
              </w:rPr>
              <w:t>1</w:t>
            </w:r>
            <w:r>
              <w:rPr>
                <w:rStyle w:val="IndexLink"/>
                <w:rtl w:val="true"/>
              </w:rPr>
              <w:t xml:space="preserve">- </w:t>
            </w:r>
            <w:r>
              <w:rPr>
                <w:rStyle w:val="IndexLink"/>
                <w:rtl w:val="true"/>
              </w:rPr>
              <w:t>الوضوء وکیفیة غسل الأیدی‌</w:t>
            </w:r>
            <w:r>
              <w:rPr>
                <w:rStyle w:val="IndexLink"/>
                <w:rtl w:val="true"/>
              </w:rPr>
              <w:tab/>
            </w:r>
            <w:r>
              <w:rPr>
                <w:rStyle w:val="IndexLink"/>
              </w:rPr>
              <w:t>371</w:t>
            </w:r>
          </w:hyperlink>
        </w:p>
        <w:p>
          <w:pPr>
            <w:pStyle w:val="Contents4"/>
            <w:tabs>
              <w:tab w:val="clear" w:pos="8176"/>
              <w:tab w:val="right" w:pos="9026" w:leader="dot"/>
            </w:tabs>
            <w:rPr/>
          </w:pPr>
          <w:hyperlink w:anchor="__RefHeading___Toc1401336_3650668749">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401338_3650668749">
            <w:r>
              <w:rPr>
                <w:webHidden/>
                <w:rStyle w:val="IndexLink"/>
                <w:rtl w:val="true"/>
              </w:rPr>
              <w:t>الوضوء ومسح الأرجل أو غسلها</w:t>
            </w:r>
            <w:r>
              <w:rPr>
                <w:rStyle w:val="IndexLink"/>
                <w:rtl w:val="true"/>
              </w:rPr>
              <w:tab/>
            </w:r>
            <w:r>
              <w:rPr>
                <w:rStyle w:val="IndexLink"/>
              </w:rPr>
              <w:t>375</w:t>
            </w:r>
          </w:hyperlink>
        </w:p>
        <w:p>
          <w:pPr>
            <w:pStyle w:val="Contents4"/>
            <w:tabs>
              <w:tab w:val="clear" w:pos="8176"/>
              <w:tab w:val="right" w:pos="9026" w:leader="dot"/>
            </w:tabs>
            <w:rPr/>
          </w:pPr>
          <w:hyperlink w:anchor="__RefHeading___Toc1401340_3650668749">
            <w:r>
              <w:rPr>
                <w:webHidden/>
                <w:rStyle w:val="IndexLink"/>
                <w:rtl w:val="true"/>
              </w:rPr>
              <w:t>سبب الاختلاف‌</w:t>
            </w:r>
            <w:r>
              <w:rPr>
                <w:rStyle w:val="IndexLink"/>
                <w:rtl w:val="true"/>
              </w:rPr>
              <w:tab/>
            </w:r>
            <w:r>
              <w:rPr>
                <w:rStyle w:val="IndexLink"/>
              </w:rPr>
              <w:t>378</w:t>
            </w:r>
          </w:hyperlink>
        </w:p>
        <w:p>
          <w:pPr>
            <w:pStyle w:val="Contents5"/>
            <w:tabs>
              <w:tab w:val="clear" w:pos="7892"/>
              <w:tab w:val="right" w:pos="9026" w:leader="dot"/>
            </w:tabs>
            <w:rPr/>
          </w:pPr>
          <w:hyperlink w:anchor="__RefHeading___Toc1401342_3650668749">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401344_3650668749">
            <w:r>
              <w:rPr>
                <w:webHidden/>
                <w:rStyle w:val="IndexLink"/>
              </w:rPr>
              <w:t>1</w:t>
            </w:r>
            <w:r>
              <w:rPr>
                <w:rStyle w:val="IndexLink"/>
                <w:rtl w:val="true"/>
              </w:rPr>
              <w:t xml:space="preserve">. </w:t>
            </w:r>
            <w:r>
              <w:rPr>
                <w:rStyle w:val="IndexLink"/>
                <w:rtl w:val="true"/>
              </w:rPr>
              <w:t>اختلاف القراءة</w:t>
            </w:r>
            <w:r>
              <w:rPr>
                <w:rStyle w:val="IndexLink"/>
                <w:rtl w:val="true"/>
              </w:rPr>
              <w:tab/>
            </w:r>
            <w:r>
              <w:rPr>
                <w:rStyle w:val="IndexLink"/>
              </w:rPr>
              <w:t>378</w:t>
            </w:r>
          </w:hyperlink>
        </w:p>
        <w:p>
          <w:pPr>
            <w:pStyle w:val="Contents5"/>
            <w:tabs>
              <w:tab w:val="clear" w:pos="7892"/>
              <w:tab w:val="right" w:pos="9026" w:leader="dot"/>
            </w:tabs>
            <w:rPr/>
          </w:pPr>
          <w:hyperlink w:anchor="__RefHeading___Toc1401346_3650668749">
            <w:r>
              <w:rPr>
                <w:webHidden/>
                <w:rStyle w:val="IndexLink"/>
              </w:rPr>
              <w:t>2</w:t>
            </w:r>
            <w:r>
              <w:rPr>
                <w:rStyle w:val="IndexLink"/>
                <w:rtl w:val="true"/>
              </w:rPr>
              <w:t xml:space="preserve">. </w:t>
            </w:r>
            <w:r>
              <w:rPr>
                <w:rStyle w:val="IndexLink"/>
                <w:rtl w:val="true"/>
              </w:rPr>
              <w:t>التمسّک بروایات الغسل المنسوخة</w:t>
            </w:r>
            <w:r>
              <w:rPr>
                <w:rStyle w:val="IndexLink"/>
                <w:rtl w:val="true"/>
              </w:rPr>
              <w:tab/>
            </w:r>
            <w:r>
              <w:rPr>
                <w:rStyle w:val="IndexLink"/>
              </w:rPr>
              <w:t>380</w:t>
            </w:r>
          </w:hyperlink>
        </w:p>
        <w:p>
          <w:pPr>
            <w:pStyle w:val="Contents5"/>
            <w:tabs>
              <w:tab w:val="clear" w:pos="7892"/>
              <w:tab w:val="right" w:pos="9026" w:leader="dot"/>
            </w:tabs>
            <w:rPr/>
          </w:pPr>
          <w:hyperlink w:anchor="__RefHeading___Toc1401348_3650668749">
            <w:r>
              <w:rPr>
                <w:webHidden/>
                <w:rStyle w:val="IndexLink"/>
              </w:rPr>
              <w:t>3</w:t>
            </w:r>
            <w:r>
              <w:rPr>
                <w:rStyle w:val="IndexLink"/>
                <w:rtl w:val="true"/>
              </w:rPr>
              <w:t xml:space="preserve">. </w:t>
            </w:r>
            <w:r>
              <w:rPr>
                <w:rStyle w:val="IndexLink"/>
                <w:rtl w:val="true"/>
              </w:rPr>
              <w:t>إشاعة الغسل من قبل السلطة</w:t>
            </w:r>
            <w:r>
              <w:rPr>
                <w:rStyle w:val="IndexLink"/>
                <w:rtl w:val="true"/>
              </w:rPr>
              <w:tab/>
            </w:r>
            <w:r>
              <w:rPr>
                <w:rStyle w:val="IndexLink"/>
              </w:rPr>
              <w:t>381</w:t>
            </w:r>
          </w:hyperlink>
        </w:p>
        <w:p>
          <w:pPr>
            <w:pStyle w:val="Contents4"/>
            <w:tabs>
              <w:tab w:val="clear" w:pos="8176"/>
              <w:tab w:val="right" w:pos="9026" w:leader="dot"/>
            </w:tabs>
            <w:rPr/>
          </w:pPr>
          <w:hyperlink w:anchor="__RefHeading___Toc1401350_3650668749">
            <w:r>
              <w:rPr>
                <w:webHidden/>
                <w:rStyle w:val="IndexLink"/>
                <w:rtl w:val="true"/>
              </w:rPr>
              <w:t>ما هو العامل فی قوله</w:t>
            </w:r>
            <w:r>
              <w:rPr>
                <w:rStyle w:val="IndexLink"/>
                <w:rtl w:val="true"/>
              </w:rPr>
              <w:t>: «</w:t>
            </w:r>
            <w:r>
              <w:rPr>
                <w:rStyle w:val="IndexLink"/>
                <w:rtl w:val="true"/>
              </w:rPr>
              <w:t>وأرجلکم</w:t>
            </w:r>
            <w:r>
              <w:rPr>
                <w:rStyle w:val="IndexLink"/>
                <w:rtl w:val="true"/>
              </w:rPr>
              <w:t>»</w:t>
            </w:r>
            <w:r>
              <w:rPr>
                <w:rStyle w:val="IndexLink"/>
                <w:rtl w:val="true"/>
              </w:rPr>
              <w:t>؟</w:t>
            </w:r>
            <w:r>
              <w:rPr>
                <w:rStyle w:val="IndexLink"/>
                <w:rtl w:val="true"/>
              </w:rPr>
              <w:tab/>
            </w:r>
            <w:r>
              <w:rPr>
                <w:rStyle w:val="IndexLink"/>
              </w:rPr>
              <w:t>383</w:t>
            </w:r>
          </w:hyperlink>
        </w:p>
        <w:p>
          <w:pPr>
            <w:pStyle w:val="Contents4"/>
            <w:tabs>
              <w:tab w:val="clear" w:pos="8176"/>
              <w:tab w:val="right" w:pos="9026" w:leader="dot"/>
            </w:tabs>
            <w:rPr/>
          </w:pPr>
          <w:hyperlink w:anchor="__RefHeading___Toc1401352_3650668749">
            <w:r>
              <w:rPr>
                <w:webHidden/>
                <w:rStyle w:val="IndexLink"/>
                <w:rtl w:val="true"/>
              </w:rPr>
              <w:t>القراءتان والمسح علی الأرجل‌</w:t>
            </w:r>
            <w:r>
              <w:rPr>
                <w:rStyle w:val="IndexLink"/>
                <w:rtl w:val="true"/>
              </w:rPr>
              <w:tab/>
            </w:r>
            <w:r>
              <w:rPr>
                <w:rStyle w:val="IndexLink"/>
              </w:rPr>
              <w:t>386</w:t>
            </w:r>
          </w:hyperlink>
        </w:p>
        <w:p>
          <w:pPr>
            <w:pStyle w:val="Contents4"/>
            <w:tabs>
              <w:tab w:val="clear" w:pos="8176"/>
              <w:tab w:val="right" w:pos="9026" w:leader="dot"/>
            </w:tabs>
            <w:rPr/>
          </w:pPr>
          <w:hyperlink w:anchor="__RefHeading___Toc1401354_3650668749">
            <w:r>
              <w:rPr>
                <w:webHidden/>
                <w:rStyle w:val="IndexLink"/>
                <w:rtl w:val="true"/>
              </w:rPr>
              <w:t>القراءتان وغسل الأرجل‌</w:t>
            </w:r>
            <w:r>
              <w:rPr>
                <w:rStyle w:val="IndexLink"/>
                <w:rtl w:val="true"/>
              </w:rPr>
              <w:tab/>
            </w:r>
            <w:r>
              <w:rPr>
                <w:rStyle w:val="IndexLink"/>
              </w:rPr>
              <w:t>389</w:t>
            </w:r>
          </w:hyperlink>
        </w:p>
        <w:p>
          <w:pPr>
            <w:pStyle w:val="Contents4"/>
            <w:tabs>
              <w:tab w:val="clear" w:pos="8176"/>
              <w:tab w:val="right" w:pos="9026" w:leader="dot"/>
            </w:tabs>
            <w:rPr/>
          </w:pPr>
          <w:hyperlink w:anchor="__RefHeading___Toc1401356_3650668749">
            <w:r>
              <w:rPr>
                <w:webHidden/>
                <w:rStyle w:val="IndexLink"/>
                <w:rtl w:val="true"/>
              </w:rPr>
              <w:t>الغَسْل وقراءة النصب‌</w:t>
            </w:r>
            <w:r>
              <w:rPr>
                <w:rStyle w:val="IndexLink"/>
                <w:rtl w:val="true"/>
              </w:rPr>
              <w:tab/>
            </w:r>
            <w:r>
              <w:rPr>
                <w:rStyle w:val="IndexLink"/>
              </w:rPr>
              <w:t>389</w:t>
            </w:r>
          </w:hyperlink>
        </w:p>
        <w:p>
          <w:pPr>
            <w:pStyle w:val="Contents4"/>
            <w:tabs>
              <w:tab w:val="clear" w:pos="8176"/>
              <w:tab w:val="right" w:pos="9026" w:leader="dot"/>
            </w:tabs>
            <w:rPr/>
          </w:pPr>
          <w:hyperlink w:anchor="__RefHeading___Toc1401358_3650668749">
            <w:r>
              <w:rPr>
                <w:webHidden/>
                <w:rStyle w:val="IndexLink"/>
                <w:rtl w:val="true"/>
              </w:rPr>
              <w:t>الغسل وقراءة الجر</w:t>
            </w:r>
            <w:r>
              <w:rPr>
                <w:rStyle w:val="IndexLink"/>
                <w:rtl w:val="true"/>
              </w:rPr>
              <w:tab/>
            </w:r>
            <w:r>
              <w:rPr>
                <w:rStyle w:val="IndexLink"/>
              </w:rPr>
              <w:t>391</w:t>
            </w:r>
          </w:hyperlink>
        </w:p>
        <w:p>
          <w:pPr>
            <w:pStyle w:val="Contents4"/>
            <w:tabs>
              <w:tab w:val="clear" w:pos="8176"/>
              <w:tab w:val="right" w:pos="9026" w:leader="dot"/>
            </w:tabs>
            <w:rPr/>
          </w:pPr>
          <w:hyperlink w:anchor="__RefHeading___Toc1401360_3650668749">
            <w:r>
              <w:rPr>
                <w:webHidden/>
                <w:rStyle w:val="IndexLink"/>
                <w:rtl w:val="true"/>
              </w:rPr>
              <w:t>الجر بالجوار صحة وشرطاً</w:t>
            </w:r>
            <w:r>
              <w:rPr>
                <w:rStyle w:val="IndexLink"/>
                <w:rtl w:val="true"/>
              </w:rPr>
              <w:tab/>
            </w:r>
            <w:r>
              <w:rPr>
                <w:rStyle w:val="IndexLink"/>
              </w:rPr>
              <w:t>392</w:t>
            </w:r>
          </w:hyperlink>
        </w:p>
        <w:p>
          <w:pPr>
            <w:pStyle w:val="Contents4"/>
            <w:tabs>
              <w:tab w:val="clear" w:pos="8176"/>
              <w:tab w:val="right" w:pos="9026" w:leader="dot"/>
            </w:tabs>
            <w:rPr/>
          </w:pPr>
          <w:hyperlink w:anchor="__RefHeading___Toc1401362_3650668749">
            <w:r>
              <w:rPr>
                <w:webHidden/>
                <w:rStyle w:val="IndexLink"/>
                <w:rtl w:val="true"/>
              </w:rPr>
              <w:t>المسح علی الأرجل فی الأحادیث النبویة</w:t>
            </w:r>
            <w:r>
              <w:rPr>
                <w:rStyle w:val="IndexLink"/>
                <w:rtl w:val="true"/>
              </w:rPr>
              <w:tab/>
            </w:r>
            <w:r>
              <w:rPr>
                <w:rStyle w:val="IndexLink"/>
              </w:rPr>
              <w:t>394</w:t>
            </w:r>
          </w:hyperlink>
        </w:p>
        <w:p>
          <w:pPr>
            <w:pStyle w:val="Contents4"/>
            <w:tabs>
              <w:tab w:val="clear" w:pos="8176"/>
              <w:tab w:val="right" w:pos="9026" w:leader="dot"/>
            </w:tabs>
            <w:rPr/>
          </w:pPr>
          <w:hyperlink w:anchor="__RefHeading___Toc1401364_3650668749">
            <w:r>
              <w:rPr>
                <w:webHidden/>
                <w:rStyle w:val="IndexLink"/>
                <w:rtl w:val="true"/>
              </w:rPr>
              <w:t>ما روی عن رسول اللَّه صلی الله علیه و آله و سلم حول مسح الأرجل‌</w:t>
            </w:r>
            <w:r>
              <w:rPr>
                <w:rStyle w:val="IndexLink"/>
                <w:rtl w:val="true"/>
              </w:rPr>
              <w:tab/>
            </w:r>
            <w:r>
              <w:rPr>
                <w:rStyle w:val="IndexLink"/>
              </w:rPr>
              <w:t>394</w:t>
            </w:r>
          </w:hyperlink>
        </w:p>
        <w:p>
          <w:pPr>
            <w:pStyle w:val="Contents4"/>
            <w:tabs>
              <w:tab w:val="clear" w:pos="8176"/>
              <w:tab w:val="right" w:pos="9026" w:leader="dot"/>
            </w:tabs>
            <w:rPr/>
          </w:pPr>
          <w:hyperlink w:anchor="__RefHeading___Toc1401366_3650668749">
            <w:r>
              <w:rPr>
                <w:webHidden/>
                <w:rStyle w:val="IndexLink"/>
                <w:rtl w:val="true"/>
              </w:rPr>
              <w:t>ما حکی عن الصحابة والتابعین حول مسح الأرجل‌</w:t>
            </w:r>
            <w:r>
              <w:rPr>
                <w:rStyle w:val="IndexLink"/>
                <w:rtl w:val="true"/>
              </w:rPr>
              <w:tab/>
            </w:r>
            <w:r>
              <w:rPr>
                <w:rStyle w:val="IndexLink"/>
              </w:rPr>
              <w:t>399</w:t>
            </w:r>
          </w:hyperlink>
        </w:p>
        <w:p>
          <w:pPr>
            <w:pStyle w:val="Contents3"/>
            <w:tabs>
              <w:tab w:val="clear" w:pos="8459"/>
              <w:tab w:val="right" w:pos="9026" w:leader="dot"/>
            </w:tabs>
            <w:rPr/>
          </w:pPr>
          <w:hyperlink w:anchor="__RefHeading___Toc1401368_3650668749">
            <w:r>
              <w:rPr>
                <w:webHidden/>
                <w:rStyle w:val="IndexLink"/>
              </w:rPr>
              <w:t>2</w:t>
            </w:r>
            <w:r>
              <w:rPr>
                <w:rStyle w:val="IndexLink"/>
                <w:rtl w:val="true"/>
              </w:rPr>
              <w:t xml:space="preserve">- </w:t>
            </w:r>
            <w:r>
              <w:rPr>
                <w:rStyle w:val="IndexLink"/>
                <w:rtl w:val="true"/>
              </w:rPr>
              <w:t>الأذان والإقامة</w:t>
            </w:r>
            <w:r>
              <w:rPr>
                <w:rStyle w:val="IndexLink"/>
                <w:rtl w:val="true"/>
              </w:rPr>
              <w:tab/>
            </w:r>
            <w:r>
              <w:rPr>
                <w:rStyle w:val="IndexLink"/>
              </w:rPr>
              <w:t>402</w:t>
            </w:r>
          </w:hyperlink>
        </w:p>
        <w:p>
          <w:pPr>
            <w:pStyle w:val="Contents4"/>
            <w:tabs>
              <w:tab w:val="clear" w:pos="8176"/>
              <w:tab w:val="right" w:pos="9026" w:leader="dot"/>
            </w:tabs>
            <w:rPr/>
          </w:pPr>
          <w:hyperlink w:anchor="__RefHeading___Toc1401370_3650668749">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401372_3650668749">
            <w:r>
              <w:rPr>
                <w:webHidden/>
                <w:rStyle w:val="IndexLink"/>
                <w:rtl w:val="true"/>
              </w:rPr>
              <w:t>الأوّل</w:t>
            </w:r>
            <w:r>
              <w:rPr>
                <w:rStyle w:val="IndexLink"/>
                <w:rtl w:val="true"/>
              </w:rPr>
              <w:t xml:space="preserve">: </w:t>
            </w:r>
            <w:r>
              <w:rPr>
                <w:rStyle w:val="IndexLink"/>
                <w:rtl w:val="true"/>
              </w:rPr>
              <w:t>کیفیة تشریع الأذان‌</w:t>
            </w:r>
            <w:r>
              <w:rPr>
                <w:rStyle w:val="IndexLink"/>
                <w:rtl w:val="true"/>
              </w:rPr>
              <w:tab/>
            </w:r>
            <w:r>
              <w:rPr>
                <w:rStyle w:val="IndexLink"/>
              </w:rPr>
              <w:t>402</w:t>
            </w:r>
          </w:hyperlink>
        </w:p>
        <w:p>
          <w:pPr>
            <w:pStyle w:val="Contents4"/>
            <w:tabs>
              <w:tab w:val="clear" w:pos="8176"/>
              <w:tab w:val="right" w:pos="9026" w:leader="dot"/>
            </w:tabs>
            <w:rPr/>
          </w:pPr>
          <w:hyperlink w:anchor="__RefHeading___Toc1401374_3650668749">
            <w:r>
              <w:rPr>
                <w:webHidden/>
                <w:rStyle w:val="IndexLink"/>
                <w:rtl w:val="true"/>
              </w:rPr>
              <w:t>الثانی</w:t>
            </w:r>
            <w:r>
              <w:rPr>
                <w:rStyle w:val="IndexLink"/>
                <w:rtl w:val="true"/>
              </w:rPr>
              <w:t xml:space="preserve">: </w:t>
            </w:r>
            <w:r>
              <w:rPr>
                <w:rStyle w:val="IndexLink"/>
                <w:rtl w:val="true"/>
              </w:rPr>
              <w:t>فصول الأذان والاقامة عدداً</w:t>
            </w:r>
            <w:r>
              <w:rPr>
                <w:rStyle w:val="IndexLink"/>
                <w:rtl w:val="true"/>
              </w:rPr>
              <w:tab/>
            </w:r>
            <w:r>
              <w:rPr>
                <w:rStyle w:val="IndexLink"/>
              </w:rPr>
              <w:t>408</w:t>
            </w:r>
          </w:hyperlink>
        </w:p>
        <w:p>
          <w:pPr>
            <w:pStyle w:val="Contents5"/>
            <w:tabs>
              <w:tab w:val="clear" w:pos="7892"/>
              <w:tab w:val="right" w:pos="9026" w:leader="dot"/>
            </w:tabs>
            <w:rPr/>
          </w:pPr>
          <w:hyperlink w:anchor="__RefHeading___Toc1401376_3650668749">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401378_3650668749">
            <w:r>
              <w:rPr>
                <w:webHidden/>
                <w:rStyle w:val="IndexLink"/>
                <w:rtl w:val="true"/>
              </w:rPr>
              <w:t>فصول الإقامة</w:t>
            </w:r>
            <w:r>
              <w:rPr>
                <w:rStyle w:val="IndexLink"/>
                <w:rtl w:val="true"/>
              </w:rPr>
              <w:tab/>
            </w:r>
            <w:r>
              <w:rPr>
                <w:rStyle w:val="IndexLink"/>
              </w:rPr>
              <w:t>409</w:t>
            </w:r>
          </w:hyperlink>
        </w:p>
        <w:p>
          <w:pPr>
            <w:pStyle w:val="Contents4"/>
            <w:tabs>
              <w:tab w:val="clear" w:pos="8176"/>
              <w:tab w:val="right" w:pos="9026" w:leader="dot"/>
            </w:tabs>
            <w:rPr/>
          </w:pPr>
          <w:hyperlink w:anchor="__RefHeading___Toc1401380_3650668749">
            <w:r>
              <w:rPr>
                <w:webHidden/>
                <w:rStyle w:val="IndexLink"/>
                <w:rtl w:val="true"/>
              </w:rPr>
              <w:t>الثالث</w:t>
            </w:r>
            <w:r>
              <w:rPr>
                <w:rStyle w:val="IndexLink"/>
                <w:rtl w:val="true"/>
              </w:rPr>
              <w:t xml:space="preserve">: </w:t>
            </w:r>
            <w:r>
              <w:rPr>
                <w:rStyle w:val="IndexLink"/>
                <w:rtl w:val="true"/>
              </w:rPr>
              <w:t xml:space="preserve">جزئیة </w:t>
            </w:r>
            <w:r>
              <w:rPr>
                <w:rStyle w:val="IndexLink"/>
                <w:rtl w:val="true"/>
              </w:rPr>
              <w:t>«</w:t>
            </w:r>
            <w:r>
              <w:rPr>
                <w:rStyle w:val="IndexLink"/>
                <w:rtl w:val="true"/>
              </w:rPr>
              <w:t>حی علی خیر العمل</w:t>
            </w:r>
            <w:r>
              <w:rPr>
                <w:rStyle w:val="IndexLink"/>
                <w:rtl w:val="true"/>
              </w:rPr>
              <w:t xml:space="preserve">» </w:t>
            </w:r>
            <w:r>
              <w:rPr>
                <w:rStyle w:val="IndexLink"/>
                <w:rtl w:val="true"/>
              </w:rPr>
              <w:t>للأذان‌</w:t>
            </w:r>
            <w:r>
              <w:rPr>
                <w:rStyle w:val="IndexLink"/>
                <w:rtl w:val="true"/>
              </w:rPr>
              <w:tab/>
            </w:r>
            <w:r>
              <w:rPr>
                <w:rStyle w:val="IndexLink"/>
              </w:rPr>
              <w:t>410</w:t>
            </w:r>
          </w:hyperlink>
        </w:p>
        <w:p>
          <w:pPr>
            <w:pStyle w:val="Contents4"/>
            <w:tabs>
              <w:tab w:val="clear" w:pos="8176"/>
              <w:tab w:val="right" w:pos="9026" w:leader="dot"/>
            </w:tabs>
            <w:rPr/>
          </w:pPr>
          <w:hyperlink w:anchor="__RefHeading___Toc1401382_3650668749">
            <w:r>
              <w:rPr>
                <w:webHidden/>
                <w:rStyle w:val="IndexLink"/>
                <w:rtl w:val="true"/>
              </w:rPr>
              <w:t>الرابع</w:t>
            </w:r>
            <w:r>
              <w:rPr>
                <w:rStyle w:val="IndexLink"/>
                <w:rtl w:val="true"/>
              </w:rPr>
              <w:t xml:space="preserve">: </w:t>
            </w:r>
            <w:r>
              <w:rPr>
                <w:rStyle w:val="IndexLink"/>
                <w:rtl w:val="true"/>
              </w:rPr>
              <w:t>التثویب فی أذان صلاة الفجر</w:t>
            </w:r>
            <w:r>
              <w:rPr>
                <w:rStyle w:val="IndexLink"/>
                <w:rtl w:val="true"/>
              </w:rPr>
              <w:tab/>
            </w:r>
            <w:r>
              <w:rPr>
                <w:rStyle w:val="IndexLink"/>
              </w:rPr>
              <w:t>413</w:t>
            </w:r>
          </w:hyperlink>
        </w:p>
        <w:p>
          <w:pPr>
            <w:pStyle w:val="Contents5"/>
            <w:tabs>
              <w:tab w:val="clear" w:pos="7892"/>
              <w:tab w:val="right" w:pos="9026" w:leader="dot"/>
            </w:tabs>
            <w:rPr/>
          </w:pPr>
          <w:hyperlink w:anchor="__RefHeading___Toc1401384_3650668749">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01386_3650668749">
            <w:r>
              <w:rPr>
                <w:webHidden/>
                <w:rStyle w:val="IndexLink"/>
                <w:rtl w:val="true"/>
              </w:rPr>
              <w:t>کلمات الأعلام فی التثویب‌</w:t>
            </w:r>
            <w:r>
              <w:rPr>
                <w:rStyle w:val="IndexLink"/>
                <w:rtl w:val="true"/>
              </w:rPr>
              <w:tab/>
            </w:r>
            <w:r>
              <w:rPr>
                <w:rStyle w:val="IndexLink"/>
              </w:rPr>
              <w:t>415</w:t>
            </w:r>
          </w:hyperlink>
        </w:p>
        <w:p>
          <w:pPr>
            <w:pStyle w:val="Contents3"/>
            <w:tabs>
              <w:tab w:val="clear" w:pos="8459"/>
              <w:tab w:val="right" w:pos="9026" w:leader="dot"/>
            </w:tabs>
            <w:rPr/>
          </w:pPr>
          <w:hyperlink w:anchor="__RefHeading___Toc1401388_3650668749">
            <w:r>
              <w:rPr>
                <w:webHidden/>
                <w:rStyle w:val="IndexLink"/>
              </w:rPr>
              <w:t>3</w:t>
            </w:r>
            <w:r>
              <w:rPr>
                <w:rStyle w:val="IndexLink"/>
                <w:rtl w:val="true"/>
              </w:rPr>
              <w:t xml:space="preserve">- </w:t>
            </w:r>
            <w:r>
              <w:rPr>
                <w:rStyle w:val="IndexLink"/>
                <w:rtl w:val="true"/>
              </w:rPr>
              <w:t>قبض الید الیسری بالیمنی بین البدعة والسنّة</w:t>
            </w:r>
            <w:r>
              <w:rPr>
                <w:rStyle w:val="IndexLink"/>
                <w:rtl w:val="true"/>
              </w:rPr>
              <w:tab/>
            </w:r>
            <w:r>
              <w:rPr>
                <w:rStyle w:val="IndexLink"/>
              </w:rPr>
              <w:t>419</w:t>
            </w:r>
          </w:hyperlink>
        </w:p>
        <w:p>
          <w:pPr>
            <w:pStyle w:val="Contents4"/>
            <w:tabs>
              <w:tab w:val="clear" w:pos="8176"/>
              <w:tab w:val="right" w:pos="9026" w:leader="dot"/>
            </w:tabs>
            <w:rPr/>
          </w:pPr>
          <w:hyperlink w:anchor="__RefHeading___Toc1401390_3650668749">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401392_3650668749">
            <w:r>
              <w:rPr>
                <w:webHidden/>
                <w:rStyle w:val="IndexLink"/>
              </w:rPr>
              <w:t>1</w:t>
            </w:r>
            <w:r>
              <w:rPr>
                <w:rStyle w:val="IndexLink"/>
                <w:rtl w:val="true"/>
              </w:rPr>
              <w:t xml:space="preserve">. </w:t>
            </w:r>
            <w:r>
              <w:rPr>
                <w:rStyle w:val="IndexLink"/>
                <w:rtl w:val="true"/>
              </w:rPr>
              <w:t>القبض بدعة محدثة</w:t>
            </w:r>
            <w:r>
              <w:rPr>
                <w:rStyle w:val="IndexLink"/>
                <w:rtl w:val="true"/>
              </w:rPr>
              <w:tab/>
            </w:r>
            <w:r>
              <w:rPr>
                <w:rStyle w:val="IndexLink"/>
              </w:rPr>
              <w:t>421</w:t>
            </w:r>
          </w:hyperlink>
        </w:p>
        <w:p>
          <w:pPr>
            <w:pStyle w:val="Contents5"/>
            <w:tabs>
              <w:tab w:val="clear" w:pos="7892"/>
              <w:tab w:val="right" w:pos="9026" w:leader="dot"/>
            </w:tabs>
            <w:rPr/>
          </w:pPr>
          <w:hyperlink w:anchor="__RefHeading___Toc1401394_3650668749">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401396_3650668749">
            <w:r>
              <w:rPr>
                <w:webHidden/>
                <w:rStyle w:val="IndexLink"/>
                <w:rtl w:val="true"/>
              </w:rPr>
              <w:t>ألف</w:t>
            </w:r>
            <w:r>
              <w:rPr>
                <w:rStyle w:val="IndexLink"/>
                <w:rtl w:val="true"/>
              </w:rPr>
              <w:t xml:space="preserve">: </w:t>
            </w:r>
            <w:r>
              <w:rPr>
                <w:rStyle w:val="IndexLink"/>
                <w:rtl w:val="true"/>
              </w:rPr>
              <w:t>حدیث أبی حمید الساعدی‌</w:t>
            </w:r>
            <w:r>
              <w:rPr>
                <w:rStyle w:val="IndexLink"/>
                <w:rtl w:val="true"/>
              </w:rPr>
              <w:tab/>
            </w:r>
            <w:r>
              <w:rPr>
                <w:rStyle w:val="IndexLink"/>
              </w:rPr>
              <w:t>421</w:t>
            </w:r>
          </w:hyperlink>
        </w:p>
        <w:p>
          <w:pPr>
            <w:pStyle w:val="Contents5"/>
            <w:tabs>
              <w:tab w:val="clear" w:pos="7892"/>
              <w:tab w:val="right" w:pos="9026" w:leader="dot"/>
            </w:tabs>
            <w:rPr/>
          </w:pPr>
          <w:hyperlink w:anchor="__RefHeading___Toc1401398_3650668749">
            <w:r>
              <w:rPr>
                <w:webHidden/>
                <w:rStyle w:val="IndexLink"/>
                <w:rtl w:val="true"/>
              </w:rPr>
              <w:t>ب</w:t>
            </w:r>
            <w:r>
              <w:rPr>
                <w:rStyle w:val="IndexLink"/>
                <w:rtl w:val="true"/>
              </w:rPr>
              <w:t xml:space="preserve">: </w:t>
            </w:r>
            <w:r>
              <w:rPr>
                <w:rStyle w:val="IndexLink"/>
                <w:rtl w:val="true"/>
              </w:rPr>
              <w:t>حدیث حمّاد بن عیسی‌</w:t>
            </w:r>
            <w:r>
              <w:rPr>
                <w:rStyle w:val="IndexLink"/>
                <w:rtl w:val="true"/>
              </w:rPr>
              <w:tab/>
            </w:r>
            <w:r>
              <w:rPr>
                <w:rStyle w:val="IndexLink"/>
              </w:rPr>
              <w:t>424</w:t>
            </w:r>
          </w:hyperlink>
        </w:p>
        <w:p>
          <w:pPr>
            <w:pStyle w:val="Contents4"/>
            <w:tabs>
              <w:tab w:val="clear" w:pos="8176"/>
              <w:tab w:val="right" w:pos="9026" w:leader="dot"/>
            </w:tabs>
            <w:rPr/>
          </w:pPr>
          <w:hyperlink w:anchor="__RefHeading___Toc1401400_3650668749">
            <w:r>
              <w:rPr>
                <w:webHidden/>
                <w:rStyle w:val="IndexLink"/>
              </w:rPr>
              <w:t>2</w:t>
            </w:r>
            <w:r>
              <w:rPr>
                <w:rStyle w:val="IndexLink"/>
                <w:rtl w:val="true"/>
              </w:rPr>
              <w:t xml:space="preserve">. </w:t>
            </w:r>
            <w:r>
              <w:rPr>
                <w:rStyle w:val="IndexLink"/>
                <w:rtl w:val="true"/>
              </w:rPr>
              <w:t>حدیث المسی‌ء فی صلاته‌</w:t>
            </w:r>
            <w:r>
              <w:rPr>
                <w:rStyle w:val="IndexLink"/>
                <w:rtl w:val="true"/>
              </w:rPr>
              <w:tab/>
            </w:r>
            <w:r>
              <w:rPr>
                <w:rStyle w:val="IndexLink"/>
              </w:rPr>
              <w:t>426</w:t>
            </w:r>
          </w:hyperlink>
        </w:p>
        <w:p>
          <w:pPr>
            <w:pStyle w:val="Contents4"/>
            <w:tabs>
              <w:tab w:val="clear" w:pos="8176"/>
              <w:tab w:val="right" w:pos="9026" w:leader="dot"/>
            </w:tabs>
            <w:rPr/>
          </w:pPr>
          <w:hyperlink w:anchor="__RefHeading___Toc1401402_3650668749">
            <w:r>
              <w:rPr>
                <w:webHidden/>
                <w:rStyle w:val="IndexLink"/>
              </w:rPr>
              <w:t>3</w:t>
            </w:r>
            <w:r>
              <w:rPr>
                <w:rStyle w:val="IndexLink"/>
                <w:rtl w:val="true"/>
              </w:rPr>
              <w:t xml:space="preserve">. </w:t>
            </w:r>
            <w:r>
              <w:rPr>
                <w:rStyle w:val="IndexLink"/>
                <w:rtl w:val="true"/>
              </w:rPr>
              <w:t>وصف عائشة صلاة الرسول صلی الله علیه و آله و سلم‌</w:t>
            </w:r>
            <w:r>
              <w:rPr>
                <w:rStyle w:val="IndexLink"/>
                <w:rtl w:val="true"/>
              </w:rPr>
              <w:tab/>
            </w:r>
            <w:r>
              <w:rPr>
                <w:rStyle w:val="IndexLink"/>
              </w:rPr>
              <w:t>427</w:t>
            </w:r>
          </w:hyperlink>
        </w:p>
        <w:p>
          <w:pPr>
            <w:pStyle w:val="Contents4"/>
            <w:tabs>
              <w:tab w:val="clear" w:pos="8176"/>
              <w:tab w:val="right" w:pos="9026" w:leader="dot"/>
            </w:tabs>
            <w:rPr/>
          </w:pPr>
          <w:hyperlink w:anchor="__RefHeading___Toc1401404_3650668749">
            <w:r>
              <w:rPr>
                <w:webHidden/>
                <w:rStyle w:val="IndexLink"/>
              </w:rPr>
              <w:t>4</w:t>
            </w:r>
            <w:r>
              <w:rPr>
                <w:rStyle w:val="IndexLink"/>
                <w:rtl w:val="true"/>
              </w:rPr>
              <w:t xml:space="preserve">. </w:t>
            </w:r>
            <w:r>
              <w:rPr>
                <w:rStyle w:val="IndexLink"/>
                <w:rtl w:val="true"/>
              </w:rPr>
              <w:t>روایة القاضی أبو حنیفة النعمان المصری‌</w:t>
            </w:r>
            <w:r>
              <w:rPr>
                <w:rStyle w:val="IndexLink"/>
                <w:rtl w:val="true"/>
              </w:rPr>
              <w:tab/>
            </w:r>
            <w:r>
              <w:rPr>
                <w:rStyle w:val="IndexLink"/>
              </w:rPr>
              <w:t>428</w:t>
            </w:r>
          </w:hyperlink>
        </w:p>
        <w:p>
          <w:pPr>
            <w:pStyle w:val="Contents4"/>
            <w:tabs>
              <w:tab w:val="clear" w:pos="8176"/>
              <w:tab w:val="right" w:pos="9026" w:leader="dot"/>
            </w:tabs>
            <w:rPr/>
          </w:pPr>
          <w:hyperlink w:anchor="__RefHeading___Toc1401406_3650668749">
            <w:r>
              <w:rPr>
                <w:webHidden/>
                <w:rStyle w:val="IndexLink"/>
              </w:rPr>
              <w:t>5</w:t>
            </w:r>
            <w:r>
              <w:rPr>
                <w:rStyle w:val="IndexLink"/>
                <w:rtl w:val="true"/>
              </w:rPr>
              <w:t xml:space="preserve">. </w:t>
            </w:r>
            <w:r>
              <w:rPr>
                <w:rStyle w:val="IndexLink"/>
                <w:rtl w:val="true"/>
              </w:rPr>
              <w:t>صفة صلاة النبی فی روایة معاذ بن جبل‌</w:t>
            </w:r>
            <w:r>
              <w:rPr>
                <w:rStyle w:val="IndexLink"/>
                <w:rtl w:val="true"/>
              </w:rPr>
              <w:tab/>
            </w:r>
            <w:r>
              <w:rPr>
                <w:rStyle w:val="IndexLink"/>
              </w:rPr>
              <w:t>428</w:t>
            </w:r>
          </w:hyperlink>
        </w:p>
        <w:p>
          <w:pPr>
            <w:pStyle w:val="Contents4"/>
            <w:tabs>
              <w:tab w:val="clear" w:pos="8176"/>
              <w:tab w:val="right" w:pos="9026" w:leader="dot"/>
            </w:tabs>
            <w:rPr/>
          </w:pPr>
          <w:hyperlink w:anchor="__RefHeading___Toc1401408_3650668749">
            <w:r>
              <w:rPr>
                <w:webHidden/>
                <w:rStyle w:val="IndexLink"/>
              </w:rPr>
              <w:t>6</w:t>
            </w:r>
            <w:r>
              <w:rPr>
                <w:rStyle w:val="IndexLink"/>
                <w:rtl w:val="true"/>
              </w:rPr>
              <w:t xml:space="preserve">. </w:t>
            </w:r>
            <w:r>
              <w:rPr>
                <w:rStyle w:val="IndexLink"/>
                <w:rtl w:val="true"/>
              </w:rPr>
              <w:t>ما روی عن أئمّة أهل البیت علیهم السلام‌</w:t>
            </w:r>
            <w:r>
              <w:rPr>
                <w:rStyle w:val="IndexLink"/>
                <w:rtl w:val="true"/>
              </w:rPr>
              <w:tab/>
            </w:r>
            <w:r>
              <w:rPr>
                <w:rStyle w:val="IndexLink"/>
              </w:rPr>
              <w:t>429</w:t>
            </w:r>
          </w:hyperlink>
        </w:p>
        <w:p>
          <w:pPr>
            <w:pStyle w:val="Contents5"/>
            <w:tabs>
              <w:tab w:val="clear" w:pos="7892"/>
              <w:tab w:val="right" w:pos="9026" w:leader="dot"/>
            </w:tabs>
            <w:rPr/>
          </w:pPr>
          <w:hyperlink w:anchor="__RefHeading___Toc1401410_3650668749">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401412_3650668749">
            <w:r>
              <w:rPr>
                <w:webHidden/>
                <w:rStyle w:val="IndexLink"/>
                <w:rtl w:val="true"/>
              </w:rPr>
              <w:t>دلیل القول بکون القبض سنّة</w:t>
            </w:r>
            <w:r>
              <w:rPr>
                <w:rStyle w:val="IndexLink"/>
                <w:rtl w:val="true"/>
              </w:rPr>
              <w:tab/>
            </w:r>
            <w:r>
              <w:rPr>
                <w:rStyle w:val="IndexLink"/>
              </w:rPr>
              <w:t>431</w:t>
            </w:r>
          </w:hyperlink>
        </w:p>
        <w:p>
          <w:pPr>
            <w:pStyle w:val="Contents3"/>
            <w:tabs>
              <w:tab w:val="clear" w:pos="8459"/>
              <w:tab w:val="right" w:pos="9026" w:leader="dot"/>
            </w:tabs>
            <w:rPr/>
          </w:pPr>
          <w:hyperlink w:anchor="__RefHeading___Toc1401414_3650668749">
            <w:r>
              <w:rPr>
                <w:webHidden/>
                <w:rStyle w:val="IndexLink"/>
              </w:rPr>
              <w:t>4</w:t>
            </w:r>
            <w:r>
              <w:rPr>
                <w:rStyle w:val="IndexLink"/>
                <w:rtl w:val="true"/>
              </w:rPr>
              <w:t xml:space="preserve">- </w:t>
            </w:r>
            <w:r>
              <w:rPr>
                <w:rStyle w:val="IndexLink"/>
                <w:rtl w:val="true"/>
              </w:rPr>
              <w:t>جزئیة البسملة والجهر بها</w:t>
            </w:r>
            <w:r>
              <w:rPr>
                <w:rStyle w:val="IndexLink"/>
                <w:rtl w:val="true"/>
              </w:rPr>
              <w:tab/>
            </w:r>
            <w:r>
              <w:rPr>
                <w:rStyle w:val="IndexLink"/>
              </w:rPr>
              <w:t>435</w:t>
            </w:r>
          </w:hyperlink>
        </w:p>
        <w:p>
          <w:pPr>
            <w:pStyle w:val="Contents4"/>
            <w:tabs>
              <w:tab w:val="clear" w:pos="8176"/>
              <w:tab w:val="right" w:pos="9026" w:leader="dot"/>
            </w:tabs>
            <w:rPr/>
          </w:pPr>
          <w:hyperlink w:anchor="__RefHeading___Toc1401416_3650668749">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401418_3650668749">
            <w:r>
              <w:rPr>
                <w:webHidden/>
                <w:rStyle w:val="IndexLink"/>
              </w:rPr>
              <w:t>1</w:t>
            </w:r>
            <w:r>
              <w:rPr>
                <w:rStyle w:val="IndexLink"/>
                <w:rtl w:val="true"/>
              </w:rPr>
              <w:t xml:space="preserve">. </w:t>
            </w:r>
            <w:r>
              <w:rPr>
                <w:rStyle w:val="IndexLink"/>
                <w:rtl w:val="true"/>
              </w:rPr>
              <w:t>البسملة جزء من الفاتحة</w:t>
            </w:r>
            <w:r>
              <w:rPr>
                <w:rStyle w:val="IndexLink"/>
                <w:rtl w:val="true"/>
              </w:rPr>
              <w:tab/>
            </w:r>
            <w:r>
              <w:rPr>
                <w:rStyle w:val="IndexLink"/>
              </w:rPr>
              <w:t>436</w:t>
            </w:r>
          </w:hyperlink>
        </w:p>
        <w:p>
          <w:pPr>
            <w:pStyle w:val="Contents4"/>
            <w:tabs>
              <w:tab w:val="clear" w:pos="8176"/>
              <w:tab w:val="right" w:pos="9026" w:leader="dot"/>
            </w:tabs>
            <w:rPr/>
          </w:pPr>
          <w:hyperlink w:anchor="__RefHeading___Toc1401420_3650668749">
            <w:r>
              <w:rPr>
                <w:webHidden/>
                <w:rStyle w:val="IndexLink"/>
              </w:rPr>
              <w:t>2</w:t>
            </w:r>
            <w:r>
              <w:rPr>
                <w:rStyle w:val="IndexLink"/>
                <w:rtl w:val="true"/>
              </w:rPr>
              <w:t xml:space="preserve">. </w:t>
            </w:r>
            <w:r>
              <w:rPr>
                <w:rStyle w:val="IndexLink"/>
                <w:rtl w:val="true"/>
              </w:rPr>
              <w:t>السبع المثانی هی فاتحة الکتاب‌</w:t>
            </w:r>
            <w:r>
              <w:rPr>
                <w:rStyle w:val="IndexLink"/>
                <w:rtl w:val="true"/>
              </w:rPr>
              <w:tab/>
            </w:r>
            <w:r>
              <w:rPr>
                <w:rStyle w:val="IndexLink"/>
              </w:rPr>
              <w:t>440</w:t>
            </w:r>
          </w:hyperlink>
        </w:p>
        <w:p>
          <w:pPr>
            <w:pStyle w:val="Contents4"/>
            <w:tabs>
              <w:tab w:val="clear" w:pos="8176"/>
              <w:tab w:val="right" w:pos="9026" w:leader="dot"/>
            </w:tabs>
            <w:rPr/>
          </w:pPr>
          <w:hyperlink w:anchor="__RefHeading___Toc1401422_3650668749">
            <w:r>
              <w:rPr>
                <w:webHidden/>
                <w:rStyle w:val="IndexLink"/>
              </w:rPr>
              <w:t>3</w:t>
            </w:r>
            <w:r>
              <w:rPr>
                <w:rStyle w:val="IndexLink"/>
                <w:rtl w:val="true"/>
              </w:rPr>
              <w:t xml:space="preserve">. </w:t>
            </w:r>
            <w:r>
              <w:rPr>
                <w:rStyle w:val="IndexLink"/>
                <w:rtl w:val="true"/>
              </w:rPr>
              <w:t>فاتحة الکتاب سبع آیات مع البسملة</w:t>
            </w:r>
            <w:r>
              <w:rPr>
                <w:rStyle w:val="IndexLink"/>
                <w:rtl w:val="true"/>
              </w:rPr>
              <w:tab/>
            </w:r>
            <w:r>
              <w:rPr>
                <w:rStyle w:val="IndexLink"/>
              </w:rPr>
              <w:t>446</w:t>
            </w:r>
          </w:hyperlink>
        </w:p>
        <w:p>
          <w:pPr>
            <w:pStyle w:val="Contents4"/>
            <w:tabs>
              <w:tab w:val="clear" w:pos="8176"/>
              <w:tab w:val="right" w:pos="9026" w:leader="dot"/>
            </w:tabs>
            <w:rPr/>
          </w:pPr>
          <w:hyperlink w:anchor="__RefHeading___Toc1401424_3650668749">
            <w:r>
              <w:rPr>
                <w:webHidden/>
                <w:rStyle w:val="IndexLink"/>
              </w:rPr>
              <w:t>4</w:t>
            </w:r>
            <w:r>
              <w:rPr>
                <w:rStyle w:val="IndexLink"/>
                <w:rtl w:val="true"/>
              </w:rPr>
              <w:t xml:space="preserve">. </w:t>
            </w:r>
            <w:r>
              <w:rPr>
                <w:rStyle w:val="IndexLink"/>
                <w:rtl w:val="true"/>
              </w:rPr>
              <w:t>التسمیة ولزوم الجهر بها</w:t>
            </w:r>
            <w:r>
              <w:rPr>
                <w:rStyle w:val="IndexLink"/>
                <w:rtl w:val="true"/>
              </w:rPr>
              <w:tab/>
            </w:r>
            <w:r>
              <w:rPr>
                <w:rStyle w:val="IndexLink"/>
              </w:rPr>
              <w:t>447</w:t>
            </w:r>
          </w:hyperlink>
        </w:p>
        <w:p>
          <w:pPr>
            <w:pStyle w:val="Contents5"/>
            <w:tabs>
              <w:tab w:val="clear" w:pos="7892"/>
              <w:tab w:val="right" w:pos="9026" w:leader="dot"/>
            </w:tabs>
            <w:rPr/>
          </w:pPr>
          <w:hyperlink w:anchor="__RefHeading___Toc1401426_3650668749">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401428_3650668749">
            <w:r>
              <w:rPr>
                <w:webHidden/>
                <w:rStyle w:val="IndexLink"/>
                <w:rtl w:val="true"/>
              </w:rPr>
              <w:t>أئمّة أهل البیت علیهم السلام والجهر بالبسملة</w:t>
            </w:r>
            <w:r>
              <w:rPr>
                <w:rStyle w:val="IndexLink"/>
                <w:rtl w:val="true"/>
              </w:rPr>
              <w:tab/>
            </w:r>
            <w:r>
              <w:rPr>
                <w:rStyle w:val="IndexLink"/>
              </w:rPr>
              <w:t>453</w:t>
            </w:r>
          </w:hyperlink>
        </w:p>
        <w:p>
          <w:pPr>
            <w:pStyle w:val="Contents4"/>
            <w:tabs>
              <w:tab w:val="clear" w:pos="8176"/>
              <w:tab w:val="right" w:pos="9026" w:leader="dot"/>
            </w:tabs>
            <w:rPr/>
          </w:pPr>
          <w:hyperlink w:anchor="__RefHeading___Toc1401430_3650668749">
            <w:r>
              <w:rPr>
                <w:webHidden/>
                <w:rStyle w:val="IndexLink"/>
              </w:rPr>
              <w:t>5</w:t>
            </w:r>
            <w:r>
              <w:rPr>
                <w:rStyle w:val="IndexLink"/>
                <w:rtl w:val="true"/>
              </w:rPr>
              <w:t xml:space="preserve">- </w:t>
            </w:r>
            <w:r>
              <w:rPr>
                <w:rStyle w:val="IndexLink"/>
                <w:rtl w:val="true"/>
              </w:rPr>
              <w:t>التأمین بعد الفاتحة</w:t>
            </w:r>
            <w:r>
              <w:rPr>
                <w:rStyle w:val="IndexLink"/>
                <w:rtl w:val="true"/>
              </w:rPr>
              <w:tab/>
            </w:r>
            <w:r>
              <w:rPr>
                <w:rStyle w:val="IndexLink"/>
              </w:rPr>
              <w:t>456</w:t>
            </w:r>
          </w:hyperlink>
        </w:p>
        <w:p>
          <w:pPr>
            <w:pStyle w:val="Contents4"/>
            <w:tabs>
              <w:tab w:val="clear" w:pos="8176"/>
              <w:tab w:val="right" w:pos="9026" w:leader="dot"/>
            </w:tabs>
            <w:rPr/>
          </w:pPr>
          <w:hyperlink w:anchor="__RefHeading___Toc1401432_3650668749">
            <w:r>
              <w:rPr>
                <w:webHidden/>
                <w:rStyle w:val="IndexLink"/>
              </w:rPr>
              <w:t>6</w:t>
            </w:r>
            <w:r>
              <w:rPr>
                <w:rStyle w:val="IndexLink"/>
                <w:rtl w:val="true"/>
              </w:rPr>
              <w:t xml:space="preserve">- </w:t>
            </w:r>
            <w:r>
              <w:rPr>
                <w:rStyle w:val="IndexLink"/>
                <w:rtl w:val="true"/>
              </w:rPr>
              <w:t>القنوت فی الرکعة الثانیة</w:t>
            </w:r>
            <w:r>
              <w:rPr>
                <w:rStyle w:val="IndexLink"/>
                <w:rtl w:val="true"/>
              </w:rPr>
              <w:tab/>
            </w:r>
            <w:r>
              <w:rPr>
                <w:rStyle w:val="IndexLink"/>
              </w:rPr>
              <w:t>459</w:t>
            </w:r>
          </w:hyperlink>
        </w:p>
        <w:p>
          <w:pPr>
            <w:pStyle w:val="Contents4"/>
            <w:tabs>
              <w:tab w:val="clear" w:pos="8176"/>
              <w:tab w:val="right" w:pos="9026" w:leader="dot"/>
            </w:tabs>
            <w:rPr/>
          </w:pPr>
          <w:hyperlink w:anchor="__RefHeading___Toc1401434_3650668749">
            <w:r>
              <w:rPr>
                <w:webHidden/>
                <w:rStyle w:val="IndexLink"/>
              </w:rPr>
              <w:t>7</w:t>
            </w:r>
            <w:r>
              <w:rPr>
                <w:rStyle w:val="IndexLink"/>
                <w:rtl w:val="true"/>
              </w:rPr>
              <w:t xml:space="preserve">- </w:t>
            </w:r>
            <w:r>
              <w:rPr>
                <w:rStyle w:val="IndexLink"/>
                <w:rtl w:val="true"/>
              </w:rPr>
              <w:t>السجود علی الأرض‌</w:t>
            </w:r>
            <w:r>
              <w:rPr>
                <w:rStyle w:val="IndexLink"/>
                <w:rtl w:val="true"/>
              </w:rPr>
              <w:tab/>
            </w:r>
            <w:r>
              <w:rPr>
                <w:rStyle w:val="IndexLink"/>
              </w:rPr>
              <w:t>461</w:t>
            </w:r>
          </w:hyperlink>
        </w:p>
        <w:p>
          <w:pPr>
            <w:pStyle w:val="Contents5"/>
            <w:tabs>
              <w:tab w:val="clear" w:pos="7892"/>
              <w:tab w:val="right" w:pos="9026" w:leader="dot"/>
            </w:tabs>
            <w:rPr/>
          </w:pPr>
          <w:hyperlink w:anchor="__RefHeading___Toc1401436_3650668749">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401438_3650668749">
            <w:r>
              <w:rPr>
                <w:webHidden/>
                <w:rStyle w:val="IndexLink"/>
              </w:rPr>
              <w:t>1</w:t>
            </w:r>
            <w:r>
              <w:rPr>
                <w:rStyle w:val="IndexLink"/>
                <w:rtl w:val="true"/>
              </w:rPr>
              <w:t xml:space="preserve">. </w:t>
            </w:r>
            <w:r>
              <w:rPr>
                <w:rStyle w:val="IndexLink"/>
                <w:rtl w:val="true"/>
              </w:rPr>
              <w:t>اختلاف الفقهاء فی شرائط المسجود علیه‌</w:t>
            </w:r>
            <w:r>
              <w:rPr>
                <w:rStyle w:val="IndexLink"/>
                <w:rtl w:val="true"/>
              </w:rPr>
              <w:tab/>
            </w:r>
            <w:r>
              <w:rPr>
                <w:rStyle w:val="IndexLink"/>
              </w:rPr>
              <w:t>462</w:t>
            </w:r>
          </w:hyperlink>
        </w:p>
        <w:p>
          <w:pPr>
            <w:pStyle w:val="Contents5"/>
            <w:tabs>
              <w:tab w:val="clear" w:pos="7892"/>
              <w:tab w:val="right" w:pos="9026" w:leader="dot"/>
            </w:tabs>
            <w:rPr/>
          </w:pPr>
          <w:hyperlink w:anchor="__RefHeading___Toc1401440_3650668749">
            <w:r>
              <w:rPr>
                <w:webHidden/>
                <w:rStyle w:val="IndexLink"/>
              </w:rPr>
              <w:t>2</w:t>
            </w:r>
            <w:r>
              <w:rPr>
                <w:rStyle w:val="IndexLink"/>
                <w:rtl w:val="true"/>
              </w:rPr>
              <w:t xml:space="preserve">. </w:t>
            </w:r>
            <w:r>
              <w:rPr>
                <w:rStyle w:val="IndexLink"/>
                <w:rtl w:val="true"/>
              </w:rPr>
              <w:t>الفرق بین المسجود له والمسجود علیه‌</w:t>
            </w:r>
            <w:r>
              <w:rPr>
                <w:rStyle w:val="IndexLink"/>
                <w:rtl w:val="true"/>
              </w:rPr>
              <w:tab/>
            </w:r>
            <w:r>
              <w:rPr>
                <w:rStyle w:val="IndexLink"/>
              </w:rPr>
              <w:t>466</w:t>
            </w:r>
          </w:hyperlink>
        </w:p>
        <w:p>
          <w:pPr>
            <w:pStyle w:val="Contents5"/>
            <w:tabs>
              <w:tab w:val="clear" w:pos="7892"/>
              <w:tab w:val="right" w:pos="9026" w:leader="dot"/>
            </w:tabs>
            <w:rPr/>
          </w:pPr>
          <w:hyperlink w:anchor="__RefHeading___Toc1401442_3650668749">
            <w:r>
              <w:rPr>
                <w:webHidden/>
                <w:rStyle w:val="IndexLink"/>
              </w:rPr>
              <w:t>3</w:t>
            </w:r>
            <w:r>
              <w:rPr>
                <w:rStyle w:val="IndexLink"/>
                <w:rtl w:val="true"/>
              </w:rPr>
              <w:t xml:space="preserve">. </w:t>
            </w:r>
            <w:r>
              <w:rPr>
                <w:rStyle w:val="IndexLink"/>
                <w:rtl w:val="true"/>
              </w:rPr>
              <w:t>السنّة فی السجود فی عصر الرسول صلی الله علیه و آله و سلم وبعده‌</w:t>
            </w:r>
            <w:r>
              <w:rPr>
                <w:rStyle w:val="IndexLink"/>
                <w:rtl w:val="true"/>
              </w:rPr>
              <w:tab/>
            </w:r>
            <w:r>
              <w:rPr>
                <w:rStyle w:val="IndexLink"/>
              </w:rPr>
              <w:t>467</w:t>
            </w:r>
          </w:hyperlink>
        </w:p>
        <w:p>
          <w:pPr>
            <w:pStyle w:val="Contents6"/>
            <w:tabs>
              <w:tab w:val="clear" w:pos="7609"/>
              <w:tab w:val="right" w:pos="9026" w:leader="dot"/>
            </w:tabs>
            <w:rPr/>
          </w:pPr>
          <w:hyperlink w:anchor="__RefHeading___Toc1401444_3650668749">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1401446_3650668749">
            <w:r>
              <w:rPr>
                <w:webHidden/>
                <w:rStyle w:val="IndexLink"/>
                <w:rtl w:val="true"/>
              </w:rPr>
              <w:t>المرحلة الا ولی</w:t>
            </w:r>
            <w:r>
              <w:rPr>
                <w:rStyle w:val="IndexLink"/>
                <w:rtl w:val="true"/>
              </w:rPr>
              <w:t xml:space="preserve">: </w:t>
            </w:r>
            <w:r>
              <w:rPr>
                <w:rStyle w:val="IndexLink"/>
                <w:rtl w:val="true"/>
              </w:rPr>
              <w:t>السجود علی الأرض</w:t>
            </w:r>
            <w:r>
              <w:rPr>
                <w:rStyle w:val="IndexLink"/>
                <w:rtl w:val="true"/>
              </w:rPr>
              <w:t>:</w:t>
              <w:tab/>
            </w:r>
            <w:r>
              <w:rPr>
                <w:rStyle w:val="IndexLink"/>
              </w:rPr>
              <w:t>468</w:t>
            </w:r>
          </w:hyperlink>
        </w:p>
        <w:p>
          <w:pPr>
            <w:pStyle w:val="Contents6"/>
            <w:tabs>
              <w:tab w:val="clear" w:pos="7609"/>
              <w:tab w:val="right" w:pos="9026" w:leader="dot"/>
            </w:tabs>
            <w:rPr/>
          </w:pPr>
          <w:hyperlink w:anchor="__RefHeading___Toc1401448_3650668749">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1401450_3650668749">
            <w:r>
              <w:rPr>
                <w:webHidden/>
                <w:rStyle w:val="IndexLink"/>
                <w:rtl w:val="true"/>
              </w:rPr>
              <w:t>الأمر بتتریب الجبهة</w:t>
            </w:r>
            <w:r>
              <w:rPr>
                <w:rStyle w:val="IndexLink"/>
                <w:rtl w:val="true"/>
              </w:rPr>
              <w:tab/>
            </w:r>
            <w:r>
              <w:rPr>
                <w:rStyle w:val="IndexLink"/>
              </w:rPr>
              <w:t>471</w:t>
            </w:r>
          </w:hyperlink>
        </w:p>
        <w:p>
          <w:pPr>
            <w:pStyle w:val="Contents6"/>
            <w:tabs>
              <w:tab w:val="clear" w:pos="7609"/>
              <w:tab w:val="right" w:pos="9026" w:leader="dot"/>
            </w:tabs>
            <w:rPr/>
          </w:pPr>
          <w:hyperlink w:anchor="__RefHeading___Toc1401452_3650668749">
            <w:r>
              <w:rPr>
                <w:webHidden/>
                <w:rStyle w:val="IndexLink"/>
                <w:rtl w:val="true"/>
              </w:rPr>
              <w:t>الأمر بحسر العمامة عن الجبهة</w:t>
            </w:r>
            <w:r>
              <w:rPr>
                <w:rStyle w:val="IndexLink"/>
                <w:rtl w:val="true"/>
              </w:rPr>
              <w:tab/>
            </w:r>
            <w:r>
              <w:rPr>
                <w:rStyle w:val="IndexLink"/>
              </w:rPr>
              <w:t>472</w:t>
            </w:r>
          </w:hyperlink>
        </w:p>
        <w:p>
          <w:pPr>
            <w:pStyle w:val="Contents6"/>
            <w:tabs>
              <w:tab w:val="clear" w:pos="7609"/>
              <w:tab w:val="right" w:pos="9026" w:leader="dot"/>
            </w:tabs>
            <w:rPr/>
          </w:pPr>
          <w:hyperlink w:anchor="__RefHeading___Toc1401454_3650668749">
            <w:r>
              <w:rPr>
                <w:webHidden/>
                <w:rStyle w:val="IndexLink"/>
                <w:rtl w:val="true"/>
              </w:rPr>
              <w:t>المرحلة الثانیة</w:t>
            </w:r>
            <w:r>
              <w:rPr>
                <w:rStyle w:val="IndexLink"/>
                <w:rtl w:val="true"/>
              </w:rPr>
              <w:t xml:space="preserve">: </w:t>
            </w:r>
            <w:r>
              <w:rPr>
                <w:rStyle w:val="IndexLink"/>
                <w:rtl w:val="true"/>
              </w:rPr>
              <w:t>الترخیص فی السجود علی الخُمر والحصر</w:t>
            </w:r>
            <w:r>
              <w:rPr>
                <w:rStyle w:val="IndexLink"/>
                <w:rtl w:val="true"/>
              </w:rPr>
              <w:tab/>
            </w:r>
            <w:r>
              <w:rPr>
                <w:rStyle w:val="IndexLink"/>
              </w:rPr>
              <w:t>473</w:t>
            </w:r>
          </w:hyperlink>
        </w:p>
        <w:p>
          <w:pPr>
            <w:pStyle w:val="Contents6"/>
            <w:tabs>
              <w:tab w:val="clear" w:pos="7609"/>
              <w:tab w:val="right" w:pos="9026" w:leader="dot"/>
            </w:tabs>
            <w:rPr/>
          </w:pPr>
          <w:hyperlink w:anchor="__RefHeading___Toc1401456_3650668749">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1401458_3650668749">
            <w:r>
              <w:rPr>
                <w:webHidden/>
                <w:rStyle w:val="IndexLink"/>
                <w:rtl w:val="true"/>
              </w:rPr>
              <w:t>السجود علی الثیاب لعذر</w:t>
            </w:r>
            <w:r>
              <w:rPr>
                <w:rStyle w:val="IndexLink"/>
                <w:rtl w:val="true"/>
              </w:rPr>
              <w:t>:</w:t>
              <w:tab/>
            </w:r>
            <w:r>
              <w:rPr>
                <w:rStyle w:val="IndexLink"/>
              </w:rPr>
              <w:t>474</w:t>
            </w:r>
          </w:hyperlink>
        </w:p>
        <w:p>
          <w:pPr>
            <w:pStyle w:val="Contents6"/>
            <w:tabs>
              <w:tab w:val="clear" w:pos="7609"/>
              <w:tab w:val="right" w:pos="9026" w:leader="dot"/>
            </w:tabs>
            <w:rPr/>
          </w:pPr>
          <w:hyperlink w:anchor="__RefHeading___Toc1401460_3650668749">
            <w:r>
              <w:rPr>
                <w:webHidden/>
                <w:rStyle w:val="IndexLink"/>
                <w:rtl w:val="true"/>
              </w:rPr>
              <w:t>حصیلة البحث</w:t>
            </w:r>
            <w:r>
              <w:rPr>
                <w:rStyle w:val="IndexLink"/>
                <w:rtl w:val="true"/>
              </w:rPr>
              <w:t>:</w:t>
              <w:tab/>
            </w:r>
            <w:r>
              <w:rPr>
                <w:rStyle w:val="IndexLink"/>
              </w:rPr>
              <w:t>477</w:t>
            </w:r>
          </w:hyperlink>
        </w:p>
        <w:p>
          <w:pPr>
            <w:pStyle w:val="Contents6"/>
            <w:tabs>
              <w:tab w:val="clear" w:pos="7609"/>
              <w:tab w:val="right" w:pos="9026" w:leader="dot"/>
            </w:tabs>
            <w:rPr/>
          </w:pPr>
          <w:hyperlink w:anchor="__RefHeading___Toc1401462_3650668749">
            <w:r>
              <w:rPr>
                <w:webHidden/>
                <w:rStyle w:val="IndexLink"/>
                <w:rtl w:val="true"/>
              </w:rPr>
              <w:t>ما هو السرّ فی اتّخاذ تربة طاهرة؟</w:t>
            </w:r>
            <w:r>
              <w:rPr>
                <w:rStyle w:val="IndexLink"/>
                <w:rtl w:val="true"/>
              </w:rPr>
              <w:tab/>
            </w:r>
            <w:r>
              <w:rPr>
                <w:rStyle w:val="IndexLink"/>
              </w:rPr>
              <w:t>477</w:t>
            </w:r>
          </w:hyperlink>
        </w:p>
        <w:p>
          <w:pPr>
            <w:pStyle w:val="Contents4"/>
            <w:tabs>
              <w:tab w:val="clear" w:pos="8176"/>
              <w:tab w:val="right" w:pos="9026" w:leader="dot"/>
            </w:tabs>
            <w:rPr/>
          </w:pPr>
          <w:hyperlink w:anchor="__RefHeading___Toc1401464_3650668749">
            <w:r>
              <w:rPr>
                <w:webHidden/>
                <w:rStyle w:val="IndexLink"/>
              </w:rPr>
              <w:t>8</w:t>
            </w:r>
            <w:r>
              <w:rPr>
                <w:rStyle w:val="IndexLink"/>
                <w:rtl w:val="true"/>
              </w:rPr>
              <w:t xml:space="preserve">- </w:t>
            </w:r>
            <w:r>
              <w:rPr>
                <w:rStyle w:val="IndexLink"/>
                <w:rtl w:val="true"/>
              </w:rPr>
              <w:t>الجلوس بعد رفع الرأس من السجدة الثانیة</w:t>
            </w:r>
            <w:r>
              <w:rPr>
                <w:rStyle w:val="IndexLink"/>
                <w:rtl w:val="true"/>
              </w:rPr>
              <w:tab/>
            </w:r>
            <w:r>
              <w:rPr>
                <w:rStyle w:val="IndexLink"/>
              </w:rPr>
              <w:t>482</w:t>
            </w:r>
          </w:hyperlink>
        </w:p>
        <w:p>
          <w:pPr>
            <w:pStyle w:val="Contents4"/>
            <w:tabs>
              <w:tab w:val="clear" w:pos="8176"/>
              <w:tab w:val="right" w:pos="9026" w:leader="dot"/>
            </w:tabs>
            <w:rPr/>
          </w:pPr>
          <w:hyperlink w:anchor="__RefHeading___Toc1401466_3650668749">
            <w:r>
              <w:rPr>
                <w:webHidden/>
                <w:rStyle w:val="IndexLink"/>
              </w:rPr>
              <w:t>9</w:t>
            </w:r>
            <w:r>
              <w:rPr>
                <w:rStyle w:val="IndexLink"/>
                <w:rtl w:val="true"/>
              </w:rPr>
              <w:t xml:space="preserve">- </w:t>
            </w:r>
            <w:r>
              <w:rPr>
                <w:rStyle w:val="IndexLink"/>
                <w:rtl w:val="true"/>
              </w:rPr>
              <w:t>کیفیة التشهد والتسلیم‌</w:t>
            </w:r>
            <w:r>
              <w:rPr>
                <w:rStyle w:val="IndexLink"/>
                <w:rtl w:val="true"/>
              </w:rPr>
              <w:tab/>
            </w:r>
            <w:r>
              <w:rPr>
                <w:rStyle w:val="IndexLink"/>
              </w:rPr>
              <w:t>482</w:t>
            </w:r>
          </w:hyperlink>
        </w:p>
        <w:p>
          <w:pPr>
            <w:pStyle w:val="Contents4"/>
            <w:tabs>
              <w:tab w:val="clear" w:pos="8176"/>
              <w:tab w:val="right" w:pos="9026" w:leader="dot"/>
            </w:tabs>
            <w:rPr/>
          </w:pPr>
          <w:hyperlink w:anchor="__RefHeading___Toc1401468_3650668749">
            <w:r>
              <w:rPr>
                <w:webHidden/>
                <w:rStyle w:val="IndexLink"/>
              </w:rPr>
              <w:t>10</w:t>
            </w:r>
            <w:r>
              <w:rPr>
                <w:rStyle w:val="IndexLink"/>
                <w:rtl w:val="true"/>
              </w:rPr>
              <w:t xml:space="preserve">- </w:t>
            </w:r>
            <w:r>
              <w:rPr>
                <w:rStyle w:val="IndexLink"/>
                <w:rtl w:val="true"/>
              </w:rPr>
              <w:t>الجمع بین الصلاتین فی الحضر اختیاراً</w:t>
            </w:r>
            <w:r>
              <w:rPr>
                <w:rStyle w:val="IndexLink"/>
                <w:rtl w:val="true"/>
              </w:rPr>
              <w:tab/>
            </w:r>
            <w:r>
              <w:rPr>
                <w:rStyle w:val="IndexLink"/>
              </w:rPr>
              <w:t>485</w:t>
            </w:r>
          </w:hyperlink>
        </w:p>
        <w:p>
          <w:pPr>
            <w:pStyle w:val="Contents5"/>
            <w:tabs>
              <w:tab w:val="clear" w:pos="7892"/>
              <w:tab w:val="right" w:pos="9026" w:leader="dot"/>
            </w:tabs>
            <w:rPr/>
          </w:pPr>
          <w:hyperlink w:anchor="__RefHeading___Toc1401470_3650668749">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401472_3650668749">
            <w:r>
              <w:rPr>
                <w:webHidden/>
                <w:rStyle w:val="IndexLink"/>
                <w:rtl w:val="true"/>
              </w:rPr>
              <w:t xml:space="preserve">*** </w:t>
            </w:r>
            <w:r>
              <w:rPr>
                <w:rStyle w:val="IndexLink"/>
                <w:rtl w:val="true"/>
              </w:rPr>
              <w:t>التنویع فی الوقت فی فقه السنّة</w:t>
            </w:r>
            <w:r>
              <w:rPr>
                <w:rStyle w:val="IndexLink"/>
                <w:rtl w:val="true"/>
              </w:rPr>
              <w:tab/>
            </w:r>
            <w:r>
              <w:rPr>
                <w:rStyle w:val="IndexLink"/>
              </w:rPr>
              <w:t>490</w:t>
            </w:r>
          </w:hyperlink>
        </w:p>
        <w:p>
          <w:pPr>
            <w:pStyle w:val="Contents5"/>
            <w:tabs>
              <w:tab w:val="clear" w:pos="7892"/>
              <w:tab w:val="right" w:pos="9026" w:leader="dot"/>
            </w:tabs>
            <w:rPr/>
          </w:pPr>
          <w:hyperlink w:anchor="__RefHeading___Toc1401474_3650668749">
            <w:r>
              <w:rPr>
                <w:webHidden/>
                <w:rStyle w:val="IndexLink"/>
                <w:rtl w:val="true"/>
              </w:rPr>
              <w:t>من یوافق الإمامیة بعض الموافقة</w:t>
            </w:r>
            <w:r>
              <w:rPr>
                <w:rStyle w:val="IndexLink"/>
                <w:rtl w:val="true"/>
              </w:rPr>
              <w:tab/>
            </w:r>
            <w:r>
              <w:rPr>
                <w:rStyle w:val="IndexLink"/>
              </w:rPr>
              <w:t>491</w:t>
            </w:r>
          </w:hyperlink>
        </w:p>
        <w:p>
          <w:pPr>
            <w:pStyle w:val="Contents5"/>
            <w:tabs>
              <w:tab w:val="clear" w:pos="7892"/>
              <w:tab w:val="right" w:pos="9026" w:leader="dot"/>
            </w:tabs>
            <w:rPr/>
          </w:pPr>
          <w:hyperlink w:anchor="__RefHeading___Toc1401476_3650668749">
            <w:r>
              <w:rPr>
                <w:webHidden/>
                <w:rStyle w:val="IndexLink"/>
                <w:rtl w:val="true"/>
              </w:rPr>
              <w:t>من یوافق الإمامیة تمام الموافقة من السنّة</w:t>
            </w:r>
            <w:r>
              <w:rPr>
                <w:rStyle w:val="IndexLink"/>
                <w:rtl w:val="true"/>
              </w:rPr>
              <w:tab/>
            </w:r>
            <w:r>
              <w:rPr>
                <w:rStyle w:val="IndexLink"/>
              </w:rPr>
              <w:t>492</w:t>
            </w:r>
          </w:hyperlink>
        </w:p>
        <w:p>
          <w:pPr>
            <w:pStyle w:val="Contents5"/>
            <w:tabs>
              <w:tab w:val="clear" w:pos="7892"/>
              <w:tab w:val="right" w:pos="9026" w:leader="dot"/>
            </w:tabs>
            <w:rPr/>
          </w:pPr>
          <w:hyperlink w:anchor="__RefHeading___Toc1401478_3650668749">
            <w:r>
              <w:rPr>
                <w:webHidden/>
                <w:rStyle w:val="IndexLink"/>
                <w:rtl w:val="true"/>
              </w:rPr>
              <w:t>الکتاب والجمع بین الصلاتین‌</w:t>
            </w:r>
            <w:r>
              <w:rPr>
                <w:rStyle w:val="IndexLink"/>
                <w:rtl w:val="true"/>
              </w:rPr>
              <w:tab/>
            </w:r>
            <w:r>
              <w:rPr>
                <w:rStyle w:val="IndexLink"/>
              </w:rPr>
              <w:t>493</w:t>
            </w:r>
          </w:hyperlink>
        </w:p>
        <w:p>
          <w:pPr>
            <w:pStyle w:val="Contents5"/>
            <w:tabs>
              <w:tab w:val="clear" w:pos="7892"/>
              <w:tab w:val="right" w:pos="9026" w:leader="dot"/>
            </w:tabs>
            <w:rPr/>
          </w:pPr>
          <w:hyperlink w:anchor="__RefHeading___Toc1401480_3650668749">
            <w:r>
              <w:rPr>
                <w:webHidden/>
                <w:rStyle w:val="IndexLink"/>
                <w:rtl w:val="true"/>
              </w:rPr>
              <w:t>السنّة والجمع بین الصلاتین فی الحضر اختیاراً</w:t>
            </w:r>
            <w:r>
              <w:rPr>
                <w:rStyle w:val="IndexLink"/>
                <w:rtl w:val="true"/>
              </w:rPr>
              <w:tab/>
            </w:r>
            <w:r>
              <w:rPr>
                <w:rStyle w:val="IndexLink"/>
              </w:rPr>
              <w:t>496</w:t>
            </w:r>
          </w:hyperlink>
        </w:p>
        <w:p>
          <w:pPr>
            <w:pStyle w:val="Contents5"/>
            <w:tabs>
              <w:tab w:val="clear" w:pos="7892"/>
              <w:tab w:val="right" w:pos="9026" w:leader="dot"/>
            </w:tabs>
            <w:rPr/>
          </w:pPr>
          <w:hyperlink w:anchor="__RefHeading___Toc1401482_3650668749">
            <w:r>
              <w:rPr>
                <w:webHidden/>
                <w:rStyle w:val="IndexLink"/>
                <w:rtl w:val="true"/>
              </w:rPr>
              <w:t>تبریرات لرفض الجمع بین الصلاتین‌</w:t>
            </w:r>
            <w:r>
              <w:rPr>
                <w:rStyle w:val="IndexLink"/>
                <w:rtl w:val="true"/>
              </w:rPr>
              <w:tab/>
            </w:r>
            <w:r>
              <w:rPr>
                <w:rStyle w:val="IndexLink"/>
              </w:rPr>
              <w:t>505</w:t>
            </w:r>
          </w:hyperlink>
        </w:p>
        <w:p>
          <w:pPr>
            <w:pStyle w:val="Contents5"/>
            <w:tabs>
              <w:tab w:val="clear" w:pos="7892"/>
              <w:tab w:val="right" w:pos="9026" w:leader="dot"/>
            </w:tabs>
            <w:rPr/>
          </w:pPr>
          <w:hyperlink w:anchor="__RefHeading___Toc1401484_3650668749">
            <w:r>
              <w:rPr>
                <w:webHidden/>
                <w:rStyle w:val="IndexLink"/>
                <w:rtl w:val="true"/>
              </w:rPr>
              <w:t>الجمع کان صوریّاً</w:t>
            </w:r>
            <w:r>
              <w:rPr>
                <w:rStyle w:val="IndexLink"/>
                <w:rtl w:val="true"/>
              </w:rPr>
              <w:tab/>
            </w:r>
            <w:r>
              <w:rPr>
                <w:rStyle w:val="IndexLink"/>
              </w:rPr>
              <w:t>505</w:t>
            </w:r>
          </w:hyperlink>
        </w:p>
        <w:p>
          <w:pPr>
            <w:pStyle w:val="Contents2"/>
            <w:tabs>
              <w:tab w:val="clear" w:pos="8743"/>
              <w:tab w:val="right" w:pos="9026" w:leader="dot"/>
            </w:tabs>
            <w:rPr/>
          </w:pPr>
          <w:hyperlink w:anchor="__RefHeading___Toc1401486_3650668749">
            <w:r>
              <w:rPr>
                <w:webHidden/>
                <w:rStyle w:val="IndexLink"/>
                <w:rtl w:val="true"/>
              </w:rPr>
              <w:t>الفهارس‌</w:t>
            </w:r>
            <w:r>
              <w:rPr>
                <w:rStyle w:val="IndexLink"/>
                <w:rtl w:val="true"/>
              </w:rPr>
              <w:tab/>
            </w:r>
            <w:r>
              <w:rPr>
                <w:rStyle w:val="IndexLink"/>
              </w:rPr>
              <w:t>509</w:t>
            </w:r>
          </w:hyperlink>
        </w:p>
        <w:p>
          <w:pPr>
            <w:pStyle w:val="Contents2"/>
            <w:tabs>
              <w:tab w:val="clear" w:pos="8743"/>
              <w:tab w:val="right" w:pos="9026" w:leader="dot"/>
            </w:tabs>
            <w:rPr/>
          </w:pPr>
          <w:hyperlink w:anchor="__RefHeading___Toc1401488_3650668749">
            <w:r>
              <w:rPr>
                <w:webHidden/>
                <w:rStyle w:val="IndexLink"/>
                <w:rtl w:val="true"/>
              </w:rPr>
              <w:t>فهرس المصادر</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0_12866"/>
      <w:bookmarkStart w:id="1" w:name="pg1680_12866"/>
      <w:bookmarkEnd w:id="1"/>
    </w:p>
    <w:p>
      <w:pPr>
        <w:pStyle w:val="Heading2"/>
        <w:numPr>
          <w:ilvl w:val="1"/>
          <w:numId w:val="1"/>
        </w:numPr>
        <w:rPr/>
      </w:pPr>
      <w:bookmarkStart w:id="2" w:name="pg1680_12866"/>
      <w:bookmarkStart w:id="3" w:name="__RefHeading___Toc140072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دلیل‌المرشدین الی‌الحق‌الیقین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موضوعه‌الاهم‌المسائل‌الاصولیه و‌الفرعیه، تنبثق من معطیات‌الکتاب و‌السنه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0728_3650668749"/>
      <w:bookmarkStart w:id="6" w:name="_Toc2"/>
      <w:bookmarkEnd w:id="5"/>
      <w:r>
        <w:rPr>
          <w:rtl w:val="true"/>
        </w:rPr>
        <w:t>اشارة</w:t>
      </w:r>
      <w:bookmarkStart w:id="7" w:name="pg1680_12870"/>
      <w:bookmarkEnd w:id="6"/>
    </w:p>
    <w:p>
      <w:pPr>
        <w:pStyle w:val="Heading2"/>
        <w:numPr>
          <w:ilvl w:val="1"/>
          <w:numId w:val="1"/>
        </w:numPr>
        <w:rPr/>
      </w:pPr>
      <w:bookmarkStart w:id="8" w:name="__RefHeading___Toc1400730_3650668749"/>
      <w:bookmarkStart w:id="9" w:name="_Toc3"/>
      <w:bookmarkEnd w:id="7"/>
      <w:bookmarkEnd w:id="8"/>
      <w:r>
        <w:rPr>
          <w:rtl w:val="true"/>
        </w:rPr>
        <w:t>مقدمة الممثلیة</w:t>
      </w:r>
      <w:bookmarkEnd w:id="9"/>
    </w:p>
    <w:p>
      <w:pPr>
        <w:pStyle w:val="BookText"/>
        <w:rPr/>
      </w:pPr>
      <w:r>
        <w:rPr>
          <w:rFonts w:ascii="IRNazanin" w:hAnsi="IRNazanin" w:eastAsia="IRNazanin"/>
          <w:color w:val="111111"/>
          <w:sz w:val="28"/>
          <w:sz w:val="28"/>
          <w:szCs w:val="28"/>
          <w:rtl w:val="true"/>
          <w:lang w:bidi="fa-IR"/>
        </w:rPr>
        <w:t>الحمد للَّه‌الّذی لا تدرکه العیون بمشاهدة الْعِیَانِ، ولکن تدرکه القلوب بحقائق الإیمان، قریب من الأشیاء غیر ملابس، بعید منها غیر 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من أصطفاه اللَّه من الأوّلین والآخرین محمد وآله الأئمة الطیبین الطاهرین، صلاة دائمة لا نهایة لها ولا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فالحج عمل رمزی لکثیر من العبادات الّتی وردت فی الشریعة و اقترنت بظروف خاصة، وهو بمفرده مظهر لها ومجسِّد لکثیر منها، حیث نجدُ فیه الأعمال المعبّرةَ عن جانبه العبادی،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والطهارة من الحدث و الخبث، والصلاة، والصوم، والطواف بالبیت، والذبح للَّه، وإطعام القانع والمعتر من اللحوم، والاعتکاف الّذی یجسده الوقوف فی المشاعر، ورجم الشیطان عدو الإنسان الأوّل الّذی یوسوس فی صدره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عطاءات فی المجال الاجتماعی، إذ یوفّر فرصة سانحة للتفاهم وتوثیق العلاقات بین الأفراد والشعوب علی اختلاف ألوانهم وقومیاتهم ومذاهبهم، کما یتیح للمفکّرین والعلماء فی شتی الحقول إمکانیة اللقاء لتبادل الأفکار ووجهات النظر بشأن القضایا</w:t>
      </w:r>
    </w:p>
    <w:p>
      <w:pPr>
        <w:pStyle w:val="BookText"/>
        <w:rPr/>
      </w:pPr>
      <w:r>
        <w:rPr>
          <w:rFonts w:ascii="Amiri" w:hAnsi="Amiri" w:eastAsia="Amiri" w:cs="Amiri"/>
          <w:color w:val="111111"/>
          <w:sz w:val="28"/>
          <w:sz w:val="28"/>
          <w:szCs w:val="28"/>
          <w:rtl w:val="true"/>
          <w:lang w:bidi="ar-SA"/>
        </w:rPr>
        <w:t>الّتی تهمّ الأُمّة الإسلامیة، ودراسة المشاکل والمعوّقات الّتی تعترض سبل تقدّمهم ونهضتهم، وإلی ذلک أشار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وفی کلّ موسم من مواسم الحج، یتشرّف بزیارة الحرم المکی والنبوی أعداد غفیرة من أتباع مدرسة أهل البیت علیهم السلام ویلتقون باخوانهم فی شتّی المواقف والمشاهد، وهم جمیعاً أغصان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التوحید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یوحّدون اللَّه تبارک وتعالی، ویؤمنون بأنبیائه ورسله، وبالیوم الآخر، ویصلون ویصومون ویزکّون ویحجّون بیته الحرام ویأتون بفرائض الحج وسننه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خلال تلک اللقاءات تُثار أسئلة حول الشیعة وأُصولها وفروعها، بهدف التعرف علی جذور المذهب وواقعه وأهدافه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یدعو مرشدی قوافل الحج إلی أن یکونوا علی أتمّ الاستعداد للإجابة الصحیحة والکاملة عن الأسئلة المطروحة، وتحلیل الشبهات العالقة فی أذهان أخوانهم والإجابة عنها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تنمیة القدرات العلمیة وتسدید مواهب المرشدین وقابلیّاتهم قامت معاونیة شؤون التعلیم والبحوث الإسلامیة التابعة لممثَّلیة الولی الفقیه لشؤون الحج والزیارة، بنشر هذا الکتاب بینهم وبین سائر</w:t>
      </w:r>
    </w:p>
    <w:p>
      <w:pPr>
        <w:pStyle w:val="BookText"/>
        <w:rPr/>
      </w:pPr>
      <w:r>
        <w:rPr>
          <w:rFonts w:ascii="IRNazanin" w:hAnsi="IRNazanin" w:eastAsia="IRNazanin"/>
          <w:color w:val="111111"/>
          <w:sz w:val="28"/>
          <w:sz w:val="28"/>
          <w:szCs w:val="28"/>
          <w:rtl w:val="true"/>
          <w:lang w:bidi="fa-IR"/>
        </w:rPr>
        <w:t>المؤمنین الواعین المرافقین للحجاج الکرام علی أمل أن یکون خطوة مبارکة علی طریق توحید الکلمة وتعزیز الوحدة، إذ تتجلّی فی طیات هذا الکتاب آفاق الوحدة الإسلامیة، مُثبِتاً بوضوح أنّ ما یجمع المسلمین أکثر ممّا یفرّقهم ویشتّتهم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یُعدّ من آثار عالم کبیر کرسّ عمره فی تحقیق معالم الدین والأحکام الشرعیة والمسائل العقائدیة وخدم الإسلام والمسلمین بقلمه وبنانه ولسانه وبیانه، ألا وهو سماحة الشیخ آیة اللَّه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 ندعو اللَّه له بطول العمر ودوام التوفیق لخدمة الدین، نرجو من مرشدی قوافل الحج الاهتمام بمحتویات هذا السفر القیّم والتمعّن فیه وقراءته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pStyle w:val="BookText"/>
        <w:rPr/>
      </w:pPr>
      <w:r>
        <w:rPr>
          <w:rFonts w:ascii="IRNazanin" w:hAnsi="IRNazanin" w:eastAsia="IRNazanin"/>
          <w:color w:val="111111"/>
          <w:sz w:val="28"/>
          <w:sz w:val="28"/>
          <w:szCs w:val="28"/>
          <w:rtl w:val="true"/>
          <w:lang w:bidi="fa-IR"/>
        </w:rPr>
        <w:t>معاونیة</w:t>
      </w:r>
    </w:p>
    <w:p>
      <w:pPr>
        <w:pStyle w:val="BookText"/>
        <w:rPr/>
      </w:pPr>
      <w:r>
        <w:rPr>
          <w:rFonts w:ascii="IRNazanin" w:hAnsi="IRNazanin" w:eastAsia="IRNazanin"/>
          <w:color w:val="111111"/>
          <w:sz w:val="28"/>
          <w:sz w:val="28"/>
          <w:szCs w:val="28"/>
          <w:rtl w:val="true"/>
          <w:lang w:bidi="fa-IR"/>
        </w:rPr>
        <w:t>شؤون التعلیم والبحوث الإسلامیة</w:t>
      </w:r>
    </w:p>
    <w:p>
      <w:pPr>
        <w:pStyle w:val="BookText"/>
        <w:rPr/>
      </w:pPr>
      <w:r>
        <w:rPr>
          <w:rFonts w:ascii="IRNazanin" w:hAnsi="IRNazanin" w:eastAsia="IRNazanin"/>
          <w:color w:val="111111"/>
          <w:sz w:val="28"/>
          <w:sz w:val="28"/>
          <w:szCs w:val="28"/>
          <w:rtl w:val="true"/>
          <w:lang w:bidi="fa-IR"/>
        </w:rPr>
        <w:t>ممثلیة الولی الفقیه لشؤون الحج والزیارة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1680_12874"/>
    </w:p>
    <w:p>
      <w:pPr>
        <w:pStyle w:val="Heading2"/>
        <w:numPr>
          <w:ilvl w:val="1"/>
          <w:numId w:val="1"/>
        </w:numPr>
        <w:rPr/>
      </w:pPr>
      <w:bookmarkStart w:id="11" w:name="__RefHeading___Toc1400732_3650668749"/>
      <w:bookmarkStart w:id="12" w:name="_Toc4"/>
      <w:bookmarkEnd w:id="10"/>
      <w:bookmarkEnd w:id="11"/>
      <w:r>
        <w:rPr>
          <w:rtl w:val="true"/>
        </w:rPr>
        <w:t>مقدمة آیة الله جعفر سبحانی‌</w:t>
      </w:r>
      <w:bookmarkEnd w:id="12"/>
    </w:p>
    <w:p>
      <w:pPr>
        <w:pStyle w:val="BookText"/>
        <w:rPr/>
      </w:pPr>
      <w:r>
        <w:rPr>
          <w:rFonts w:ascii="IRNazanin" w:hAnsi="IRNazanin" w:eastAsia="IRNazanin"/>
          <w:color w:val="111111"/>
          <w:sz w:val="28"/>
          <w:sz w:val="28"/>
          <w:szCs w:val="28"/>
          <w:rtl w:val="true"/>
          <w:lang w:bidi="fa-IR"/>
        </w:rPr>
        <w:t>الحمد للَّه‌ربِّ العالمین، والصلاة والسلام علی خاتم النبیین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یشک ذو مسکة أنّ المسلمین فی هذا العصر بأمسّ الحاجة إلی توحید الکلمة وتقریب الخطی من الأزمنة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إنّنا نعیش فی وقت عصیب تحالفت فیه قوی الکفر والاستعمار علی محق الإسلام ومحاصرة المسلمین بمختلف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یدعو المسلمین إلی التآلف والتکاتف ونبذ عوامل التفرقة والتشتّت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حثّ سبحانه فی العدید من الآیات علی التآزر والتلاحم والاعتصام بحبل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 لَا تَفَرَّقُوا وَ 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حذّر سبحانه من التفرّق والتشتّت مخاطباً نبیّه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کَانُوا شِیَعاً لَسْتَ مِنْهُمْ فِی شَی‌ءْ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وانطلاقاً من هذه الآیات یجب علی کلّ مثقف وکاتب مسلم أن یسلک فی محاضراته ومقالاته وکتاباته سبیل الوحدة، ویتحرّز عمّا یوجب العداء والبغضاء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عناصر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الشیعة وسائر الفرق الإسلامیة کثیرة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یجدر بنا جمیعاً التمسّک بالأُصول المتّفق علیها والإغماض عن عناصر الفرقة، غیر أنّ هذا الإغماض لا یعنی أبداً إیقاف البحث الموضوعی والدراسة المنطقیة فی هذه المجالات، فإنّ ممارستهما علی ضوء الکتاب والسنّة والعقل وبأسلوب لا یخلّ بنظام الوحدة، أمر مهمٌ فی تجلیة الحقائق وتنمیة الوعی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وتحقیقاً لهذه الأهداف قمنا بتألیف هذا الکتاب علی ضوء المصادر الصحیحة فی المسائل الّتی اتّفق فیها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مباحث التوحید والنبوة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اختلفوا فیه من المسائل الفرعیة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یطالع هذا الکتاب یجد أنّ الغایة منه إنّما هی توضیح الحق وإبرازه، وإماطة اللثام عن وجه الحقیقة، دون أن یرافق ذلک هدف أو غایة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من وراء القصد</w:t>
      </w:r>
    </w:p>
    <w:p>
      <w:pPr>
        <w:pStyle w:val="BookText"/>
        <w:rPr/>
      </w:pPr>
      <w:r>
        <w:rPr>
          <w:rFonts w:ascii="IRNazanin" w:hAnsi="IRNazanin" w:eastAsia="IRNazanin"/>
          <w:color w:val="111111"/>
          <w:sz w:val="28"/>
          <w:sz w:val="28"/>
          <w:szCs w:val="28"/>
          <w:rtl w:val="true"/>
          <w:lang w:bidi="fa-IR"/>
        </w:rPr>
        <w:t>جعفر السبحانی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شعبان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3" w:name="pg1680_12876"/>
    </w:p>
    <w:p>
      <w:pPr>
        <w:pStyle w:val="Heading2"/>
        <w:numPr>
          <w:ilvl w:val="1"/>
          <w:numId w:val="1"/>
        </w:numPr>
        <w:rPr/>
      </w:pPr>
      <w:bookmarkStart w:id="14" w:name="__RefHeading___Toc1400734_3650668749"/>
      <w:bookmarkStart w:id="15" w:name="_Toc5"/>
      <w:bookmarkEnd w:id="13"/>
      <w:bookmarkEnd w:id="14"/>
      <w:r>
        <w:rPr>
          <w:rtl w:val="true"/>
        </w:rPr>
        <w:t>الفصل الأوّل</w:t>
      </w:r>
      <w:r>
        <w:rPr>
          <w:rtl w:val="true"/>
        </w:rPr>
        <w:t xml:space="preserve">: </w:t>
      </w:r>
      <w:r>
        <w:rPr>
          <w:rtl w:val="true"/>
        </w:rPr>
        <w:t>فی الشیعة والتشیّع‌</w:t>
      </w:r>
      <w:bookmarkEnd w:id="15"/>
    </w:p>
    <w:p>
      <w:pPr>
        <w:pStyle w:val="Heading3"/>
        <w:numPr>
          <w:ilvl w:val="2"/>
          <w:numId w:val="1"/>
        </w:numPr>
        <w:rPr/>
      </w:pPr>
      <w:bookmarkStart w:id="16" w:name="__RefHeading___Toc1400736_3650668749"/>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لغة واصطلاحاً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الشیعة فی القرآن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نشوء المذهب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لانحیاز الشیعة عن مدرسة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 التشیّع فی صدر الإسلام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افتراضات وهمیة حول نشوء الشیعة بعد عهد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الإمامیة والخلافات السائدة بینهم وبین غیرهم من طوائف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الشیعة فی بناء صرح الحضارة الإسلامیة وعطاؤهم للإسلام والمسلمین</w:t>
      </w:r>
      <w:r>
        <w:rPr>
          <w:rFonts w:eastAsia="IRNazanin" w:cs="IRNazanin"/>
          <w:color w:val="111111"/>
          <w:sz w:val="28"/>
          <w:szCs w:val="28"/>
          <w:rtl w:val="true"/>
          <w:lang w:bidi="fa-IR"/>
        </w:rPr>
        <w:t>.</w:t>
      </w:r>
      <w:bookmarkStart w:id="18" w:name="pg1680_12878"/>
    </w:p>
    <w:p>
      <w:pPr>
        <w:pStyle w:val="Heading3"/>
        <w:numPr>
          <w:ilvl w:val="2"/>
          <w:numId w:val="1"/>
        </w:numPr>
        <w:rPr/>
      </w:pPr>
      <w:bookmarkStart w:id="19" w:name="__RefHeading___Toc1400738_3650668749"/>
      <w:bookmarkStart w:id="20" w:name="_Toc7"/>
      <w:bookmarkEnd w:id="18"/>
      <w:bookmarkEnd w:id="19"/>
      <w:r>
        <w:rPr>
          <w:rtl w:val="true"/>
        </w:rPr>
        <w:t>فی الشیعة والتشیّع‌</w:t>
      </w:r>
      <w:bookmarkEnd w:id="20"/>
    </w:p>
    <w:p>
      <w:pPr>
        <w:pStyle w:val="Heading4"/>
        <w:numPr>
          <w:ilvl w:val="3"/>
          <w:numId w:val="1"/>
        </w:numPr>
        <w:rPr/>
      </w:pPr>
      <w:bookmarkStart w:id="21" w:name="__RefHeading___Toc1400740_3650668749"/>
      <w:bookmarkStart w:id="22" w:name="_Toc8"/>
      <w:bookmarkEnd w:id="21"/>
      <w:r>
        <w:rPr/>
        <w:t>1</w:t>
      </w:r>
      <w:r>
        <w:rPr>
          <w:rtl w:val="true"/>
        </w:rPr>
        <w:t xml:space="preserve">. </w:t>
      </w:r>
      <w:r>
        <w:rPr>
          <w:rtl w:val="true"/>
        </w:rPr>
        <w:t>الشیعة لغة واصطلاحاً</w:t>
      </w:r>
      <w:r>
        <w:rPr>
          <w:rtl w:val="true"/>
        </w:rPr>
        <w:t>:</w:t>
      </w:r>
      <w:bookmarkEnd w:id="22"/>
    </w:p>
    <w:p>
      <w:pPr>
        <w:pStyle w:val="BookText"/>
        <w:rPr/>
      </w:pPr>
      <w:r>
        <w:rPr>
          <w:rFonts w:ascii="IRNazanin" w:hAnsi="IRNazanin" w:eastAsia="IRNazanin"/>
          <w:color w:val="111111"/>
          <w:sz w:val="28"/>
          <w:sz w:val="28"/>
          <w:szCs w:val="28"/>
          <w:rtl w:val="true"/>
          <w:lang w:bidi="fa-IR"/>
        </w:rPr>
        <w:t>الشیعة فی اللغة هم أتباع الرجل وأنصاره،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 وأشیاع،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کما یقال والاه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للشیعة أصلان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معنیان جَذْریّان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أحدهما علی معاضدة ومساعفة والآخر علی بثٍ وإشادة، فالأوّل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 فلانٌ فلاناً عند شخوصه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إلی غیر ذلک من الکلمات لأصحاب المعاجم المشیرة إلی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هم الجماعةالتابعة لرئیس لهم تجمعهم فکرة واحدة یتعاونون ویتعاضدون فی ظلّها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اللغوی للشیعة، والمهم فی المقام هو الثانی،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العلماء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تطلق الشیعة ویراد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یحبُّ علیاً وأولاده باعتبار أنّهم أهل بیت النبی صلی الله علیه و آله و سلم الذین فرض اللَّه مودتهم فی کتابه العزیز،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والشیعة بهذا المعنی تطلق علی عامّة المسلمین سوی النواصب الذین نصبوا لعلی وأهل بیته العداءَ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وترجع جذور تلک الفکرة إلی عصر معاویة حیث سنّ سبّ علی علی المنابر، وباستثناء هؤلاء، فإنّ کلّ المسلمین یحترمون ویحبُّون أهل بیت رسول اللَّه صلی الله علیه و آله و سلم ویصلّون علیهم صباحاً ومساءً، فهذا هو الإمام الشافعی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یاأهل بیت رسول اللَّه حبکم‌فرض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الفخر أنّکم‌من لم یصل علیکم لا صلاة له‌</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یفضّل علیّاً علی عثمان أو علی الخلفاء عامّة مع اعتقاده بأنّه رابع الخلفاء، وإنّما یقدّمه لاستفاضة مناقبه وفضائله عن الرسول الأعظم، والّتی دوّنها أصحاب الحدیث فی صحاحهم ومسانیدهم، وهی تُلزم الإنسان الاعتقاد بأنّه أفضل الصحابة، وعلی ذلک معتزلة بغداد وقلیل من أهل الحدیث، وعلی ذلک الاصطلاح جری أکثر من کتب فی الرجال والتراجم والمقالات حیث یصفون قلیلًا من الصحابة وکثیراً من التابعین</w:t>
      </w:r>
    </w:p>
    <w:p>
      <w:pPr>
        <w:pStyle w:val="BookText"/>
        <w:rPr/>
      </w:pPr>
      <w:r>
        <w:rPr>
          <w:rFonts w:ascii="IRNazanin" w:hAnsi="IRNazanin" w:eastAsia="IRNazanin"/>
          <w:color w:val="111111"/>
          <w:sz w:val="28"/>
          <w:sz w:val="28"/>
          <w:szCs w:val="28"/>
          <w:rtl w:val="true"/>
          <w:lang w:bidi="fa-IR"/>
        </w:rPr>
        <w:t>بأنّه یتشیّع، أو أنّه شیعی، وربّما یعدّونه من أسباب الجرح، وأنّ تقدّم الخلفاء علی علیّ أصل من أُصول الدین لا یجوز تجاوزه، مع أنّ الإمامة من الفروع عند أهل السنّة فکیف درجات الخلفاء ورتبهم؟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یختلط الأمر علی من لیس له إلمام بالاصطلاح، فلا یفرّق بینهما، وأکثر من یستعمل هذا الاصطلاح هو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فیصف بعض التابعین و المحدّثین بالتشیّع ملمِّحاً بذلک إلی ضعفهم، وقد رُمی أبو عبداللّه الحاکم النیسابوری بالتشیّع کمعتزلة بغداد، والمقصود تفضیلهم علیّاً علی سائر الخلفاء لا أنّه الإمام المنصوص بالخلافة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یشایع علیّاً وأولاده باعتبار أنّهم خلفاء الرسول صلی الله علیه و آله و سلم وأئمّة الناس من بعده، نصبهم لهذا المقام بأمر من اللّه سبحانه، وذکر أسماءهم وخصوصیّاتهم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بهذا المعنی هو المقصود فی المقام، وقد اشتهر بأنّ علیّاً هو الوصی حتّی صار من ألقابه، وذکره الشعراء بهذا العنوان فی قصائدهم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وقد أکّد الإمام علی علیه السلام هذا المعنی فی بعض خطبه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من هذه الأُمّة أحد، ولا یسوّی بهم من جرت</w:t>
      </w:r>
      <w:bookmarkStart w:id="23" w:name="pg1680_12881"/>
    </w:p>
    <w:p>
      <w:pPr>
        <w:pStyle w:val="BookText"/>
        <w:rPr/>
      </w:pPr>
      <w:bookmarkEnd w:id="23"/>
      <w:r>
        <w:rPr>
          <w:rFonts w:ascii="IRNazanin" w:hAnsi="IRNazanin" w:eastAsia="IRNazanin"/>
          <w:color w:val="111111"/>
          <w:sz w:val="28"/>
          <w:sz w:val="28"/>
          <w:szCs w:val="28"/>
          <w:rtl w:val="true"/>
          <w:lang w:bidi="fa-IR"/>
        </w:rPr>
        <w:t xml:space="preserve">نعمتهم علیه أبداً؛ هم أساس الدین، وعماد الیقین، إلیهم یفی‌ء الغالی، وبهم یلحق التالی، ولهم خصائص حق الولایة، وفیهم الوصیّة والوراثة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اللفظ یشمل 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قیادة الأُمّة لعلیّ بعد الرسول صلی الله علیه و آله و سلم وأنّه یقوم مقامه فی کل ما یمتُّ إلیه بصلة سوی النبوة ونزول الوحی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بتنصیص من الرسول صلی الله علیه و آله و سلم، وعلی ذلک فالمقوّم للتشیّع ورکنه الرکین هو القول بالوصایة والقیادة بجمیع شؤونها للإمام علیه السلام، فالتشیّع هو الاعتقاد بذلک، وأمّا ما سوی ذلک فلیس مقوّماً لمفهوم التشیّع ولا یدور علیه إطلاق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للشیعة آراءً کلامیة خاصّة فی مجالی الأُصول والفروع، ربّما یشارکون غیرهم فیها وربّما یخالفونهم، ولکنّها لیست من سماتهم وأعرافهم وإنّما هی أُصول وأحکام دعاهم الدلیل إلی تبنّیها من الکتاب والسنّة والعقل</w:t>
      </w:r>
      <w:r>
        <w:rPr>
          <w:rFonts w:eastAsia="IRNazanin" w:cs="IRNazanin"/>
          <w:color w:val="111111"/>
          <w:sz w:val="28"/>
          <w:szCs w:val="28"/>
          <w:rtl w:val="true"/>
          <w:lang w:bidi="fa-IR"/>
        </w:rPr>
        <w:t>.</w:t>
      </w:r>
    </w:p>
    <w:p>
      <w:pPr>
        <w:pStyle w:val="Heading4"/>
        <w:numPr>
          <w:ilvl w:val="3"/>
          <w:numId w:val="1"/>
        </w:numPr>
        <w:rPr/>
      </w:pPr>
      <w:bookmarkStart w:id="24" w:name="__RefHeading___Toc1400742_3650668749"/>
      <w:bookmarkStart w:id="25" w:name="_Toc9"/>
      <w:bookmarkEnd w:id="24"/>
      <w:r>
        <w:rPr/>
        <w:t>2</w:t>
      </w:r>
      <w:r>
        <w:rPr>
          <w:rtl w:val="true"/>
        </w:rPr>
        <w:t xml:space="preserve">. </w:t>
      </w:r>
      <w:r>
        <w:rPr>
          <w:rtl w:val="true"/>
        </w:rPr>
        <w:t>لفظ الشیعة فی القرآن والسنّة</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استعمل لفظ الشیعة فی القرآن الکریم بمعنی التابع للأنبیاء والشخصیات الکبیرة،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الذِی مِنْ شِیعَتِهِ عَلَی الذِی مِنْ عَدُوِّهِ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استعمل هذا اللفظ بمعنی البث والتفرقة والخلاف،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 وَ کَانُوا شِیَعاً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استعمل بمعنی التبعیة فهو یشیر إلی الجانب الإیجابی 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فِیهَا رَجُلَیْنِ یَقْتَتِلَانِ هَذَا مِنْ شِیعَتِهِ وَ هَذَا مِنْ عَدُوِّهِ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وأمّا لو استعمل بمعنی البث والتفرقة فهو یشیر إلی الجانب السلبی 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 وَ یُذِیقَ بَعْضَکُمْ بَأْسَ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فی السنّة الشریفة فلا شکّ أنّ النبی صلی الله علیه و آله و سلم بما أنّه عربی صمیم فهو یستعمل هذا اللفظ فی معناه الحقیقی وهو التابع، وقد وصف صلی الله علیه و آله و سلم أتباع علی علیه السلام بالشیعة فی حالة حیاته عندما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فقد روی المحدّثون والمفسرون روایات مستفیضة عن الرسول الأعظم صلی الله علیه و آله و سلم أنّه وصف جماعة کانوا یوالون علیاً ویشایعونه، بأنّهم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ما ورد من هذه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مردویه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أکرم الخلق علی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عائشة أما تقرئین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عساکر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و سلم فأقبل علیّ فقال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إنّ هذا وشیعته لهم الفائزون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أصحاب النبیّ إذا أقبل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عدی وابن عساکر عن أبی سعید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البریّة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وشیعتک یوم القیامة راضین مرضیّین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مردویه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وشیعتک، موعدی وموعدکم الحوض إذا جاءت الأُمم للحساب تدعون غرّاً محجّلین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نبذة ممّا روی عن الرسول صلی الله علیه و آله و سلم فی إطلاقه لفظ الشیعة علی مَن</w:t>
      </w:r>
      <w:bookmarkStart w:id="26" w:name="pg1680_12884"/>
    </w:p>
    <w:p>
      <w:pPr>
        <w:pStyle w:val="BookText"/>
        <w:rPr/>
      </w:pPr>
      <w:bookmarkEnd w:id="26"/>
      <w:r>
        <w:rPr>
          <w:rFonts w:ascii="IRNazanin" w:hAnsi="IRNazanin" w:eastAsia="IRNazanin"/>
          <w:color w:val="111111"/>
          <w:sz w:val="28"/>
          <w:sz w:val="28"/>
          <w:szCs w:val="28"/>
          <w:rtl w:val="true"/>
          <w:lang w:bidi="fa-IR"/>
        </w:rPr>
        <w:t>یشایعون علیاً علیه السلام، ومن أراد التفصیل فلیرجع إلی المصادر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الجزء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النصوص المتضافرة الغنیّة عن ملاحظة أسانیدها تعرب عن کون علی علیه السلام متمیزاً بین أصحاب النبی صلی الله علیه و آله و سلم بأنّ له شیعة وأتباعاً، ولهم مواصفات وسمات کانوا مشهورین بها فی حیاة النبی وبعدها</w:t>
      </w:r>
      <w:r>
        <w:rPr>
          <w:rFonts w:eastAsia="IRNazanin" w:cs="IRNazanin"/>
          <w:color w:val="111111"/>
          <w:sz w:val="28"/>
          <w:szCs w:val="28"/>
          <w:rtl w:val="true"/>
          <w:lang w:bidi="fa-IR"/>
        </w:rPr>
        <w:t>.</w:t>
      </w:r>
    </w:p>
    <w:p>
      <w:pPr>
        <w:pStyle w:val="Heading4"/>
        <w:numPr>
          <w:ilvl w:val="3"/>
          <w:numId w:val="1"/>
        </w:numPr>
        <w:rPr/>
      </w:pPr>
      <w:bookmarkStart w:id="27" w:name="__RefHeading___Toc1400744_3650668749"/>
      <w:bookmarkStart w:id="28" w:name="_Toc10"/>
      <w:bookmarkEnd w:id="27"/>
      <w:r>
        <w:rPr/>
        <w:t>3</w:t>
      </w:r>
      <w:r>
        <w:rPr>
          <w:rtl w:val="true"/>
        </w:rPr>
        <w:t xml:space="preserve">. </w:t>
      </w:r>
      <w:r>
        <w:rPr>
          <w:rtl w:val="true"/>
        </w:rPr>
        <w:t>نشوء المذهب الشیعی‌</w:t>
      </w:r>
      <w:bookmarkEnd w:id="28"/>
    </w:p>
    <w:p>
      <w:pPr>
        <w:pStyle w:val="Heading5"/>
        <w:numPr>
          <w:ilvl w:val="4"/>
          <w:numId w:val="1"/>
        </w:numPr>
        <w:rPr/>
      </w:pPr>
      <w:bookmarkStart w:id="29" w:name="__RefHeading___Toc1400746_365066874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إنّ التشیّع لیس مسلکاً کلامیاً کالاعتزال حتّی نبحث عن مبدأ نشوئه وعلل وجوده، ولا هو ولید حادثة من الحوادث کالخوارج، بل أنّ التشیّع عبارة عن الاعتقاد باستمرار القیادة الإسلامیة فی قالب الوصایة لعلی وعترته، وهذا هو نفس التشیّع وروحه وأصله؛ وأمّا سائرما یعتقده الشیعة من أُصول وفروع فلیست دخیلة فی صدق التشیّع ثبوتاً ونفیاً، فالذی‌یقوم به صرح التشیّع هو ما ذکرنا من استمرار القیادة الإسلامیة فی قالب الوصایة لعلی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الفکرة قد غرست بید النبی صلی الله علیه و آله و سلم فی أیّام حیاته وتبنّاها جمع من المهاجرین والأنصار فی عصره صلی الله علیه و آله و سلم وبقوا علیها بعد حیاته، واقتدی بهم جمع آخرمن التابعین لهم بإحسان، وتواصل الاعتقاد بهذا الأصل من العصور الماضیة إلی زماننا الحالی</w:t>
      </w:r>
      <w:r>
        <w:rPr>
          <w:rFonts w:eastAsia="IRNazanin" w:cs="IRNazanin"/>
          <w:color w:val="111111"/>
          <w:sz w:val="28"/>
          <w:szCs w:val="28"/>
          <w:rtl w:val="true"/>
          <w:lang w:bidi="fa-IR"/>
        </w:rPr>
        <w:t>.</w:t>
      </w:r>
      <w:bookmarkStart w:id="31" w:name="pg1680_12885"/>
    </w:p>
    <w:p>
      <w:pPr>
        <w:pStyle w:val="BookText"/>
        <w:rPr/>
      </w:pPr>
      <w:bookmarkEnd w:id="31"/>
      <w:r>
        <w:rPr>
          <w:rFonts w:ascii="IRNazanin" w:hAnsi="IRNazanin" w:eastAsia="IRNazanin"/>
          <w:color w:val="111111"/>
          <w:sz w:val="28"/>
          <w:sz w:val="28"/>
          <w:szCs w:val="28"/>
          <w:rtl w:val="true"/>
          <w:lang w:bidi="fa-IR"/>
        </w:rPr>
        <w:t>وعلی هذا فلیس للتشیّع تاریخ غیر تاریخ الإسلام، ولیس له مبدأ ظهور غیر مبدأ ظهور الإسلام نفسه، وفی الحقیقة إنّ الإسلام والتشیّع وجهان لعُملةٍ واحدةٍ، أو وَجهان لحقیقة واحدةٍ، وتوأمان وُلدا فی زمن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الإجمال والإیجاز، إذ قد فصّلناه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التالیة</w:t>
      </w:r>
      <w:r>
        <w:rPr>
          <w:rFonts w:eastAsia="IRNazanin" w:cs="IRNazanin"/>
          <w:color w:val="111111"/>
          <w:sz w:val="28"/>
          <w:szCs w:val="28"/>
          <w:rtl w:val="true"/>
          <w:lang w:bidi="fa-IR"/>
        </w:rPr>
        <w:t>:</w:t>
      </w:r>
    </w:p>
    <w:p>
      <w:pPr>
        <w:pStyle w:val="Heading5"/>
        <w:numPr>
          <w:ilvl w:val="4"/>
          <w:numId w:val="1"/>
        </w:numPr>
        <w:rPr/>
      </w:pPr>
      <w:bookmarkStart w:id="32" w:name="__RefHeading___Toc1400748_3650668749"/>
      <w:bookmarkStart w:id="33" w:name="_Toc12"/>
      <w:bookmarkEnd w:id="32"/>
      <w:r>
        <w:rPr>
          <w:rtl w:val="true"/>
        </w:rPr>
        <w:t>أ</w:t>
      </w:r>
      <w:r>
        <w:rPr>
          <w:rtl w:val="true"/>
        </w:rPr>
        <w:t xml:space="preserve">. </w:t>
      </w:r>
      <w:r>
        <w:rPr>
          <w:rtl w:val="true"/>
        </w:rPr>
        <w:t>الإشادة بفضائل علی علیه السلام‌</w:t>
      </w:r>
      <w:bookmarkEnd w:id="33"/>
    </w:p>
    <w:p>
      <w:pPr>
        <w:pStyle w:val="BookText"/>
        <w:rPr/>
      </w:pPr>
      <w:r>
        <w:rPr>
          <w:rFonts w:ascii="IRNazanin" w:hAnsi="IRNazanin" w:eastAsia="IRNazanin"/>
          <w:color w:val="111111"/>
          <w:sz w:val="28"/>
          <w:sz w:val="28"/>
          <w:szCs w:val="28"/>
          <w:rtl w:val="true"/>
          <w:lang w:bidi="fa-IR"/>
        </w:rPr>
        <w:t>لقد تحدّث النبی صلی الله علیه و آله و سلم أیّام حیاته عن فضائل الإمام علی ومناقبه، وکذا عن قیادته وزعامته للأُمّة الإسلامیة من بعده مراراً وفی مناسبات مختلفة، یشهد علی ذلک التاریخ المدوّن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النوع من الإشادة سبباً فی التفاف فریق من الصحابة حول الإمام علی علیه السلام فی حیاة النبی الأکرم صلی الله علیه و آله و سلم، وجعلوا یتبعونه ویقتدون به بما أنّه المثل الأعلی للفضائل العالیة والمناقب الحسنة</w:t>
      </w:r>
      <w:r>
        <w:rPr>
          <w:rFonts w:eastAsia="IRNazanin" w:cs="IRNazanin"/>
          <w:color w:val="111111"/>
          <w:sz w:val="28"/>
          <w:szCs w:val="28"/>
          <w:rtl w:val="true"/>
          <w:lang w:bidi="fa-IR"/>
        </w:rPr>
        <w:t>.</w:t>
      </w:r>
    </w:p>
    <w:p>
      <w:pPr>
        <w:pStyle w:val="Heading5"/>
        <w:numPr>
          <w:ilvl w:val="4"/>
          <w:numId w:val="1"/>
        </w:numPr>
        <w:rPr/>
      </w:pPr>
      <w:bookmarkStart w:id="34" w:name="__RefHeading___Toc1400750_3650668749"/>
      <w:bookmarkStart w:id="35" w:name="_Toc13"/>
      <w:bookmarkEnd w:id="34"/>
      <w:r>
        <w:rPr>
          <w:rtl w:val="true"/>
        </w:rPr>
        <w:t>ب</w:t>
      </w:r>
      <w:r>
        <w:rPr>
          <w:rtl w:val="true"/>
        </w:rPr>
        <w:t xml:space="preserve">. </w:t>
      </w:r>
      <w:r>
        <w:rPr>
          <w:rtl w:val="true"/>
        </w:rPr>
        <w:t xml:space="preserve">حدیث بدء الدعوة </w:t>
      </w:r>
      <w:r>
        <w:rPr>
          <w:rtl w:val="true"/>
        </w:rPr>
        <w:t>(</w:t>
      </w:r>
      <w:r>
        <w:rPr>
          <w:rtl w:val="true"/>
        </w:rPr>
        <w:t>الدار</w:t>
      </w:r>
      <w:r>
        <w:rPr>
          <w:rtl w:val="true"/>
        </w:rPr>
        <w:t>)</w:t>
      </w:r>
      <w:bookmarkEnd w:id="35"/>
    </w:p>
    <w:p>
      <w:pPr>
        <w:pStyle w:val="BookText"/>
        <w:rPr/>
      </w:pPr>
      <w:r>
        <w:rPr>
          <w:rFonts w:ascii="IRNazanin" w:hAnsi="IRNazanin" w:eastAsia="IRNazanin"/>
          <w:color w:val="111111"/>
          <w:sz w:val="28"/>
          <w:sz w:val="28"/>
          <w:szCs w:val="28"/>
          <w:rtl w:val="true"/>
          <w:lang w:bidi="fa-IR"/>
        </w:rPr>
        <w:t>بعث الرسول الأکرم صلی الله علیه و آله و سلم لهدایة الناس من الوثنیة إلی الوحدانیة، فأخذ بالدعوة سراً ونشر دعوته خفاءً عدة سنوات إلی أن نزل قوله سبحانه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وعند ذلک جمع النبی وجوه بنی هاشم</w:t>
      </w:r>
      <w:bookmarkStart w:id="36" w:name="pg1680_12886"/>
    </w:p>
    <w:p>
      <w:pPr>
        <w:pStyle w:val="BookText"/>
        <w:rPr/>
      </w:pPr>
      <w:bookmarkEnd w:id="36"/>
      <w:r>
        <w:rPr>
          <w:rFonts w:ascii="IRNazanin" w:hAnsi="IRNazanin" w:eastAsia="IRNazanin"/>
          <w:color w:val="111111"/>
          <w:sz w:val="28"/>
          <w:sz w:val="28"/>
          <w:szCs w:val="28"/>
          <w:rtl w:val="true"/>
          <w:lang w:bidi="fa-IR"/>
        </w:rPr>
        <w:t>وشخصیاتهم فعرض علیهم نبوته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یؤمن بی ویؤازرنی علی هذا الأمر علی أن یکون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إلّاعلیٌ، ثمّ کرّر دعوته ثانیة وثالثة، ففی کل مرّة یحجم القوم عن تلبیة دعوته ویقوم علی ویعلن استعداده لمؤازرة النبی صلی الله علیه و آله و سلم، فعند ذلک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7" w:name="__RefHeading___Toc1400752_3650668749"/>
      <w:bookmarkStart w:id="38" w:name="_Toc14"/>
      <w:bookmarkEnd w:id="37"/>
      <w:r>
        <w:rPr>
          <w:rtl w:val="true"/>
        </w:rPr>
        <w:t>ج</w:t>
      </w:r>
      <w:r>
        <w:rPr>
          <w:rtl w:val="true"/>
        </w:rPr>
        <w:t xml:space="preserve">. </w:t>
      </w:r>
      <w:r>
        <w:rPr>
          <w:rtl w:val="true"/>
        </w:rPr>
        <w:t>حدیث المنزلة</w:t>
      </w:r>
      <w:bookmarkEnd w:id="38"/>
    </w:p>
    <w:p>
      <w:pPr>
        <w:pStyle w:val="BookText"/>
        <w:rPr/>
      </w:pPr>
      <w:r>
        <w:rPr>
          <w:rFonts w:ascii="IRNazanin" w:hAnsi="IRNazanin" w:eastAsia="IRNazanin"/>
          <w:color w:val="111111"/>
          <w:sz w:val="28"/>
          <w:sz w:val="28"/>
          <w:szCs w:val="28"/>
          <w:rtl w:val="true"/>
          <w:lang w:bidi="fa-IR"/>
        </w:rPr>
        <w:t>روی أصحاب السّیر والحدیث أنّ رسول اللَّه صلی الله علیه و آله و سلم خرج إلی غزوة تبوک وخرج الناس معه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إلّاأنّه لا نبیّ بعدی، إنّه لا ینبغی أن أذهب إلّاوأنت خلیفتی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والاستثناء یدلّ علی ثبوت کلّ ما لهارون من المناصب لعلی سوی النبوة</w:t>
      </w:r>
      <w:r>
        <w:rPr>
          <w:rFonts w:eastAsia="IRNazanin" w:cs="IRNazanin"/>
          <w:color w:val="111111"/>
          <w:sz w:val="28"/>
          <w:szCs w:val="28"/>
          <w:rtl w:val="true"/>
          <w:lang w:bidi="fa-IR"/>
        </w:rPr>
        <w:t>.</w:t>
      </w:r>
    </w:p>
    <w:p>
      <w:pPr>
        <w:pStyle w:val="Heading5"/>
        <w:numPr>
          <w:ilvl w:val="4"/>
          <w:numId w:val="1"/>
        </w:numPr>
        <w:rPr/>
      </w:pPr>
      <w:bookmarkStart w:id="39" w:name="__RefHeading___Toc1400754_3650668749"/>
      <w:bookmarkStart w:id="40" w:name="_Toc15"/>
      <w:bookmarkEnd w:id="39"/>
      <w:r>
        <w:rPr>
          <w:rtl w:val="true"/>
        </w:rPr>
        <w:t>د</w:t>
      </w:r>
      <w:r>
        <w:rPr>
          <w:rtl w:val="true"/>
        </w:rPr>
        <w:t xml:space="preserve">. </w:t>
      </w:r>
      <w:r>
        <w:rPr>
          <w:rtl w:val="true"/>
        </w:rPr>
        <w:t>إعلان البراءة من المشرکین‌</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نزلت آیات من سورة التوبة ورفع الأمان فیها عن المشرکین علّم النبی صلی الله علیه و آله و سلم أبا بکر تلک الآیات ووجّهه صوب مکّة یرافقه أربعون رجلًا، لیتلوها علی مسامع الناس یوم عید الأضحی، إلّاأنّ جبرائیل علیه السلام نزل علی النبی صلی الله علیه و آله و 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لایؤدّی عنک إلّاأنت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w:t>
      </w:r>
      <w:bookmarkStart w:id="41" w:name="pg1680_12887"/>
    </w:p>
    <w:p>
      <w:pPr>
        <w:pStyle w:val="BookText"/>
        <w:rPr/>
      </w:pPr>
      <w:bookmarkEnd w:id="41"/>
      <w:r>
        <w:rPr>
          <w:rFonts w:ascii="IRNazanin" w:hAnsi="IRNazanin" w:eastAsia="IRNazanin"/>
          <w:color w:val="111111"/>
          <w:sz w:val="28"/>
          <w:sz w:val="28"/>
          <w:szCs w:val="28"/>
          <w:rtl w:val="true"/>
          <w:lang w:bidi="fa-IR"/>
        </w:rPr>
        <w:t>النبی صلی الله علیه و آله و سلم أن یطلب من الإمام علی علیه السلام القیام بهذه المهمة،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إلحق أبا بکر فخذ الآیات من یده وامض بها إلی مکّة وانبذ بها عهد المشرکین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إقرأ علی الناس الوافدین إلی منی من شتی أنحاء الجزیرة العربیة آیات براءة</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2" w:name="__RefHeading___Toc1400756_3650668749"/>
      <w:bookmarkStart w:id="43" w:name="_Toc16"/>
      <w:bookmarkEnd w:id="42"/>
      <w:r>
        <w:rPr>
          <w:rtl w:val="true"/>
        </w:rPr>
        <w:t>ه</w:t>
      </w:r>
      <w:r>
        <w:rPr>
          <w:rtl w:val="true"/>
        </w:rPr>
        <w:t xml:space="preserve">. </w:t>
      </w:r>
      <w:r>
        <w:rPr>
          <w:rtl w:val="true"/>
        </w:rPr>
        <w:t>مشارکة علی فی المباهلة</w:t>
      </w:r>
      <w:bookmarkEnd w:id="43"/>
    </w:p>
    <w:p>
      <w:pPr>
        <w:pStyle w:val="BookText"/>
        <w:rPr/>
      </w:pPr>
      <w:r>
        <w:rPr>
          <w:rFonts w:ascii="Amiri" w:hAnsi="Amiri" w:eastAsia="Amiri" w:cs="Amiri"/>
          <w:color w:val="111111"/>
          <w:sz w:val="28"/>
          <w:sz w:val="28"/>
          <w:szCs w:val="28"/>
          <w:rtl w:val="true"/>
          <w:lang w:bidi="ar-SA"/>
        </w:rPr>
        <w:t>لمّا امتنع نصاری نجران من إعطاء الجزیة اتّفقوا مع النبی صلی الله علیه و آله و سلم علی المباهلة فنزل قوله سبحانه علی إنجازها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فدعا رسول اللَّه صلی الله علیه و آله و سلم علیاً وفاطمة وحسناً وحسیناً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یشارک غیرهم فی تلک الساعة الخطیرة ولم یعدل بهم إلی غیرهم، وکأنّه لم یکن علی أدیم الأرض من له الجدارة التامة للتأمین علی دعاء الرسول صلی الله علیه و آله و سلم غیرهم</w:t>
      </w:r>
      <w:r>
        <w:rPr>
          <w:rFonts w:eastAsia="IRNazanin" w:cs="IRNazanin"/>
          <w:color w:val="111111"/>
          <w:sz w:val="28"/>
          <w:szCs w:val="28"/>
          <w:rtl w:val="true"/>
          <w:lang w:bidi="fa-IR"/>
        </w:rPr>
        <w:t>.</w:t>
      </w:r>
    </w:p>
    <w:p>
      <w:pPr>
        <w:pStyle w:val="Heading5"/>
        <w:numPr>
          <w:ilvl w:val="4"/>
          <w:numId w:val="1"/>
        </w:numPr>
        <w:rPr/>
      </w:pPr>
      <w:bookmarkStart w:id="44" w:name="__RefHeading___Toc1400758_3650668749"/>
      <w:bookmarkStart w:id="45" w:name="_Toc17"/>
      <w:bookmarkEnd w:id="44"/>
      <w:r>
        <w:rPr>
          <w:rtl w:val="true"/>
        </w:rPr>
        <w:t>و</w:t>
      </w:r>
      <w:r>
        <w:rPr>
          <w:rtl w:val="true"/>
        </w:rPr>
        <w:t xml:space="preserve">. </w:t>
      </w:r>
      <w:r>
        <w:rPr>
          <w:rtl w:val="true"/>
        </w:rPr>
        <w:t>حدیث الغدیر</w:t>
      </w:r>
      <w:r>
        <w:rPr>
          <w:rtl w:val="true"/>
        </w:rPr>
        <w:t>:</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من الأحادیث المتواترة الّتی رواها الصحابة والتابعون فی کلّ عصر وجیل، ولسنا بصدد ذکر مصادره وبیان تواتره، بل بصدد أنّ تلک الحادثة المهمة فی تاریخ الإسلام وقول النبی الأکرم صلی الله علیه و آله و سلم</w:t>
      </w:r>
      <w:bookmarkStart w:id="46" w:name="pg1680_12888"/>
    </w:p>
    <w:p>
      <w:pPr>
        <w:pStyle w:val="BookText"/>
        <w:rPr/>
      </w:pPr>
      <w:bookmarkEnd w:id="46"/>
      <w:r>
        <w:rPr>
          <w:rFonts w:ascii="IRNazanin" w:hAnsi="IRNazanin" w:eastAsia="IRNazanin"/>
          <w:color w:val="111111"/>
          <w:sz w:val="28"/>
          <w:sz w:val="28"/>
          <w:szCs w:val="28"/>
          <w:rtl w:val="true"/>
          <w:lang w:bidi="fa-IR"/>
        </w:rPr>
        <w:t>فیها وهو علی أحداج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إلی التفاف عدد من المهاجرین والأنصار حول علی علیه السلام بما أنّه محور الهدایة والقیادة بعد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حسان بن ثابت شاعر عهد الرسالة قد أفرغ قول النبی صلی الله علیه و آله و سلم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قم یا علی فإنّنی‌رضیتک من بعدی إماماً وهادیا</w:t>
      </w:r>
    </w:p>
    <w:p>
      <w:pPr>
        <w:pStyle w:val="Heading5"/>
        <w:numPr>
          <w:ilvl w:val="4"/>
          <w:numId w:val="1"/>
        </w:numPr>
        <w:rPr/>
      </w:pPr>
      <w:bookmarkStart w:id="47" w:name="__RefHeading___Toc1400760_3650668749"/>
      <w:bookmarkStart w:id="48" w:name="_Toc18"/>
      <w:bookmarkEnd w:id="47"/>
      <w:r>
        <w:rPr>
          <w:rtl w:val="true"/>
        </w:rPr>
        <w:t>حصیلة البحث‌</w:t>
      </w:r>
      <w:bookmarkEnd w:id="48"/>
    </w:p>
    <w:p>
      <w:pPr>
        <w:pStyle w:val="Heading6"/>
        <w:numPr>
          <w:ilvl w:val="5"/>
          <w:numId w:val="1"/>
        </w:numPr>
        <w:rPr/>
      </w:pPr>
      <w:bookmarkStart w:id="49" w:name="__RefHeading___Toc1400762_3650668749"/>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هذه الأحداث المهمة فی حیاة علی علیه السلام تعرب عن أنّ النبی صلی الله علیه و آله و سلم یعرف علیاً بأنّه الإنسان الصالح للقیادة الحکیمة بعد رحیله، وأنّ له مواهب وقابلیات لیست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فقد تابعه عدة من المهاجرین والأنصار خاصّة من الذین لم یکن فی قلوبهم غیض أو ضغن علیه وعرفوا هؤلاء بشیعة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التشیّع هو نفس الإسلام ووجهاً آخر له یرمز إلی أصل إسلامی، وهو أنّ القیادة الحکیمة والهدایة العلمیة مرتکزتان فی علی بتنصیب من النبی صلی الله علیه و آله و سلم، فمن فهم ذلک ووعاه شایع علیاً وتابعه، وعرفوا بشیعة علی فی عصر النبی صلی الله علیه و آله و سلم، فبقوا علی هذه العقیدة بعد رحیله، وتبعهم علی ذلک جموع من التابعین وتابعیهم إلی یومنا هذا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بهذا جماعة من المؤلّفین یقول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هم أتباع علی بن أبی طالب علیه السلام المسمّون بشیعة علی علیه السلام فی زمان النبی صلی الله علیه و آله و سلم وبعده،</w:t>
      </w:r>
    </w:p>
    <w:p>
      <w:pPr>
        <w:pStyle w:val="BookText"/>
        <w:rPr/>
      </w:pPr>
      <w:r>
        <w:rPr>
          <w:rFonts w:ascii="IRNazanin" w:hAnsi="IRNazanin" w:eastAsia="IRNazanin"/>
          <w:color w:val="111111"/>
          <w:sz w:val="28"/>
          <w:sz w:val="28"/>
          <w:szCs w:val="28"/>
          <w:rtl w:val="true"/>
          <w:lang w:bidi="fa-IR"/>
        </w:rPr>
        <w:t>معروفون بانقطاعهم إلیه والقول بإمامته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وقال أبو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شایعوا علیّاً، ویقدّمونه علی سائر أصحاب رسول اللَّه صلی الله علیه و آله و سلم</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وقال الشهرستانی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هم الذین شایَعوا علِیّاً علی الخصوص، وقالوا بإمامته وخلافتِهِ نصّاً ووصیّة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إنّ التفاف عدّة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امتحن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علی علیه السلام بعد سماع هذه الروایات الحاثّة، واشتهار طائفة فی عصر الرسالة بشیعة علی، نتیجة تلک المواصفات فی حق علی علیه السلام، أمر طبیعی ولیس بغریب جعل الإسلام والتشیّع، توأمان تولّدا معاً، وسیبقیان إلی أن یرث اللَّه الأرض ومن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 جدیران بالبحث والدراسة،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انحیاز روّاد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روّاد التشیع فی صدر الإسلام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دراسة الأمرین</w:t>
      </w:r>
      <w:r>
        <w:rPr>
          <w:rFonts w:eastAsia="IRNazanin" w:cs="IRNazanin"/>
          <w:color w:val="111111"/>
          <w:sz w:val="28"/>
          <w:szCs w:val="28"/>
          <w:rtl w:val="true"/>
          <w:lang w:bidi="fa-IR"/>
        </w:rPr>
        <w:t>:</w:t>
      </w:r>
      <w:bookmarkStart w:id="51" w:name="pg1680_12890"/>
    </w:p>
    <w:p>
      <w:pPr>
        <w:pStyle w:val="Heading6"/>
        <w:numPr>
          <w:ilvl w:val="5"/>
          <w:numId w:val="1"/>
        </w:numPr>
        <w:rPr/>
      </w:pPr>
      <w:bookmarkStart w:id="52" w:name="__RefHeading___Toc1400764_3650668749"/>
      <w:bookmarkStart w:id="53" w:name="_Toc20"/>
      <w:bookmarkEnd w:id="51"/>
      <w:bookmarkEnd w:id="52"/>
      <w:r>
        <w:rPr/>
        <w:t>1</w:t>
      </w:r>
      <w:r>
        <w:rPr>
          <w:rtl w:val="true"/>
        </w:rPr>
        <w:t xml:space="preserve">. </w:t>
      </w:r>
      <w:r>
        <w:rPr>
          <w:rtl w:val="true"/>
        </w:rPr>
        <w:t xml:space="preserve">انحیاز روّاد النصّ </w:t>
      </w:r>
      <w:r>
        <w:rPr>
          <w:rtl w:val="true"/>
        </w:rPr>
        <w:t>(</w:t>
      </w:r>
      <w:r>
        <w:rPr>
          <w:rtl w:val="true"/>
        </w:rPr>
        <w:t>الشیعة</w:t>
      </w:r>
      <w:r>
        <w:rPr>
          <w:rtl w:val="true"/>
        </w:rPr>
        <w:t xml:space="preserve">) </w:t>
      </w:r>
      <w:r>
        <w:rPr>
          <w:rtl w:val="true"/>
        </w:rPr>
        <w:t>عن غیرهم‌</w:t>
      </w:r>
      <w:bookmarkEnd w:id="53"/>
    </w:p>
    <w:p>
      <w:pPr>
        <w:pStyle w:val="Heading6"/>
        <w:numPr>
          <w:ilvl w:val="5"/>
          <w:numId w:val="1"/>
        </w:numPr>
        <w:rPr/>
      </w:pPr>
      <w:bookmarkStart w:id="54" w:name="__RefHeading___Toc1400766_3650668749"/>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قد ظهر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 صلی الله علیه و آله و سلم هو الّذی بذر بذرة التشیع وغرس نواته الأُولی فی حال حیاته ورباها بقوله وفعله وعرّف علیاً علیه السلام بفضائله ومناقبه، فصار ذلک سبباً لالتفاف جماعة من الصحابة حول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التحق الرسول الأکرم صلی الله علیه و آله و سلم بالرفیق الأعلی صار المسلمون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الجماعة الذین بقوا علی ما کانوا علیه فی عهد الرسول الأکرم صلی الله علیه و آله و سلم فی اعتقادهم أنّ منصب القیادة الإسلامیة الحکیمة منحصر فی علی علیه السلام فی المجالین السیاسی والعلمی، وقد احتجّوا بذلک علی الآخرین بحدیث الغدیر وغیره، وهم الذین سمّوا بالشیعة والموالین لعلی وأهل بیته، وقد بقوا علی ذلک ولم یؤثر علی عقیدتهم انتزاع الخلافة من أهل بیت النبی صلی الله علیه و آله و سلم إلی غیرهم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رجّحوا المصالح المزعومة علی تنصیص النبی صلی الله علیه و آله و سلم، فحصل لهم اجتماع فی سقیفة بنی ساعدة والذی عقده الأنصار بأنفسهم دون أن یطلعوا المهاجرین، لأنّهم کانوا مشغولین بتجهیز النبی صلی الله علیه و آله و سلم، وبعد أن اطّلع عمر وأبو بکر باجتماع الأنصار هناک لتعیین الخلیفة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هؤلاء من الأنصار لنری ماهم علیه، فدخلا ومعهما بعض المهاجرین کأبی عبیدة بن الجراح، وکان خطیب الأنصار ونقیبهم سعد بن عبادة یخطب ویحثّ الأنصار علی الأخذ</w:t>
      </w:r>
      <w:bookmarkStart w:id="56" w:name="pg1680_12891"/>
    </w:p>
    <w:p>
      <w:pPr>
        <w:pStyle w:val="BookText"/>
        <w:rPr/>
      </w:pPr>
      <w:bookmarkEnd w:id="56"/>
      <w:r>
        <w:rPr>
          <w:rFonts w:ascii="IRNazanin" w:hAnsi="IRNazanin" w:eastAsia="IRNazanin"/>
          <w:color w:val="111111"/>
          <w:sz w:val="28"/>
          <w:sz w:val="28"/>
          <w:szCs w:val="28"/>
          <w:rtl w:val="true"/>
          <w:lang w:bidi="fa-IR"/>
        </w:rPr>
        <w:t>بمقالید الخلافة بحجة أنّهم آووا النبی الأکرم صلی الله علیه و آله و سلم عندما أخرجه قومه، وضحّوا فی سبیل دعوته بکلّ غالٍ ونفیس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أتمّ کلامه ابتدأ أبو بکر بالکلام فاستند إلی أن اللائق بالخلافة هم قوم النبی وقبیلته، بحجّة أنهم أوسط العرب داراً وأحسنهم أحساباً، ولم یکتف بذلک حتّی أخذ بید عمر بن الخطاب وأبی عبیدة بن الجراح ورشّحهما للبیعة</w:t>
      </w:r>
      <w:r>
        <w:rPr>
          <w:rFonts w:eastAsia="IRNazanin" w:cs="IRNazanin"/>
          <w:color w:val="111111"/>
          <w:sz w:val="28"/>
          <w:szCs w:val="28"/>
          <w:rtl w:val="true"/>
          <w:lang w:bidi="fa-IR"/>
        </w:rPr>
        <w:t>.</w:t>
      </w:r>
    </w:p>
    <w:p>
      <w:pPr>
        <w:pStyle w:val="Heading6"/>
        <w:numPr>
          <w:ilvl w:val="5"/>
          <w:numId w:val="1"/>
        </w:numPr>
        <w:rPr/>
      </w:pPr>
      <w:bookmarkStart w:id="57" w:name="__RefHeading___Toc1400768_3650668749"/>
      <w:bookmarkStart w:id="58" w:name="_Toc22"/>
      <w:bookmarkEnd w:id="57"/>
      <w:r>
        <w:rPr>
          <w:rtl w:val="true"/>
        </w:rPr>
        <w:t>وقفة مع احتجاجات القوم‌</w:t>
      </w:r>
      <w:bookmarkEnd w:id="58"/>
    </w:p>
    <w:p>
      <w:pPr>
        <w:pStyle w:val="BookText"/>
        <w:rPr/>
      </w:pPr>
      <w:r>
        <w:rPr>
          <w:rFonts w:ascii="Amiri" w:hAnsi="Amiri" w:eastAsia="Amiri" w:cs="Amiri"/>
          <w:color w:val="111111"/>
          <w:sz w:val="28"/>
          <w:sz w:val="28"/>
          <w:szCs w:val="28"/>
          <w:rtl w:val="true"/>
          <w:lang w:bidi="ar-SA"/>
        </w:rPr>
        <w:t>کان اللازم علی الحاضرین فی السقیفة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تقدیم النص علی القیم القبَلیّة آخذین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 لَا مُؤْمِنَةٍ إِذَا قَضَی اللهُ وَرَسُولُهُ أَمْرًا أَنْ یَکُونَ لَهُمُ الْخِیَرَةُ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ولکن القوم کانوا معتادین علی تقدیم المصالح علی النصّ، ولیس هذه أوّل قارورة تکسر، بل کان للتقدیم هذا جذور فی حیاة النبی صلی الله علیه و آله و سلم تبعته حوادث کثیرة ربما تناهز ستین مورداً قد قدّموا فیها المصالح علی النص</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أنّهم رأوا أنّ مصالح الإسلام فی تناسی النص کان لزاماً علیهم أن یتفحّصوا عن أعلم القوم بالکتاب والسنّة وأکثرهم درایة بهما، وأقواهم وأخشنهم فی ذات اللَّه، وأسبقهم إلی الإیمان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الوارد عن الکتاب والسنّة،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w:t>
      </w:r>
      <w:bookmarkStart w:id="59" w:name="pg1680_12892"/>
    </w:p>
    <w:p>
      <w:pPr>
        <w:pStyle w:val="BookText"/>
        <w:rPr/>
      </w:pPr>
      <w:bookmarkEnd w:id="59"/>
      <w:r>
        <w:rPr>
          <w:rFonts w:ascii="Amiri" w:hAnsi="Amiri" w:eastAsia="Amiri" w:cs="Amiri"/>
          <w:color w:val="111111"/>
          <w:sz w:val="28"/>
          <w:sz w:val="28"/>
          <w:szCs w:val="28"/>
          <w:rtl w:val="true"/>
          <w:lang w:bidi="ar-SA"/>
        </w:rPr>
        <w:t>أَقَامُوا الصَّلوةَ وَ آتَوُا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أقواهم علیه وأعلمهم بأمر اللَّه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وقال الإمام السبط الطاهر الحسین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الإمام إلّاالحاکم بالکتاب، الدائن بدین الحق، القائم بالقسط، الحابس نفسه علی ذات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وأین هذه الملاکات والضوابط ممّا جاء فی احتجاجات المهاجرین والأنصار؟</w:t>
      </w:r>
      <w:r>
        <w:rPr>
          <w:rFonts w:eastAsia="IRNazanin" w:cs="IRNazanin"/>
          <w:color w:val="111111"/>
          <w:sz w:val="28"/>
          <w:szCs w:val="28"/>
          <w:rtl w:val="true"/>
          <w:lang w:bidi="fa-IR"/>
        </w:rPr>
        <w:t>!</w:t>
      </w:r>
    </w:p>
    <w:p>
      <w:pPr>
        <w:pStyle w:val="Heading6"/>
        <w:numPr>
          <w:ilvl w:val="5"/>
          <w:numId w:val="1"/>
        </w:numPr>
        <w:rPr/>
      </w:pPr>
      <w:bookmarkStart w:id="60" w:name="__RefHeading___Toc1400770_3650668749"/>
      <w:bookmarkStart w:id="61" w:name="_Toc23"/>
      <w:bookmarkEnd w:id="60"/>
      <w:r>
        <w:rPr>
          <w:rtl w:val="true"/>
        </w:rPr>
        <w:t>حصیلة مناقشات السقیفة</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النزاع بین الطائفتین محتدماً علی قدم وساق، إلی أن قال عمر بن الخطاب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 فبسط یده فبایعه، ثم بایعه المهاجرون الثلاثة الحاضرون هناک، فصار ذلک ذریعة لئن یبایعه رئیس قبیلة الأوس خوفاً من أن یکون النجاح لسعد بن عبادة رئیس قبیلة الخزرج، وقد اکتفی المهاجرون بهذا المقدار من البیعة فخرجوا من السقیفة داعین الناس لبیعة أبی بکر</w:t>
      </w:r>
      <w:r>
        <w:rPr>
          <w:rFonts w:eastAsia="IRNazanin" w:cs="IRNazanin"/>
          <w:color w:val="111111"/>
          <w:sz w:val="28"/>
          <w:szCs w:val="28"/>
          <w:rtl w:val="true"/>
          <w:lang w:bidi="fa-IR"/>
        </w:rPr>
        <w:t>.</w:t>
      </w:r>
      <w:bookmarkStart w:id="62" w:name="pg1680_12893"/>
    </w:p>
    <w:p>
      <w:pPr>
        <w:pStyle w:val="BookText"/>
        <w:rPr/>
      </w:pPr>
      <w:bookmarkEnd w:id="62"/>
      <w:r>
        <w:rPr>
          <w:rFonts w:ascii="IRNazanin" w:hAnsi="IRNazanin" w:eastAsia="IRNazanin"/>
          <w:color w:val="111111"/>
          <w:sz w:val="28"/>
          <w:sz w:val="28"/>
          <w:szCs w:val="28"/>
          <w:rtl w:val="true"/>
          <w:lang w:bidi="fa-IR"/>
        </w:rPr>
        <w:t>إنّ دراسة ما جری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الضرب والشتم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 الأحداث المریرة الّتی جرت بعدها یُحوجنا إلی تألیف کتاب مفرد لسنا بصدده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ونقتصر فی بیانها بکلمة عمر بن الخطاب الّذی رفع الستر عمّا جری فیها بعد حُقَب من الزمن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بیعة أبی بکر فلتة کفلتة الجاهلیة وقی اللَّه المسلمین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فتمّت، وانها قد کانت کذلک إلّاأنّ اللَّه قد وقی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بایع رجلًا عن غیر مشورة من المسلمین فإنّه لا بیعة له</w:t>
      </w:r>
      <w:r>
        <w:rPr>
          <w:rFonts w:eastAsia="IRNazanin" w:cs="IRNazanin"/>
          <w:color w:val="111111"/>
          <w:sz w:val="28"/>
          <w:szCs w:val="28"/>
          <w:rtl w:val="true"/>
          <w:lang w:bidi="fa-IR"/>
        </w:rPr>
        <w:t>.</w:t>
      </w:r>
      <w:r>
        <w:rPr>
          <w:rStyle w:val="FootnoteAnchor"/>
          <w:rtl w:val="true"/>
        </w:rPr>
        <w:footnoteReference w:id="25"/>
      </w:r>
    </w:p>
    <w:p>
      <w:pPr>
        <w:pStyle w:val="Heading6"/>
        <w:numPr>
          <w:ilvl w:val="5"/>
          <w:numId w:val="1"/>
        </w:numPr>
        <w:rPr/>
      </w:pPr>
      <w:bookmarkStart w:id="63" w:name="__RefHeading___Toc1400772_3650668749"/>
      <w:bookmarkStart w:id="64" w:name="_Toc24"/>
      <w:bookmarkEnd w:id="63"/>
      <w:r>
        <w:rPr/>
        <w:t>2</w:t>
      </w:r>
      <w:r>
        <w:rPr>
          <w:rtl w:val="true"/>
        </w:rPr>
        <w:t xml:space="preserve">. </w:t>
      </w:r>
      <w:r>
        <w:rPr>
          <w:rtl w:val="true"/>
        </w:rPr>
        <w:t>روّاد التشیع فی صدر الإسلام‌</w:t>
      </w:r>
      <w:bookmarkEnd w:id="64"/>
    </w:p>
    <w:p>
      <w:pPr>
        <w:pStyle w:val="BookText"/>
        <w:rPr/>
      </w:pPr>
      <w:r>
        <w:rPr>
          <w:rFonts w:ascii="IRNazanin" w:hAnsi="IRNazanin" w:eastAsia="IRNazanin"/>
          <w:color w:val="111111"/>
          <w:sz w:val="28"/>
          <w:sz w:val="28"/>
          <w:szCs w:val="28"/>
          <w:rtl w:val="true"/>
          <w:lang w:bidi="fa-IR"/>
        </w:rPr>
        <w:t>قد عرفت أنّ العنصر المقوّم للتشیع هو الاعتقاد بأنّ القیادة الإسلامیة الحکیمة فی حقلی التعلیم والسیاسة منحصرة فی علی وأهل بیته علیهم السلام، وهذا هو الأصل الجامع بین الشیعة، وهذا الأصل یمثل العمود الفقری بین سائر المسائل الأُصولیة، ولأجل أن نتعرف علی روّاد التشیع والمتمسکین بهذا المبدأ نذکر أسماء عدد من الصحابة من الشیعة من بنی هاشم وغیرهم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أبی‌طالب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بن الحرث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الحرث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الطفیل بن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نوفل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الحرث بن نوفل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سفیان بن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ربیعة بن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عتبة بن أبی لهب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ربیعة بن 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أبی سفیان بن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من مشاهیر بنی هاشم، وأمّا غیرهم فإلیک أسماء 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المحمّدی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مضیّف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مالک بن التیهان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 الحبشی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مولی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جبلة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الحصیب الأسلمی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أبی هالة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هبیرة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سعید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خمسون صحابیاً من الطبقة الأُولی للشیعة، فمن أراد التفصیل والوقوف علی حیاتهم وتشیّعهم فلیرجع إلی الکتب المؤلّفة فی الرجال، ولکن بعین مفتوحة وبصیرة نافذة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الختام نورد ما ذکره محمّد کرد 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جماعة من کبار الصحابة بموالاة علیّ فی عصر رسول اللَّه صلی الله علیه و آله و سلم مثل سلمان الفارسی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علی النصح للمسلمین والائتمام بعلیّ بن أبی‌طالب والموالاة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أبی سعید الخدری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 فعملوا</w:t>
      </w:r>
      <w:bookmarkStart w:id="65" w:name="pg1680_12896"/>
    </w:p>
    <w:p>
      <w:pPr>
        <w:pStyle w:val="BookText"/>
        <w:rPr/>
      </w:pPr>
      <w:bookmarkEnd w:id="65"/>
      <w:r>
        <w:rPr>
          <w:rFonts w:ascii="IRNazanin" w:hAnsi="IRNazanin" w:eastAsia="IRNazanin"/>
          <w:color w:val="111111"/>
          <w:sz w:val="28"/>
          <w:sz w:val="28"/>
          <w:szCs w:val="28"/>
          <w:rtl w:val="true"/>
          <w:lang w:bidi="fa-IR"/>
        </w:rPr>
        <w:t>بأربع وترکوا واحدة، ولمّا سئل عن الأربع،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وصوم شهر رمضان،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لمفروضة معهنّ؟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مفروضة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أبی ذر الغفاری، وعمّار بن یاسر، وحذیفة بن الیمان، وذی الشهادتین خزیمة بن ثابت، وأبی أیّوب الأنصاری، وخالد بن سعید، وقیس بن سعد بن عبادة</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6" w:name="__RefHeading___Toc1400774_3650668749"/>
      <w:bookmarkStart w:id="67" w:name="_Toc25"/>
      <w:bookmarkEnd w:id="66"/>
      <w:r>
        <w:rPr/>
        <w:t>4</w:t>
      </w:r>
      <w:r>
        <w:rPr>
          <w:rtl w:val="true"/>
        </w:rPr>
        <w:t xml:space="preserve">. </w:t>
      </w:r>
      <w:r>
        <w:rPr>
          <w:rtl w:val="true"/>
        </w:rPr>
        <w:t>افتراضات وهمیة حول نشوء الشیعة</w:t>
      </w:r>
      <w:bookmarkEnd w:id="67"/>
    </w:p>
    <w:p>
      <w:pPr>
        <w:pStyle w:val="Heading5"/>
        <w:numPr>
          <w:ilvl w:val="4"/>
          <w:numId w:val="1"/>
        </w:numPr>
        <w:rPr/>
      </w:pPr>
      <w:bookmarkStart w:id="68" w:name="__RefHeading___Toc1400776_3650668749"/>
      <w:bookmarkStart w:id="69" w:name="_Toc26"/>
      <w:bookmarkEnd w:id="68"/>
      <w:r>
        <w:rPr>
          <w:rtl w:val="true"/>
        </w:rPr>
        <w:t>اشارة</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تعرّفت علی أنّ نشوء مذهب التشیع لیس ولید نتیجة الجدل الکلامی ولم یکن من نتاج السیاسات الزمنیة، وإنّما نشأ بنشوء الإسلام، لأنّ الباذر الأوّل للتشیّع هو ذاته رسول الإسلام محمد صلی الله علیه و آله و سلم، إذ إنّ التشیّع والإسلام هما وجهان لعملة واحدة، إلّاأنّ جماعةمن المؤرّخین وکتّاب المقالات صوّروا أنّ التشیّع أمر حادث وطارئ علی المجتمع الإسلامی، فأخذوا یُفتشون عن مبدئه ومصدره، وسوف نتناول بعض الافتراضات المهمة ونناقشها ونجیب عنها واحداً بعد الآخر</w:t>
      </w:r>
      <w:r>
        <w:rPr>
          <w:rFonts w:eastAsia="IRNazanin" w:cs="IRNazanin"/>
          <w:color w:val="111111"/>
          <w:sz w:val="28"/>
          <w:szCs w:val="28"/>
          <w:rtl w:val="true"/>
          <w:lang w:bidi="fa-IR"/>
        </w:rPr>
        <w:t>.</w:t>
      </w:r>
      <w:bookmarkStart w:id="70" w:name="pg1680_12897"/>
    </w:p>
    <w:p>
      <w:pPr>
        <w:pStyle w:val="Heading5"/>
        <w:numPr>
          <w:ilvl w:val="4"/>
          <w:numId w:val="1"/>
        </w:numPr>
        <w:rPr/>
      </w:pPr>
      <w:bookmarkStart w:id="71" w:name="__RefHeading___Toc1400778_3650668749"/>
      <w:bookmarkStart w:id="72" w:name="_Toc27"/>
      <w:bookmarkEnd w:id="70"/>
      <w:bookmarkEnd w:id="71"/>
      <w:r>
        <w:rPr>
          <w:rtl w:val="true"/>
        </w:rPr>
        <w:t>الافتراض الأوّل</w:t>
      </w:r>
      <w:r>
        <w:rPr>
          <w:rtl w:val="true"/>
        </w:rPr>
        <w:t xml:space="preserve">: </w:t>
      </w:r>
      <w:r>
        <w:rPr>
          <w:rtl w:val="true"/>
        </w:rPr>
        <w:t>التشیّع صنیع عبد اللَّه بن سبأ</w:t>
      </w:r>
      <w:bookmarkEnd w:id="72"/>
    </w:p>
    <w:p>
      <w:pPr>
        <w:pStyle w:val="Heading6"/>
        <w:numPr>
          <w:ilvl w:val="5"/>
          <w:numId w:val="1"/>
        </w:numPr>
        <w:rPr/>
      </w:pPr>
      <w:bookmarkStart w:id="73" w:name="__RefHeading___Toc1400780_3650668749"/>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لنقرأ ما کتبه الطبری حول هذا الوهم المصطنع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یهودیاً باسم عبد اللَّه بن سبأ المکنّی بابن السوداء فی صنعاء أظهر الإسلام فی عصر عثمان، واندسّ بین المسلمین، وأخذ یتنقّل فی حواضرهم وعواصم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والکوفة، والبصرة، ومصر، مبشّراً بأنّ للنبیّ الأکرم رجعة کما أنّ لعیسی بن مریم رجعة، وأنّ علیّاً هو وصی محمّد صلی الله علیه و آله و سلم کما کان لکلّ نبیّ وصی، وأنّ علیّاً خاتم الأوصیاء کما أنّ محمّداً خاتم الأنبیاء، وأنّ عثمان غاصب حقّ هذا الوصیّ وظالمه، فیجب مناهضته لإرجاع الحقّ إلی أهله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سبأ بثّ فی البلاد الإسلامیة دعاته، وأشار علیهم أن یظهروا الأمر بالمعروف والنهی عن المنکر، والطعن فی الأُمراء، فمال إلیه وتبعه علی ذلک جماعات من المسلمین، فیهم الصحابی الکبیر والتابعی الصالح من أمثال أبی ذر، وعمّار بن یاسر، ومحمّد بن حذیفة، وعبد الرحمن بن عدیس، ومحمّد بن أبی بکر، وصعصعة بن صوحان العبدی، ومالک الأشتر، إلی غیرهم من أبرار المسلمین وأخیارهم، فکانت السبئیة تثیر الناس علی ولاتهم، تنفیذاً لخطّة زعیمها، وتضع کتباً فی عیوب</w:t>
      </w:r>
    </w:p>
    <w:p>
      <w:pPr>
        <w:pStyle w:val="BookText"/>
        <w:rPr/>
      </w:pPr>
      <w:r>
        <w:rPr>
          <w:rFonts w:ascii="IRNazanin" w:hAnsi="IRNazanin" w:eastAsia="IRNazanin"/>
          <w:color w:val="111111"/>
          <w:sz w:val="28"/>
          <w:sz w:val="28"/>
          <w:szCs w:val="28"/>
          <w:rtl w:val="true"/>
          <w:lang w:bidi="fa-IR"/>
        </w:rPr>
        <w:t>الأُمراء وترسل إلی غیر مصرهم من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فنتج عن ذلک قیام جماعات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بتحریض السبئیین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وقدومهم إلی المدینة وحصرهم عثمان فی داره، حتّی قتل فیها، کلّ ذلک کان بقیادة السبئیّین ومباشرتهم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بعد ما بایعوا علیّاً، ونکث طلحة والزبیر بیعته وخرجا إلی البصرة، رأی السبئیّون أنّ رؤساء الجیشین أخذوا یتفاهمون، وأنّه إنّ تمّ ذلک سیؤخذون بدم عثمان، فاجتمعوا لیلًا وقرّروا أنّ یندسّوا بین الجیشین ویثیروا الحرب بکرة دون علم غیرهم، وأنّهم استطاعوا أنّ ینفّذوا هذا القرار الخطیر فی غلس اللیل قبل أن ینتبه الجیشان المتقاتلان، فناوش المندسّون من السیاسیین فی جیش علیّ من کان بأزائهم من جیش البصرة، ففزع الجیشان وفزع رؤساؤهما، وظنّ کلّ بخصمه شرّاً، ثمّ إنّ حرب البصرة وقعت بهذا الطریق، دون أن یکون لرؤساء الجیشین رأی أو علم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إلی هنا انتهت قصة السبئیة الّتی یذکرها الطبری فی تاریخه فی أحداث سنوات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وقد أخذ ذلک مَن جاء بعده من المؤرخین وکتاب المقالات کحقیقة راهنة، وبنوا علیها ما بنوا من الأفکار والآراء، فصارت الشیعة ولیدة السبئیة فی زعم هؤلاء عبر القرون والأجیال، ولا حاجة لنا فی ذکر أسماء من اتّخذ قصة الطبری مسنداً لادّعائه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من کتب عن الشیعة من المسلمین، وأمّا المستشرقون</w:t>
      </w:r>
      <w:bookmarkStart w:id="75" w:name="pg1680_12899"/>
    </w:p>
    <w:p>
      <w:pPr>
        <w:pStyle w:val="BookText"/>
        <w:rPr/>
      </w:pPr>
      <w:bookmarkEnd w:id="75"/>
      <w:r>
        <w:rPr>
          <w:rFonts w:ascii="IRNazanin" w:hAnsi="IRNazanin" w:eastAsia="IRNazanin"/>
          <w:color w:val="111111"/>
          <w:sz w:val="28"/>
          <w:sz w:val="28"/>
          <w:szCs w:val="28"/>
          <w:rtl w:val="true"/>
          <w:lang w:bidi="fa-IR"/>
        </w:rPr>
        <w:t>المتطفّلون علی موائد المسلمین فقد اتّبعوا تلک الفرضیة الخاطئة فی بحوثهم</w:t>
      </w:r>
      <w:r>
        <w:rPr>
          <w:rFonts w:eastAsia="IRNazanin" w:cs="IRNazanin"/>
          <w:color w:val="111111"/>
          <w:sz w:val="28"/>
          <w:szCs w:val="28"/>
          <w:rtl w:val="true"/>
          <w:lang w:bidi="fa-IR"/>
        </w:rPr>
        <w:t>.</w:t>
      </w:r>
    </w:p>
    <w:p>
      <w:pPr>
        <w:pStyle w:val="Heading6"/>
        <w:numPr>
          <w:ilvl w:val="5"/>
          <w:numId w:val="1"/>
        </w:numPr>
        <w:rPr/>
      </w:pPr>
      <w:bookmarkStart w:id="76" w:name="__RefHeading___Toc1400782_3650668749"/>
      <w:bookmarkStart w:id="77" w:name="_Toc29"/>
      <w:bookmarkEnd w:id="76"/>
      <w:r>
        <w:rPr>
          <w:rtl w:val="true"/>
        </w:rPr>
        <w:t>نظر المحقّقین فی الفرضیة</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سرده الطبری من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عمّا فی سندها من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بالأساطیر والخرافات، إذ کیف یصح لإنسان أن یصدّق أنّ یهودیاً جاء من صنعاء وأسلم فی عصر عثمان، واستطاع أن یُغری کبار الصحابة والتابعین، ویخدعهم ویطوف بین البلاد واستطاع أن یکوّن خلایا ضد عثمان ویستقدمهم إلی المدینة ویؤلّبهم علی الخلافة الإسلامیة، فیهاجموا داره ویقتلوه، بمرأی ومسمع من الصحابة العدول ومن تبعهم بأحسان، هذا شی‌ء لا یحتمله العقل وإن وطّن نفسه علی قبول العجائب والغرائب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القصة تمسّ کرامة المسلمین والصحابة والتابعین وتصوّرهم أُمّة ساذجة یغترون بفکر یهودی ماکر متظاهر بالإسلام دون أن یعرفوه، وفیهم السادة والقادة والعلماء والمفکّرون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القراءة الموضوعیة لسیرة عثمان بن عفان ومعاویة بن أبی سفیان تثبت أنّهما لا یسمحان للمعارضین بالتحرک فی البلاد الإسلامیة وبثّ الدعایة ضدهم، والشاهد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خالف أبو ذر عثمان بن عفان نفاه من المدینة إلی الربذة، لاعتراضه علیه فی تقسیم الفی‌ء وبیت المال علی أبناء عمومته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عثمان عمّار بن یاسر حتّی انفتق له فتقاً فی بطنه</w:t>
      </w:r>
    </w:p>
    <w:p>
      <w:pPr>
        <w:pStyle w:val="BookText"/>
        <w:rPr/>
      </w:pPr>
      <w:r>
        <w:rPr>
          <w:rFonts w:ascii="IRNazanin" w:hAnsi="IRNazanin" w:eastAsia="IRNazanin"/>
          <w:color w:val="111111"/>
          <w:sz w:val="28"/>
          <w:sz w:val="28"/>
          <w:szCs w:val="28"/>
          <w:rtl w:val="true"/>
          <w:lang w:bidi="fa-IR"/>
        </w:rPr>
        <w:t>وکسر عمّاله ضلعاً من أضلاعه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إلی غیر ذلک من الأحداث الّتی جرت علی المعارضین المخالفین للخلافة الذین نفوا من عقر 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یتعامل معه، بالأُسلوب الّذی تعامل به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ابن سبأ بلغ هذا المبلغ من إلقاح الفتن، وشقّ عصا المسلمین، وقد علم به وبعیثه أُمراء الأُمّة وساستها فی البلاد، وانتهی أمره إلی خلیفة الوقت، فلماذا لم یقع علیه الطلب؟ ولم یبلغه القبض علیه، والأخذ بتلکم الجنایات الخطرة، والتأدیب بالضرب والإهانة، والزجّ إلی أعماق السجون؟ ولا آل أمره إلی الإعدام المریح للأُمّة من شرّه وفساده کما وقع ذلک کلّه علی الصلحاء الأبرار الآمرین بالمعروف والناهین عن المنکر؟ وهتاف القرآن الکریم یرنُّ فی مسامع الملأ الدینی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فهلّا اجتاح الخلیفة جرثومة تلک القلاقل بقتله؟ وهل کان تجهّمه وغلظته قصراً علی الأبرار من أُمّة محمّد صلی الله علیه و آله و سلم ففعل بهم ما فعل؟</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روایة الطبری نقلت عن أشخاص لا یصحّ الاحتجاج بهم، وإلیک من ورد فی سند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السری الّذی یروی عنه الطبری مردّد بین رجلین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السری بن إسماعیل الهمدانی الّذی کذّبه یحیی بن سعید وضعّفه غیر واحد من 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بن عاصم بن سهل الهمدانی الّذی أدرک الطبری شطراً من حیاته، کذبه غیر واحد من علماء الرجال وعدّوه من الوضّاعین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والمراد به شعیب بن إبراهیم الکوفی المجهول،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بالمعروف، 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راویة کتب سیف عنه، فیه جهالة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رأس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سیف بن عمر یروی الموضوعات عن الأثبات،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یضع الحدیث، واتّهم بالزندقة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الکلمات الکاشفة عن سوء سریرته وفساد عقیدته وعدم اکتراثه عن الوضع والکذب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هو حال السند، فکیف نعتمد فی تحلیل نشوء طائفة کبیرة من طوائف المسلمین تشکّل خمسهم أو ربعهم علی تلک الروایة مع</w:t>
      </w:r>
      <w:bookmarkStart w:id="78" w:name="pg1680_12902"/>
    </w:p>
    <w:p>
      <w:pPr>
        <w:pStyle w:val="BookText"/>
        <w:rPr/>
      </w:pPr>
      <w:bookmarkEnd w:id="78"/>
      <w:r>
        <w:rPr>
          <w:rFonts w:ascii="IRNazanin" w:hAnsi="IRNazanin" w:eastAsia="IRNazanin"/>
          <w:color w:val="111111"/>
          <w:sz w:val="28"/>
          <w:sz w:val="28"/>
          <w:szCs w:val="28"/>
          <w:rtl w:val="true"/>
          <w:lang w:bidi="fa-IR"/>
        </w:rPr>
        <w:t>أنّ هذا هو حال سندها، فالاعتماد علیها خداع وضلال</w:t>
      </w:r>
      <w:r>
        <w:rPr>
          <w:rFonts w:eastAsia="IRNazanin" w:cs="IRNazanin"/>
          <w:color w:val="111111"/>
          <w:sz w:val="28"/>
          <w:szCs w:val="28"/>
          <w:rtl w:val="true"/>
          <w:lang w:bidi="fa-IR"/>
        </w:rPr>
        <w:t>.</w:t>
      </w:r>
    </w:p>
    <w:p>
      <w:pPr>
        <w:pStyle w:val="Heading6"/>
        <w:numPr>
          <w:ilvl w:val="5"/>
          <w:numId w:val="1"/>
        </w:numPr>
        <w:rPr/>
      </w:pPr>
      <w:bookmarkStart w:id="79" w:name="__RefHeading___Toc1400784_3650668749"/>
      <w:bookmarkStart w:id="80" w:name="_Toc30"/>
      <w:bookmarkEnd w:id="79"/>
      <w:r>
        <w:rPr>
          <w:rtl w:val="true"/>
        </w:rPr>
        <w:t>عبد اللَّه بن سبأ اسطورة تاریخیة</w:t>
      </w:r>
      <w:bookmarkEnd w:id="80"/>
    </w:p>
    <w:p>
      <w:pPr>
        <w:pStyle w:val="BookText"/>
        <w:rPr/>
      </w:pPr>
      <w:r>
        <w:rPr>
          <w:rFonts w:ascii="IRNazanin" w:hAnsi="IRNazanin" w:eastAsia="IRNazanin"/>
          <w:color w:val="111111"/>
          <w:sz w:val="28"/>
          <w:sz w:val="28"/>
          <w:szCs w:val="28"/>
          <w:rtl w:val="true"/>
          <w:lang w:bidi="fa-IR"/>
        </w:rPr>
        <w:t xml:space="preserve">إلی الآن قد فرضنا أنّ لعبد اللَّه بن سبأ وجوداً خارجیاً یحلم بإفساد الأمر علی المسلمین، والّذی ننکره هو نجاح رجل یهودی ماکر متظاهر بالإسلام إلی هذه الدرجة من القوة بحیث یستطیع أن یفسد الأمر علی الخلافة ویبث دعاته فی الأمصار ویکاتب الآخرین حتّی ینتهی الأمر إلی قتل الخلیفة، وبالتالی إلی تقابل الجیشین فی البصرة وإفساده الأمر علیهم، واختراع مذهب باسم الشیعة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نعود إلی حقیقة أُخری کشف عنها المحقّقون المعاصرون، وهی أنّ الشواهد والقرآئن تشهد بأنّ مثل عبد اللَّه بن سبأ مثل مجنون بنی عامر وبنی هلال، وأمثال هؤلاء الرجال والأبطال کلّها أحادیث خرافیة قصّها القصّاصون وأرباب السمر والمجون کی تأنس بها ربّات الحجال وأبناء الترف والنعمة، وأمّا علی أرض الواقع فلا وجود لها، وهذه الحقیقة هی الّتی انتهی إلیها الدکتور طه حسین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تبعه غیر واحد من المستشرقین، ومن أراد أن یقف علی ما حقّقه هؤلاء الأکابر حول عبد اللَّه بن سبأ فلیرجع إلی المصادر المذکورة فی الهامش‌</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الکبری لطه حسین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فصل ابن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سبأ للسید مرتضی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الإمامة للدکتور أحمد محمود صبحی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80_12903"/>
    </w:p>
    <w:p>
      <w:pPr>
        <w:pStyle w:val="Heading5"/>
        <w:numPr>
          <w:ilvl w:val="4"/>
          <w:numId w:val="1"/>
        </w:numPr>
        <w:rPr/>
      </w:pPr>
      <w:bookmarkStart w:id="82" w:name="__RefHeading___Toc1400786_3650668749"/>
      <w:bookmarkStart w:id="83" w:name="_Toc31"/>
      <w:bookmarkEnd w:id="81"/>
      <w:bookmarkEnd w:id="82"/>
      <w:r>
        <w:rPr>
          <w:rtl w:val="true"/>
        </w:rPr>
        <w:t>الافتراض الثانی</w:t>
      </w:r>
      <w:r>
        <w:rPr>
          <w:rtl w:val="true"/>
        </w:rPr>
        <w:t xml:space="preserve">: </w:t>
      </w:r>
      <w:r>
        <w:rPr>
          <w:rtl w:val="true"/>
        </w:rPr>
        <w:t>التشیع فارسی‌المبدأ أو الصبغة</w:t>
      </w:r>
      <w:bookmarkEnd w:id="83"/>
    </w:p>
    <w:p>
      <w:pPr>
        <w:pStyle w:val="BookText"/>
        <w:rPr/>
      </w:pPr>
      <w:r>
        <w:rPr>
          <w:rFonts w:ascii="IRNazanin" w:hAnsi="IRNazanin" w:eastAsia="IRNazanin"/>
          <w:color w:val="111111"/>
          <w:sz w:val="28"/>
          <w:sz w:val="28"/>
          <w:szCs w:val="28"/>
          <w:rtl w:val="true"/>
          <w:lang w:bidi="fa-IR"/>
        </w:rPr>
        <w:t>وهنا تطرح فرضیة ثانیة اخترعها المستشرقون لنشوء الشیعة فی المجتمع الإسلامی، وهؤلاء کغیرهم من الباحثین اعتقدوا بأنّ التشیع ظاهرة حدثت بعد رحیل النبی الأکرم صلی الله علیه و آله و سلم، فأخذوا یفتشون عن علّتها وسبب حدوثها حتّی انتهوا إلی أنّ التشیع فارسی المبدأ أو الصبغة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الفرضیة اخترعها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للمذهب الشیعی نزعة فارسیة لأنّ العرب کانوا یدینون بالحریة، والفرس یدینون بالملک والوراثة ولا یعرفون معنی الانتخاب، ولمّا انتقل النبی صلی الله علیه و آله و سلم إلی دار البقاء ولم یترک ولداً قالوا علیٌّ أولی بالخلافة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الانسجام الفکری بین الفرس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الخلافة أمراً وراثیاً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التشیّع ولید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الفرضیة أشبه بالفرضیة السابقة من الضعف حیث إنّها دعوی بلا برهان، بل هی دعوی تکذّبها الشواهد الکثیرة الدالّة علی أنّ التشیّع عربی المبدأ؛ وهی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التشیّع حسب ما عرفت ظهر فی عصر النبی الأکرم صلی الله علیه و آله و سلم وهو</w:t>
      </w:r>
    </w:p>
    <w:p>
      <w:pPr>
        <w:pStyle w:val="BookText"/>
        <w:rPr/>
      </w:pPr>
      <w:r>
        <w:rPr>
          <w:rFonts w:ascii="IRNazanin" w:hAnsi="IRNazanin" w:eastAsia="IRNazanin"/>
          <w:color w:val="111111"/>
          <w:sz w:val="28"/>
          <w:sz w:val="28"/>
          <w:szCs w:val="28"/>
          <w:rtl w:val="true"/>
          <w:lang w:bidi="fa-IR"/>
        </w:rPr>
        <w:t>الّذی سمّی أتباع علی علیه السلام بالشیعة، وکانوا متواجدین فی عصر النبی وبعده، إلی زمن لم یدخل أحد من الفرس سوی سلمان،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رواد التشیع فی عصر الرسول صلی الله علیه و آله و سلم والوصی علیه السلام کانوا کلّهم عرباً، ولم یکن بینهم أی فارسی سوی سلمان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الحسن الإمام علی بن أبی طالب علیه السلام أیام خلافته ثلاثة حروب،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 وصفین والنهروان؛ وکان جیشه کلّه عرباً أقحاحاً بین عدنانیّ وقحطانیّ، فقد انضم إلی جیشه زرافات من قریش والأوس والخزرج، ومن قبائل مذحج وهمدان وطی وکندة وتمیم، ومضر، وکان زعماء جیشه من رؤوس هذه القبائل، کهاشم المرقال، ومالک الأشتر، وصعصعة بن صوحان وأخوه زید، وقیس بن سعد بن عبادة، وعبد اللَّه بن عباس، ومحمّد بن أبی بکر، وحجر بن عدی، وعدی بن حاتم، وأضرابهم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الجیش وبأُولئک الزعماء فتح أمیر المؤمنین البصرة، وحارب 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صفّین، وبهم قضی علی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الفرس فی ذلک الجیش وأُولئک القادة کی نحتمل أنّهم کانوا الحجر الأساس للتشیّع؟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الفرس لم یکونوا الوحیدین ممّن اعتنقوا هذا المذهب دون غیرهم، بل اعتنقه الأتراک والهنود وغیرهم من غیر العرب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شهد بما ذکرنا لفیف من المحقّقین من المستشرقین</w:t>
      </w:r>
    </w:p>
    <w:p>
      <w:pPr>
        <w:pStyle w:val="BookText"/>
        <w:rPr/>
      </w:pPr>
      <w:r>
        <w:rPr>
          <w:rFonts w:ascii="IRNazanin" w:hAnsi="IRNazanin" w:eastAsia="IRNazanin"/>
          <w:color w:val="111111"/>
          <w:sz w:val="28"/>
          <w:sz w:val="28"/>
          <w:szCs w:val="28"/>
          <w:rtl w:val="true"/>
          <w:lang w:bidi="fa-IR"/>
        </w:rPr>
        <w:t>وغیرهم، ونقتصر علی ذکر قول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المستشرق فلهوزن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سکان العراق فی عهد معاویة خصوصاً أهل الکوفة شیعة ولم یقتصر هذا علی الأفراد، بل شمل القبائل ورؤوساء العرب</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کان ینتشر بین الفرس بالمعنی الّذی کان ینتشر به فی سائر الشعوب، ولم یکن بلد إیران معروفاً بالتشیّع إلی أن انتقل قسم من الأشعریین الشیعة إلی قم وکاشان، فبذروا التشیّع، وکان ذلک فی أواخر القرن الأوّل مع أنّ الفرس دخلوا فی الإسلام فی عهد الخلیفة الثانی أی من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وهذا یعنی‌أنّه قد انقضی عشرات الأعوام ولم یکن عندهم أثر من التشیّع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الفرس الذین دخلوا الإسلام لم یکونوا شیعة فی أوّل الأمر إلّاالقلیل، وجلّ علماء السنّة وأجلاؤهم من الفرس کالبخاری والترمذی والنسائی وابن ماجة والحاکم النیسابوری وهکذا غیرهم ممّن أتوا فی الطبقة التالیة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نعم ربّما یستدلّ علی أنّ التشیع فارسی المبدأ فی اتفاقهما فی أنّ الخلافة أمراً وراثیاً فی منطق الشیعة والفرس، حیث کان الأمر کذلک فی عهد ملوک بنی ساسان وغیرهم، ولکن ذلک ذریعة باطلة حیث إنّ الخلافة</w:t>
      </w:r>
    </w:p>
    <w:p>
      <w:pPr>
        <w:pStyle w:val="BookText"/>
        <w:rPr/>
      </w:pPr>
      <w:r>
        <w:rPr>
          <w:rFonts w:ascii="IRNazanin" w:hAnsi="IRNazanin" w:eastAsia="IRNazanin"/>
          <w:color w:val="111111"/>
          <w:sz w:val="28"/>
          <w:sz w:val="28"/>
          <w:szCs w:val="28"/>
          <w:rtl w:val="true"/>
          <w:lang w:bidi="fa-IR"/>
        </w:rPr>
        <w:t>عند الشیعةلیست وراثیة، بل هی أمر تنصیصی، غایة الأمر أنّ اللَّه سبحانه جعل نور الإمامة فی بیوت خاصة ینصّ کلّ إمام علی إمامة إمام آخر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یقرّب ذلک أنّه سبحانه تبارک وتعالی جعل النبوة فی ورثة إبراهیم فکان یتوارث نبیٌ نبیاً ووصیٌ وصیاً،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إِبْرَاهِیمَ وَ جَعَلْنَا فِی ذُرِّیَّتِهِمَا النُّبُوَّةَ وَ الْکِتَابَ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لا تکون الإمامة فی التوارث کالنبوة فی ذریة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تاریخ الفرس وحیاة علمائهم ودخولهم فی التسنّن والتشیّع یقف علی أنّ التسنّن کان هو السائد علیهم إلی أوائل القرن العاشر حتّی غلب علیهم التشیّع فی العصر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کانت الری وقم وکاشان معقل الشیعة، وهذه المدن بالنسبة إلی سائر البلاد الفارسیة صغیرة جداً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 الصفوی إسماعیل لمّا انتصر علی ألوند توجه نحو تبریز فأعلمه علماء الشیعة فی تبریز أن ثلثی سکان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 عددهم ثلاثمائة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هذه بعض الفروض الّتی افترضها عدة من الباحثین الذین فرضوا التشیع أمراً عارضاً علی جسم الأُمّة الإسلامیة وذهبوا إلی افتراض علل لنشوئه، وأمّا نحن فقد ذکرنا أنّ جوهر التشیّع لیس له إلّاأصل واحد، وهو</w:t>
      </w:r>
      <w:bookmarkStart w:id="84" w:name="pg1680_12907"/>
    </w:p>
    <w:p>
      <w:pPr>
        <w:pStyle w:val="BookText"/>
        <w:rPr/>
      </w:pPr>
      <w:bookmarkEnd w:id="84"/>
      <w:r>
        <w:rPr>
          <w:rFonts w:ascii="IRNazanin" w:hAnsi="IRNazanin" w:eastAsia="IRNazanin"/>
          <w:color w:val="111111"/>
          <w:sz w:val="28"/>
          <w:sz w:val="28"/>
          <w:szCs w:val="28"/>
          <w:rtl w:val="true"/>
          <w:lang w:bidi="fa-IR"/>
        </w:rPr>
        <w:t>کون القیادة بعد النبی صلی الله علیه و آله و سلم فی مجالی العلم والسیاسة لعلی علیه السلام ثم للأوصیاء من بعده، فالتشیّع کالإسلام حجازی المولد والمنشأ اعتنقه العرب فترة طویلة ثم انتشر شیئاً فشیئاً بین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الافتراضات فلیس لها قیمة حتّی نتطرق إلی مناقشتها</w:t>
      </w:r>
      <w:r>
        <w:rPr>
          <w:rFonts w:eastAsia="IRNazanin" w:cs="IRNazanin"/>
          <w:color w:val="111111"/>
          <w:sz w:val="28"/>
          <w:szCs w:val="28"/>
          <w:rtl w:val="true"/>
          <w:lang w:bidi="fa-IR"/>
        </w:rPr>
        <w:t>.</w:t>
      </w:r>
    </w:p>
    <w:p>
      <w:pPr>
        <w:pStyle w:val="Heading4"/>
        <w:numPr>
          <w:ilvl w:val="3"/>
          <w:numId w:val="1"/>
        </w:numPr>
        <w:rPr/>
      </w:pPr>
      <w:bookmarkStart w:id="85" w:name="__RefHeading___Toc1400788_3650668749"/>
      <w:bookmarkStart w:id="86" w:name="_Toc32"/>
      <w:bookmarkEnd w:id="85"/>
      <w:r>
        <w:rPr/>
        <w:t>5</w:t>
      </w:r>
      <w:r>
        <w:rPr>
          <w:rtl w:val="true"/>
        </w:rPr>
        <w:t xml:space="preserve">. </w:t>
      </w:r>
      <w:r>
        <w:rPr>
          <w:rtl w:val="true"/>
        </w:rPr>
        <w:t>الشیعة الإمامیة والخلافات السائدة بینهم وبین غیرهم من طوائف الشیعة</w:t>
      </w:r>
      <w:r>
        <w:rPr>
          <w:rtl w:val="true"/>
        </w:rPr>
        <w:t>:</w:t>
      </w:r>
      <w:bookmarkEnd w:id="86"/>
    </w:p>
    <w:p>
      <w:pPr>
        <w:pStyle w:val="Heading5"/>
        <w:numPr>
          <w:ilvl w:val="4"/>
          <w:numId w:val="1"/>
        </w:numPr>
        <w:rPr/>
      </w:pPr>
      <w:bookmarkStart w:id="87" w:name="__RefHeading___Toc1400790_3650668749"/>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کانت الشیعة بعد رحلة النبی الأکرم صلی الله علیه و آله و سلم کتلة واحدة یشایعون علیاً وأهل بیته إلی أن وقعت رزیة الطف واستشهد الإمام الحسین علیه السلام بید الطغمة الغاشمة من بنی أُمیة فظهرت فرقة الکیسانیة وهم القائلون بإمامة محمد بن الحنفیة بن علی بن أبی طالب، ثم تبعتها فرق أُخری فی‌الظهور حسب تطورات الأحداث مثل الزیدیة أتباع زید بن علی، والمغیریة، والمحمدیة، والناووسیة، والإسماعیلیة، والسمیطیة، والفطحیة، والواقفیة، والخطّابیة، والنصیریة، والمفوضة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فرق الشیعة الّتی ذکرها أصحاب المقالات والفرق، وقد انقرضت أکثرها وبادت وتشتّت آراؤها وطویت فی سجل التاریخ ولم یبق منها إلّاثلاث،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والزیدیة، والإسماعیلیة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نسلّط الضوء بصورة مختصرة علی فرقتی الزیدیة والإسماعیلیة والفارق الجوهری بینها وبین الشیعة الإمامیة</w:t>
      </w:r>
      <w:r>
        <w:rPr>
          <w:rFonts w:eastAsia="IRNazanin" w:cs="IRNazanin"/>
          <w:color w:val="111111"/>
          <w:sz w:val="28"/>
          <w:szCs w:val="28"/>
          <w:rtl w:val="true"/>
          <w:lang w:bidi="fa-IR"/>
        </w:rPr>
        <w:t>.</w:t>
      </w:r>
      <w:bookmarkStart w:id="89" w:name="pg1680_12908"/>
    </w:p>
    <w:p>
      <w:pPr>
        <w:pStyle w:val="Heading5"/>
        <w:numPr>
          <w:ilvl w:val="4"/>
          <w:numId w:val="1"/>
        </w:numPr>
        <w:rPr/>
      </w:pPr>
      <w:bookmarkStart w:id="90" w:name="__RefHeading___Toc1400792_3650668749"/>
      <w:bookmarkStart w:id="91" w:name="_Toc34"/>
      <w:bookmarkEnd w:id="89"/>
      <w:bookmarkEnd w:id="90"/>
      <w:r>
        <w:rPr>
          <w:rtl w:val="true"/>
        </w:rPr>
        <w:t>الزیدیة والإسماعیلیة</w:t>
      </w:r>
      <w:bookmarkEnd w:id="91"/>
    </w:p>
    <w:p>
      <w:pPr>
        <w:pStyle w:val="BookText"/>
        <w:rPr/>
      </w:pPr>
      <w:r>
        <w:rPr>
          <w:rFonts w:ascii="IRNazanin" w:hAnsi="IRNazanin" w:eastAsia="IRNazanin"/>
          <w:color w:val="111111"/>
          <w:sz w:val="28"/>
          <w:sz w:val="28"/>
          <w:szCs w:val="28"/>
          <w:rtl w:val="true"/>
          <w:lang w:bidi="fa-IR"/>
        </w:rPr>
        <w:t>الزیدیة والإسماعیلیة من فرق الشیعة کالإمامیة، وقد اتّفقت الشیعة بطوائفها الثلاث علی أنّ الرسول صلی الله علیه و آله و سلم أوصی لعلی بالوصایة والخلافة، وأمر بالتمسّک بالثقلین، وأنّه لا یعدل بهما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الفارقة الشاخصة الّتی تمیّز المذهب الزیدی عن المذهب الإمامی هو القول باختصاص الوصایة عند الزیدیة لعلی والحسنین علیهم السلام دون باقی الأئمة، بل الزعامة بعدهم لکل هاشمی عالم خارج بالسیف یدعو إلی إمامة نفسه، ولکن الإمامیة یسوقون النصّ علی اثنی عشر خلیفة، أوّلهم علی وآخرهم القائم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منهم الإسماعیلیة فهم یسوقون النصّ بالإمامة إلی الإمام جعفر الصادق علیه السلام وبعده إلی ابنه اسماعیل ثمّ تستمر الإمامة فی رأیهم فی أولاد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لکلّ من الزیدیة والإسماعیلیة فرقاً تمتاز کلّ عن الآخر بآراء وأُصول، تطلب من محالّها</w:t>
      </w:r>
      <w:r>
        <w:rPr>
          <w:rFonts w:eastAsia="IRNazanin" w:cs="IRNazanin"/>
          <w:color w:val="111111"/>
          <w:sz w:val="28"/>
          <w:szCs w:val="28"/>
          <w:rtl w:val="true"/>
          <w:lang w:bidi="fa-IR"/>
        </w:rPr>
        <w:t>.</w:t>
      </w:r>
    </w:p>
    <w:p>
      <w:pPr>
        <w:pStyle w:val="Heading4"/>
        <w:numPr>
          <w:ilvl w:val="3"/>
          <w:numId w:val="1"/>
        </w:numPr>
        <w:rPr/>
      </w:pPr>
      <w:bookmarkStart w:id="92" w:name="__RefHeading___Toc1400794_3650668749"/>
      <w:bookmarkStart w:id="93" w:name="_Toc35"/>
      <w:bookmarkEnd w:id="92"/>
      <w:r>
        <w:rPr/>
        <w:t>6</w:t>
      </w:r>
      <w:r>
        <w:rPr>
          <w:rtl w:val="true"/>
        </w:rPr>
        <w:t xml:space="preserve">. </w:t>
      </w:r>
      <w:r>
        <w:rPr>
          <w:rtl w:val="true"/>
        </w:rPr>
        <w:t>دور الشیعة فی بناء الحضارة الإسلامیة</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للشیعة الإمامیة دور فی بناء صرح الحضارة الإسلامیة الکبری یتمثّل فی تأسیس العلوم الإسلامیة، فبرز منهم طلائع العلوم اللغویة والشرعیة</w:t>
      </w:r>
    </w:p>
    <w:p>
      <w:pPr>
        <w:pStyle w:val="BookText"/>
        <w:rPr/>
      </w:pPr>
      <w:r>
        <w:rPr>
          <w:rFonts w:ascii="IRNazanin" w:hAnsi="IRNazanin" w:eastAsia="IRNazanin"/>
          <w:color w:val="111111"/>
          <w:sz w:val="28"/>
          <w:sz w:val="28"/>
          <w:szCs w:val="28"/>
          <w:rtl w:val="true"/>
          <w:lang w:bidi="fa-IR"/>
        </w:rPr>
        <w:t>کتفسیر القرآن الکریم وعلم الحدیث والفقه والرجال، کما طلع منهم عباقرة کذلک فی العلوم الطبیعیة کالجغرافیا والتاریخ والطب والکیمیاء والریاضیات والهندسة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 حافل بأعلامهم ولهم فی هذه المجالات جهود مشکورة، ومؤلّفاتهم مشهورة ذائعة تقرأ علی رؤوس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الجهود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بذلت فی سبیل العلوم والثقافة وابتدأت من القرن الهجری الأوّل وحتّی هذا الیوم، وأسست من أجلها الحوزات والمدارس والجامعات والمعاهد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علی أیدی علماء الشیعة، ورجالهم الذین لم یفتأوا لحظة واحدة عن تقدیم الخدمة للعالم البشری والحضارة الإسلامیة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کتب المعاجم والتراجم حافلة بذکر جهابذة الشیعة فی المجالات المختلفة من غیر فرق بین الفقه وأُصوله والقرآن والحدیث وعلومهما واللغة والأدب، کما أنّ لهم دور فی تأسیس المعاهد والجامعات فی شرق العالم الإسلامی وغربه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أراد التفصیل فعلیه أن یقرأ تاریخ الشیعة والحضارة الإسلامیة</w:t>
      </w:r>
      <w:r>
        <w:rPr>
          <w:rFonts w:eastAsia="IRNazanin" w:cs="IRNazanin"/>
          <w:color w:val="111111"/>
          <w:sz w:val="28"/>
          <w:szCs w:val="28"/>
          <w:rtl w:val="true"/>
          <w:lang w:bidi="fa-IR"/>
        </w:rPr>
        <w:t>.</w:t>
      </w:r>
      <w:bookmarkStart w:id="94" w:name="pg1680_12910"/>
    </w:p>
    <w:p>
      <w:pPr>
        <w:pStyle w:val="Heading2"/>
        <w:numPr>
          <w:ilvl w:val="1"/>
          <w:numId w:val="1"/>
        </w:numPr>
        <w:rPr/>
      </w:pPr>
      <w:bookmarkStart w:id="95" w:name="__RefHeading___Toc1400796_3650668749"/>
      <w:bookmarkStart w:id="96" w:name="_Toc36"/>
      <w:bookmarkEnd w:id="94"/>
      <w:bookmarkEnd w:id="95"/>
      <w:r>
        <w:rPr>
          <w:rtl w:val="true"/>
        </w:rPr>
        <w:t>الفصل الثانی</w:t>
      </w:r>
      <w:r>
        <w:rPr>
          <w:rtl w:val="true"/>
        </w:rPr>
        <w:t xml:space="preserve">: </w:t>
      </w:r>
      <w:r>
        <w:rPr>
          <w:rtl w:val="true"/>
        </w:rPr>
        <w:t>الأُصول الاعتقادیة</w:t>
      </w:r>
      <w:bookmarkEnd w:id="96"/>
    </w:p>
    <w:p>
      <w:pPr>
        <w:pStyle w:val="Heading3"/>
        <w:numPr>
          <w:ilvl w:val="2"/>
          <w:numId w:val="1"/>
        </w:numPr>
        <w:rPr/>
      </w:pPr>
      <w:bookmarkStart w:id="97" w:name="__RefHeading___Toc1400798_3650668749"/>
      <w:bookmarkStart w:id="98" w:name="_Toc37"/>
      <w:bookmarkEnd w:id="97"/>
      <w:r>
        <w:rPr>
          <w:rtl w:val="true"/>
        </w:rPr>
        <w:t>اشارة</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الذاتی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الصفات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الخالقیة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الربوبیة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الحاکمیة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فی العبادة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الذات وصفات الفعل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صفاته الثبوتیة والسلبیة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صفاته الخبریة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والقدر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موجود مختار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النبوة العامّة وصفات الأنبیاء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 الخاصة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 والقیامة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المسائل الکلامیة الّتی تفردت بها الإمامیة</w:t>
      </w:r>
      <w:bookmarkStart w:id="99" w:name="pg1680_12912"/>
    </w:p>
    <w:p>
      <w:pPr>
        <w:pStyle w:val="Heading3"/>
        <w:numPr>
          <w:ilvl w:val="2"/>
          <w:numId w:val="1"/>
        </w:numPr>
        <w:rPr/>
      </w:pPr>
      <w:bookmarkStart w:id="100" w:name="__RefHeading___Toc1400800_3650668749"/>
      <w:bookmarkStart w:id="101" w:name="_Toc38"/>
      <w:bookmarkEnd w:id="99"/>
      <w:bookmarkEnd w:id="100"/>
      <w:r>
        <w:rPr>
          <w:rtl w:val="true"/>
        </w:rPr>
        <w:t>الأُصول الاعتقادیة</w:t>
      </w:r>
      <w:bookmarkEnd w:id="101"/>
    </w:p>
    <w:p>
      <w:pPr>
        <w:pStyle w:val="Heading4"/>
        <w:numPr>
          <w:ilvl w:val="3"/>
          <w:numId w:val="1"/>
        </w:numPr>
        <w:rPr/>
      </w:pPr>
      <w:bookmarkStart w:id="102" w:name="__RefHeading___Toc1400802_3650668749"/>
      <w:bookmarkStart w:id="103" w:name="_Toc39"/>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الشیعة الإمامیة شارکت سائر الفرق الإسلامیة فی أُصول عامّة وربّما امتازت عن سائر الفرق ببعض الأُمور ونشیر إلی رؤوس تلک الأُصول</w:t>
      </w:r>
      <w:r>
        <w:rPr>
          <w:rFonts w:eastAsia="IRNazanin" w:cs="IRNazanin"/>
          <w:color w:val="111111"/>
          <w:sz w:val="28"/>
          <w:szCs w:val="28"/>
          <w:rtl w:val="true"/>
          <w:lang w:bidi="fa-IR"/>
        </w:rPr>
        <w:t>:</w:t>
      </w:r>
    </w:p>
    <w:p>
      <w:pPr>
        <w:pStyle w:val="Heading4"/>
        <w:numPr>
          <w:ilvl w:val="3"/>
          <w:numId w:val="1"/>
        </w:numPr>
        <w:rPr/>
      </w:pPr>
      <w:bookmarkStart w:id="104" w:name="__RefHeading___Toc1400804_3650668749"/>
      <w:bookmarkStart w:id="105" w:name="_Toc40"/>
      <w:bookmarkEnd w:id="104"/>
      <w:r>
        <w:rPr/>
        <w:t>1</w:t>
      </w:r>
      <w:r>
        <w:rPr>
          <w:rtl w:val="true"/>
        </w:rPr>
        <w:t xml:space="preserve">. </w:t>
      </w:r>
      <w:r>
        <w:rPr>
          <w:rtl w:val="true"/>
        </w:rPr>
        <w:t>التوحید الذاتی‌</w:t>
      </w:r>
      <w:bookmarkEnd w:id="105"/>
    </w:p>
    <w:p>
      <w:pPr>
        <w:pStyle w:val="BookText"/>
        <w:rPr/>
      </w:pPr>
      <w:r>
        <w:rPr>
          <w:rFonts w:ascii="IRNazanin" w:hAnsi="IRNazanin" w:eastAsia="IRNazanin"/>
          <w:color w:val="111111"/>
          <w:sz w:val="28"/>
          <w:sz w:val="28"/>
          <w:szCs w:val="28"/>
          <w:rtl w:val="true"/>
          <w:lang w:bidi="fa-IR"/>
        </w:rPr>
        <w:t>إنّ التوحید هو الحبل الّذی یتمسک به عامة المسلمین، بل سائر الشرائع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للتوحید الذاتی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واحد لا مثیل له ولا نظیر ولا شبیه ولا عدیل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الإلهیة ذات بسیطة لا کثرة فیها ولا ترکیب،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إشارة إلی المعنی الأوّل، 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فهو إشارة إلی المعنی الثانی</w:t>
      </w:r>
      <w:r>
        <w:rPr>
          <w:rFonts w:eastAsia="IRNazanin" w:cs="IRNazanin"/>
          <w:color w:val="111111"/>
          <w:sz w:val="28"/>
          <w:szCs w:val="28"/>
          <w:rtl w:val="true"/>
          <w:lang w:bidi="fa-IR"/>
        </w:rPr>
        <w:t>.</w:t>
      </w:r>
      <w:bookmarkStart w:id="106" w:name="pg1680_12913"/>
    </w:p>
    <w:p>
      <w:pPr>
        <w:pStyle w:val="Heading4"/>
        <w:numPr>
          <w:ilvl w:val="3"/>
          <w:numId w:val="1"/>
        </w:numPr>
        <w:rPr/>
      </w:pPr>
      <w:bookmarkStart w:id="107" w:name="__RefHeading___Toc1400806_3650668749"/>
      <w:bookmarkStart w:id="108" w:name="_Toc41"/>
      <w:bookmarkEnd w:id="106"/>
      <w:bookmarkEnd w:id="107"/>
      <w:r>
        <w:rPr/>
        <w:t>2</w:t>
      </w:r>
      <w:r>
        <w:rPr>
          <w:rtl w:val="true"/>
        </w:rPr>
        <w:t xml:space="preserve">. </w:t>
      </w:r>
      <w:r>
        <w:rPr>
          <w:rtl w:val="true"/>
        </w:rPr>
        <w:t>التوحید فی الصفات‌</w:t>
      </w:r>
      <w:bookmarkEnd w:id="108"/>
    </w:p>
    <w:p>
      <w:pPr>
        <w:pStyle w:val="BookText"/>
        <w:rPr/>
      </w:pPr>
      <w:r>
        <w:rPr>
          <w:rFonts w:ascii="IRNazanin" w:hAnsi="IRNazanin" w:eastAsia="IRNazanin"/>
          <w:color w:val="111111"/>
          <w:sz w:val="28"/>
          <w:sz w:val="28"/>
          <w:szCs w:val="28"/>
          <w:rtl w:val="true"/>
          <w:lang w:bidi="fa-IR"/>
        </w:rPr>
        <w:t>لا شکّ أنّ اللَّه سبحانه وتعالی یوصف بصفات تحکی عن وجود کمال فی ذاته،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قادر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الإنسان یوصف أیضاً بهذه الصفات فهو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حی، ولکن یختلف وصفه سبحانه بها مع وصف غیره بها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والقدرة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مفهوماً ولکنّها متّحدة فی اللَّه سبحانه وجوداً وتحقّقاً، فلیس حیثیة العلم فی ذاته غیر حیثیة القدرة، وکلاهما غیر حیثیة الحیاة فذاته سبحانه کلّها علم، وقدرة، وحیاة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الإنسان فإنّ مفاهیمها فیه مختلفة، کما أنّ واقعیاتها فیه أیضاً کذلک، فإنّ واقع الشعور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غیر واقع القدرة وکلاهما غیر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صفاته سبحانه بعضها متحد مع البعض، ولیس هناک بین الصفات تغایر وتباین فی الوجود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اختلاف بین واقعیات الصفات فهکذا لا اختلاف بین الصفات والذات فصفاته سبحانه عین ذاته لا زائدة علیها، بخلاف الإنسان فإنّ صفاته زائدة علیه، إذ کان موجوداً ولم یکن عالماً ولا قادراً وإنّما اکتسب العلم والقدرة</w:t>
      </w:r>
      <w:r>
        <w:rPr>
          <w:rFonts w:eastAsia="IRNazanin" w:cs="IRNazanin"/>
          <w:color w:val="111111"/>
          <w:sz w:val="28"/>
          <w:szCs w:val="28"/>
          <w:rtl w:val="true"/>
          <w:lang w:bidi="fa-IR"/>
        </w:rPr>
        <w:t>.</w:t>
      </w:r>
      <w:bookmarkStart w:id="109" w:name="pg1680_12914"/>
    </w:p>
    <w:p>
      <w:pPr>
        <w:pStyle w:val="Heading4"/>
        <w:numPr>
          <w:ilvl w:val="3"/>
          <w:numId w:val="1"/>
        </w:numPr>
        <w:rPr/>
      </w:pPr>
      <w:bookmarkStart w:id="110" w:name="__RefHeading___Toc1400808_3650668749"/>
      <w:bookmarkStart w:id="111" w:name="_Toc42"/>
      <w:bookmarkEnd w:id="109"/>
      <w:bookmarkEnd w:id="110"/>
      <w:r>
        <w:rPr/>
        <w:t>3</w:t>
      </w:r>
      <w:r>
        <w:rPr>
          <w:rtl w:val="true"/>
        </w:rPr>
        <w:t xml:space="preserve">. </w:t>
      </w:r>
      <w:r>
        <w:rPr>
          <w:rtl w:val="true"/>
        </w:rPr>
        <w:t>التوحید فی الخالقیة</w:t>
      </w:r>
      <w:bookmarkEnd w:id="111"/>
    </w:p>
    <w:p>
      <w:pPr>
        <w:pStyle w:val="BookText"/>
        <w:rPr/>
      </w:pPr>
      <w:r>
        <w:rPr>
          <w:rFonts w:ascii="Amiri" w:hAnsi="Amiri" w:eastAsia="Amiri" w:cs="Amiri"/>
          <w:color w:val="111111"/>
          <w:sz w:val="28"/>
          <w:sz w:val="28"/>
          <w:szCs w:val="28"/>
          <w:rtl w:val="true"/>
          <w:lang w:bidi="ar-SA"/>
        </w:rPr>
        <w:t>یراد من التوحید فی الخالقیة أنّ صحیفة الوجود برُمّتها مخلوقة 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حصر الخالقیة فی اللَّه سبحانه هو الخالقیة المستقلة الأصلیة الّتی لا یعتمد الخالق فی فعلها علی غیره، فالخالقیة بهذا المعنی من أوصافه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الخالقیة الظلّیّة المعتمدة علی مشیئة اللَّه سبحانه من شؤون غیره، ولذلک نری أنّه سبحانه یصف نفسه بأنّه أحسن الخالقین،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بوجود خوالق غیره لکنّه أحسنهم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ذلک إلّالأنّ خالقیته ذاتیة غیر مکتسبة بخلاف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نری أنّ المسیح یُسند الخلقة إلی نفسه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أَخْلُقُ لَکُمْ مِنَ الطِّینِ کَهَیْئَةِ الطَّیْرِ فَأَنْفُخُ فِیهِ فَیَکُونُ طَیْرًا بِإِذْنِ اللهِ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یجب أن نعترف بأنّ حصر الخالقیة فی اللَّه سبحانه لا یعنی إنکار السنن بین الظواهر الطبیعیة، لأنّ العلّیة والمعلولیة فی أجزاء عالم</w:t>
      </w:r>
      <w:bookmarkStart w:id="112" w:name="pg1680_12915"/>
    </w:p>
    <w:p>
      <w:pPr>
        <w:pStyle w:val="BookText"/>
        <w:rPr/>
      </w:pPr>
      <w:bookmarkEnd w:id="112"/>
      <w:r>
        <w:rPr>
          <w:rFonts w:ascii="IRNazanin" w:hAnsi="IRNazanin" w:eastAsia="IRNazanin"/>
          <w:color w:val="111111"/>
          <w:sz w:val="28"/>
          <w:sz w:val="28"/>
          <w:szCs w:val="28"/>
          <w:rtl w:val="true"/>
          <w:lang w:bidi="fa-IR"/>
        </w:rPr>
        <w:t>المادة لا تعنی استقلال العلّة فی العلیّة والإیجاد، وإنّما تعنی أنّه سبحانه أجری فی عالم المادة قانون العلّیة والمعلولیة وهو وراؤها، فکلّ من الشمس والهواء یؤثر فی نبات الأرض کما أنّ الماء مؤثر فی نموه لکن وجود المؤثر وتأثیره کلها بإذن اللَّه سبحانه، والجمیع من مظاهر سنن اللَّه فی الکون، ولقد ضل من فسّر التوحید بالخالقیة بإنکار العلل والروابط المادیة بین أجزاء العالم فجعل الدین منکراً للعلم ومقابلًا له</w:t>
      </w:r>
      <w:r>
        <w:rPr>
          <w:rFonts w:eastAsia="IRNazanin" w:cs="IRNazanin"/>
          <w:color w:val="111111"/>
          <w:sz w:val="28"/>
          <w:szCs w:val="28"/>
          <w:rtl w:val="true"/>
          <w:lang w:bidi="fa-IR"/>
        </w:rPr>
        <w:t>.</w:t>
      </w:r>
    </w:p>
    <w:p>
      <w:pPr>
        <w:pStyle w:val="Heading4"/>
        <w:numPr>
          <w:ilvl w:val="3"/>
          <w:numId w:val="1"/>
        </w:numPr>
        <w:rPr/>
      </w:pPr>
      <w:bookmarkStart w:id="113" w:name="__RefHeading___Toc1400810_3650668749"/>
      <w:bookmarkStart w:id="114" w:name="_Toc43"/>
      <w:bookmarkEnd w:id="113"/>
      <w:r>
        <w:rPr/>
        <w:t>4</w:t>
      </w:r>
      <w:r>
        <w:rPr>
          <w:rtl w:val="true"/>
        </w:rPr>
        <w:t xml:space="preserve">. </w:t>
      </w:r>
      <w:r>
        <w:rPr>
          <w:rtl w:val="true"/>
        </w:rPr>
        <w:t>التوحید فی الربوبیة</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 التوحید فی الخالقیة مورد اتفاق بین أغلب المشرکین وإنّما کانوا یختلفون عن الموحّدین بالتوحید فی الربوبیة، فمشرکو عصر النبی إبراهیم الخلیل علیه السلام کانوا یعتقدون بوحدة خالق الکون، إلّاأنّهم کانوا یعتقدون خطأً بأنّ النجوم والکواکب هی الأرباب والمدبّرات لهذا الکون، وقد ترکّزت مناظرة إبراهیم لهم علی هذه المسألة کما یتّضح ذلک من بیان القرآن الکریم حیث رکزّ البحث علی ربوبیة الأجرام السماویة</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وکذا فی عهد النبی یوسف علیه السلام الّذی کان یعیش بعد عصر النبی إبراهیم الخلیل علیه السلام، فإنّ الشرک کان فی مسألة الربوبیة حیث کانوا یتصورون أنّ اللَّه بعد أن خلق الکون فوّض أمر تدبیره وإدارته إلی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رکّز یوسف فی هدایتهم علی التوحید فی الربوبیة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خَیْرٌ أَمِ اللهُ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5" w:name="pg1680_12916"/>
    </w:p>
    <w:p>
      <w:pPr>
        <w:pStyle w:val="BookText"/>
        <w:rPr/>
      </w:pPr>
      <w:bookmarkEnd w:id="115"/>
      <w:r>
        <w:rPr>
          <w:rFonts w:ascii="IRNazanin" w:hAnsi="IRNazanin" w:eastAsia="IRNazanin"/>
          <w:color w:val="111111"/>
          <w:sz w:val="28"/>
          <w:sz w:val="28"/>
          <w:szCs w:val="28"/>
          <w:rtl w:val="true"/>
          <w:lang w:bidi="fa-IR"/>
        </w:rPr>
        <w:t>ویدلّ علی التوحید الربوبی هو أنّ تدبیر عالم الخلق فی مجال الإنسان والکون، لا ینفصل عن مسألة الخلق، ولیس التدبیر شیئاً غیر عملیة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خالق الکون والإنسان واحداً، کان مدبّرهما بالطبع والبداهة واحداً کذلک، لوضوح العلاقة الکاملة بین عملیة التدبیر وعملیة الخلق للعالم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فإن اللَّه تعالی عندما یصف نفسه بکونه خالق الأشیاء یصفها فی ذات الوقت بأنّه مدبّرها،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400812_3650668749"/>
      <w:bookmarkStart w:id="117" w:name="_Toc44"/>
      <w:bookmarkEnd w:id="116"/>
      <w:r>
        <w:rPr/>
        <w:t>5</w:t>
      </w:r>
      <w:r>
        <w:rPr>
          <w:rtl w:val="true"/>
        </w:rPr>
        <w:t xml:space="preserve">. </w:t>
      </w:r>
      <w:r>
        <w:rPr>
          <w:rtl w:val="true"/>
        </w:rPr>
        <w:t>التوحید فی الحاکمیة</w:t>
      </w:r>
      <w:bookmarkEnd w:id="1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لصحیفة التکوین مدبراً حقیقیاً واحداً وهو اللَّه تبارک وتعالی، فهکذا لصحیفة التشریع حاکم واحد وهو اللَّه سبحانه، فهو الحاکم وبالتالی هو المقنن والمطاع بالذات، ولیس لغیره حق الحکومة ولا التشریع ولا الإطاعة إلّابإذنه سبحانه،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w:t>
      </w:r>
      <w:bookmarkStart w:id="118" w:name="pg1680_12917"/>
    </w:p>
    <w:p>
      <w:pPr>
        <w:pStyle w:val="BookText"/>
        <w:rPr/>
      </w:pPr>
      <w:bookmarkEnd w:id="118"/>
      <w:r>
        <w:rPr>
          <w:rFonts w:ascii="Amiri" w:hAnsi="Amiri" w:eastAsia="Amiri" w:cs="Amiri"/>
          <w:color w:val="111111"/>
          <w:sz w:val="28"/>
          <w:sz w:val="28"/>
          <w:szCs w:val="28"/>
          <w:rtl w:val="true"/>
          <w:lang w:bidi="ar-SA"/>
        </w:rPr>
        <w:t>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فعامة الشؤون الّتی ترجع إلی الحکومة والتشریع والإطاعة کلّها ثابتة للَّه‌تعالی بالذات، وانّما تثبت لغیره بأمره وإذنه</w:t>
      </w:r>
      <w:r>
        <w:rPr>
          <w:rFonts w:eastAsia="IRNazanin" w:cs="IRNazanin"/>
          <w:color w:val="111111"/>
          <w:sz w:val="28"/>
          <w:szCs w:val="28"/>
          <w:rtl w:val="true"/>
          <w:lang w:bidi="fa-IR"/>
        </w:rPr>
        <w:t>.</w:t>
      </w:r>
    </w:p>
    <w:p>
      <w:pPr>
        <w:pStyle w:val="Heading4"/>
        <w:numPr>
          <w:ilvl w:val="3"/>
          <w:numId w:val="1"/>
        </w:numPr>
        <w:rPr/>
      </w:pPr>
      <w:bookmarkStart w:id="119" w:name="__RefHeading___Toc1400814_3650668749"/>
      <w:bookmarkStart w:id="120" w:name="_Toc45"/>
      <w:bookmarkEnd w:id="119"/>
      <w:r>
        <w:rPr/>
        <w:t>6</w:t>
      </w:r>
      <w:r>
        <w:rPr>
          <w:rtl w:val="true"/>
        </w:rPr>
        <w:t xml:space="preserve">. </w:t>
      </w:r>
      <w:r>
        <w:rPr>
          <w:rtl w:val="true"/>
        </w:rPr>
        <w:t>التوحید فی العبادة</w:t>
      </w:r>
      <w:bookmarkEnd w:id="120"/>
    </w:p>
    <w:p>
      <w:pPr>
        <w:pStyle w:val="BookText"/>
        <w:rPr/>
      </w:pPr>
      <w:r>
        <w:rPr>
          <w:rFonts w:ascii="IRNazanin" w:hAnsi="IRNazanin" w:eastAsia="IRNazanin"/>
          <w:color w:val="111111"/>
          <w:sz w:val="28"/>
          <w:sz w:val="28"/>
          <w:szCs w:val="28"/>
          <w:rtl w:val="true"/>
          <w:lang w:bidi="fa-IR"/>
        </w:rPr>
        <w:t>إنّ التوحیدَ فی العبادة هو الأصل المشترک والقاعدة المتفق علیها بین جمیع الشرائع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وبکلمة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الأسمی من بَعث الأنبیاء والرُّسُل الإلهیّین هو التذکیر بهذا الأصل کما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جمیع المسلمین یعترفون فی صلواتهم الیومیة بهذا الأصل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وجوبَ عبادة اللَّه وحده، والاجتناب عن عبادة غیره أَمرٌ مسلَّمٌ لا کلامَ فیه، ولا یخالف أحد فی هذه القاعدة الکلیة أبداً، وإنّما الکلام هو فی أنّ بعض الأعمال والممارَسات هل هی مصداق لعبادة غیر اللَّه أم لا؟ وللوصُول إلی القولِ الفصلِ فی هذا المجال یجب</w:t>
      </w:r>
      <w:bookmarkStart w:id="121" w:name="pg1680_12918"/>
    </w:p>
    <w:p>
      <w:pPr>
        <w:pStyle w:val="BookText"/>
        <w:rPr/>
      </w:pPr>
      <w:bookmarkEnd w:id="121"/>
      <w:r>
        <w:rPr>
          <w:rFonts w:ascii="IRNazanin" w:hAnsi="IRNazanin" w:eastAsia="IRNazanin"/>
          <w:color w:val="111111"/>
          <w:sz w:val="28"/>
          <w:sz w:val="28"/>
          <w:szCs w:val="28"/>
          <w:rtl w:val="true"/>
          <w:lang w:bidi="fa-IR"/>
        </w:rPr>
        <w:t>تحدید مفهوم العبادة تحدیداً دقیقاً، وتعریفها تعریفاً منطقیاً، بغیة تمییز ما یدخل تحت هذا العنوان ویکون عبادة، ممّا لا یکون کذلک، بل یُؤتی به من باب التعظیم والتکریم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وسیوافیک ملاک العبادة فی الفصل الثالث</w:t>
      </w:r>
      <w:r>
        <w:rPr>
          <w:rFonts w:eastAsia="IRNazanin" w:cs="IRNazanin"/>
          <w:color w:val="111111"/>
          <w:sz w:val="28"/>
          <w:szCs w:val="28"/>
          <w:rtl w:val="true"/>
          <w:lang w:bidi="fa-IR"/>
        </w:rPr>
        <w:t>.</w:t>
      </w:r>
    </w:p>
    <w:p>
      <w:pPr>
        <w:pStyle w:val="Heading4"/>
        <w:numPr>
          <w:ilvl w:val="3"/>
          <w:numId w:val="1"/>
        </w:numPr>
        <w:rPr/>
      </w:pPr>
      <w:bookmarkStart w:id="122" w:name="__RefHeading___Toc1400816_3650668749"/>
      <w:bookmarkStart w:id="123" w:name="_Toc46"/>
      <w:bookmarkEnd w:id="122"/>
      <w:r>
        <w:rPr/>
        <w:t>7</w:t>
      </w:r>
      <w:r>
        <w:rPr>
          <w:rtl w:val="true"/>
        </w:rPr>
        <w:t xml:space="preserve">. </w:t>
      </w:r>
      <w:r>
        <w:rPr>
          <w:rtl w:val="true"/>
        </w:rPr>
        <w:t>صفات الذات وصفات الفعل‌</w:t>
      </w:r>
      <w:bookmarkEnd w:id="123"/>
    </w:p>
    <w:p>
      <w:pPr>
        <w:pStyle w:val="BookText"/>
        <w:rPr/>
      </w:pPr>
      <w:r>
        <w:rPr>
          <w:rFonts w:ascii="IRNazanin" w:hAnsi="IRNazanin" w:eastAsia="IRNazanin"/>
          <w:color w:val="111111"/>
          <w:sz w:val="28"/>
          <w:sz w:val="28"/>
          <w:szCs w:val="28"/>
          <w:rtl w:val="true"/>
          <w:lang w:bidi="fa-IR"/>
        </w:rPr>
        <w:t>تنقسم صفات اللَّه سبحانه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وفعلی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الأوّل ما توصف به الذات بما هی هی، ککونه عالماً قادراً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الثانی ما توصف به الذات بملاحظة صدور فعل منه کالخالقیة والرازقیة وما شابه ذلک من الصفات الّتی تنتزع من مقام الفعل ویوصف بها سبحانه بعد ملاحظة ما صدر منه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انّه خلق العالم فهو خالق، أو رزق الناس فهو رازق، وهکذا</w:t>
      </w:r>
      <w:r>
        <w:rPr>
          <w:rFonts w:eastAsia="IRNazanin" w:cs="IRNazanin"/>
          <w:color w:val="111111"/>
          <w:sz w:val="28"/>
          <w:szCs w:val="28"/>
          <w:rtl w:val="true"/>
          <w:lang w:bidi="fa-IR"/>
        </w:rPr>
        <w:t>.</w:t>
      </w:r>
    </w:p>
    <w:p>
      <w:pPr>
        <w:pStyle w:val="Heading4"/>
        <w:numPr>
          <w:ilvl w:val="3"/>
          <w:numId w:val="1"/>
        </w:numPr>
        <w:rPr/>
      </w:pPr>
      <w:bookmarkStart w:id="124" w:name="__RefHeading___Toc1400818_3650668749"/>
      <w:bookmarkStart w:id="125" w:name="_Toc47"/>
      <w:bookmarkEnd w:id="124"/>
      <w:r>
        <w:rPr/>
        <w:t>8</w:t>
      </w:r>
      <w:r>
        <w:rPr>
          <w:rtl w:val="true"/>
        </w:rPr>
        <w:t xml:space="preserve">. </w:t>
      </w:r>
      <w:r>
        <w:rPr>
          <w:rtl w:val="true"/>
        </w:rPr>
        <w:t>صفاته الثبوتیة والسلبیة</w:t>
      </w:r>
      <w:bookmarkEnd w:id="125"/>
    </w:p>
    <w:p>
      <w:pPr>
        <w:pStyle w:val="BookText"/>
        <w:rPr/>
      </w:pPr>
      <w:r>
        <w:rPr>
          <w:rFonts w:ascii="IRNazanin" w:hAnsi="IRNazanin" w:eastAsia="IRNazanin"/>
          <w:color w:val="111111"/>
          <w:sz w:val="28"/>
          <w:sz w:val="28"/>
          <w:szCs w:val="28"/>
          <w:rtl w:val="true"/>
          <w:lang w:bidi="fa-IR"/>
        </w:rPr>
        <w:t>تنقسم صفات اللَّه سبحانه إلی صفات ثبوتیة وصفات سلبیة، والمراد بالأُولی الصفات الّتی تحکی عن الکمال کما مرّ من کونه عالماً وقادراً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الصفات السلبیة هو تنزیه ذات اللَّه تعالی عن الصفات الّتی تحکی عن الحاجة والنقص والفقر</w:t>
      </w:r>
      <w:r>
        <w:rPr>
          <w:rFonts w:eastAsia="IRNazanin" w:cs="IRNazanin"/>
          <w:color w:val="111111"/>
          <w:sz w:val="28"/>
          <w:szCs w:val="28"/>
          <w:rtl w:val="true"/>
          <w:lang w:bidi="fa-IR"/>
        </w:rPr>
        <w:t>.</w:t>
      </w:r>
      <w:bookmarkStart w:id="126" w:name="pg1680_12919"/>
    </w:p>
    <w:p>
      <w:pPr>
        <w:pStyle w:val="BookText"/>
        <w:rPr/>
      </w:pPr>
      <w:bookmarkEnd w:id="126"/>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للَّه‌سبحانه صفات جمال وصفات جلال، فالأُولی تحکی عن کمال الذات فتوصف بها، والأُخری تحکی عن النقص فتسلب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هذا فاللَّه سبحانه لیس بجسم ولا جسمانی ولا محلًا لشی‌ء ولا حالّاً فی شی‌ء، لأنّ هذه الصفات تلازم النقص والحاجة کما إذا کان حالّاً، أو أنّها مستلزمة للترکیب کما إذا کان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وللمحقّقین من علماء الإمامیة بحوث دقیقة حول صفات الجمال والجلال جدیرة بالمراجعة</w:t>
      </w:r>
      <w:r>
        <w:rPr>
          <w:rFonts w:eastAsia="IRNazanin" w:cs="IRNazanin"/>
          <w:color w:val="111111"/>
          <w:sz w:val="28"/>
          <w:szCs w:val="28"/>
          <w:rtl w:val="true"/>
          <w:lang w:bidi="fa-IR"/>
        </w:rPr>
        <w:t>.</w:t>
      </w:r>
    </w:p>
    <w:p>
      <w:pPr>
        <w:pStyle w:val="Heading4"/>
        <w:numPr>
          <w:ilvl w:val="3"/>
          <w:numId w:val="1"/>
        </w:numPr>
        <w:rPr/>
      </w:pPr>
      <w:bookmarkStart w:id="127" w:name="__RefHeading___Toc1400820_3650668749"/>
      <w:bookmarkStart w:id="128" w:name="_Toc48"/>
      <w:bookmarkEnd w:id="127"/>
      <w:r>
        <w:rPr/>
        <w:t>9</w:t>
      </w:r>
      <w:r>
        <w:rPr>
          <w:rtl w:val="true"/>
        </w:rPr>
        <w:t xml:space="preserve">. </w:t>
      </w:r>
      <w:r>
        <w:rPr>
          <w:rtl w:val="true"/>
        </w:rPr>
        <w:t>صفاته الخبریة</w:t>
      </w:r>
      <w:bookmarkEnd w:id="128"/>
    </w:p>
    <w:p>
      <w:pPr>
        <w:pStyle w:val="BookText"/>
        <w:rPr/>
      </w:pPr>
      <w:r>
        <w:rPr>
          <w:rFonts w:ascii="IRNazanin" w:hAnsi="IRNazanin" w:eastAsia="IRNazanin"/>
          <w:color w:val="111111"/>
          <w:sz w:val="28"/>
          <w:sz w:val="28"/>
          <w:szCs w:val="28"/>
          <w:rtl w:val="true"/>
          <w:lang w:bidi="fa-IR"/>
        </w:rPr>
        <w:t>المراد من الصفات الخبریة هی الصفات الّتی وردت فی آیات القرآن الکریم أو السنّة الشریفة ولم یکن لها مستند سوی النقل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فَأَیْنَ مَا تُوَلُّوا فَثَمَّ وَجْهُ اللهِ إِنَّ اللهَ وَاسِعٌ عَلِیمٌ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عین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 بِأَعْیُنِنَا وَ وَحْیِنَا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129" w:name="pg1680_12920"/>
    </w:p>
    <w:p>
      <w:pPr>
        <w:pStyle w:val="BookText"/>
        <w:rPr/>
      </w:pPr>
      <w:bookmarkEnd w:id="1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الإستواء علی العرش،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مفردات الآیات المذکورة تحکی عن کون اللَّه سبحانه وتعالی جسماً أو جسمانیاً، هذا من جانب ومن جانب آخر دلّت الآیات المحکمات علی تنزیهه عن ذلک،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کما دلّت البراهین العقلیة علی ذلک أیضاً، وعلی ضوء ذلک فتحقیق المراد من هذه الصفات رهن دراسة عامّة الآیات والإمعان فی القرائن الموجودة فی خصوص هذه الألفاظ والخروج بنتیجة قطعیة، ولذلک ذهب أهل التنزیه بعد هذه الدراسة إلی أنّها کنایات واستعارات ومجازات، والتفصیل فی محله</w:t>
      </w:r>
      <w:r>
        <w:rPr>
          <w:rFonts w:eastAsia="IRNazanin" w:cs="IRNazanin"/>
          <w:color w:val="111111"/>
          <w:sz w:val="28"/>
          <w:szCs w:val="28"/>
          <w:rtl w:val="true"/>
          <w:lang w:bidi="fa-IR"/>
        </w:rPr>
        <w:t>.</w:t>
      </w:r>
    </w:p>
    <w:p>
      <w:pPr>
        <w:pStyle w:val="Heading4"/>
        <w:numPr>
          <w:ilvl w:val="3"/>
          <w:numId w:val="1"/>
        </w:numPr>
        <w:rPr/>
      </w:pPr>
      <w:bookmarkStart w:id="130" w:name="__RefHeading___Toc1400822_3650668749"/>
      <w:bookmarkStart w:id="131" w:name="_Toc49"/>
      <w:bookmarkEnd w:id="130"/>
      <w:r>
        <w:rPr/>
        <w:t>10</w:t>
      </w:r>
      <w:r>
        <w:rPr>
          <w:rtl w:val="true"/>
        </w:rPr>
        <w:t xml:space="preserve">. </w:t>
      </w:r>
      <w:r>
        <w:rPr>
          <w:rtl w:val="true"/>
        </w:rPr>
        <w:t>القضاء والقدر</w:t>
      </w:r>
      <w:bookmarkEnd w:id="1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بالقضاء والقدر من العقائد الإسلامیة الّتی وردت فی الکتاب والسنّة ولکن لابد من تفسیرهما بشکل لا ینتج الجبر وسلب الاختیار عن الإنسان، أمّا القدر فهو عبارة عن تقدیر وجود الشی‌ء وهندسته، فاللَّه سبحانه خلق کلّ شی‌ء بقدر خاص،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132" w:name="pg1680_12921"/>
    </w:p>
    <w:p>
      <w:pPr>
        <w:pStyle w:val="BookText"/>
        <w:rPr/>
      </w:pPr>
      <w:bookmarkEnd w:id="132"/>
      <w:r>
        <w:rPr>
          <w:rFonts w:ascii="IRNazanin" w:hAnsi="IRNazanin" w:eastAsia="IRNazanin"/>
          <w:color w:val="111111"/>
          <w:sz w:val="28"/>
          <w:sz w:val="28"/>
          <w:szCs w:val="28"/>
          <w:rtl w:val="true"/>
          <w:lang w:bidi="fa-IR"/>
        </w:rPr>
        <w:t>وأمّا القضاء فهو وصول الفعل إلی مرحلة القطعیة والحتمیة، وفی الوقت نفسه إنّ لارادة الإنسان واختیاره دوراً فی بلوغ الفعل إلی مرتبة القضاء، فالإنسان باختیاره فعلًا من الأفعال یکون سبباً للقضاء علیه بالحتم</w:t>
      </w:r>
      <w:r>
        <w:rPr>
          <w:rFonts w:eastAsia="IRNazanin" w:cs="IRNazanin"/>
          <w:color w:val="111111"/>
          <w:sz w:val="28"/>
          <w:szCs w:val="28"/>
          <w:rtl w:val="true"/>
          <w:lang w:bidi="fa-IR"/>
        </w:rPr>
        <w:t>.</w:t>
      </w:r>
    </w:p>
    <w:p>
      <w:pPr>
        <w:pStyle w:val="Heading4"/>
        <w:numPr>
          <w:ilvl w:val="3"/>
          <w:numId w:val="1"/>
        </w:numPr>
        <w:rPr/>
      </w:pPr>
      <w:bookmarkStart w:id="133" w:name="__RefHeading___Toc1400824_3650668749"/>
      <w:bookmarkStart w:id="134" w:name="_Toc50"/>
      <w:bookmarkEnd w:id="133"/>
      <w:r>
        <w:rPr/>
        <w:t>11</w:t>
      </w:r>
      <w:r>
        <w:rPr>
          <w:rtl w:val="true"/>
        </w:rPr>
        <w:t xml:space="preserve">. </w:t>
      </w:r>
      <w:r>
        <w:rPr>
          <w:rtl w:val="true"/>
        </w:rPr>
        <w:t>الإنسان موجود مختار</w:t>
      </w:r>
      <w:bookmarkEnd w:id="134"/>
    </w:p>
    <w:p>
      <w:pPr>
        <w:pStyle w:val="BookText"/>
        <w:rPr/>
      </w:pPr>
      <w:r>
        <w:rPr>
          <w:rFonts w:ascii="IRNazanin" w:hAnsi="IRNazanin" w:eastAsia="IRNazanin"/>
          <w:color w:val="111111"/>
          <w:sz w:val="28"/>
          <w:sz w:val="28"/>
          <w:szCs w:val="28"/>
          <w:rtl w:val="true"/>
          <w:lang w:bidi="fa-IR"/>
        </w:rPr>
        <w:t>مهما تجاهل الإنسان من أمر فلا یمکن له أن یتجاهل أنّه إنسان مختار فی الأخذ بأحد طرفی الفعل بقدرة مفاضة من اللَّه سبحانه، ففعله مستند إلی اللَّه سبحانه من جهة وفی الوقت نفسه مستند إلیه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یعمل بالقدرة المفاضة علیه، وأمّا الثانی فهو باختیاره ینتخب أحد الأمرین، ولذلک ورد عن أئمة أهل البیت علیهم السلام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ولکن أمر بین الأمرین</w:t>
      </w:r>
      <w:r>
        <w:rPr>
          <w:rFonts w:eastAsia="IRNazanin" w:cs="IRNazanin"/>
          <w:color w:val="111111"/>
          <w:sz w:val="28"/>
          <w:szCs w:val="28"/>
          <w:rtl w:val="true"/>
          <w:lang w:bidi="fa-IR"/>
        </w:rPr>
        <w:t>».</w:t>
      </w:r>
    </w:p>
    <w:p>
      <w:pPr>
        <w:pStyle w:val="Heading4"/>
        <w:numPr>
          <w:ilvl w:val="3"/>
          <w:numId w:val="1"/>
        </w:numPr>
        <w:rPr/>
      </w:pPr>
      <w:bookmarkStart w:id="135" w:name="__RefHeading___Toc1400826_3650668749"/>
      <w:bookmarkStart w:id="136" w:name="_Toc51"/>
      <w:bookmarkEnd w:id="135"/>
      <w:r>
        <w:rPr/>
        <w:t>12</w:t>
      </w:r>
      <w:r>
        <w:rPr>
          <w:rtl w:val="true"/>
        </w:rPr>
        <w:t xml:space="preserve">. </w:t>
      </w:r>
      <w:r>
        <w:rPr>
          <w:rtl w:val="true"/>
        </w:rPr>
        <w:t>ضرورة النبوّة العامّة</w:t>
      </w:r>
      <w:bookmarkEnd w:id="136"/>
    </w:p>
    <w:p>
      <w:pPr>
        <w:pStyle w:val="Heading5"/>
        <w:numPr>
          <w:ilvl w:val="4"/>
          <w:numId w:val="1"/>
        </w:numPr>
        <w:rPr/>
      </w:pPr>
      <w:bookmarkStart w:id="137" w:name="__RefHeading___Toc1400828_3650668749"/>
      <w:bookmarkStart w:id="138" w:name="_Toc52"/>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اختار اللَّه الحکیم رجالًا صالحین لهدایة الإنسان وإسعاده، وهؤلاء هم الأنبیاء والرسل الذین جری فیض الهدایة بواسطتهم من اللَّه سبحانه علی عباده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بعث الأنبیاء أمر لازم فی وصول الإنسان إلی الکمال الّذی خُلق له، فإنّ عقله وإن کان مؤثراً أو مفیداً فی سلوکه طریق الکمال إلّاأنّه غیر کافٍ لذلک</w:t>
      </w:r>
      <w:r>
        <w:rPr>
          <w:rFonts w:eastAsia="IRNazanin" w:cs="IRNazanin"/>
          <w:color w:val="111111"/>
          <w:sz w:val="28"/>
          <w:szCs w:val="28"/>
          <w:rtl w:val="true"/>
          <w:lang w:bidi="fa-IR"/>
        </w:rPr>
        <w:t>.</w:t>
      </w:r>
      <w:bookmarkStart w:id="139" w:name="pg1680_12922"/>
    </w:p>
    <w:p>
      <w:pPr>
        <w:pStyle w:val="BookText"/>
        <w:rPr/>
      </w:pPr>
      <w:bookmarkEnd w:id="139"/>
      <w:r>
        <w:rPr>
          <w:rFonts w:ascii="Amiri" w:hAnsi="Amiri" w:eastAsia="Amiri" w:cs="Amiri"/>
          <w:color w:val="111111"/>
          <w:sz w:val="28"/>
          <w:sz w:val="28"/>
          <w:szCs w:val="28"/>
          <w:rtl w:val="true"/>
          <w:lang w:bidi="ar-SA"/>
        </w:rPr>
        <w:t>إنّ اختلاف الرؤی والنظریات البشریة فی الأخلاق والاقتصاد والعلاقات الاجتماعیة وغیر ذلک من مناحی الحیاة خیر دلیل علی قصوره عن إدراک الصحیح من هذه المسائل،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1400830_3650668749"/>
      <w:bookmarkStart w:id="141" w:name="_Toc53"/>
      <w:bookmarkEnd w:id="140"/>
      <w:r>
        <w:rPr>
          <w:rtl w:val="true"/>
        </w:rPr>
        <w:t>صفات الأنبیاء</w:t>
      </w:r>
      <w:bookmarkEnd w:id="141"/>
    </w:p>
    <w:p>
      <w:pPr>
        <w:pStyle w:val="BookText"/>
        <w:rPr/>
      </w:pPr>
      <w:r>
        <w:rPr>
          <w:rFonts w:ascii="IRNazanin" w:hAnsi="IRNazanin" w:eastAsia="IRNazanin"/>
          <w:color w:val="111111"/>
          <w:sz w:val="28"/>
          <w:sz w:val="28"/>
          <w:szCs w:val="28"/>
          <w:rtl w:val="true"/>
          <w:lang w:bidi="fa-IR"/>
        </w:rPr>
        <w:t>إنّ لوسائط الفیض صفاتٍ تمیزهم عن غیرهم، وأهمّها العصمة فی المراحل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فی مرحلة تلقّی الوحی وإبلاغه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عن المعصیة والذنب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عن الخطأ فی الأُمور الفردیة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وللزوم العصمة فی هذه المراحل الثلاث براهین عقلیة ونقلیة مذکورة فی محلّها</w:t>
      </w:r>
      <w:r>
        <w:rPr>
          <w:rFonts w:eastAsia="IRNazanin" w:cs="IRNazanin"/>
          <w:color w:val="111111"/>
          <w:sz w:val="28"/>
          <w:szCs w:val="28"/>
          <w:rtl w:val="true"/>
          <w:lang w:bidi="fa-IR"/>
        </w:rPr>
        <w:t>.</w:t>
      </w:r>
    </w:p>
    <w:p>
      <w:pPr>
        <w:pStyle w:val="Heading4"/>
        <w:numPr>
          <w:ilvl w:val="3"/>
          <w:numId w:val="1"/>
        </w:numPr>
        <w:rPr/>
      </w:pPr>
      <w:bookmarkStart w:id="142" w:name="__RefHeading___Toc1400832_3650668749"/>
      <w:bookmarkStart w:id="143" w:name="_Toc54"/>
      <w:bookmarkEnd w:id="142"/>
      <w:r>
        <w:rPr/>
        <w:t>13</w:t>
      </w:r>
      <w:r>
        <w:rPr>
          <w:rtl w:val="true"/>
        </w:rPr>
        <w:t xml:space="preserve">. </w:t>
      </w:r>
      <w:r>
        <w:rPr>
          <w:rtl w:val="true"/>
        </w:rPr>
        <w:t>النبوة الخاصّة</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النبوّة الخاصة هو نبوة رسول الإسلام محمد بن عبد اللَّه صلی الله علیه و آله و سلم الّذی هو خاتم الرسل والنبیین وکتابه خاتم الکتب، ورسالته خاتمة</w:t>
      </w:r>
      <w:bookmarkStart w:id="144" w:name="pg1680_12923"/>
    </w:p>
    <w:p>
      <w:pPr>
        <w:pStyle w:val="BookText"/>
        <w:rPr/>
      </w:pPr>
      <w:bookmarkEnd w:id="144"/>
      <w:r>
        <w:rPr>
          <w:rFonts w:ascii="Amiri" w:hAnsi="Amiri" w:eastAsia="Amiri" w:cs="Amiri"/>
          <w:color w:val="111111"/>
          <w:sz w:val="28"/>
          <w:sz w:val="28"/>
          <w:szCs w:val="28"/>
          <w:rtl w:val="true"/>
          <w:lang w:bidi="ar-SA"/>
        </w:rPr>
        <w:t>الرسالات، والقرآن معجزته الخالدة إلی یوم القیامة، وقد خصّه سبحانه بهذه المعجزة، لأنّ الشریعة الخالدة رهن الدلیل الخالد، ولذلک أرسله بکتاب لا یأتیه الباطل من بین یدیه ولا من خلفه وتحدّی به الأنس والجن إلی یوم القیامة،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400834_3650668749"/>
      <w:bookmarkStart w:id="146" w:name="_Toc55"/>
      <w:bookmarkEnd w:id="145"/>
      <w:r>
        <w:rPr/>
        <w:t>14</w:t>
      </w:r>
      <w:r>
        <w:rPr>
          <w:rtl w:val="true"/>
        </w:rPr>
        <w:t xml:space="preserve">. </w:t>
      </w:r>
      <w:r>
        <w:rPr>
          <w:rtl w:val="true"/>
        </w:rPr>
        <w:t>المعاد والقیامة</w:t>
      </w:r>
      <w:bookmarkEnd w:id="146"/>
    </w:p>
    <w:p>
      <w:pPr>
        <w:pStyle w:val="BookText"/>
        <w:rPr/>
      </w:pPr>
      <w:r>
        <w:rPr>
          <w:rFonts w:ascii="IRNazanin" w:hAnsi="IRNazanin" w:eastAsia="IRNazanin"/>
          <w:color w:val="111111"/>
          <w:sz w:val="28"/>
          <w:sz w:val="28"/>
          <w:szCs w:val="28"/>
          <w:rtl w:val="true"/>
          <w:lang w:bidi="fa-IR"/>
        </w:rPr>
        <w:t>اتّفقت جمیع الشرائع السماویة علی أنّه سبحانه یحیی الناس بعد موتهم یوم القیامة لیجزیهم بما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والاعتقاد بالقیامة من أرکان الإیمان فی الإسلام،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 أَنَّکُمْ إِلَیْنَا لَا تُرْجَعُونَ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الموت نهایة للحیاة، بل هو انتقال من نشأة إلی أُخری ومن حیاة قصیرة إلی حیاة خالدة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وللمحقّقین من العلماء الکرام حول المعاد وأدلّته القرآنیة والعقلیة وعالم البرزخ، ودرجات الجنة ودرکات الجحیم بحوثاً مفصّلة، فمن أراد فلیرجع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الأُصول الکلیة للشیعة الإمامیة الّتی تشارک فیها عامة المسلمین ذکرناها موجزة</w:t>
      </w:r>
      <w:r>
        <w:rPr>
          <w:rFonts w:eastAsia="IRNazanin" w:cs="IRNazanin"/>
          <w:color w:val="111111"/>
          <w:sz w:val="28"/>
          <w:szCs w:val="28"/>
          <w:rtl w:val="true"/>
          <w:lang w:bidi="fa-IR"/>
        </w:rPr>
        <w:t>.</w:t>
      </w:r>
      <w:bookmarkStart w:id="147" w:name="pg1680_12924"/>
    </w:p>
    <w:p>
      <w:pPr>
        <w:pStyle w:val="Heading4"/>
        <w:numPr>
          <w:ilvl w:val="3"/>
          <w:numId w:val="1"/>
        </w:numPr>
        <w:rPr/>
      </w:pPr>
      <w:bookmarkStart w:id="148" w:name="__RefHeading___Toc1400836_3650668749"/>
      <w:bookmarkStart w:id="149" w:name="_Toc56"/>
      <w:bookmarkEnd w:id="147"/>
      <w:bookmarkEnd w:id="148"/>
      <w:r>
        <w:rPr/>
        <w:t>15</w:t>
      </w:r>
      <w:r>
        <w:rPr>
          <w:rtl w:val="true"/>
        </w:rPr>
        <w:t xml:space="preserve">. </w:t>
      </w:r>
      <w:r>
        <w:rPr>
          <w:rtl w:val="true"/>
        </w:rPr>
        <w:t>المسائل الکلامیة</w:t>
      </w:r>
      <w:r>
        <w:rPr>
          <w:rtl w:val="true"/>
        </w:rPr>
        <w:t xml:space="preserve">: </w:t>
      </w:r>
      <w:r>
        <w:rPr>
          <w:rtl w:val="true"/>
        </w:rPr>
        <w:t>الّتی تفرّدت بها الإمامیة</w:t>
      </w:r>
      <w:bookmarkEnd w:id="149"/>
    </w:p>
    <w:p>
      <w:pPr>
        <w:pStyle w:val="BookText"/>
        <w:rPr/>
      </w:pPr>
      <w:r>
        <w:rPr>
          <w:rFonts w:ascii="IRNazanin" w:hAnsi="IRNazanin" w:eastAsia="IRNazanin"/>
          <w:color w:val="111111"/>
          <w:sz w:val="28"/>
          <w:sz w:val="28"/>
          <w:szCs w:val="28"/>
          <w:rtl w:val="true"/>
          <w:lang w:bidi="fa-IR"/>
        </w:rPr>
        <w:t>إنّ للشیعة الإمامیة آراء خاصة فی مسائل کلامیة لا تشکّل العمود الفقری للتشیّع، فإنّ جوهر التشیّع أمر واحد، وهو أنّ المرجع السیاسی والعلمی بعد رحیل الرسول الأکرم صلی الله علیه و آله و سلم هو أهل بیته، وأنّ سفینة النجاة هم علی وأولاده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بیتی مثل سفینة نوح فی قومه من رکبها نجا ومن تخلّف عنها غرق</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وأمّا سائر ما تتفرّد به الشیعة فکلّها مباحث کلامیة، مثلًا الشیعة تفارق المعتزلة فی أُصول عشرة کما أنّها تفارق الأشاعرة فی أُصول ستة، وبما أنّه لیس للمعتزلة دور فی المجتمع الإسلامی المعاصر نشیر إلی رؤوس الفوارق الکلامیة المهمّة بینهم وبین الأشاعرة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الإمامیة علی أنّ صفاته سبحانه غیر ذاته مفهوماً عین ذاته مصداقاً، خلافاً للأشاعرة الذین قالوا بأنّها قدیمة غیر أنّها لازمة زائدة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أفعال العباد عند الإمامیة صادرة عن العباد حقیقة بلا مجاز وتوسّع، فالإنسان هو الآکل والضارب والصائم والمصلّی، خلافاً للأشاعرة حیث إنّ أفعال العباد عندهم مخلوقة للَّه‌سبحانه فلیس للإنسان فیها صنع ولا دور سوی کونه محلّاً لفعل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رؤیة اللَّه سبحانه فی الآخرة أمرمحال لاستلزامها التجسیم والجهة خلافاً للأشاعرة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سبحانه فعله، وهو حادث لا قدیم، خلافاً للأشاعرة، فهو عندهم قدیم، لأنّ الکلام عندهم أمر نفسی قائم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التحسین والتقبیح العقلیان ممّا اعترف بهما الإمامیة وأنّ العقل قادر علی أن یدرک حسن بعض الأفعال وقبحها خلافاً للاشاعرة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 دینه ومسلکه، وأینما حلّ فی بقعة من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بنفسه حُسن العدل وقبح الظلم، وکذلک یدرک حسن الوفاء بالعهد، وقبح نقضه، وحسن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وقبح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بالإساءة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یؤید تلک المقدرة للإنسان، ولذلک یحتکم إلی العقل ویدعو إلی تحکیمه أکثر من مرة فی حسن الأُمور وقبحها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ویتفرع علی هذا الأصل وصفه سبحانه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لایظلم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الظلم نابع من أحد عوامل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الفاعل بقبح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حاجة الفاعل إلی الظلم مع علمه بقبحه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فاعل الظلم غیر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سبیل لأی‌واحد من هذه العوامل إلی ذاته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أکثر البراهین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فیما یرجع إلی النبوة والإمامة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إدراک العقل محاسن الأفعال ومساوئها، فلذلک احتلت هذه المسألة مکانة کبری فی أبحاث العقائد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الخصائص بما أنّها بحوث کلامیة تختص بالعلماء والباحثین ولا تعمّ عامّة المسلمین، فعلی علماء الإسلام أن لا یتّخذوها ذریعة للتفرقة والدعوة إلی الطائفیة</w:t>
      </w:r>
      <w:r>
        <w:rPr>
          <w:rFonts w:eastAsia="IRNazanin" w:cs="IRNazanin"/>
          <w:color w:val="111111"/>
          <w:sz w:val="28"/>
          <w:szCs w:val="28"/>
          <w:rtl w:val="true"/>
          <w:lang w:bidi="fa-IR"/>
        </w:rPr>
        <w:t>.</w:t>
      </w:r>
      <w:bookmarkStart w:id="150" w:name="pg1680_12928"/>
    </w:p>
    <w:p>
      <w:pPr>
        <w:pStyle w:val="Heading2"/>
        <w:numPr>
          <w:ilvl w:val="1"/>
          <w:numId w:val="1"/>
        </w:numPr>
        <w:rPr/>
      </w:pPr>
      <w:bookmarkStart w:id="151" w:name="__RefHeading___Toc1400838_3650668749"/>
      <w:bookmarkStart w:id="152" w:name="_Toc57"/>
      <w:bookmarkEnd w:id="150"/>
      <w:bookmarkEnd w:id="151"/>
      <w:r>
        <w:rPr>
          <w:rtl w:val="true"/>
        </w:rPr>
        <w:t>الفصل الثالث</w:t>
      </w:r>
      <w:r>
        <w:rPr>
          <w:rtl w:val="true"/>
        </w:rPr>
        <w:t xml:space="preserve">: </w:t>
      </w:r>
      <w:r>
        <w:rPr>
          <w:rtl w:val="true"/>
        </w:rPr>
        <w:t>ملاک التوحید والشرک فی العبادة</w:t>
      </w:r>
      <w:bookmarkEnd w:id="152"/>
    </w:p>
    <w:p>
      <w:pPr>
        <w:pStyle w:val="Heading3"/>
        <w:numPr>
          <w:ilvl w:val="2"/>
          <w:numId w:val="1"/>
        </w:numPr>
        <w:rPr/>
      </w:pPr>
      <w:bookmarkStart w:id="153" w:name="__RefHeading___Toc1400840_3650668749"/>
      <w:bookmarkStart w:id="154" w:name="_Toc58"/>
      <w:bookmarkEnd w:id="153"/>
      <w:r>
        <w:rPr>
          <w:rtl w:val="true"/>
        </w:rPr>
        <w:t>اشارة</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الاستعانة بغیر اللَّه سبحانه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الشفاعة من المأذونین بها، وفیها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الشفاعة ومعناها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الآیات المثبتة والنافیة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الشفاعة ونتیجتها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الشفاعة من النبی والاولیاء المأذونین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 للأولیاء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التبرک بآثار الأولیاء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القبور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القبور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المساجد علی القبور والصلاة فیها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علی المیت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التوسل بالنبی صلی الله علیه و آله و سلم والأولیاء بأصنافه</w:t>
      </w:r>
      <w:bookmarkStart w:id="155" w:name="pg1680_12930"/>
    </w:p>
    <w:p>
      <w:pPr>
        <w:pStyle w:val="Heading3"/>
        <w:numPr>
          <w:ilvl w:val="2"/>
          <w:numId w:val="1"/>
        </w:numPr>
        <w:rPr/>
      </w:pPr>
      <w:bookmarkStart w:id="156" w:name="__RefHeading___Toc1400842_3650668749"/>
      <w:bookmarkStart w:id="157" w:name="_Toc59"/>
      <w:bookmarkEnd w:id="155"/>
      <w:bookmarkEnd w:id="156"/>
      <w:r>
        <w:rPr>
          <w:rtl w:val="true"/>
        </w:rPr>
        <w:t>ملاک التوحید والشرک فی العبادة</w:t>
      </w:r>
      <w:bookmarkEnd w:id="157"/>
    </w:p>
    <w:p>
      <w:pPr>
        <w:pStyle w:val="Heading4"/>
        <w:numPr>
          <w:ilvl w:val="3"/>
          <w:numId w:val="1"/>
        </w:numPr>
        <w:rPr/>
      </w:pPr>
      <w:bookmarkStart w:id="158" w:name="__RefHeading___Toc1400844_3650668749"/>
      <w:bookmarkStart w:id="159" w:name="_Toc60"/>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قد تعرفت أنّ للتوحید مراتب، وبأزائها توجد للشرک ألوان مختلفة، والّذی نرکز علیه البحث هنا هو التوحید فی العبادة الّذی‌یقابله الشرک فیها، وقد تقدّم فی الفصل السابق انّ التوحید فی العبادة أمر متّفق علیه بین الشرائع السماویة، ولو کان هناک اختلاف فإنّما هو فی تطبیق الضابطة علی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القضاء الصحیح فی تلک الموارد الّتی تضاربت فیها الآراء أخیراً یجب تعریف العبادة تعریفاً منطقیاً جامعاً للأفراد ومانعاً للأغیار، ولولا هذا لما أمکن حسم النزاع فی تلک المواضع، فعلینا بیان الضابطة المستفادة من الکتاب والسنّة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أهل اللغة أن العبادة هی الخضوع والتذلّل‌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التعریف تعریف لها بالأعم، لأنّ العبادة مختصّة باللَّه سبحانه، فلو کانت العبادة بمعنی الخضوع تلزم ممنوعیة الخضوع أمام الغیر علی وجه الإطلاق وخروج الخاضع من عداد الموحّدین مع أنّه سبحانه یحکی خضوع الملائکة لآدم وخضوع یعقوب وأبنائه لیوسف خضوعاً لیس فوقه خضوع، ویمدح خضوع الملائکة لآدم</w:t>
      </w:r>
    </w:p>
    <w:p>
      <w:pPr>
        <w:pStyle w:val="BookText"/>
        <w:rPr/>
      </w:pPr>
      <w:r>
        <w:rPr>
          <w:rFonts w:ascii="Amiri" w:hAnsi="Amiri" w:eastAsia="Amiri" w:cs="Amiri"/>
          <w:color w:val="111111"/>
          <w:sz w:val="28"/>
          <w:sz w:val="28"/>
          <w:szCs w:val="28"/>
          <w:rtl w:val="true"/>
          <w:lang w:bidi="ar-SA"/>
        </w:rPr>
        <w:t>ویُندّد بتمرد إبلیس عن 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أَبَوَیْهِ عَلَی الْعَرْشِ وَ خَرُّوا لَهُ سُجَّدًا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 ثالثة مخاطباً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ولمّا اعتذر إبلیس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 أَکُنْ لأَسْجُدَ لِبَشَرٍ خَلَقْتَهُ مِنْ صَلْصَالٍ مِنْ حَمَأٍ مَسْنُونٍ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خاطبه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یدلّنا علی أنّ الخضوع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باللفظ والبیان، أو بالفعل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عبادة، فلابد لحلّ المعضلة من بیان الضابطة الکلیة للعبادة حتّی یتمیّز الخضوع المتّسمِ بالعبادة عن غیره والبیان الّذی یأتی تفصیله یتلخّص فی کلمة واحدة،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العبادة تتحقّق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بالبیان والعمل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بإلوهیة المخضوع له وربوبیّته، وأنّ مصیر الخاضع کلّه</w:t>
      </w:r>
    </w:p>
    <w:p>
      <w:pPr>
        <w:pStyle w:val="BookText"/>
        <w:rPr/>
      </w:pPr>
      <w:r>
        <w:rPr>
          <w:rFonts w:ascii="IRNazanin" w:hAnsi="IRNazanin" w:eastAsia="IRNazanin"/>
          <w:color w:val="111111"/>
          <w:sz w:val="28"/>
          <w:sz w:val="28"/>
          <w:szCs w:val="28"/>
          <w:rtl w:val="true"/>
          <w:lang w:bidi="fa-IR"/>
        </w:rPr>
        <w:t>أو بعضه آجلًا أو عاجلًا بیده، سواء أکان الاعتقاد المذکور صحیحاً کما فی حقّه سبحانه، أم باطلًا کما فی عبادة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تجرّد الخضوع عن ذلک الاعتقاد لما صار عبادة، وسیوافیک أنّ عامّة الموحّدین والمشرکین یحملون فی عبادتهم اعتقاداً خاصاً بالنسبة إلی المخضوع له، سواء أکان هو اللَّه سبحانه أم کانت الآلهة المدعاة، وإلیک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أقسام العبادات صحیحها وباطلها تتمتّع بأمرین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الخضوع للمعبود، سواء أکان مستحقاً له کاللَّه سبحانه، أم غیر مستحق له کالأصنام والأوثان أو الأجرام السماویة من النجم والقمر والشمس والأرواح والمثل النوریة المجردة، فالعبادة فی جمیع تلک المراحل تتمتع بالخضوع وهو عمل قائم بالجوارح کالرأس والید وغیرهما، فالعابد یخضع بجلّ جوارحه أو بشی‌ء منها أمام المعبود وهذا أمر لاسترة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الخاص بالمعبود الذی یکون مبدأً للخضوع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علینا التعرف علی ذلک الاعتقاد الموجود فی جمیع الموارد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الموحدون الذین یعبدون اللَّه تبارک و تعالی، فخضوعهم نابع عن اعتقادهم بأنّه خالق للکون والإنسان، والمدبر للعالم الذی بیده کلّ شی‌ء فی الدنیا والآخرة، ولیس هناک أی‌خالق ومدبر ومالک لمصالح العباد</w:t>
      </w:r>
    </w:p>
    <w:p>
      <w:pPr>
        <w:pStyle w:val="BookText"/>
        <w:rPr/>
      </w:pPr>
      <w:r>
        <w:rPr>
          <w:rFonts w:ascii="IRNazanin" w:hAnsi="IRNazanin" w:eastAsia="IRNazanin"/>
          <w:color w:val="111111"/>
          <w:sz w:val="28"/>
          <w:sz w:val="28"/>
          <w:szCs w:val="28"/>
          <w:rtl w:val="true"/>
          <w:lang w:bidi="fa-IR"/>
        </w:rPr>
        <w:t>ومصائرهم فی العاجل والآجل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العاجل فیعتقدون أنّ الخلق والتدبیر والإحیاء والإماتة و إنزال المطر والخصب و الجدب وکلّ ما یعدّظاهرة طبیعیة من فعله سبحانه لا من فعل غیره الذی لا یملک أی‌تأثیر فی مصیر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الآجل فیعتقدون أنّ الشفاعة ومغفرة الذنوب وغیرهما من الأُمور الأُخرویة بیده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فالعبادة هی الخضوع النابع عن الاعتقاد بخالقیته ومدبریته وکون أزمَّة الأُمور ومصیر الإنسان فی الدنیا والآخرة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الموحّدین، وأمّا المشرکون فی عصر الرسالة وقبله وبعده فخضوعهم لمعبوداتهم کان نابعاً عن نفس ذلک الاعتقاد فکانوا معتقدین بربوبیتها وکون مصیر العابد بأیدیها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من بعض الآیات انّ العرب فی العصر الجاهلی کانوا موحّدین فی الخالقیة،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خَلَقَ‌السَّماواتِ وَالأَرْضَ لَیَقُولُنَّ خَلَقَهُنَّ الْعَزِیزُ العَلِیم</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ولکنّهم فی الوقت نفسه کانوا مشرکین فی التدبیر الذی نعبِّر عنه بالربوبیة، فکانوا یعتقدون بأرباب، مکان الرب الواحد، ولکلّ رب شأن فی عالم الکون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وتتجلّی عقیدة الطائفتین بالإمعان فی الآیات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الموحّد یری انّ العزة بید اللَّه سبحانه، ومنطقه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جَمیعاً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ولکن المشرک فی عصر الرسالة کان یری أنّ العزة بید الأصنام والأوثان، کما یحکی عن عقیدته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مِنْ‌دُونِ اللَّهِ آلِهَةً لِیَکُونُوا لَهُمْ عِزّاً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الموحّد یری أنّ النصر بید اللَّه تبارک و تعالی، ویردّد علی لسانه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إِلّامِنْ عِنْدِ اللَّهِ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المشرک فی عصر الرسالة کان یعتقد بأنّ النصر بید الآلهة والأرباب المزیَّفة،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لَعَلَّهُمْ یُنْصَرُون</w:t>
      </w:r>
      <w:r>
        <w:rPr>
          <w:rFonts w:eastAsia="Amiri" w:cs="Amiri" w:ascii="Amiri" w:hAnsi="Amiri"/>
          <w:color w:val="111111"/>
          <w:sz w:val="28"/>
          <w:szCs w:val="28"/>
          <w:rtl w:val="true"/>
          <w:lang w:bidi="ar-SA"/>
        </w:rPr>
        <w:t>».</w:t>
      </w:r>
      <w:r>
        <w:rPr>
          <w:rStyle w:val="FootnoteAnchor"/>
        </w:rPr>
        <w:footnoteReference w:id="6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الموحّد یؤمن بأنّ أمر التدبیر بید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وَیُنَزِّلُ الْغیْث</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کما أنّ بیده الجدب والخصب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ولکن المشرک کان یستمطر بالأنواء، بل یستمطر بالأصنام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هشام فی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لُحَیّ أوّل من أدخل الوثنیة إلی مکة وضواحیها، فقد رأی فی مآرب من أرض البلقاء من بقاع الشام أُناساً یعبدون الأوثان وعندما سألهم عمّا یفعلون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الأصنام التی أراکم تعبدونها؟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ونستنصرها فتنصرنا،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تعطوننی منها صنماً فأسیر به إلی أرض العرب فیعبدوه؟</w:t>
      </w:r>
    </w:p>
    <w:p>
      <w:pPr>
        <w:pStyle w:val="BookText"/>
        <w:rPr/>
      </w:pPr>
      <w:r>
        <w:rPr>
          <w:rFonts w:ascii="IRNazanin" w:hAnsi="IRNazanin" w:eastAsia="IRNazanin"/>
          <w:color w:val="111111"/>
          <w:sz w:val="28"/>
          <w:sz w:val="28"/>
          <w:szCs w:val="28"/>
          <w:rtl w:val="true"/>
          <w:lang w:bidi="fa-IR"/>
        </w:rPr>
        <w:t xml:space="preserve">وهکذا استحسن طریقتهم واصطحب معه إلی مکة صنماً کبیراً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علی سطح الکعبة المشرّفة ودعا الناس إلی عبادته</w:t>
      </w:r>
      <w:r>
        <w:rPr>
          <w:rFonts w:eastAsia="IRNazanin" w:cs="IRNazanin"/>
          <w:color w:val="111111"/>
          <w:sz w:val="28"/>
          <w:szCs w:val="28"/>
          <w:rtl w:val="true"/>
          <w:lang w:bidi="fa-IR"/>
        </w:rPr>
        <w:t>.</w:t>
      </w:r>
      <w:r>
        <w:rPr>
          <w:rStyle w:val="FootnoteAnchor"/>
        </w:rPr>
        <w:footnoteReference w:id="6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الموحّد یری أنّ غفران الذنوب والشفاعة بیده سبحانه، فلیس هناک غافر للذنوب إلّااللَّه سبحانه ولا شفیع إلّابإذنه،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 وَمَنْ یَغْفِرُ الذُّنُوب إِلّا اللَّه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 لَهُ مُلْکُ السَّماواتِ وَالأَرْض</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وأمّا المشرک فکان یعتقد بأنّ الشفاعة بید الآلهة والأرباب المزیّفة، والشاهد علیه انّ الآیات الماضیة نزلت رداً علی عقیدة المشرکین حیث کانوا یعتقدون بأنّهم مالکون مقام الشفاعة، ولأجل ذلک یؤکّد علی نفی تلک العقیدة فی آیات أُخری،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یَملِکُ الَّذینَ یَدْعُونَ مِنْ دُونِهِ الشَّفاعَةَ إِلّا مَنْ شَهِدَ بِالحَقّ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کما یری أنّ مغفرة الذنوب بید الآلهة، والشاهد علی ذلک وصفه سبحانه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خلاصة القول</w:t>
      </w:r>
    </w:p>
    <w:p>
      <w:pPr>
        <w:pStyle w:val="BookText"/>
        <w:rPr/>
      </w:pPr>
      <w:r>
        <w:rPr>
          <w:rFonts w:ascii="IRNazanin" w:hAnsi="IRNazanin" w:eastAsia="IRNazanin"/>
          <w:color w:val="111111"/>
          <w:sz w:val="28"/>
          <w:sz w:val="28"/>
          <w:szCs w:val="28"/>
          <w:rtl w:val="true"/>
          <w:lang w:bidi="fa-IR"/>
        </w:rPr>
        <w:t>إنّ أیَّ خضوع وتذلّل أو سؤال ینبع من الاعتقاد بأنّ المخضوع إله أو ربّ، وانّ بیده مصیر العابد یعد عبادة له، فلو خضع لأجله سبحانه فهو عبادة للَّه‌ولو خضع لغیره یکون عبادة لغیره ویکون صاحبه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ویقابل ذلک، القول والفعل والخضوع غیر النابع من هذا الاعتقاد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فخضوع أحد أمام موجود وتکریمه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ینبع من الاعتقاد بإلوهیته، ولا ربوبیته، لا یکون شرکاً ولا عبادة لهذا الموجود، وإن کان من الممکن أن یکون حراماً، مثل سجود العاشق</w:t>
      </w:r>
    </w:p>
    <w:p>
      <w:pPr>
        <w:pStyle w:val="BookText"/>
        <w:rPr/>
      </w:pPr>
      <w:r>
        <w:rPr>
          <w:rFonts w:ascii="IRNazanin" w:hAnsi="IRNazanin" w:eastAsia="IRNazanin"/>
          <w:color w:val="111111"/>
          <w:sz w:val="28"/>
          <w:sz w:val="28"/>
          <w:szCs w:val="28"/>
          <w:rtl w:val="true"/>
          <w:lang w:bidi="fa-IR"/>
        </w:rPr>
        <w:t>لمعشوقته أو المرأة لزوجها، فإنّه وإن کان حراماً فی الشریعة الإسلامیة لکنّه لیس عبادة، بل أنّ حرمته کانت لسبب آخر، فالعبادة والتحریم شیئان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وبذلک تستطیع أن تقیّم التعاریف المختلفة للعبادة لأکثر المفسرین عند تفسیرهم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سیّما ما ذکره صاحب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إذا وقفت علی تعریف العبادة وتمییزها عن غیرها تستطیع القضاء البات فی الأُمور الّتی اتخذت ذریعة لاتّهام فاعلیها بالشرک زعماً بأنها عبادة وأنّ القائمین بها یعبدون 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إیضاح الحال نتعرض لدراسة هذه المواضیع بالتفصیل</w:t>
      </w:r>
      <w:r>
        <w:rPr>
          <w:rFonts w:eastAsia="IRNazanin" w:cs="IRNazanin"/>
          <w:color w:val="111111"/>
          <w:sz w:val="28"/>
          <w:szCs w:val="28"/>
          <w:rtl w:val="true"/>
          <w:lang w:bidi="fa-IR"/>
        </w:rPr>
        <w:t>.</w:t>
      </w:r>
      <w:bookmarkStart w:id="160" w:name="pg1680_12938"/>
    </w:p>
    <w:p>
      <w:pPr>
        <w:pStyle w:val="Heading4"/>
        <w:numPr>
          <w:ilvl w:val="3"/>
          <w:numId w:val="1"/>
        </w:numPr>
        <w:rPr/>
      </w:pPr>
      <w:bookmarkStart w:id="161" w:name="__RefHeading___Toc1400846_3650668749"/>
      <w:bookmarkStart w:id="162" w:name="_Toc61"/>
      <w:bookmarkEnd w:id="160"/>
      <w:bookmarkEnd w:id="161"/>
      <w:r>
        <w:rPr/>
        <w:t>1</w:t>
      </w:r>
      <w:r>
        <w:rPr>
          <w:rtl w:val="true"/>
        </w:rPr>
        <w:t xml:space="preserve">- </w:t>
      </w:r>
      <w:r>
        <w:rPr>
          <w:rtl w:val="true"/>
        </w:rPr>
        <w:t>الاستعانة بغیر اللَّه سبحانه‌</w:t>
      </w:r>
      <w:bookmarkEnd w:id="162"/>
    </w:p>
    <w:p>
      <w:pPr>
        <w:pStyle w:val="BookText"/>
        <w:rPr/>
      </w:pPr>
      <w:r>
        <w:rPr>
          <w:rFonts w:ascii="IRNazanin" w:hAnsi="IRNazanin" w:eastAsia="IRNazanin"/>
          <w:color w:val="111111"/>
          <w:sz w:val="28"/>
          <w:sz w:val="28"/>
          <w:szCs w:val="28"/>
          <w:rtl w:val="true"/>
          <w:lang w:bidi="fa-IR"/>
        </w:rPr>
        <w:t>إنّ الموحّد کما أنّه لا یعبد إلّااللَّه سبحانه کذلک فهو لا یستعین فی حیاته الدینویة والآخرویة إلّابه، ولذلک نری أنّه سبحانه یعطف التوحید فی الاستعانة علی التوحید فی العبادة، ویأمر المسلم أن یقول کلّ یوم ولیلة فی صلواته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فالتفریق بین العبادة والاستعانة بتحریم الأُولی للغیر مطلقاً وتجویز الاستعانة بغیره علی خلاف نص القرآن الکریم، فالمسلم لا یعبد إلّااللَّه ولا یستعین إلّابه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أنّ العقلاء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وغیر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والأنبیاء والأولیاء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یستعینون فی حیاتهم ومعاشرتهم بغیره سبحانه، حتّی أنّه سبحانه یأمر بالاستعانة بالغیر فی غیر واحد من آیاته الکریمة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یحکی عن ذی القرنین أنّه استعان بمن کان فی أرض یأجوج</w:t>
      </w:r>
    </w:p>
    <w:p>
      <w:pPr>
        <w:pStyle w:val="BookText"/>
        <w:rPr/>
      </w:pPr>
      <w:r>
        <w:rPr>
          <w:rFonts w:ascii="Amiri" w:hAnsi="Amiri" w:eastAsia="Amiri" w:cs="Amiri"/>
          <w:color w:val="111111"/>
          <w:sz w:val="28"/>
          <w:sz w:val="28"/>
          <w:szCs w:val="28"/>
          <w:rtl w:val="true"/>
          <w:lang w:bidi="ar-SA"/>
        </w:rPr>
        <w:t>ومأجوج وقال علی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مَکَّنی فِیهِ رَبِّی خَیْرٌ فَأَعِینُونی بِقُوَّةٍ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سبحانه یأمر المسلمین بنصر من طلب الاستعانة بهم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اسْتَنْصَرُوکُمْ فِی الدِّینِ فَعَلَیْکُمُ النَّصْرُ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وعندئذ فما هوالعلاج بین هاتین الطائفتین، فمن جانب یحصر الاستعانة والنصر باللَّه سبحانه، ومن جانب آخر یأمر بالاستعانة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یتطلب دراسة حقیقة الاستعانة المختصة باللَّه سبحانه الّتی لا یجوز طلبها من غیره، وتمییزها عن الاستعانة بغیره سبحانه والّتی تدور علیها رحی الحیاة، وإلیک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الاستعانة بغیر اللَّه یمکن أن تتحقّق بصورتین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نستعین بعامل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طبیعیاً أم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الاعتقاد بأنّ عمله مستند إلی اللَّه، بمعنی أنّه قادر علی أن یعین العباد ویزیل مشاکلهم بقدرته المکتسبة من اللَّه وإذنه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ینفک عن الاستعانة باللَّه ذاته، لأنّه ینطوی علی الاعتراف بأنّه هو الذی منح تلک العوامل ذلک الأثر وأذن به وإن شاء سلبها وجرّدها منه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استعان الزارع بعوامل طبیعیة کالشمس والماء وحرث الأرض، فقد استعان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هو الذی منح هذه العوامل،</w:t>
      </w:r>
    </w:p>
    <w:p>
      <w:pPr>
        <w:pStyle w:val="BookText"/>
        <w:rPr/>
      </w:pPr>
      <w:r>
        <w:rPr>
          <w:rFonts w:ascii="IRNazanin" w:hAnsi="IRNazanin" w:eastAsia="IRNazanin"/>
          <w:color w:val="111111"/>
          <w:sz w:val="28"/>
          <w:sz w:val="28"/>
          <w:szCs w:val="28"/>
          <w:rtl w:val="true"/>
          <w:lang w:bidi="fa-IR"/>
        </w:rPr>
        <w:t>القدرة علی إنماء ما أودع فی بطن الأرض من بذر ومن ثم إنباته والوصول به إلی حد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المرشدین إلی الحق الیقین ؛ ؛ 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وإذا استعان بإنسان أو عامل طبیعی أو غیر طبیعی مع الاعتقاد بأنّه مستقل فی وجوده، أو فی فعله عن اللَّه فلا شک أنّ ذاک الاعتقاد یصیر شرکاً والاستعانة معه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استعان زارع بالعوامل المذکورة وهو یعتقد بأنّها مستقلّة فی تأثیرها، أو أنّها مستقلة فی وجودها، ومادتها کما فی فعلها وقدرتها فالاعتقاد شرک والطلب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البیان اتّضح هدف صنفین من الآیات وردا فی مسألة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یحصر الاستعانة باللَّه فقط ویعتبره الناصر والمعین الوحید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یدعونا إلی سلسلة من الأُمور المعینة غیر اللَّه ویعتبرها ناصرة ومعینة إلی جانب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تعارض ولا خلاف بین الصنفین إذا وقفنا علی موقف کلّ منهما فالصنف الحاصر للاستعانة باللَّه سبحانه ناظر إلی أنّ فی صحیفة الوجود مؤثراً تاماً، ومستقلًا واحداً غیر معتمد علی غیره لا فی وجوده ولا فی فعله وهو اللَّه سبحانه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والصنّف المجیز للاستعانة بالغیر ناظر إلی أنّ فی الکون عوامل</w:t>
      </w:r>
    </w:p>
    <w:p>
      <w:pPr>
        <w:pStyle w:val="BookText"/>
        <w:rPr/>
      </w:pPr>
      <w:r>
        <w:rPr>
          <w:rFonts w:ascii="IRNazanin" w:hAnsi="IRNazanin" w:eastAsia="IRNazanin"/>
          <w:color w:val="111111"/>
          <w:sz w:val="28"/>
          <w:sz w:val="28"/>
          <w:szCs w:val="28"/>
          <w:rtl w:val="true"/>
          <w:lang w:bidi="fa-IR"/>
        </w:rPr>
        <w:t>مفتقرة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وجودها وفعلها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سبحانه، وهی تؤدّی ما تؤدّی بإذنه ومشیئته وقدرته، ولو لم یعط تلک العوامل ما أعطاها اللَّه من القدرة، ولم تجر مشیئته علی الاستمداد منها لما کانت لها أیة قدرة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فالمعین الحقیقی فی کلّ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النحو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فلا یمکن الاستعانة بأحد باعتباره معیناً مستقلًا، إلّااللَّه، فلهذه الجهة حصرت مثل هذه الاستعانة باللَّه وحده، ولکن هذا لا یمنع بتاتاً من الاستعانة بغیر اللَّه باعتباره 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باعتباره معیناً بالاعتماد علی القدرة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حصر الاستعانة باللَّه سبحانه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الاستعانة المخصوصة باللَّه هی غیر الاستعانة بالعوامل الأُخری، فالاستعانة المخصوصة باللَّه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باعتقاد أنّه قادر علی إعانتنا بالذات، وبدون الاعتماد علی غیرها؛ فی حین أنّ الاستعانة بغیر اللَّه سبحانه إنّما هی علی نحو آخر، أی‌مع الاعتقاد بأنّ المستعان قادر علی الإعانة مستنداً علی القدرة الإلهیة، لا بالذات، وبنحو الاستقلال، فإذا کانت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باللَّه تعالی، فإنّ ذلک لا یدلّ علی أنّ الاستعانة بصورتها الثانیة مخصوصة به أیضاً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منفکّة عن الاستعانة باللَّه، بل هی عین الاستعانة به تعالی، ولیس فی نظر الموحّد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یری أنّ الکون کلّه من فعل اللَّه وقائماً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 من هذا</w:t>
      </w:r>
      <w:r>
        <w:rPr>
          <w:rFonts w:eastAsia="IRNazanin" w:cs="IRNazanin"/>
          <w:color w:val="111111"/>
          <w:sz w:val="28"/>
          <w:szCs w:val="28"/>
          <w:rtl w:val="true"/>
          <w:lang w:bidi="fa-IR"/>
        </w:rPr>
        <w:t>.</w:t>
      </w:r>
      <w:bookmarkStart w:id="163" w:name="pg1680_12942"/>
    </w:p>
    <w:p>
      <w:pPr>
        <w:pStyle w:val="Heading4"/>
        <w:numPr>
          <w:ilvl w:val="3"/>
          <w:numId w:val="1"/>
        </w:numPr>
        <w:rPr/>
      </w:pPr>
      <w:bookmarkStart w:id="164" w:name="__RefHeading___Toc1400848_3650668749"/>
      <w:bookmarkStart w:id="165" w:name="_Toc62"/>
      <w:bookmarkEnd w:id="163"/>
      <w:bookmarkEnd w:id="164"/>
      <w:r>
        <w:rPr/>
        <w:t>2</w:t>
      </w:r>
      <w:r>
        <w:rPr>
          <w:rtl w:val="true"/>
        </w:rPr>
        <w:t xml:space="preserve">- </w:t>
      </w:r>
      <w:r>
        <w:rPr>
          <w:rtl w:val="true"/>
        </w:rPr>
        <w:t>طلب الشفاعة من المأذونین بها</w:t>
      </w:r>
      <w:bookmarkEnd w:id="165"/>
    </w:p>
    <w:p>
      <w:pPr>
        <w:pStyle w:val="Heading5"/>
        <w:numPr>
          <w:ilvl w:val="4"/>
          <w:numId w:val="1"/>
        </w:numPr>
        <w:rPr/>
      </w:pPr>
      <w:bookmarkStart w:id="166" w:name="__RefHeading___Toc1400850_3650668749"/>
      <w:bookmarkStart w:id="167" w:name="_Toc63"/>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هل طلب الشفاعة من المأذونین بها عبادة لهم، ومناف للتوحید، أو هو طلب دعاء منهم؟ وتحقیق ذلک رهن بیان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الشفاعة ومعناها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الآیات المثبتة والنافیة للشفاعة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الشفاعة ونتیجتها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الشفاعة من النبی والأولیاء المأذونین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دراسة هذه الأُمور واحداً بعد الآخر</w:t>
      </w:r>
      <w:r>
        <w:rPr>
          <w:rFonts w:eastAsia="IRNazanin" w:cs="IRNazanin"/>
          <w:color w:val="111111"/>
          <w:sz w:val="28"/>
          <w:szCs w:val="28"/>
          <w:rtl w:val="true"/>
          <w:lang w:bidi="fa-IR"/>
        </w:rPr>
        <w:t>:</w:t>
      </w:r>
    </w:p>
    <w:p>
      <w:pPr>
        <w:pStyle w:val="Heading5"/>
        <w:numPr>
          <w:ilvl w:val="4"/>
          <w:numId w:val="1"/>
        </w:numPr>
        <w:rPr/>
      </w:pPr>
      <w:bookmarkStart w:id="168" w:name="__RefHeading___Toc1400852_3650668749"/>
      <w:bookmarkStart w:id="169" w:name="_Toc64"/>
      <w:bookmarkEnd w:id="168"/>
      <w:r>
        <w:rPr>
          <w:rtl w:val="true"/>
        </w:rPr>
        <w:t>الأوّل</w:t>
      </w:r>
      <w:r>
        <w:rPr>
          <w:rtl w:val="true"/>
        </w:rPr>
        <w:t xml:space="preserve">: </w:t>
      </w:r>
      <w:r>
        <w:rPr>
          <w:rtl w:val="true"/>
        </w:rPr>
        <w:t>حقیقة الشفاعة ومعناها</w:t>
      </w:r>
      <w:bookmarkEnd w:id="1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الشفاعة عبارة عن وصول رحمتهُ سبحانه ومغفرته وفیضه إلی عباده عن طریق أولیائه وصفوة عباده، ولیس هذا بأمرٍ غریب؛ فکما أنّ الهدایة الإلهیة التی هی من فیوضه سبحانه، تصل إلی عباده فی هذه الدنیا عن طریق أنبیائه وکتبه، فهکذا تصل مغفرته سبحانه وتعالی إلی المذنبین والعصاة یوم القیامة من عباده عن ذلک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یبعد فی أن یصل غفرانه سبحانه إلی عباده یوم القیامة عن طریق خِیرة عباده، فإنّ اللَّه سبحانه قد جعل دعاءهم فی الحیاة الدنیویة سبباً، ونصّ بذلک فی بعض آیاته، فنری أنّ أبناء یعقوب لمّا عادوا خاضعین، رجعوا إلی أبیهم،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فأجابهم یعقوب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یقتصر الأمر علی یعقوب فحسب، بل کان النبی الأکرم صلی الله علیه و آله و سلم ممّن یستجاب دعاؤه أیضاً فی حق العصاة،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الآیات ونظائرها ممّا لم نذکرها،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تدلّ علی أنّ مغفرته سبحانه قد تصل إلی عباده بتوسیط واسطة کالأنبیاء، وقد تصل بلا واسطة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وتتّضح هذه الحقیقة إذا وقفنا علی أنّ الدعاء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وبخاصة دعاء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المؤثرات الواقعة فی سلسلة نظام العلة والمعلول، ولا تنحصر العلة فی العلل الواقعة فی إطار الحس فإنّ فی الکون مؤثرات خارجة عن إحساسنا وحواسنا، بل قد تکون بعیدة حتی عن تفکیرنا،</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المراد من هذه المدبّرات؟ أهی مختصة بالمدبّرات الطبیعیة المادیة، أو المراد هو الأعم منها؟ فقد روی عن علی علیه السلام تفسیرها بالملائکة الأقویاء الذین عهد اللَّه إلیهم تدبیر الکون والحیاة بإذنه سبحانه، فکما أنّ هذه المدبّرات یجب الإیمان بها وإن لم تعلم کیفیة تدبیرها وحقیقة تأثیرها، فکذلک الدعاء یجب الإیمان بتأثیره فی جلب المغفرة، ودفع العذاب وإن لم تعلم کیفیة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الاعتقاد بشفاعة الأولیاء لیس إلّانوعاً من الرجاء فی رحمة اللَّه، والأمل فی عفوه ولطفه، وقد فتح الإسلام نوافذ الأمل والرجاء أمام العاصی النادم، لیعود إلی ربه، ویواصل مسیرة تکامله فی ثقة وطمأنینة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النوافذ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والإنابة والاستغفار،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للمذنبین، الشفاعة التی تنالهم وفق معاییر وردت فی الکتاب والسنّة، الشفاعة التی یبعث الأمل فیها بصیصاً من الرجاء فی نفوس العصاة، ویمنع من قنوطهم ویأسهم، ویبعث فیهم روح العمل والنشاط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یعنی تمهید الطریق للعصاة، وتسهیل الخلاف لهم برجاء الشفاعة، لما للشفاعة من شروط وقیود، ولیست مطلقة ومرسلة شاملة لکلّ العصاة، بل هی عملیة زرع الأمل والرجاء فی النفوس، مادام الأصل هو</w:t>
      </w:r>
      <w:bookmarkStart w:id="170" w:name="pg1680_12945"/>
    </w:p>
    <w:p>
      <w:pPr>
        <w:pStyle w:val="BookText"/>
        <w:rPr/>
      </w:pPr>
      <w:bookmarkEnd w:id="170"/>
      <w:r>
        <w:rPr>
          <w:rFonts w:ascii="IRNazanin" w:hAnsi="IRNazanin" w:eastAsia="IRNazanin"/>
          <w:color w:val="111111"/>
          <w:sz w:val="28"/>
          <w:sz w:val="28"/>
          <w:szCs w:val="28"/>
          <w:rtl w:val="true"/>
          <w:lang w:bidi="fa-IR"/>
        </w:rPr>
        <w:t>العمل والإتیان بالواجبات واجتناب المحرمات</w:t>
      </w:r>
      <w:r>
        <w:rPr>
          <w:rFonts w:eastAsia="IRNazanin" w:cs="IRNazanin"/>
          <w:color w:val="111111"/>
          <w:sz w:val="28"/>
          <w:szCs w:val="28"/>
          <w:rtl w:val="true"/>
          <w:lang w:bidi="fa-IR"/>
        </w:rPr>
        <w:t>.</w:t>
      </w:r>
    </w:p>
    <w:p>
      <w:pPr>
        <w:pStyle w:val="Heading5"/>
        <w:numPr>
          <w:ilvl w:val="4"/>
          <w:numId w:val="1"/>
        </w:numPr>
        <w:rPr/>
      </w:pPr>
      <w:bookmarkStart w:id="171" w:name="__RefHeading___Toc1400854_3650668749"/>
      <w:bookmarkStart w:id="172" w:name="_Toc65"/>
      <w:bookmarkEnd w:id="171"/>
      <w:r>
        <w:rPr>
          <w:rtl w:val="true"/>
        </w:rPr>
        <w:t>الثانی</w:t>
      </w:r>
      <w:r>
        <w:rPr>
          <w:rtl w:val="true"/>
        </w:rPr>
        <w:t xml:space="preserve">: </w:t>
      </w:r>
      <w:r>
        <w:rPr>
          <w:rtl w:val="true"/>
        </w:rPr>
        <w:t>دراسة الآیات النافیة والمثبتة للشفاعة</w:t>
      </w:r>
      <w:bookmarkEnd w:id="172"/>
    </w:p>
    <w:p>
      <w:pPr>
        <w:pStyle w:val="Heading6"/>
        <w:numPr>
          <w:ilvl w:val="5"/>
          <w:numId w:val="1"/>
        </w:numPr>
        <w:rPr/>
      </w:pPr>
      <w:bookmarkStart w:id="173" w:name="__RefHeading___Toc1400856_3650668749"/>
      <w:bookmarkStart w:id="174" w:name="_Toc6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أجمع علماء الأُمة الإسلامیة علی ثبوت الشفاعة یوم القیامة للنبی الأعظم صلی الله علیه و آله و سلم ومَن یأذن له سبحانه بالشفاعة، وهذا ممّا لا ینکره إلّاالمعاند أو الجاهل بالقرآن الکریم والمفاهیم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الآیات الواردة فی الشفاعة بین نافیة ومثبتة، إذ ربّما یتمسّک بالقسم الأوّل لنفی الشفاعة غفلة عن مرماها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دراسة هذه الآیات وتفسیرها،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الواردة علی أصناف</w:t>
      </w:r>
      <w:r>
        <w:rPr>
          <w:rFonts w:eastAsia="IRNazanin" w:cs="IRNazanin"/>
          <w:color w:val="111111"/>
          <w:sz w:val="28"/>
          <w:szCs w:val="28"/>
          <w:rtl w:val="true"/>
          <w:lang w:bidi="fa-IR"/>
        </w:rPr>
        <w:t>:</w:t>
      </w:r>
    </w:p>
    <w:p>
      <w:pPr>
        <w:pStyle w:val="Heading6"/>
        <w:numPr>
          <w:ilvl w:val="5"/>
          <w:numId w:val="1"/>
        </w:numPr>
        <w:rPr/>
      </w:pPr>
      <w:bookmarkStart w:id="175" w:name="__RefHeading___Toc1400858_3650668749"/>
      <w:bookmarkStart w:id="176" w:name="_Toc67"/>
      <w:bookmarkEnd w:id="175"/>
      <w:r>
        <w:rPr>
          <w:rtl w:val="true"/>
        </w:rPr>
        <w:t>الصنف الأوّل</w:t>
      </w:r>
      <w:r>
        <w:rPr>
          <w:rtl w:val="true"/>
        </w:rPr>
        <w:t xml:space="preserve">: </w:t>
      </w:r>
      <w:r>
        <w:rPr>
          <w:rtl w:val="true"/>
        </w:rPr>
        <w:t>ماینفی الشفاعة</w:t>
      </w:r>
      <w:bookmarkEnd w:id="176"/>
    </w:p>
    <w:p>
      <w:pPr>
        <w:pStyle w:val="BookText"/>
        <w:rPr/>
      </w:pPr>
      <w:r>
        <w:rPr>
          <w:rFonts w:ascii="Amiri" w:hAnsi="Amiri" w:eastAsia="Amiri" w:cs="Amiri"/>
          <w:color w:val="111111"/>
          <w:sz w:val="28"/>
          <w:sz w:val="28"/>
          <w:szCs w:val="28"/>
          <w:rtl w:val="true"/>
          <w:lang w:bidi="ar-SA"/>
        </w:rPr>
        <w:t>ورد فی الذکر الحکیم آیة واحدة تنفی فی ظاهرها الشفاعة علی الإطلاق، وهی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الإمعان فی ذیل الآیة یثبت بأنّ المنفی هو نفی الشفاعة فی حقّ الکافرین بدلیل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إلی ذلک أنّه سبحانه أثبت فی الآیة التالیة وجود الشفاعة بإذنه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7" w:name="pg1680_12946"/>
    </w:p>
    <w:p>
      <w:pPr>
        <w:pStyle w:val="Heading6"/>
        <w:numPr>
          <w:ilvl w:val="5"/>
          <w:numId w:val="1"/>
        </w:numPr>
        <w:rPr/>
      </w:pPr>
      <w:bookmarkStart w:id="178" w:name="__RefHeading___Toc1400860_3650668749"/>
      <w:bookmarkStart w:id="179" w:name="_Toc68"/>
      <w:bookmarkEnd w:id="177"/>
      <w:bookmarkEnd w:id="178"/>
      <w:r>
        <w:rPr>
          <w:rtl w:val="true"/>
        </w:rPr>
        <w:t>الصنف الثانی</w:t>
      </w:r>
      <w:r>
        <w:rPr>
          <w:rtl w:val="true"/>
        </w:rPr>
        <w:t xml:space="preserve">: </w:t>
      </w:r>
      <w:r>
        <w:rPr>
          <w:rtl w:val="true"/>
        </w:rPr>
        <w:t>ما ینفی الشفاعة الّتی تعتقدها الیهود للشفاعة</w:t>
      </w:r>
      <w:bookmarkEnd w:id="17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ووحدة السیاق تقضی بأن الهدف من نفی الشفاعة هو نفی الشفاعة الخاطئة، الّتی کانت تعتقدها الیهود فی تلک الفترة، وهو الاعتقاد بالشفاعة دون أن یشترطوا فی الشفیع والمشفوع له شرطاً معیناً، وأین ذلک من الشفاعة المحدودة؟</w:t>
      </w:r>
      <w:r>
        <w:rPr>
          <w:rFonts w:eastAsia="IRNazanin" w:cs="IRNazanin"/>
          <w:color w:val="111111"/>
          <w:sz w:val="28"/>
          <w:szCs w:val="28"/>
          <w:rtl w:val="true"/>
          <w:lang w:bidi="fa-IR"/>
        </w:rPr>
        <w:t>!</w:t>
      </w:r>
    </w:p>
    <w:p>
      <w:pPr>
        <w:pStyle w:val="Heading6"/>
        <w:numPr>
          <w:ilvl w:val="5"/>
          <w:numId w:val="1"/>
        </w:numPr>
        <w:rPr/>
      </w:pPr>
      <w:bookmarkStart w:id="180" w:name="__RefHeading___Toc1400862_3650668749"/>
      <w:bookmarkStart w:id="181" w:name="_Toc69"/>
      <w:bookmarkEnd w:id="180"/>
      <w:r>
        <w:rPr>
          <w:rtl w:val="true"/>
        </w:rPr>
        <w:t>الصنف الثالث</w:t>
      </w:r>
      <w:r>
        <w:rPr>
          <w:rtl w:val="true"/>
        </w:rPr>
        <w:t xml:space="preserve">: </w:t>
      </w:r>
      <w:r>
        <w:rPr>
          <w:rtl w:val="true"/>
        </w:rPr>
        <w:t>ما ینفی صلاحیة الأصنام للشفاعة</w:t>
      </w:r>
      <w:bookmarkEnd w:id="181"/>
    </w:p>
    <w:p>
      <w:pPr>
        <w:pStyle w:val="BookText"/>
        <w:rPr/>
      </w:pPr>
      <w:r>
        <w:rPr>
          <w:rFonts w:ascii="Amiri" w:hAnsi="Amiri" w:eastAsia="Amiri" w:cs="Amiri"/>
          <w:color w:val="111111"/>
          <w:sz w:val="28"/>
          <w:sz w:val="28"/>
          <w:szCs w:val="28"/>
          <w:rtl w:val="true"/>
          <w:lang w:bidi="ar-SA"/>
        </w:rPr>
        <w:t>إنّ عرب الجاهلیة کانوا یعبدون الأصنام لاعتقادهم بشفاعتها عند اللَّه، والآیات فی هذا المعنی کثیرة نقتصر علی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 اللَّهِ شُفَعَاءَ قُلْ أَوَلَوْ کَانُوا لَا یَمْلِکُونَ شَیْئًا وَ لَا یَعْقِلُونَ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1400864_3650668749"/>
      <w:bookmarkStart w:id="183" w:name="_Toc70"/>
      <w:bookmarkEnd w:id="182"/>
      <w:r>
        <w:rPr>
          <w:rtl w:val="true"/>
        </w:rPr>
        <w:t>الصنف الرابع</w:t>
      </w:r>
      <w:r>
        <w:rPr>
          <w:rtl w:val="true"/>
        </w:rPr>
        <w:t xml:space="preserve">: </w:t>
      </w:r>
      <w:r>
        <w:rPr>
          <w:rtl w:val="true"/>
        </w:rPr>
        <w:t>ما یخص الشفاعة باللَّه سبحانه وأنّه لا یشارکه فیها غیره‌</w:t>
      </w:r>
      <w:bookmarkEnd w:id="1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 لَهُ مُلْکُ السَّمَاوَاتِ وَ الأَرْضِ ثُمَّ إِلَیْهِ تُرْجَعُونَ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84" w:name="pg1680_12947"/>
    </w:p>
    <w:p>
      <w:pPr>
        <w:pStyle w:val="BookText"/>
        <w:rPr/>
      </w:pPr>
      <w:bookmarkEnd w:id="184"/>
      <w:r>
        <w:rPr>
          <w:rFonts w:ascii="IRNazanin" w:hAnsi="IRNazanin" w:eastAsia="IRNazanin"/>
          <w:color w:val="111111"/>
          <w:sz w:val="28"/>
          <w:sz w:val="28"/>
          <w:szCs w:val="28"/>
          <w:rtl w:val="true"/>
          <w:lang w:bidi="fa-IR"/>
        </w:rPr>
        <w:t>ومن المعلوم أنّه سبحانه لا یشفع لأحد عند أحد، فإنّه فوق کل شی‌ء وذلَّ کل شی‌ء لدیه، 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سبحانه مالک لمقام الشفاعة لا یشفع أحد لأحد إلّابإذنه، فیکون رفضاً لعقیدة المشرکین الّتی أُشیر إلیها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 اللهِ شُفَعَاءَ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وعقیدة الیهود والنصاری المعتقدین بالشفاعة المطلقة من دون شرط فی الشفیع والمشفوع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الآیة هو أنّ المالک لمقام الشفاعة والمسیطر علیها هو اللَّه سبحانه وغیره لایملکون منها شیئاً، وهذا لا ینافی أن یکون هناک عباد مأذونون یشفعون لمن ارتضاه سبحانه، وهذا ما یأتی فی الصنف الآتی</w:t>
      </w:r>
      <w:r>
        <w:rPr>
          <w:rFonts w:eastAsia="IRNazanin" w:cs="IRNazanin"/>
          <w:color w:val="111111"/>
          <w:sz w:val="28"/>
          <w:szCs w:val="28"/>
          <w:rtl w:val="true"/>
          <w:lang w:bidi="fa-IR"/>
        </w:rPr>
        <w:t>.</w:t>
      </w:r>
    </w:p>
    <w:p>
      <w:pPr>
        <w:pStyle w:val="Heading6"/>
        <w:numPr>
          <w:ilvl w:val="5"/>
          <w:numId w:val="1"/>
        </w:numPr>
        <w:rPr/>
      </w:pPr>
      <w:bookmarkStart w:id="185" w:name="__RefHeading___Toc1400866_3650668749"/>
      <w:bookmarkStart w:id="186" w:name="_Toc71"/>
      <w:bookmarkEnd w:id="185"/>
      <w:r>
        <w:rPr>
          <w:rtl w:val="true"/>
        </w:rPr>
        <w:t>الصنف الخامس</w:t>
      </w:r>
      <w:r>
        <w:rPr>
          <w:rtl w:val="true"/>
        </w:rPr>
        <w:t xml:space="preserve">: </w:t>
      </w:r>
      <w:r>
        <w:rPr>
          <w:rtl w:val="true"/>
        </w:rPr>
        <w:t>الشفاعة المأذونة من اللَّه سبحانه‌</w:t>
      </w:r>
      <w:bookmarkEnd w:id="186"/>
    </w:p>
    <w:p>
      <w:pPr>
        <w:pStyle w:val="BookText"/>
        <w:rPr/>
      </w:pPr>
      <w:r>
        <w:rPr>
          <w:rFonts w:ascii="IRNazanin" w:hAnsi="IRNazanin" w:eastAsia="IRNazanin"/>
          <w:color w:val="111111"/>
          <w:sz w:val="28"/>
          <w:sz w:val="28"/>
          <w:szCs w:val="28"/>
          <w:rtl w:val="true"/>
          <w:lang w:bidi="fa-IR"/>
        </w:rPr>
        <w:t>هناک آیات تدلّ بوضوح علی أنّه سبحانه یأذن لعدّة بالشفاعة، وأمّا مَن هؤلاء فلا یذکر القرآن الکریم منهم شیئاً، یقول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بان الفرق بین الشفاعة المرفوضة والشفاعة المأذونة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فالشفاعة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بلا إذنه سبحانه أو شفاعة الأصنام والأوثان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مرفوضة، وأمّا شفاعة غیرهم ممّن أذن له الرحمن واتّخذ عند الرحمن عهداً فهی شفاعة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الشفیع</w:t>
      </w:r>
    </w:p>
    <w:p>
      <w:pPr>
        <w:pStyle w:val="BookText"/>
        <w:rPr/>
      </w:pPr>
      <w:r>
        <w:rPr>
          <w:rFonts w:ascii="IRNazanin" w:hAnsi="IRNazanin" w:eastAsia="IRNazanin"/>
          <w:color w:val="111111"/>
          <w:sz w:val="28"/>
          <w:sz w:val="28"/>
          <w:szCs w:val="28"/>
          <w:rtl w:val="true"/>
          <w:lang w:bidi="fa-IR"/>
        </w:rPr>
        <w:t>رفض القرآن الکریم شفاعة الأصنام الّتی کان العرب یعبدونها کذباً وزوراً، وقد صرح بأنّها عاجزة عن الدفاع عن نفسها فکیف تکون قادرة علی الشفاعة فی حق عبّادها؟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فشفاعة هؤلاء والشفاعة المطلقة الّتی یتبنّاها أهل الکتاب هو الهدف للآیات النافیة، وأمّا الشفاعة المقبولة فهی عبارة عن شفاعة فئة خاصة من عباد اللَّه الذین تقبل شفاعتهم عند اللَّه بشروط خاصة، وقد وردت أسماء الشفعاء وشروط الشفاعة فی المشفوع له فی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الکتاب وأخصّ بالذکر الیهود کانوا یعتقدون بالشفاعة المطلقة، من دون وجود شرط فی المشفوع له، فالمطیع والعاصی یوم القیامة یدخلان الجنة بشفاعة أنبیائهم وأولیائهم، وذلک لوجود عقائد فاسدة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فکرة الشعب المختار کما یحکی سبحانه عنهم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وَ النَّصَاری نَحْنُ أَبْنَاءُ اللهِ وَ أَحِبَّاؤُهُ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87" w:name="pg1680_12949"/>
    </w:p>
    <w:p>
      <w:pPr>
        <w:pStyle w:val="BookText"/>
        <w:rPr/>
      </w:pPr>
      <w:bookmarkEnd w:id="1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لایعذبون إلّاأیاماً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إلی غیر ذلک من العقائد الفاسدة الّتی صارت أرضیة للاعتقاد بالشفاعة المطلقة الحرة خصوصاً فی حق المشفوع له، مع أنّ القرآن الکریم ینفی الشفاعة فی حق من قطع علاقته الإیمانیة باللَّه سبحانه فلم یؤمن به أو بوحدانیته أو بقیامته وأفسد فی الأرض وظلم عباده کما قطع علاقته الروحیة مع الشفیع فهؤلاء لا یتمتعون بشی‌ء من الشفاعة، یقول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1400868_3650668749"/>
      <w:bookmarkStart w:id="189" w:name="_Toc72"/>
      <w:bookmarkEnd w:id="188"/>
      <w:r>
        <w:rPr>
          <w:rtl w:val="true"/>
        </w:rPr>
        <w:t>الصنف السادس</w:t>
      </w:r>
      <w:r>
        <w:rPr>
          <w:rtl w:val="true"/>
        </w:rPr>
        <w:t xml:space="preserve">: </w:t>
      </w:r>
      <w:r>
        <w:rPr>
          <w:rtl w:val="true"/>
        </w:rPr>
        <w:t>تسمیة بعض المأذونین بالشفاعة</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بعض الآیات بعض المأذونین بالشفاعة نذکر منها آیة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90" w:name="pg1680_12950"/>
    </w:p>
    <w:p>
      <w:pPr>
        <w:pStyle w:val="BookText"/>
        <w:rPr/>
      </w:pPr>
      <w:bookmarkEnd w:id="190"/>
      <w:r>
        <w:rPr>
          <w:rFonts w:ascii="IRNazanin" w:hAnsi="IRNazanin" w:eastAsia="IRNazanin"/>
          <w:color w:val="111111"/>
          <w:sz w:val="28"/>
          <w:sz w:val="28"/>
          <w:szCs w:val="28"/>
          <w:rtl w:val="true"/>
          <w:lang w:bidi="fa-IR"/>
        </w:rPr>
        <w:t>وبدراسة الروایات الواردة فی الشفاعةفی کتب الفریقین یتّضح أنّ الشفاعة المحدودة المأذونة أحد المفاهیم الأصیلة فی الذکر الحکیم والروایات الشریفة</w:t>
      </w:r>
      <w:r>
        <w:rPr>
          <w:rFonts w:eastAsia="IRNazanin" w:cs="IRNazanin"/>
          <w:color w:val="111111"/>
          <w:sz w:val="28"/>
          <w:szCs w:val="28"/>
          <w:rtl w:val="true"/>
          <w:lang w:bidi="fa-IR"/>
        </w:rPr>
        <w:t>.</w:t>
      </w:r>
    </w:p>
    <w:p>
      <w:pPr>
        <w:pStyle w:val="Heading5"/>
        <w:numPr>
          <w:ilvl w:val="4"/>
          <w:numId w:val="1"/>
        </w:numPr>
        <w:rPr/>
      </w:pPr>
      <w:bookmarkStart w:id="191" w:name="__RefHeading___Toc1400870_3650668749"/>
      <w:bookmarkStart w:id="192" w:name="_Toc73"/>
      <w:bookmarkEnd w:id="191"/>
      <w:r>
        <w:rPr>
          <w:rtl w:val="true"/>
        </w:rPr>
        <w:t>الثالث</w:t>
      </w:r>
      <w:r>
        <w:rPr>
          <w:rtl w:val="true"/>
        </w:rPr>
        <w:t xml:space="preserve">: </w:t>
      </w:r>
      <w:r>
        <w:rPr>
          <w:rtl w:val="true"/>
        </w:rPr>
        <w:t>حدود الشفاعة</w:t>
      </w:r>
      <w:bookmarkEnd w:id="192"/>
    </w:p>
    <w:p>
      <w:pPr>
        <w:pStyle w:val="BookText"/>
        <w:rPr/>
      </w:pPr>
      <w:r>
        <w:rPr>
          <w:rFonts w:ascii="IRNazanin" w:hAnsi="IRNazanin" w:eastAsia="IRNazanin"/>
          <w:color w:val="111111"/>
          <w:sz w:val="28"/>
          <w:sz w:val="28"/>
          <w:szCs w:val="28"/>
          <w:rtl w:val="true"/>
          <w:lang w:bidi="fa-IR"/>
        </w:rPr>
        <w:t>قد تعرفت علی أنّ الشفاعة المطلقة المجردة عن کلّ قید وشرط هی الشفاعة الّتی تبنّتها الیهود والنصاری والمشرکون، وأمّا الشفاعة الّتی أمضاها القرآن الکریم فهی الشفاعة المشروطة بشرائط خاصة فی الشفیع أوّلًا، والمشفوع له ثانیاً، ومورد الشفاعة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الشفیع فمهما کان له من المکان والمرتبة عند اللَّه سبحانه فلا یشفع إلّابعد أن یأذن اللَّه ویرضی، وقد دلّت الآیات السالفة الذکر علی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المشفوع له فیشترط فیه أن یوطّد صلته باللَّه تعالی بالإیمان به وبوحدانیته وإیمانه بأنبیائه ورسله وکتبه، ولا یکون من الذین تلطّخت أیدیهم بالجریمة وأوغلوا فی المعاصی والذنوب والخطایا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الشروط والحدود فی روایات الفریقین الّتی لا یمکننا ذکر عشرها، ونقتصر هنا بذکر قلیل من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أقربکم منی غداً وأوجبکم علیّ شفاعة أصدقکم لساناً، وآداکم لأمانته، وأحسنکم خلقاً، وأقربکم من الناس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93" w:name="pg1680_12951"/>
    </w:p>
    <w:p>
      <w:pPr>
        <w:pStyle w:val="BookText"/>
        <w:rPr/>
      </w:pPr>
      <w:bookmarkEnd w:id="1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الشیعة فلا تعودون وتتکلمون علی شفاعتنا، فو اللَّه لا ینال شفاعتنا إذا رکب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یصیبه ألم العذاب ویری هول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موسی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أبی جعفر بن محمد علیهما السلام الوفاة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أنّه لا ینال شفاعتنا من استخف بالصلاة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مورد الشفاعة، فالشرک والإلحاد لا تقبل فیهما الشفاعة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أراد التفصیل فلیرجع إلی الروایات</w:t>
      </w:r>
      <w:r>
        <w:rPr>
          <w:rFonts w:eastAsia="IRNazanin" w:cs="IRNazanin"/>
          <w:color w:val="111111"/>
          <w:sz w:val="28"/>
          <w:szCs w:val="28"/>
          <w:rtl w:val="true"/>
          <w:lang w:bidi="fa-IR"/>
        </w:rPr>
        <w:t>.</w:t>
      </w:r>
    </w:p>
    <w:p>
      <w:pPr>
        <w:pStyle w:val="Heading5"/>
        <w:numPr>
          <w:ilvl w:val="4"/>
          <w:numId w:val="1"/>
        </w:numPr>
        <w:rPr/>
      </w:pPr>
      <w:bookmarkStart w:id="194" w:name="__RefHeading___Toc1400872_3650668749"/>
      <w:bookmarkStart w:id="195" w:name="_Toc74"/>
      <w:bookmarkEnd w:id="194"/>
      <w:r>
        <w:rPr>
          <w:rtl w:val="true"/>
        </w:rPr>
        <w:t>الرابع</w:t>
      </w:r>
      <w:r>
        <w:rPr>
          <w:rtl w:val="true"/>
        </w:rPr>
        <w:t xml:space="preserve">: </w:t>
      </w:r>
      <w:r>
        <w:rPr>
          <w:rtl w:val="true"/>
        </w:rPr>
        <w:t>ثمرة الشفاعة</w:t>
      </w:r>
      <w:bookmarkEnd w:id="195"/>
    </w:p>
    <w:p>
      <w:pPr>
        <w:pStyle w:val="BookText"/>
        <w:rPr/>
      </w:pPr>
      <w:r>
        <w:rPr>
          <w:rFonts w:ascii="IRNazanin" w:hAnsi="IRNazanin" w:eastAsia="IRNazanin"/>
          <w:color w:val="111111"/>
          <w:sz w:val="28"/>
          <w:sz w:val="28"/>
          <w:szCs w:val="28"/>
          <w:rtl w:val="true"/>
          <w:lang w:bidi="fa-IR"/>
        </w:rPr>
        <w:t>هل انّ نتیجة الشفاعة هی حطّ ذنوب المذنب والعفو عن العاصی أو هی زیادة الثواب ورفع الدرجات للمطیعین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جمهور المسلمین إلی الأوّل، وذهب إلی الثانی قسم من متکلّمی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قول الجمهور أن الشفاعة لیست من المفاهیم الّتی ابتکرها الإسلام واستعملها، بل کان مفهومها رائجاً بین المشرکین والیهود</w:t>
      </w:r>
      <w:bookmarkStart w:id="196" w:name="pg1680_12952"/>
    </w:p>
    <w:p>
      <w:pPr>
        <w:pStyle w:val="BookText"/>
        <w:rPr/>
      </w:pPr>
      <w:bookmarkEnd w:id="196"/>
      <w:r>
        <w:rPr>
          <w:rFonts w:ascii="IRNazanin" w:hAnsi="IRNazanin" w:eastAsia="IRNazanin"/>
          <w:color w:val="111111"/>
          <w:sz w:val="28"/>
          <w:sz w:val="28"/>
          <w:szCs w:val="28"/>
          <w:rtl w:val="true"/>
          <w:lang w:bidi="fa-IR"/>
        </w:rPr>
        <w:t>والنصاری من أهل الکتاب، فالمفهوم الرائج للشفاعة قبل الإسلام هو الّذی طرحه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فالشفاعة المقبولة هی نفس الشفاعة الرائجة قبل نزول القرآن ولکن تحت شروط وحدود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رواه الفریقین عن النبی الأکرم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400874_3650668749"/>
      <w:bookmarkStart w:id="198" w:name="_Toc75"/>
      <w:bookmarkEnd w:id="197"/>
      <w:r>
        <w:rPr>
          <w:rtl w:val="true"/>
        </w:rPr>
        <w:t>الخامس</w:t>
      </w:r>
      <w:r>
        <w:rPr>
          <w:rtl w:val="true"/>
        </w:rPr>
        <w:t xml:space="preserve">: </w:t>
      </w:r>
      <w:r>
        <w:rPr>
          <w:rtl w:val="true"/>
        </w:rPr>
        <w:t>طلب الشفاعة من النبی والأولیاء المأذونین بها</w:t>
      </w:r>
      <w:bookmarkEnd w:id="198"/>
    </w:p>
    <w:p>
      <w:pPr>
        <w:pStyle w:val="Heading6"/>
        <w:numPr>
          <w:ilvl w:val="5"/>
          <w:numId w:val="1"/>
        </w:numPr>
        <w:rPr/>
      </w:pPr>
      <w:bookmarkStart w:id="199" w:name="__RefHeading___Toc1400876_3650668749"/>
      <w:bookmarkStart w:id="200" w:name="_Toc76"/>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المفهوم الواضح للشفاعة لدی العامّة هو دعاء الشفیع وطلبه من اللَّه غفرانَ ذنوب عباده، إذا کانوا أهلًا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یرجع طلب الشفاعة من الشفیع إلی طلب الدعاء منه لتلک الغایة، وهل تری فی طلب الدعاء من الأخ المؤمن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النبی الأکرم صلی الله علیه و آله، الذی یُستجاب دعاؤه ولا یُردّ بنص الذکر الحکیم‌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یوضح أنّ شفاعة النبی عبارة عن دعائه فی حقّ المشفوع له، ما رواه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میّت یُصلّی علیه أُمّة من المسلمین یبلغون مائة کلّهم یشفعون له إلّاشُفِّعوا فیه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 الشارح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یدعون له، کما فسّر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شُفِّعوا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قبلت شفاعتهم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أیضاً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مسلم یموت فیقوم علی جنازته أربعون رجلًا لا یشرکون باللَّه شیئاً إلّاشفّعهم اللَّه فیه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أی قبلت شفاعتهم فی حق ذلک المیت فیغفر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مرجع الاستشفاع من الصالحین إلی طلب الدعاء، فکل من یطلب من النبی الشفاعة لا یقصد منه إلّاالمعنی الشائع‌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کان النبی الأکرم صلی الله علیه و آله حیّاً فی دار هجرته، کان طلبُ أصحابِه الدعاءَ منه، راجعاً إلی طلب الشفاعة منه والاختلاف فی الاسم لا فی الواقع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انتقاله من الدنیا إلی عالم البرزخ، یرجع طلب الشفاعة منه أیضاً إلی طلب الدعاء منه لا غیر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أعرابیاً جاء إلی مسجده فطلب منه أن یستغفر له، فقد طلب منه الشفاعة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 ذاک الرجل بعد رحیله،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استغفر لی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لی عند اللَّه، فالجمیع بمعنی واحدٍ لبّاً</w:t>
      </w:r>
      <w:bookmarkStart w:id="201" w:name="pg1680_12954"/>
    </w:p>
    <w:p>
      <w:pPr>
        <w:pStyle w:val="BookText"/>
        <w:rPr/>
      </w:pPr>
      <w:bookmarkEnd w:id="201"/>
      <w:r>
        <w:rPr>
          <w:rFonts w:ascii="IRNazanin" w:hAnsi="IRNazanin" w:eastAsia="IRNazanin"/>
          <w:color w:val="111111"/>
          <w:sz w:val="28"/>
          <w:sz w:val="28"/>
          <w:szCs w:val="28"/>
          <w:rtl w:val="true"/>
          <w:lang w:bidi="fa-IR"/>
        </w:rPr>
        <w:t>وحقیقةً، وإنّما یختلفان صورةً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فالإذعان بصحّة أحدِهما، والشک فی صحّة الآخر کالتفکیک بین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أنّ طلب الشفاعة یرجع إلی طلب الدعاء من الشفیع، وهو أمر مطلوب فی الشرع من غیر فرق بین طلبه من الشفیع فی حال حیاته أو مماته، فهو لا یخرج عن حد طلب الدعاء، وأمّا کونه ناجعاً أو لا، فهو أمر آخر لیس هنا مقام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یحقّق هذا الأمر هو صدور مثله من السلف الصالح فی العصور المتقدمة، وإلیک نزراً منه</w:t>
      </w:r>
      <w:r>
        <w:rPr>
          <w:rFonts w:eastAsia="IRNazanin" w:cs="IRNazanin"/>
          <w:color w:val="111111"/>
          <w:sz w:val="28"/>
          <w:szCs w:val="28"/>
          <w:rtl w:val="true"/>
          <w:lang w:bidi="fa-IR"/>
        </w:rPr>
        <w:t>:</w:t>
      </w:r>
    </w:p>
    <w:p>
      <w:pPr>
        <w:pStyle w:val="Heading6"/>
        <w:numPr>
          <w:ilvl w:val="5"/>
          <w:numId w:val="1"/>
        </w:numPr>
        <w:rPr/>
      </w:pPr>
      <w:bookmarkStart w:id="202" w:name="__RefHeading___Toc1400878_3650668749"/>
      <w:bookmarkStart w:id="203" w:name="_Toc77"/>
      <w:bookmarkEnd w:id="202"/>
      <w:r>
        <w:rPr>
          <w:rtl w:val="true"/>
        </w:rPr>
        <w:t>السلف وطلب الشفاعة من النبی الأکرم صلی الله علیه و آله و سلم‌</w:t>
      </w:r>
      <w:bookmarkEnd w:id="203"/>
    </w:p>
    <w:p>
      <w:pPr>
        <w:pStyle w:val="Heading6"/>
        <w:numPr>
          <w:ilvl w:val="5"/>
          <w:numId w:val="1"/>
        </w:numPr>
        <w:rPr/>
      </w:pPr>
      <w:bookmarkStart w:id="204" w:name="__RefHeading___Toc1400880_3650668749"/>
      <w:bookmarkStart w:id="205" w:name="_Toc78"/>
      <w:bookmarkEnd w:id="204"/>
      <w:r>
        <w:rPr>
          <w:rtl w:val="true"/>
        </w:rPr>
        <w:t>اشارة</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الإسلامیة وسیرة المسلمین تکشفان عن جواز هذا الطلب، ووجوده فی زمن النبی صلی الله علیه و آله؛ فقد روی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أن یشفع لی یوم القیامة،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أطلبک؟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اطلبنی أوّل ما تطلبنی علی الصراط</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فالسائل یطلب من النبی الأعظم، الشفاعة دون أن یخطر بباله أنّ هذا الطلب یصطدم مع أُصول العقیدة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سواد بن قارب، أحد أصحاب النبی صلی الله علیه و آله یقول مخاطباً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لی شفیعاً یوم لا ذو شفاعةبمغن فتیلًا عن سواد بن قارب‌</w:t>
      </w:r>
      <w:r>
        <w:rPr>
          <w:rStyle w:val="FootnoteAnchor"/>
          <w:rtl w:val="true"/>
        </w:rPr>
        <w:footnoteReference w:id="1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 السیر والتاریخ، أنّ رجلًا من قبیلة حمیر عرف أنّه سیولد فی أرض مکة نبی الإسلام الأعظم صلی الله علیه و آله، ولما خاف أن لا یدرکه، کتب رسالة وسلّمها لأحد أقاربه حتی یسلّمها إلی النبی صلی الله علیه و آله حینما یبعث، وممّا جاء فی تلک الرسالة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أدرک فاشفع لی یوم القیامة ولا تنسنی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وصلت الرسالة إلی ید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بتُبَّع الأخ الصالح</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فإنّ وصف النبی صلی الله علیه و آله لطالب‌الشفاعة بالأخ‌الصالح، أوضح دلیل علی أنّه أمر لا یتعارض وأُصول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المفید عن ابن عباس أنّ أمیر المؤمنین علیه السلام لمّا غسّل النبی صلی الله علیه و آله وکفّنه کشف عن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طبتَ حیّاً وطبت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اذکرنا عند ربک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الشریف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 عندما ولی غسل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اذکرنا عند ربک واجعلنا من بالک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لمّا توفی النبی صلی الله علیه و آله أقبل أبوبکر فکشف عن وجهه ثم أکبّ علیه فقبّله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طبت حیاً ومیتاً اذکرنا یا محمد عند ربّک ولنکن من بالک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استشفاع بالنبی صلی الله علیه و آله فی الحیاة الدنیا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العرب تستعمل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الشفاعة، وقد ورد ذلک فی قصة النبی یوسف علیه السلام حیث طلب من صاحبه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وختاماً نذکر ما ذکره الدکتور عبد الملک السعدی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فی مفهومها الإسلامی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طلب الشفاعة من رسول اللَّه صلی الله علیه و آله بصورة عامّة وبدون قید بعد أذان أو غیره فقد ورد فی السنّة، حیث قد طلبها منه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نکیر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الواردة بهذا الخصوص وبمواضع ومناسبات عدیدة کثیرة جداً نذکر منها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مصعب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غلام منّا فأتی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سؤالًا،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تجعلنی ممَّن تشفع له یوم القیامة،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أمرنی به أحد إلّانفسی،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ممّن أشفع له یوم</w:t>
      </w:r>
      <w:bookmarkStart w:id="206" w:name="pg1680_12957"/>
    </w:p>
    <w:p>
      <w:pPr>
        <w:pStyle w:val="BookText"/>
        <w:rPr/>
      </w:pPr>
      <w:bookmarkEnd w:id="206"/>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الهیثمی فی مجمع الزوائد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الهیثمی بهذا الموضوع کثیراً من الأحادیث‌</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حیاته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انتقاله إلی الرفیق الأعلی فهل یصح طلب الشفاعة منه لا سیما أمامَ قبره الشریف وعند السلام علیه؟</w:t>
      </w:r>
    </w:p>
    <w:p>
      <w:pPr>
        <w:pStyle w:val="BookText"/>
        <w:rPr/>
      </w:pPr>
      <w:r>
        <w:rPr>
          <w:rFonts w:ascii="IRNazanin" w:hAnsi="IRNazanin" w:eastAsia="IRNazanin"/>
          <w:color w:val="111111"/>
          <w:sz w:val="28"/>
          <w:sz w:val="28"/>
          <w:szCs w:val="28"/>
          <w:rtl w:val="true"/>
          <w:lang w:bidi="fa-IR"/>
        </w:rPr>
        <w:t>بما أنّه ثبت بما لا یقبل الشک أنّ الأموات یسمعون ویتکلّمون ویدعون فی عالم البرزخ وبخاصة هو صلی الله علیه و آله عندما یُسلَّم علیه تردّ إلیه روحه الشریفة، فلا موجب للتفرقة فی طلب الشفاعة بین حیاته قبل انتقاله وبین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البرزخیة بعد انتقاله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المنع فعلیه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1400882_3650668749"/>
      <w:bookmarkStart w:id="208" w:name="_Toc79"/>
      <w:bookmarkEnd w:id="207"/>
      <w:r>
        <w:rPr>
          <w:rtl w:val="true"/>
        </w:rPr>
        <w:t>شبهتان فی المقام‌</w:t>
      </w:r>
      <w:bookmarkEnd w:id="208"/>
    </w:p>
    <w:p>
      <w:pPr>
        <w:pStyle w:val="Heading6"/>
        <w:numPr>
          <w:ilvl w:val="5"/>
          <w:numId w:val="1"/>
        </w:numPr>
        <w:rPr/>
      </w:pPr>
      <w:bookmarkStart w:id="209" w:name="__RefHeading___Toc1400884_3650668749"/>
      <w:bookmarkStart w:id="210" w:name="_Toc80"/>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وقد طرح المانعون من طلب الشفاعة شبهتین، نذکرهما مع ما حولهما من التحلیل</w:t>
      </w:r>
      <w:r>
        <w:rPr>
          <w:rFonts w:eastAsia="IRNazanin" w:cs="IRNazanin"/>
          <w:color w:val="111111"/>
          <w:sz w:val="28"/>
          <w:szCs w:val="28"/>
          <w:rtl w:val="true"/>
          <w:lang w:bidi="fa-IR"/>
        </w:rPr>
        <w:t>.</w:t>
      </w:r>
    </w:p>
    <w:p>
      <w:pPr>
        <w:pStyle w:val="Heading6"/>
        <w:numPr>
          <w:ilvl w:val="5"/>
          <w:numId w:val="1"/>
        </w:numPr>
        <w:rPr/>
      </w:pPr>
      <w:bookmarkStart w:id="211" w:name="__RefHeading___Toc1400886_3650668749"/>
      <w:bookmarkStart w:id="212" w:name="_Toc81"/>
      <w:bookmarkEnd w:id="211"/>
      <w:r>
        <w:rPr/>
        <w:t>1</w:t>
      </w:r>
      <w:r>
        <w:rPr>
          <w:rtl w:val="true"/>
        </w:rPr>
        <w:t xml:space="preserve">. </w:t>
      </w:r>
      <w:r>
        <w:rPr>
          <w:rtl w:val="true"/>
        </w:rPr>
        <w:t>طلب المشرکین الشفاعة من الأصنام‌</w:t>
      </w:r>
      <w:bookmarkEnd w:id="2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الذی تمسّک به القائلون بتحریم طلب الشفاعة من الشفعاء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اعتبر علّة شرک الوثنیّین فی عصر الرسالة تکمن فی طلبهم الشفاعة من أصنامهم وأوثانهم،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وعلی هذا الأساس یکون طلب الشفاعة من الأنبیاء أو الأولیاء شرکاً شبیه طلب الشفاعة من الأصنام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ویرد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جوهریاً بین طلب الشفاعة من الأصنام وطلبها من الأولیاء الصالحین، لأنّ طلب المشرکین الشفاعة من أصنامهم ینبع من الاعتقاد بأنّ أصنامهم آلهة أو فوّض إلیها فعل الإله، والحال أنّ الموحّدین ینطلقون فی طلبهم هذا من الاعتقاد بأنّ الشفعاء عباد للَّه أخلصوا له العبودیة، فتفضّل علیهم سبحانه ووهبهم هذه المنزلة والمقام، فکیف یاتری جاز اعتبار الطلبین یعودان إلی حقیقة مشترکة وجوهر واحد؟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عبدوا الأصنام أوّلًا ثمّ طلبوا منها الشفاعة ثانیاً، وهذا ما تحکی عنه الآیة المذکورة حیث قال تعالی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هؤلاءِ شُفَعاؤُنا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الموحّدین لا یعبدون إلّا اللَّه تعالی وحده لا شریک له، نعم بعد الخضوع له</w:t>
      </w:r>
      <w:bookmarkStart w:id="213" w:name="pg1680_12959"/>
    </w:p>
    <w:p>
      <w:pPr>
        <w:pStyle w:val="BookText"/>
        <w:rPr/>
      </w:pPr>
      <w:bookmarkEnd w:id="213"/>
      <w:r>
        <w:rPr>
          <w:rFonts w:ascii="IRNazanin" w:hAnsi="IRNazanin" w:eastAsia="IRNazanin"/>
          <w:color w:val="111111"/>
          <w:sz w:val="28"/>
          <w:sz w:val="28"/>
          <w:szCs w:val="28"/>
          <w:rtl w:val="true"/>
          <w:lang w:bidi="fa-IR"/>
        </w:rPr>
        <w:t>سبحانه والإیمان به، یطلبون الشفاعة من أولیائه الصالحین، انطلاقاً من إذنه سبحانه وتعالی بهذا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من هذا البیان أنّ عطف عمل المؤمنین علی المشرکین واعتبارهما أمراً واحداً، عطف لا أساس له من الصحّة، ولا یقوم علی أیّ مستند علمی أو دلیل برهانی</w:t>
      </w:r>
      <w:r>
        <w:rPr>
          <w:rFonts w:eastAsia="IRNazanin" w:cs="IRNazanin"/>
          <w:color w:val="111111"/>
          <w:sz w:val="28"/>
          <w:szCs w:val="28"/>
          <w:rtl w:val="true"/>
          <w:lang w:bidi="fa-IR"/>
        </w:rPr>
        <w:t>.</w:t>
      </w:r>
    </w:p>
    <w:p>
      <w:pPr>
        <w:pStyle w:val="Heading6"/>
        <w:numPr>
          <w:ilvl w:val="5"/>
          <w:numId w:val="1"/>
        </w:numPr>
        <w:rPr/>
      </w:pPr>
      <w:bookmarkStart w:id="214" w:name="__RefHeading___Toc1400888_3650668749"/>
      <w:bookmarkStart w:id="215" w:name="_Toc82"/>
      <w:bookmarkEnd w:id="214"/>
      <w:r>
        <w:rPr/>
        <w:t>2</w:t>
      </w:r>
      <w:r>
        <w:rPr>
          <w:rtl w:val="true"/>
        </w:rPr>
        <w:t xml:space="preserve">. </w:t>
      </w:r>
      <w:r>
        <w:rPr>
          <w:rtl w:val="true"/>
        </w:rPr>
        <w:t>طلب الشفاعة من المیّت لغو</w:t>
      </w:r>
      <w:bookmarkEnd w:id="215"/>
    </w:p>
    <w:p>
      <w:pPr>
        <w:pStyle w:val="BookText"/>
        <w:rPr/>
      </w:pPr>
      <w:r>
        <w:rPr>
          <w:rFonts w:ascii="IRNazanin" w:hAnsi="IRNazanin" w:eastAsia="IRNazanin"/>
          <w:color w:val="111111"/>
          <w:sz w:val="28"/>
          <w:sz w:val="28"/>
          <w:szCs w:val="28"/>
          <w:rtl w:val="true"/>
          <w:lang w:bidi="fa-IR"/>
        </w:rPr>
        <w:t>هذا الدلیل هو آخر ما تمسّک به المانعون لطلب الشفاعة من الأولیاء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أثبتنا فی بحث الحیاة البرزخیة أنّ الشهداء أحیاء عند ربّهم یرزقون، فإذا کان الشهداء أحیاءً عند ربّهم فنبیّ الشهداء من باب أولی یکون حیّاً عند ربّه، وحینئذٍ لا یکون طلب الشفاعة منه لغواً، لأنّه حی یرزق یسمع کلامنا ویری مقامنا بإذنه سبحانه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التسلیم بأنّ الأنبیاء والصالحین والشهداء موتی لا یسمعون کلامنا ولا یرون مقامنا، فحینئذٍ أقصی ما یستلزمه طلب الشفاعة منهم أن یُعد أمراً لغواً، لا أنّه أمرٌ محرم کما یدّعیه أصحاب الفکر الوهابی، والشاهد علی ذلک أنّ الغریق یتمسّک بکلّ قشة للنجاة والخلاص، ومن الواضح أنّ عمله هذا لغو لا طائل وراءه، ومع ذلک کلّه لا تجد متعلّماً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الغریق بالشرک أو بارتکاب الحرام</w:t>
      </w:r>
      <w:r>
        <w:rPr>
          <w:rFonts w:eastAsia="IRNazanin" w:cs="IRNazanin"/>
          <w:color w:val="111111"/>
          <w:sz w:val="28"/>
          <w:szCs w:val="28"/>
          <w:rtl w:val="true"/>
          <w:lang w:bidi="fa-IR"/>
        </w:rPr>
        <w:t>.</w:t>
      </w:r>
      <w:bookmarkStart w:id="216" w:name="pg1680_12960"/>
    </w:p>
    <w:p>
      <w:pPr>
        <w:pStyle w:val="Heading4"/>
        <w:numPr>
          <w:ilvl w:val="3"/>
          <w:numId w:val="1"/>
        </w:numPr>
        <w:rPr/>
      </w:pPr>
      <w:bookmarkStart w:id="217" w:name="__RefHeading___Toc1400890_3650668749"/>
      <w:bookmarkStart w:id="218" w:name="_Toc83"/>
      <w:bookmarkEnd w:id="216"/>
      <w:bookmarkEnd w:id="217"/>
      <w:r>
        <w:rPr/>
        <w:t>3</w:t>
      </w:r>
      <w:r>
        <w:rPr>
          <w:rtl w:val="true"/>
        </w:rPr>
        <w:t xml:space="preserve">- </w:t>
      </w:r>
      <w:r>
        <w:rPr>
          <w:rtl w:val="true"/>
        </w:rPr>
        <w:t>النذر للأولیاء</w:t>
      </w:r>
      <w:bookmarkEnd w:id="218"/>
    </w:p>
    <w:p>
      <w:pPr>
        <w:pStyle w:val="BookText"/>
        <w:rPr/>
      </w:pPr>
      <w:r>
        <w:rPr>
          <w:rFonts w:ascii="IRNazanin" w:hAnsi="IRNazanin" w:eastAsia="IRNazanin"/>
          <w:color w:val="111111"/>
          <w:sz w:val="28"/>
          <w:sz w:val="28"/>
          <w:szCs w:val="28"/>
          <w:rtl w:val="true"/>
          <w:lang w:bidi="fa-IR"/>
        </w:rPr>
        <w:t>النذر عبارة عن إلزام الإنسان نفسه بالقیام بأداء عمل إذا قضیت حاجته،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أختم القرآن إذا نجحت فی الامتحان، هذا هو النذر الشرعی ویعتبر أن یکون النذر للَّه سبحانه ولا یجوز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یلتزم فی ضمن النذر إهداء ثواب عمله إلی المقربین له کالأب والأُمّ أو الأنبیاء والأولیاء،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للَّه أن أختم القرآن واهدی ثوابه لفلان؛ واللام الداخلة علی لفظ الجلالة غیر اللام الداخلة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فاللام الأُولی للغایة أی‌لغایة التقرب إلی اللَّه سبحانه، واللام الثانیة لبیان موضع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المتعارف بین المسلمین ینذرون عملًا للَّه ثمّ یلتزمون بإهداء ثوابه لأحد أولیاء اللَّه وعباده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یختصرون فی العبارة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منذورة للنبی صلی الله علیه و آله و سلم، والمراد هو جهة انتفاعه، والقرآن الکریم مشحون بکلا الاستعمالین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حاکیاً عن 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نَذَرْتُ لَکَ ما فِی</w:t>
      </w:r>
    </w:p>
    <w:p>
      <w:pPr>
        <w:pStyle w:val="BookText"/>
        <w:rPr/>
      </w:pPr>
      <w:r>
        <w:rPr>
          <w:rFonts w:ascii="Amiri" w:hAnsi="Amiri" w:eastAsia="Amiri" w:cs="Amiri"/>
          <w:color w:val="111111"/>
          <w:sz w:val="28"/>
          <w:sz w:val="28"/>
          <w:szCs w:val="28"/>
          <w:rtl w:val="true"/>
          <w:lang w:bidi="ar-SA"/>
        </w:rPr>
        <w:t>بَطْنی مُحَرَّرَاً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فاللام فی هذه الآیة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للَّه ونذرت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واللام للفقراء بمعنی الانتفاع، نظیر قولنا عند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للنبی صلی الله علیه و آله و سلم أو للإمام علیه السلام وقد مضی انّ سعدَ بن عبادة لما حفر بئراً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ظهر انّه لا مانع من النذر للأولیاء والصالحین، علی ما عرفت 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إیضاح الحال نأتی بکلام بعض المفکّرین وعلماء الإسلام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تدور مدار نیّات الناذرین، وإنّما الأعمال بالنیّات، فإن کان قصد الناذر المیت نفسه والتقرّب إلیه بذلک لم یجز، قولًا واحداً، وإن کان قصده وجه اللَّه تعالی وانتفاع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وثوابه لذلک المنذور له سواء عین وجهاً من وجوه الانتفاع أو أطلق القول فیه، وکان هناک ما یطرد الصرف فیه فی عرف الناس أو أقرباء المیت،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یجب الوفاء بالنذور</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وقال العزامی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استخبر حال من یفعل ذلک من المسلمین، وجدهم لا یقصدون بذبائحهم ونذورهم للأموات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الأنبیاء والأولیاء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إلّاالصدقة عنهم و جعل ثوابها إلیهم، وقد</w:t>
      </w:r>
    </w:p>
    <w:p>
      <w:pPr>
        <w:pStyle w:val="BookText"/>
        <w:rPr/>
      </w:pPr>
      <w:r>
        <w:rPr>
          <w:rFonts w:ascii="IRNazanin" w:hAnsi="IRNazanin" w:eastAsia="IRNazanin"/>
          <w:color w:val="111111"/>
          <w:sz w:val="28"/>
          <w:sz w:val="28"/>
          <w:szCs w:val="28"/>
          <w:rtl w:val="true"/>
          <w:lang w:bidi="fa-IR"/>
        </w:rPr>
        <w:t>علموا أنّ إجماع أهل السنّة منعقد علی أنّ صدقة الأحیاء نافعة للأموات واصلة إلیهم، والأحادیث فی ذلک صحیحة مشهورة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أخرج أبو داود عن میمونة انّ أباها قال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انّی نذرت إن وُلد لی ذکر أن أنحر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عقبة من الثنایا، عدّة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إلّاأنّها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الأوثان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بما نذرت به للَّه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تجد انّ النبی صلی الله علیه و آله و سلم یؤکِّد السؤال عن وجود الأصنام فی المکان الذی تذبح فیه الذبائح انّ هذا دلیل علی أنّ النذر الحرام هو النذر للأصنام حیث جرت عادة أهل الجاهلیة علی ذلک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ذبح عَلی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وکلّ مَن وقف علی أحوال الزائرین للعتبات المقدسة ومراقد أولیاء اللَّه الصالحین یجد انّهم ینذرون للَّه تعالی ولرضاه، ویذبحون الذبائح باسمه عزّ وجلّ بهدف انتفاع صاحب القبر بثوابها وانتفاع الفقراء بلحومها</w:t>
      </w:r>
      <w:r>
        <w:rPr>
          <w:rFonts w:eastAsia="IRNazanin" w:cs="IRNazanin"/>
          <w:color w:val="111111"/>
          <w:sz w:val="28"/>
          <w:szCs w:val="28"/>
          <w:rtl w:val="true"/>
          <w:lang w:bidi="fa-IR"/>
        </w:rPr>
        <w:t>.</w:t>
      </w:r>
      <w:bookmarkStart w:id="219" w:name="pg1680_12963"/>
    </w:p>
    <w:p>
      <w:pPr>
        <w:pStyle w:val="Heading4"/>
        <w:numPr>
          <w:ilvl w:val="3"/>
          <w:numId w:val="1"/>
        </w:numPr>
        <w:rPr/>
      </w:pPr>
      <w:bookmarkStart w:id="220" w:name="__RefHeading___Toc1400892_3650668749"/>
      <w:bookmarkStart w:id="221" w:name="_Toc84"/>
      <w:bookmarkEnd w:id="219"/>
      <w:bookmarkEnd w:id="220"/>
      <w:r>
        <w:rPr/>
        <w:t>4</w:t>
      </w:r>
      <w:r>
        <w:rPr>
          <w:rtl w:val="true"/>
        </w:rPr>
        <w:t xml:space="preserve">- </w:t>
      </w:r>
      <w:r>
        <w:rPr>
          <w:rtl w:val="true"/>
        </w:rPr>
        <w:t>التبرک بآثار الأولیاء</w:t>
      </w:r>
      <w:bookmarkEnd w:id="221"/>
    </w:p>
    <w:p>
      <w:pPr>
        <w:pStyle w:val="Heading5"/>
        <w:numPr>
          <w:ilvl w:val="4"/>
          <w:numId w:val="1"/>
        </w:numPr>
        <w:rPr/>
      </w:pPr>
      <w:bookmarkStart w:id="222" w:name="__RefHeading___Toc1400894_3650668749"/>
      <w:bookmarkStart w:id="223" w:name="_Toc85"/>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 xml:space="preserve">التبرّک لغة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الزیادة فی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اصطلاحاً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الموحّدین إفاضة النعم علیهم وزیادة البرکة من خلال التبرّک بالذوات الصالحة للنبی الأکرم والصالحین من عباده، أو التبرّک بآثارهم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أنّ المتبرّک یسد فی وجهه الطرق والأسباب الطبیعیة لتحقیق مراده والأُمور التی یتوخّاها، بل فی الوقت الذی یعتمد فیه الأسباب و العلل الطبیعیة، یبقی أمامه باب التبرّک مفتوحاً لیتسنّی له من خلاله نیل الفیض الإلهی النازل من خلال هذا الطریق بالإضافة إلی الفیوضات النازلة من خلال الطرق والأسباب الطبیعیة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المسلّم به أنّه لا توجد علاقة مادیة بین آثار الأنبیاء علیهم السلام والصالحین، وبین الخیرات التی یجنیها الإنسان من خلال هذا الطریق،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الفیوضات الإلهیة تارة تفاض علی العباد من غیر مجاریها الطبیعیة حیث تتعلّق الإرادة الإلهیة بأن تلبّی حاجات الإنسان المؤمن عن طریق التبرّک بشخص النبی أو الآثار المتبقیة منه، وهذه الحقیقة</w:t>
      </w:r>
      <w:bookmarkStart w:id="224" w:name="pg1680_12964"/>
    </w:p>
    <w:p>
      <w:pPr>
        <w:pStyle w:val="BookText"/>
        <w:rPr/>
      </w:pPr>
      <w:bookmarkEnd w:id="224"/>
      <w:r>
        <w:rPr>
          <w:rFonts w:ascii="IRNazanin" w:hAnsi="IRNazanin" w:eastAsia="IRNazanin"/>
          <w:color w:val="111111"/>
          <w:sz w:val="28"/>
          <w:sz w:val="28"/>
          <w:szCs w:val="28"/>
          <w:rtl w:val="true"/>
          <w:lang w:bidi="fa-IR"/>
        </w:rPr>
        <w:t>قد أکّدتها آیات الذکر الحکیم والروایات المتواترة، أضف إلی ذلک أنّه لا یوجد مانع عقلی یمنع عن فاعلیة آثار النبی والصالحین فی تلبیة حاجات الإنسان وإنجاح طلبته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وهانحن نستعرض بعض الآیات الواردة فی هذا الصدد</w:t>
      </w:r>
      <w:r>
        <w:rPr>
          <w:rFonts w:eastAsia="IRNazanin" w:cs="IRNazanin"/>
          <w:color w:val="111111"/>
          <w:sz w:val="28"/>
          <w:szCs w:val="28"/>
          <w:rtl w:val="true"/>
          <w:lang w:bidi="fa-IR"/>
        </w:rPr>
        <w:t>:</w:t>
      </w:r>
    </w:p>
    <w:p>
      <w:pPr>
        <w:pStyle w:val="Heading5"/>
        <w:numPr>
          <w:ilvl w:val="4"/>
          <w:numId w:val="1"/>
        </w:numPr>
        <w:rPr/>
      </w:pPr>
      <w:bookmarkStart w:id="225" w:name="__RefHeading___Toc1400896_3650668749"/>
      <w:bookmarkStart w:id="226" w:name="_Toc86"/>
      <w:bookmarkEnd w:id="225"/>
      <w:r>
        <w:rPr/>
        <w:t>1</w:t>
      </w:r>
      <w:r>
        <w:rPr>
          <w:rtl w:val="true"/>
        </w:rPr>
        <w:t xml:space="preserve">. </w:t>
      </w:r>
      <w:r>
        <w:rPr>
          <w:rtl w:val="true"/>
        </w:rPr>
        <w:t>التبرّک بمقام إبراهیم علیه السلام‌</w:t>
      </w:r>
      <w:bookmarkEnd w:id="226"/>
    </w:p>
    <w:p>
      <w:pPr>
        <w:pStyle w:val="BookText"/>
        <w:rPr/>
      </w:pPr>
      <w:r>
        <w:rPr>
          <w:rFonts w:ascii="IRNazanin" w:hAnsi="IRNazanin" w:eastAsia="IRNazanin"/>
          <w:color w:val="111111"/>
          <w:sz w:val="28"/>
          <w:sz w:val="28"/>
          <w:szCs w:val="28"/>
          <w:rtl w:val="true"/>
          <w:lang w:bidi="fa-IR"/>
        </w:rPr>
        <w:t>لقد اعتبر اللَّه سبحانه وتعالی بعض الأراضی التی لامست بدن دعاة التوحید، محلًا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جعل من مقام إبراهیم علیه السلام مصلّی، حیث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 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ولا ریب أنّ الصلاة نفسها لا تختلف من الناحیة الجوهریة، سواء أُقیمت فی هذا المقام أو سائر نقاط المسجد، وهذا یکشف عن أنّ المقام المذکور قد اکتسب بسبب وجود النبی إبراهیم علیه السلام میزة أُخری، فأصبح مکاناً مبارکاً، لذلک تجد المصلّی یأتی بصلاته هناک لأجل التبرّک بذلک المکان الطاهر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موضع آخر من القرآن نجد اللَّه سبحانه وتعالی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المسافة الواقعة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للعبادة، وما ذلک إلّالأنّ</w:t>
      </w:r>
      <w:bookmarkStart w:id="227" w:name="pg1680_12965"/>
    </w:p>
    <w:p>
      <w:pPr>
        <w:pStyle w:val="BookText"/>
        <w:rPr/>
      </w:pPr>
      <w:bookmarkEnd w:id="227"/>
      <w:r>
        <w:rPr>
          <w:rFonts w:ascii="IRNazanin" w:hAnsi="IRNazanin" w:eastAsia="IRNazanin"/>
          <w:color w:val="111111"/>
          <w:sz w:val="28"/>
          <w:sz w:val="28"/>
          <w:szCs w:val="28"/>
          <w:rtl w:val="true"/>
          <w:lang w:bidi="fa-IR"/>
        </w:rPr>
        <w:t xml:space="preserve">السیدة الطاهرة والموحّدة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لامست بقدمیها المبارکتین هذه الأرض سبعة أشواط بحثاً عن الماء، ولیس لذلک الأمر علّة إلّاالتبرّک بهذه البقعة المقدّسة التی لامست جزءاً من بدن أُمّ إسماعیل علیه وعلیها السلام</w:t>
      </w:r>
      <w:r>
        <w:rPr>
          <w:rFonts w:eastAsia="IRNazanin" w:cs="IRNazanin"/>
          <w:color w:val="111111"/>
          <w:sz w:val="28"/>
          <w:szCs w:val="28"/>
          <w:rtl w:val="true"/>
          <w:lang w:bidi="fa-IR"/>
        </w:rPr>
        <w:t>.</w:t>
      </w:r>
    </w:p>
    <w:p>
      <w:pPr>
        <w:pStyle w:val="Heading5"/>
        <w:numPr>
          <w:ilvl w:val="4"/>
          <w:numId w:val="1"/>
        </w:numPr>
        <w:rPr/>
      </w:pPr>
      <w:bookmarkStart w:id="228" w:name="__RefHeading___Toc1400898_3650668749"/>
      <w:bookmarkStart w:id="229" w:name="_Toc87"/>
      <w:bookmarkEnd w:id="228"/>
      <w:r>
        <w:rPr/>
        <w:t>2</w:t>
      </w:r>
      <w:r>
        <w:rPr>
          <w:rtl w:val="true"/>
        </w:rPr>
        <w:t xml:space="preserve">. </w:t>
      </w:r>
      <w:r>
        <w:rPr>
          <w:rtl w:val="true"/>
        </w:rPr>
        <w:t>قمیص یوسف علیه السلام وعودة البصر إلی یعقوب‌</w:t>
      </w:r>
      <w:bookmarkEnd w:id="229"/>
    </w:p>
    <w:p>
      <w:pPr>
        <w:pStyle w:val="BookText"/>
        <w:rPr/>
      </w:pPr>
      <w:r>
        <w:rPr>
          <w:rFonts w:ascii="Amiri" w:hAnsi="Amiri" w:eastAsia="Amiri" w:cs="Amiri"/>
          <w:color w:val="111111"/>
          <w:sz w:val="28"/>
          <w:sz w:val="28"/>
          <w:szCs w:val="28"/>
          <w:rtl w:val="true"/>
          <w:lang w:bidi="ar-SA"/>
        </w:rPr>
        <w:t>لقد عانی یعقوب علیه السلام ألم فراق ولده العزیز یوسف علیه السلام ردحاً طویلًا من الزمن، ولقد بکاه طوال تلک المدّة حتّی فقد بصره إلی الدرجة التی وصفه فیها الذکر الحکیم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وَابْیَضَّتْ عَیْناهُ مِنَ الْحُزْنِ فَهُوَ کَظِیمٌ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فشاءت الإرادة الإلهیة أن یعود إلی یعقوب بصره عن طریق قمیص ولده یوسف علیه السلام حیث قال تعالی علی لسان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ولا ریب أنّ قمیص یوسف علیه السلام لا یختلف من الناحیة المادیة أو من ناحیة الشکل عن غیره، ولکن تعلّقت الإرادة الإلهیة بأن یصدر الفیض الإلهی إلی عبده یعقوب من خلال هذا الطریق، وقد صرّح القرآن الکریم بهذه الحقیقة حیث قال سبحانه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الْبَشیرُ أَلْقَاهُ عَلی وَجْهِهِ فَارْتَدَّ بَصِیراً</w:t>
      </w:r>
      <w:r>
        <w:rPr>
          <w:rFonts w:eastAsia="Amiri" w:cs="Amiri" w:ascii="Amiri" w:hAnsi="Amiri"/>
          <w:color w:val="111111"/>
          <w:sz w:val="28"/>
          <w:szCs w:val="28"/>
          <w:rtl w:val="true"/>
          <w:lang w:bidi="ar-SA"/>
        </w:rPr>
        <w:t>».</w:t>
      </w:r>
      <w:r>
        <w:rPr>
          <w:rStyle w:val="FootnoteAnchor"/>
          <w:rtl w:val="true"/>
        </w:rPr>
        <w:footnoteReference w:id="122"/>
      </w:r>
      <w:bookmarkStart w:id="230" w:name="pg1680_12966"/>
    </w:p>
    <w:p>
      <w:pPr>
        <w:pStyle w:val="Heading5"/>
        <w:numPr>
          <w:ilvl w:val="4"/>
          <w:numId w:val="1"/>
        </w:numPr>
        <w:rPr/>
      </w:pPr>
      <w:bookmarkStart w:id="231" w:name="__RefHeading___Toc1400900_3650668749"/>
      <w:bookmarkStart w:id="232" w:name="_Toc88"/>
      <w:bookmarkEnd w:id="230"/>
      <w:bookmarkEnd w:id="231"/>
      <w:r>
        <w:rPr/>
        <w:t>3</w:t>
      </w:r>
      <w:r>
        <w:rPr>
          <w:rtl w:val="true"/>
        </w:rPr>
        <w:t xml:space="preserve">. </w:t>
      </w:r>
      <w:r>
        <w:rPr>
          <w:rtl w:val="true"/>
        </w:rPr>
        <w:t>تابوت بنی إسرائیل والسکینة</w:t>
      </w:r>
      <w:bookmarkEnd w:id="232"/>
    </w:p>
    <w:p>
      <w:pPr>
        <w:pStyle w:val="BookText"/>
        <w:rPr/>
      </w:pPr>
      <w:r>
        <w:rPr>
          <w:rFonts w:ascii="IRNazanin" w:hAnsi="IRNazanin" w:eastAsia="IRNazanin"/>
          <w:color w:val="111111"/>
          <w:sz w:val="28"/>
          <w:sz w:val="28"/>
          <w:szCs w:val="28"/>
          <w:rtl w:val="true"/>
          <w:lang w:bidi="fa-IR"/>
        </w:rPr>
        <w:t xml:space="preserve">لقد وضع موسی علیه السلام وفی الأیام الأخیرة من عمره الشریف، الألواح المقدّسة التی تحتوی علی شریعته علیه السلام، ودرعه وسلاحه وآثاره الأُخری فی صندوق، وجعل الصندوق عند 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اکتسب هذا الصندوق أهمیة کبری لدی بنی إسرائیل، فکانوا یحملونه معهم أثناء الحروب التی تقع بینهم وبین خصومهم متبرّکین به، ومستنزلین النصر من اللَّه عن طریقه، وکانوا یعیشون حیاة عزیزة مادام ذلک الصندوق المبارک بین ظهرانیهم، ولکن لمّا دبّ فیهم الضعف الدینی، وقلّ تأثیر الوازع الأخلاقی فی أوساطهم، تمکّن خصومهم من هزیمتهم والتغلّب علیهم، وتمکّنوا کذلک من نهب ذلک الصندوق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اختار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ملکاً وقائداً لبنی إسرائیل، قال لهم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صدقه وکونه قائداً منصباً من قبله سبحانه هو أن یأتیکم ذلک الصندوق، ولقد أشار الذکر الحکیم إلی ذلک بقوله سبحانه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 وَبَقِیَّةٌ مِمّا تَرَکَ آلُ مُوسی وَآلُ هارُونَ تَحْمِلُهُ المَلائِکَةُ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123"/>
      </w:r>
      <w:bookmarkStart w:id="233" w:name="pg1680_12967"/>
    </w:p>
    <w:p>
      <w:pPr>
        <w:pStyle w:val="BookText"/>
        <w:rPr/>
      </w:pPr>
      <w:bookmarkEnd w:id="233"/>
      <w:r>
        <w:rPr>
          <w:rFonts w:ascii="IRNazanin" w:hAnsi="IRNazanin" w:eastAsia="IRNazanin"/>
          <w:color w:val="111111"/>
          <w:sz w:val="28"/>
          <w:sz w:val="28"/>
          <w:szCs w:val="28"/>
          <w:rtl w:val="true"/>
          <w:lang w:bidi="fa-IR"/>
        </w:rPr>
        <w:t>والإمعان فی الآیة المبارکة یکشف أنّ القرآن الکریم ینقل لنا علی لسان نبیه، تبرّک بنی إسرائیل بذلک الصندوق ویؤکّد کذلک مدی قیمته وشرفه بحیث تحمله الملائکة، وحینئذٍ نتساءل لو کان هذا العمل مخالفاً لأُصول التوحید ومتعارضاً معها، فکیف یاتری جاز لذلک النبی أن یلقی إلیهم الخبر علی نحو البشری؟</w:t>
      </w:r>
      <w:r>
        <w:rPr>
          <w:rFonts w:eastAsia="IRNazanin" w:cs="IRNazanin"/>
          <w:color w:val="111111"/>
          <w:sz w:val="28"/>
          <w:szCs w:val="28"/>
          <w:rtl w:val="true"/>
          <w:lang w:bidi="fa-IR"/>
        </w:rPr>
        <w:t>!!</w:t>
      </w:r>
    </w:p>
    <w:p>
      <w:pPr>
        <w:pStyle w:val="Heading5"/>
        <w:numPr>
          <w:ilvl w:val="4"/>
          <w:numId w:val="1"/>
        </w:numPr>
        <w:rPr/>
      </w:pPr>
      <w:bookmarkStart w:id="234" w:name="__RefHeading___Toc1400902_3650668749"/>
      <w:bookmarkStart w:id="235" w:name="_Toc89"/>
      <w:bookmarkEnd w:id="234"/>
      <w:r>
        <w:rPr/>
        <w:t>4</w:t>
      </w:r>
      <w:r>
        <w:rPr>
          <w:rtl w:val="true"/>
        </w:rPr>
        <w:t xml:space="preserve">. </w:t>
      </w:r>
      <w:r>
        <w:rPr>
          <w:rtl w:val="true"/>
        </w:rPr>
        <w:t>التبرّک بمقام أصحاب الکهف‌</w:t>
      </w:r>
      <w:bookmarkEnd w:id="235"/>
    </w:p>
    <w:p>
      <w:pPr>
        <w:pStyle w:val="BookText"/>
        <w:rPr/>
      </w:pPr>
      <w:r>
        <w:rPr>
          <w:rFonts w:ascii="IRNazanin" w:hAnsi="IRNazanin" w:eastAsia="IRNazanin"/>
          <w:color w:val="111111"/>
          <w:sz w:val="28"/>
          <w:sz w:val="28"/>
          <w:szCs w:val="28"/>
          <w:rtl w:val="true"/>
          <w:lang w:bidi="fa-IR"/>
        </w:rPr>
        <w:t xml:space="preserve">حین اکتشف المؤمنون والموحّدون المکان الذی اختفی فیه الفتیة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أخذوا یتداولون الأمر بینهم ماذا نعمل؟ فکان إطباق الجمیع واتّفاقهم علی أن یبنوا علی قبورهم مسجداً لیکون محلًا للعبادة وللتبرّک بالعبادة إلی جنب تلک الأجساد الطاهرة، ولقد نقل لنا القرآن الکریم هذه الحقیقة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غَلَبُوا عَلی أَمْرِهِمْ لَنَتَّخِذَنَّ عَلَیْهِمْ مَسْجِداً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بناء المسجد هو إقامة الصلاة والتبرّک بأجسادهم الطاهرة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نکتفی بهذه الآیات الأربع، والتی یکشف الإمعان فیها عن حقیقة واضحة وترشدنا إلی أصل علمی وقرآنی جلیّ، وهو أنّ المشیئة الإلهیة قد تعلّقت بأن تفاض نعمه ومواهبه المادیة والمعنویة علی البشر من</w:t>
      </w:r>
    </w:p>
    <w:p>
      <w:pPr>
        <w:pStyle w:val="BookText"/>
        <w:rPr/>
      </w:pPr>
      <w:r>
        <w:rPr>
          <w:rFonts w:ascii="IRNazanin" w:hAnsi="IRNazanin" w:eastAsia="IRNazanin"/>
          <w:color w:val="111111"/>
          <w:sz w:val="28"/>
          <w:sz w:val="28"/>
          <w:szCs w:val="28"/>
          <w:rtl w:val="true"/>
          <w:lang w:bidi="fa-IR"/>
        </w:rPr>
        <w:t>خلال الأسباب الطبیعیة، بلا فرق بین الأُمور المادیة والمعنویة، فعلی سبیل المثال شاءت الإرادة الإلهیة أن تفاض هدایته علی البشر عن طریق الأسباب الطبیعیة فأرسل لهم الأنبیاء مبشّرین ومنذرین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الوقت نفسه قد تتعلّق الإرادة الإلهیة بأن یجری فیضه عن طریق الأسباب والطرق والمجاری غیر الطبیعیة، وما التبرّک إلّا واحداً من تلک المجاری التی یتمسّک بها الإنسان لاستنزال الفیض الإلهی والنعم الربّانیة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کان المسلمون یتبرّکون بآثار رسول اللَّه صلی الله علیه و آله و سلم حیث یتبرکون بشعره وبفضل وضوئه وثیابه وآنیته ومسِّ جسده الشریف، إلی غیر ذلک من آثاره الشریفة التی رواها الأخیار عن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فصارالتبرک بها سنّة الصحابة واقتدی آثارهم من نهج نهجهم من التابعین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 فی الفصل الذی عقده لصلح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بعثت عروة بن مسعود الثقفی إلی رسول اللَّه صلی الله علیه و آله و سلم فجلس بین یدیه، وبعد ما وقف علی نیة الرسول من خروجه إلی مکة رجع إلی قومه وأخبرهم بما دار بینه و بین الرسول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لا یتوضّأ إلّا وابتدر أصحابه بماء وضوئه، ولا یسقط من شعره شی‌ء إلّاأخذوه، ثمّ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قریش لقد رأیت کسری فی ملکه، وقیصر فی ملکه، والنجاشی فی ملکه، وإنّی واللَّه ما رأیت ملکاً فی قومه قط مثل محمد فی أصحابه، ولقد</w:t>
      </w:r>
    </w:p>
    <w:p>
      <w:pPr>
        <w:pStyle w:val="BookText"/>
        <w:rPr/>
      </w:pPr>
      <w:r>
        <w:rPr>
          <w:rFonts w:ascii="Amiri" w:hAnsi="Amiri" w:eastAsia="Amiri" w:cs="Amiri"/>
          <w:color w:val="111111"/>
          <w:sz w:val="28"/>
          <w:sz w:val="28"/>
          <w:szCs w:val="28"/>
          <w:rtl w:val="true"/>
          <w:lang w:bidi="ar-SA"/>
        </w:rPr>
        <w:t>رأیت قوماً لا یسلّمونه لشی‌ء أبداً فَرَوْا رأیکم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وقد ألّف غیر واحد من علماء الإسلام ما قام به الصحابة من التبرک بآثار النبی صلی الله علیه و آله و سلم نذکر 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التبرک بتحنیک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التبرک بالمسح والمس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التبرک بفضل وضوئه وغسله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التبرک بسؤر شرابه وطعامه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تبرک الصحابة لم یقتصر علی ذلک بل کانوا یتبرکون بماء أدخل فیه یده المبارکة، وبماء من الآنیة التی شرب منها، وبشعره، وعرقه، وظفره، والقدح الذی شرب منه، وموضع فمه، ومنبره، والدنانیر التی أعطاها، وقبره وجرت عادتهم علی التبرک به، ووضع الخد علیه والبکاء عنده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ألف المحقّق العلّامة محمد طاهر بن عبد القادر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علماء مکة المکرمة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صحابة النبی صلی الله علیه و آله و سلم علی التبرک بآثار رسول اللَّه والاهتمام فی جمعها، وهم الهداة المهدیون والقدوة الصالحون فیتبرکون بشعره وبفضل وضوئه وعرقه وثیابه وآنیته وبمسِّ جسده الشریف، وبغیر ذلک ممّا عرف من آثاره الشریفة التی صحّت به الأخبار عن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التبرک ببعض آثاره فی عهده وأقرّه ولم ینکر علیه، فدلَّ ذلک دلالة قاطعة علی مشروعیته، ولو لم یکن مشروعاً لنهی عنه وحذّر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تدلّ الأخبار الصحیحة وإجماع الصحابة علی مشروعیته تدلّ علی قوة إیمان المتبرکین وشدّة محبتهم وموالاتهم ومتابعتهم للرسول الأعظم صلی الله علیه و آله و سلم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لیلی‌أقبل ذا الجدار وذا الجدارا</w:t>
      </w:r>
    </w:p>
    <w:p>
      <w:pPr>
        <w:pStyle w:val="BookText"/>
        <w:rPr/>
      </w:pPr>
      <w:r>
        <w:rPr>
          <w:rFonts w:ascii="IRNazanin" w:hAnsi="IRNazanin" w:eastAsia="IRNazanin"/>
          <w:color w:val="111111"/>
          <w:sz w:val="28"/>
          <w:sz w:val="28"/>
          <w:szCs w:val="28"/>
          <w:rtl w:val="true"/>
          <w:lang w:bidi="fa-IR"/>
        </w:rPr>
        <w:t>وما حبّ الدیار شغفن قلبی‌ولکن حبّ من سکن الدیارا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bookmarkStart w:id="236" w:name="pg1680_12971"/>
    </w:p>
    <w:p>
      <w:pPr>
        <w:pStyle w:val="Heading4"/>
        <w:numPr>
          <w:ilvl w:val="3"/>
          <w:numId w:val="1"/>
        </w:numPr>
        <w:rPr/>
      </w:pPr>
      <w:bookmarkStart w:id="237" w:name="__RefHeading___Toc1400904_3650668749"/>
      <w:bookmarkStart w:id="238" w:name="_Toc90"/>
      <w:bookmarkEnd w:id="236"/>
      <w:bookmarkEnd w:id="237"/>
      <w:r>
        <w:rPr/>
        <w:t>5</w:t>
      </w:r>
      <w:r>
        <w:rPr>
          <w:rtl w:val="true"/>
        </w:rPr>
        <w:t xml:space="preserve">- </w:t>
      </w:r>
      <w:r>
        <w:rPr>
          <w:rtl w:val="true"/>
        </w:rPr>
        <w:t>زیارة القبور</w:t>
      </w:r>
      <w:bookmarkEnd w:id="238"/>
    </w:p>
    <w:p>
      <w:pPr>
        <w:pStyle w:val="Heading5"/>
        <w:numPr>
          <w:ilvl w:val="4"/>
          <w:numId w:val="1"/>
        </w:numPr>
        <w:rPr/>
      </w:pPr>
      <w:bookmarkStart w:id="239" w:name="__RefHeading___Toc1400906_3650668749"/>
      <w:bookmarkStart w:id="240" w:name="_Toc91"/>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إن زیارة قبور الأنبیاء والأولیاء تنطوی علی آثار تربویة وأخلاقیة هامة، لأنّ مشاهدة المقابر التی تضمُّ فی طیاتها مجموعة کبیرة من رفات الذین عاشوا فی هذه الحیاة، ثمّ انتقلوا إلی الآخرة، تؤدی إلی الحد من الطمع والحرص علی الدنیا، وربما یُغیِّر سلوک الإنسان فیترک الظلم والمنکر ویتوجه إلی اللَّه والآخرة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یقول الرسول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فانّها تذکّرکم بالآخرة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نعم یستفاد من بعض الأحادیث انّ النبی صلی الله علیه و آله و سلم نهی یوماً عن زیارة القبور ثمّ رخّصها، ولعلّ النهی کان لملاک آخر، وهو أنّ أکثر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المشرکین، فنهی النبی صلی الله علیه و آله و سلم عن زیارتهم، ولمّا کثر المؤمنون بینهم رخّصها بإذن اللَّه عزّ وجلّ،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فزوروها فانّها تزهد فی الدنیا وتذکر فی الآخرة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رخّص فی زیارة القبور،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آتی البقیع وأستغفر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یا رسول اللَّه صلی الله علیه و آله و 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 من المؤمنین والمؤمنات یرحم اللَّه المستقدمین منّا والمستأخرین، انّا إن شاء اللَّه بکم لاحقون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وجاء فی الصحاح والمسانید صور الزیارات التی زار بها النبی صلی الله علیه و آله و سلم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القبور مندوبة للاتعاظ وتذکّر الآخرة وتتأکد یوم الجمعة، وینبغی للزائر الاشتغال بالدعاء والتضرّع، والاعتبار بالموتی، وقراءة القرآن للمیت، فإنّ ذلک ینفع المیت علی الأصح، وبما ورد أن یقول الزائر عند رؤیة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دار قوم مؤمنین وإنّا إن شاء اللَّه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الزیارة بین کون المقابر قریبة أو بعیدة</w:t>
      </w:r>
      <w:r>
        <w:rPr>
          <w:rStyle w:val="FootnoteAnchor"/>
          <w:rtl w:val="true"/>
        </w:rPr>
        <w:footnoteReference w:id="130"/>
      </w:r>
      <w:r>
        <w:rPr>
          <w:rFonts w:ascii="IRNazanin" w:hAnsi="IRNazanin" w:eastAsia="IRNazanin"/>
          <w:color w:val="111111"/>
          <w:sz w:val="28"/>
          <w:sz w:val="28"/>
          <w:szCs w:val="28"/>
          <w:rtl w:val="true"/>
          <w:lang w:bidi="fa-IR"/>
        </w:rPr>
        <w:t>بل یندب السفر لزیارة الموتی خصوصاً مقابر الصالحین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کلمات فقهاء المذاهب الأربعة حول زیارة القبور</w:t>
      </w:r>
      <w:r>
        <w:rPr>
          <w:rFonts w:eastAsia="IRNazanin" w:cs="IRNazanin"/>
          <w:color w:val="111111"/>
          <w:sz w:val="28"/>
          <w:szCs w:val="28"/>
          <w:rtl w:val="true"/>
          <w:lang w:bidi="fa-IR"/>
        </w:rPr>
        <w:t>.</w:t>
      </w:r>
      <w:r>
        <w:rPr>
          <w:rStyle w:val="FootnoteAnchor"/>
          <w:rtl w:val="true"/>
        </w:rPr>
        <w:footnoteReference w:id="131"/>
      </w:r>
      <w:bookmarkStart w:id="241" w:name="pg1680_12973"/>
    </w:p>
    <w:p>
      <w:pPr>
        <w:pStyle w:val="Heading5"/>
        <w:numPr>
          <w:ilvl w:val="4"/>
          <w:numId w:val="1"/>
        </w:numPr>
        <w:rPr/>
      </w:pPr>
      <w:bookmarkStart w:id="242" w:name="__RefHeading___Toc1400908_3650668749"/>
      <w:bookmarkStart w:id="243" w:name="_Toc92"/>
      <w:bookmarkEnd w:id="241"/>
      <w:bookmarkEnd w:id="242"/>
      <w:r>
        <w:rPr>
          <w:rtl w:val="true"/>
        </w:rPr>
        <w:t>زیارة قبر النبی صلی الله علیه و آله و سلم‌</w:t>
      </w:r>
      <w:bookmarkEnd w:id="243"/>
    </w:p>
    <w:p>
      <w:pPr>
        <w:pStyle w:val="BookText"/>
        <w:rPr/>
      </w:pPr>
      <w:r>
        <w:rPr>
          <w:rFonts w:ascii="IRNazanin" w:hAnsi="IRNazanin" w:eastAsia="IRNazanin"/>
          <w:color w:val="111111"/>
          <w:sz w:val="28"/>
          <w:sz w:val="28"/>
          <w:szCs w:val="28"/>
          <w:rtl w:val="true"/>
          <w:lang w:bidi="fa-IR"/>
        </w:rPr>
        <w:t>هذا کلّه حول زیارة قبور المسلمین، وأمّا زیارة قبر النبی‌وأئمّة الإسلام والشهداء والصالحین فلا شکّ انّ لزیارتهم نتائج بنّاءة نشیر إلیها، کما نشیر إلی الأحادیث الواردة حول زیارة قبورهم لیکون البحث مرفقاً بالتحلیل وجامعاً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زیارة مراقد هذه الشخصیات هو نوع من الشکر والتقدیر علی تضحیاتهم وإعلام للجیل الحاضر بأنّ هذا هو جزاء الذین یسلکون طریق الحقّ والهدی، والفضیلة والدفاع عن المبدأ والعقیدة، وهذا لا یدفعنا إلی زیارة قبورهم فحسب، بل إلی إبقاء ذکریاتهم حیة ساخنة، والمحافظة علی آثارهم وإقامة المهرجانات، فی ذکری موالیدهم، وعقد المجالس وإلقاء الخطب المفیدة فی أیّام التحاقهم بالرفیق الأعلی، وهذا شی‌ء یدرکه کلّ ذی مسکة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تری أنّ الأُمم الحیة یتسابقون فی زیارة مدفن رؤسائهم وشخصیاتهم الذین ضحُّوا بأنفسهم وأموالهم فی سبیل نجاة الشعب، وإنقاذه من مخالب المستعمرین والظالمین، ویقیمون المجالس لإحیاء معالمهم، دون أن یخطر ببال أحد انّ هذه الأُمور عبادة لهم، فأین التعظیم للشخصیات من عبادتهم؛ فإنّ التعظیم تقدیر لجهودهم، والعبادة تألیههم واتخاذهم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أفهل هناک من یخلط بین الأمرین منّا أو من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p>
    <w:p>
      <w:pPr>
        <w:pStyle w:val="BookText"/>
        <w:rPr/>
      </w:pPr>
      <w:r>
        <w:rPr>
          <w:rFonts w:ascii="IRNazanin" w:hAnsi="IRNazanin" w:eastAsia="IRNazanin"/>
          <w:color w:val="111111"/>
          <w:sz w:val="28"/>
          <w:sz w:val="28"/>
          <w:szCs w:val="28"/>
          <w:rtl w:val="true"/>
          <w:lang w:bidi="fa-IR"/>
        </w:rPr>
        <w:t>ولا، شریطة الإمعان فی مقوّمات العبادة وتعریفها الماضیتین فی الفصلین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الآثار البنّاءة لزیارة مطلق القبور وزیارة قبور الأولیاء والصالحین، نذکر خصوص ما ورد من الروایات التی جاء فیها الحث علی زیارة قبر النبی الأعظم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أئمّة المذاهب الأربعة وحفاظها فی الصحاح والمسانید أحادیث جمّة فی زیارة قبر النبی صلی الله علیه و آله و سلم نذکر شطراً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جاءنی زائراً لا تحمله إلّازیارتی کان حقاً علیّ أن أکون له شفیعاً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فزار قبری بعد وفاتی کمن زارنی فی حیاتی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البیت ولم یزرنی فقد جفانی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أو من زارنی کنت له شفیعاً أو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حاتم بن أبی بلتعة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فکأنّما زارنی وأنا حیّ، ومن زارنی کنت له شهیداً أو شفیعاً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بن مالک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المدینة محتسباً کنت له شفیعاً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میتاً فکأنّما زارنی حیّاً، ومن زار قبری وجبت له شفاعتی یوم القیامة، وما من أحد من أُمّتی له سعة ثمّ لم یزرنی فلیس له 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مماتی کمن زارنی فی حیاتی، ومن زارنی حتی ینتهی إلی قبری کنت له یوم القیامة شهیداً، أو قال شفیعاً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أحادیث عشرة أخرجها الحفاظ من المحدّثین، وقد جمع أسانیدها وطرقها وصححها تقی الدین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شفاء السقام فی زیارةخیر الأنام، فمن أراد التفصیل فلیرجع إلیه</w:t>
      </w:r>
      <w:r>
        <w:rPr>
          <w:rFonts w:eastAsia="IRNazanin" w:cs="IRNazanin"/>
          <w:color w:val="111111"/>
          <w:sz w:val="28"/>
          <w:szCs w:val="28"/>
          <w:rtl w:val="true"/>
          <w:lang w:bidi="fa-IR"/>
        </w:rPr>
        <w:t>.</w:t>
      </w:r>
      <w:r>
        <w:rPr>
          <w:rStyle w:val="FootnoteAnchor"/>
          <w:rtl w:val="true"/>
        </w:rPr>
        <w:footnoteReference w:id="132"/>
      </w:r>
      <w:bookmarkStart w:id="244" w:name="pg1680_12976"/>
    </w:p>
    <w:p>
      <w:pPr>
        <w:pStyle w:val="Heading4"/>
        <w:numPr>
          <w:ilvl w:val="3"/>
          <w:numId w:val="1"/>
        </w:numPr>
        <w:rPr/>
      </w:pPr>
      <w:bookmarkStart w:id="245" w:name="__RefHeading___Toc1400910_3650668749"/>
      <w:bookmarkStart w:id="246" w:name="_Toc93"/>
      <w:bookmarkEnd w:id="244"/>
      <w:bookmarkEnd w:id="245"/>
      <w:r>
        <w:rPr/>
        <w:t>6</w:t>
      </w:r>
      <w:r>
        <w:rPr>
          <w:rtl w:val="true"/>
        </w:rPr>
        <w:t xml:space="preserve">- </w:t>
      </w:r>
      <w:r>
        <w:rPr>
          <w:rtl w:val="true"/>
        </w:rPr>
        <w:t>البناء علی القبور</w:t>
      </w:r>
      <w:bookmarkEnd w:id="246"/>
    </w:p>
    <w:p>
      <w:pPr>
        <w:pStyle w:val="BookText"/>
        <w:rPr/>
      </w:pPr>
      <w:r>
        <w:rPr>
          <w:rFonts w:ascii="IRNazanin" w:hAnsi="IRNazanin" w:eastAsia="IRNazanin"/>
          <w:color w:val="111111"/>
          <w:sz w:val="28"/>
          <w:sz w:val="28"/>
          <w:szCs w:val="28"/>
          <w:rtl w:val="true"/>
          <w:lang w:bidi="fa-IR"/>
        </w:rPr>
        <w:t>المراد من القبور فی العنوان هو قبور الأنبیاء والشهداء والأئمّة الأولیاء الذین لهم مکانة عالیة فی قلوب المؤمنین، فهل هو أمر جائز أو لا؟</w:t>
      </w:r>
    </w:p>
    <w:p>
      <w:pPr>
        <w:pStyle w:val="BookText"/>
        <w:rPr/>
      </w:pPr>
      <w:r>
        <w:rPr>
          <w:rFonts w:ascii="IRNazanin" w:hAnsi="IRNazanin" w:eastAsia="IRNazanin"/>
          <w:color w:val="111111"/>
          <w:sz w:val="28"/>
          <w:sz w:val="28"/>
          <w:szCs w:val="28"/>
          <w:rtl w:val="true"/>
          <w:lang w:bidi="fa-IR"/>
        </w:rPr>
        <w:t>وهذه المسألة کالمسألتین السابقتین لا تمت إلی العقیدة الإسلامیة بصلة حتی تکون ملاکاً للتوحید والشرک، وإنّما هی من المسائل الفقهیة التی یدور أمرها بین الإباحة والکراهة والاستحباب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لمسلم واع أن یتخذ تلک المسألة ذریعة للشرک والتکفیر، فکم من مسائل فقهیة اختلفت فیها کلمة الفقهاء، ومن حسن الحظ لم یختلف فی هذه المسألة فقهاء الأئمة الأربعة ولا فقهاء المذهب الإمامی ودلیلهم علی جواز البناء علی قبور تلک الشخصیات عبارة عن سیرة المسلمین منذ رحیل النبی صلی الله علیه و آله و سلم إلی یومنا هذا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 المسلمون جسد النبی صلی الله علیه و آله و سلم فی بیته المسقف وحرصوا علی بذل المزید من العنایة بحجرته الشریفة بشتی الأسالیب، وقد جاء ذکرها فی الکتب التی ألفت فی تاریخ المدینة لا سیما کتاب وفاء الوفا للعلّامة السمهودیّ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وشیّد البناء الموجود عام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بحمد اللَّه قائم لم یمسه السوء، وسوف یبقی بفضل اللَّه تبارک وتعالی محفوظاً مصوناً عن الاندثار، فلو کان البناء علی القبور أمراً حراماً لدفنه المسلمون فی مکان واسع لا سقف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البناء علی القبور کانت سیرة سائدة بین المسلمین من عصر الصحابة إلی یومنا هذا، وهذه هی کتب الرَحَلات تذکر لنا وصف القبور الموجودة فی المدینة التی کانت علیها قباب وعلی قبورهم صخرة فیها أسماؤهم ونحن نذکر من ذلک نزراً یسیراً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المشاهد والقباب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قبورهم فی هذا الموضع من البقیع، رخامة مکتوب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مبید الأُمم ومحیی الرمم وهذا قبر فاطمة بنت رسول اللَّه صلی الله علیه و آله و سلم سیدة نساء العالمین، وقبر الحسن بن علی بن أبی طالب، وعلی بن الحسین بن علی بن أبی طالب، و محمد بن علی، و جعفر بن محمد</w:t>
      </w:r>
      <w:r>
        <w:rPr>
          <w:rFonts w:eastAsia="IRNazanin" w:cs="IRNazanin"/>
          <w:color w:val="111111"/>
          <w:sz w:val="28"/>
          <w:szCs w:val="28"/>
          <w:rtl w:val="true"/>
          <w:lang w:bidi="fa-IR"/>
        </w:rPr>
        <w:t>.</w:t>
      </w:r>
      <w:r>
        <w:rPr>
          <w:rStyle w:val="FootnoteAnchor"/>
        </w:rPr>
        <w:footnoteReference w:id="1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وصف محمد بن أبی بکر التلمسانی المدینة الطیبة وبقیع الغرقد فی القرن الرابع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الحسن بن علی عن یمینک إذا خرجت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الدرب ترتفع إلیه قلیلًا علیه مکتوب هذا قبر الحسن بن علی دفن إلی جنب أُمّه فاطمة علیها السلام</w:t>
      </w:r>
      <w:r>
        <w:rPr>
          <w:rFonts w:eastAsia="IRNazanin" w:cs="IRNazanin"/>
          <w:color w:val="111111"/>
          <w:sz w:val="28"/>
          <w:szCs w:val="28"/>
          <w:rtl w:val="true"/>
          <w:lang w:bidi="fa-IR"/>
        </w:rPr>
        <w:t>.</w:t>
      </w:r>
      <w:r>
        <w:rPr>
          <w:rStyle w:val="FootnoteAnchor"/>
        </w:rPr>
        <w:footnoteReference w:id="13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الحافظ محمد بن محمود 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مدینة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قبة کبیرة عالیة قدیمة البناء فی أوّل البقیع، وعلیها بابان یفتح أحدهما فی کلّ یوم للزیارة رضی اللَّه عنهم</w:t>
      </w:r>
      <w:r>
        <w:rPr>
          <w:rFonts w:eastAsia="IRNazanin" w:cs="IRNazanin"/>
          <w:color w:val="111111"/>
          <w:sz w:val="28"/>
          <w:szCs w:val="28"/>
          <w:rtl w:val="true"/>
          <w:lang w:bidi="fa-IR"/>
        </w:rPr>
        <w:t>.</w:t>
      </w:r>
      <w:r>
        <w:rPr>
          <w:rStyle w:val="FootnoteAnchor"/>
        </w:rPr>
        <w:footnoteReference w:id="13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ابن جبیر الرحالة الطائر الصیت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رحلته فی وصف 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مقابل قبر مالک قبر السلالة الطاهرة إبراهیم بن النبی علیها قبة بیضاء، وعلی الیمین منها تربة ابن عمر ابن الخطاب، وبإزائه قبر عقیل بن أبی طالب رضی الله عنه وعبد اللَّه بن جعفر الطیار رضی الله عنه، وبإزائهم روضة فیها أزواج النبی صلی الله علیه و آله و سلم، وبها روضة صغیرة فیها ثلاثة من أولاد النبی صلی الله علیه و آله و سلم، و روضة العباس بن عبد المطلب والحسن بن علی رضی الله عنه وهی قبة مرتفعة فی الهواء علی مقربة من باب البقیع المذکور وعن یمین الخارج منه، ورأس الحسن إلی رجلی العباس، وقبراهما مرتفعان عن الأرض متسعان مغشیان بألواح ملصقة، أبدع إلصاق، مرصّعة بصفائح الصفر، ومکوکبة بمسامیر علی أبدع صفة، وأجمل منظر، وعلی هذا الشکل قبر إبراهیم بن النبی صلی الله علیه و آله و سلم، ویلی هذه القبة العباسیة بیت ینسب لفاطمة بنت الرسول صلی الله علیه و آله و سلم ویعرف ببیت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البقیع قبر عثمان الشهید</w:t>
      </w:r>
    </w:p>
    <w:p>
      <w:pPr>
        <w:pStyle w:val="BookText"/>
        <w:rPr/>
      </w:pPr>
      <w:r>
        <w:rPr>
          <w:rFonts w:ascii="IRNazanin" w:hAnsi="IRNazanin" w:eastAsia="IRNazanin"/>
          <w:color w:val="111111"/>
          <w:sz w:val="28"/>
          <w:sz w:val="28"/>
          <w:szCs w:val="28"/>
          <w:rtl w:val="true"/>
          <w:lang w:bidi="fa-IR"/>
        </w:rPr>
        <w:t>المظلوم ذی النورین وعلیه قبة صغیرة مختصرة، وعلی مقربة منه مشهد فاطمة ابنة أسد أُمّ علیّ رضی اللَّه عنها وعن بنیها</w:t>
      </w:r>
      <w:r>
        <w:rPr>
          <w:rFonts w:eastAsia="IRNazanin" w:cs="IRNazanin"/>
          <w:color w:val="111111"/>
          <w:sz w:val="28"/>
          <w:szCs w:val="28"/>
          <w:rtl w:val="true"/>
          <w:lang w:bidi="fa-IR"/>
        </w:rPr>
        <w:t>.</w:t>
      </w:r>
      <w:r>
        <w:rPr>
          <w:rStyle w:val="FootnoteAnchor"/>
        </w:rPr>
        <w:footnoteReference w:id="13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البلاذری انّه لما ماتت زینب بنت جحش سنة عشرین صلّی علیها عمر، وکان دفنها فی یوم صائف، ضرب عمر علی قبرها فسطاطا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ولم یکن الهدف من ضربه ذلک الفسطاط تسهیل الأمر لمن یتعاطی دفنها، بل لأجل تسهیله لأهلها حتی یتفیّؤا بظله، ویقرأوا ما یتیسر من القرآن والدعاء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ابتنی علیها مشاهد، منها المشهد المنسوب لعقیل بن أبی طالب وأُمّهات المؤمنین، تحوی العباس والحسن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قبة شامخة فی الهواء، قال ابن النجار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کبیرة عالیة، قدیمة البناء، وعلیها بابان، یفتح أحدهما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الخلیفة الناصر أحمد بن المستضی‌ء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العباس وقبر الحسن مرتفعان من الأرض متسعان مغشیان بألواح ملصقة أبدع إلصاق، مصحفة بصفائح الصفر، مکوکبة بمسامیر علی أبدع صفة وأجمل منظر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الرحالة الذین زاروا المدینة المنورة ووصفوا تلکم المزارات و المشاهد و القباب المرتفعة ونظر الکل إلیها بعین الرضا والمحبة لا بعین السخط والغضب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الاتفاق والإجماع من قبل علماء الإسلام طیلة قرون أقوی شاهد علی جواز البناء علی قبور الشخصیات الإسلامیة الذین لهم منزلة ومکانة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ولنعم ما یقول العلّامة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القرون وذی القباب مشیدةوالناس بین مؤسس ومجدد</w:t>
      </w:r>
    </w:p>
    <w:p>
      <w:pPr>
        <w:pStyle w:val="BookText"/>
        <w:rPr/>
      </w:pPr>
      <w:r>
        <w:rPr>
          <w:rFonts w:ascii="IRNazanin" w:hAnsi="IRNazanin" w:eastAsia="IRNazanin"/>
          <w:color w:val="111111"/>
          <w:sz w:val="28"/>
          <w:sz w:val="28"/>
          <w:szCs w:val="28"/>
          <w:rtl w:val="true"/>
          <w:lang w:bidi="fa-IR"/>
        </w:rPr>
        <w:t>فی کلّ عصر فیه أهل الحل والعقد الذین بغیرهم لم یعقد</w:t>
      </w:r>
    </w:p>
    <w:p>
      <w:pPr>
        <w:pStyle w:val="BookText"/>
        <w:rPr/>
      </w:pPr>
      <w:r>
        <w:rPr>
          <w:rFonts w:ascii="IRNazanin" w:hAnsi="IRNazanin" w:eastAsia="IRNazanin"/>
          <w:color w:val="111111"/>
          <w:sz w:val="28"/>
          <w:sz w:val="28"/>
          <w:szCs w:val="28"/>
          <w:rtl w:val="true"/>
          <w:lang w:bidi="fa-IR"/>
        </w:rPr>
        <w:t>لم ینکروا أبداً علی من شادهاشیدت ولا من منکر ومفند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فبسیرة للمسلمین تتابعت‌فی کل عصر نستدل ونقتدی‌</w:t>
      </w:r>
      <w:r>
        <w:rPr>
          <w:rStyle w:val="FootnoteAnchor"/>
          <w:rtl w:val="true"/>
        </w:rPr>
        <w:footnoteReference w:id="139"/>
      </w:r>
      <w:bookmarkStart w:id="247" w:name="pg1680_12981"/>
    </w:p>
    <w:p>
      <w:pPr>
        <w:pStyle w:val="Heading4"/>
        <w:numPr>
          <w:ilvl w:val="3"/>
          <w:numId w:val="1"/>
        </w:numPr>
        <w:rPr/>
      </w:pPr>
      <w:bookmarkStart w:id="248" w:name="__RefHeading___Toc1400912_3650668749"/>
      <w:bookmarkStart w:id="249" w:name="_Toc94"/>
      <w:bookmarkEnd w:id="247"/>
      <w:bookmarkEnd w:id="248"/>
      <w:r>
        <w:rPr/>
        <w:t>7</w:t>
      </w:r>
      <w:r>
        <w:rPr>
          <w:rtl w:val="true"/>
        </w:rPr>
        <w:t xml:space="preserve">- </w:t>
      </w:r>
      <w:r>
        <w:rPr>
          <w:rtl w:val="true"/>
        </w:rPr>
        <w:t>بناء المساجد علی القبور والصلاة فیها</w:t>
      </w:r>
      <w:bookmarkEnd w:id="249"/>
    </w:p>
    <w:p>
      <w:pPr>
        <w:pStyle w:val="Heading5"/>
        <w:numPr>
          <w:ilvl w:val="4"/>
          <w:numId w:val="1"/>
        </w:numPr>
        <w:rPr/>
      </w:pPr>
      <w:bookmarkStart w:id="250" w:name="__RefHeading___Toc1400914_3650668749"/>
      <w:bookmarkStart w:id="251" w:name="_Toc95"/>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إنّ بناء المساجد علی القبور أو عندها والصلاة فیها مسألة فقهیة فرعیة لا تمتُّ إلی العقائد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فالمرجع فی هذه المسائل هم أئمّة المذاهب وفقهاء الدین یستنبطون حکمه من الکتاب والسنّة، ولیس لنا تکفیر أو تفسیق واحد من الطرفین إذا قال بالجواز أو بعدمه، وکم من مسألة فقهیة اختلفت فیها آراء الفقهاء والمجتهدین، ونحن بدورنا نعرض المسألة علی الکتاب والسنّة لنستنبط حکمها من أوثق المصادر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الحکیم یشرح لنا کیفیة عثور الناس علی قبور أصحاب الکهف 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کیفیة تکریمهم وإحیاء ذکراهم والتبرّک بهم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قبورهم بنیان لیُخلَد ذکراهم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قائل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قبورهم مسجداً یصلّی فیه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حکی سبحانه کلا الاقتراحین من دون تندید بواحد منهما،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أَعْثَرْنا عَلَیْهِمْ لِیَعْلَمُوا انَّ وَعْدَ اللَّهِ‌حَقٌّ وَانَّ السّاعَةَ لا رَیْبَ‌فیها إِذْ یَتَنازَعُونَ بَیْنَهُمْ أَمْرهُمْ فَقالُوا ابْنُوا عَلَیْهِمْ بُنْیاناً ربُّهُمْ أَعْلُمُ بِهِمْ</w:t>
      </w:r>
    </w:p>
    <w:p>
      <w:pPr>
        <w:pStyle w:val="BookText"/>
        <w:rPr/>
      </w:pP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الاقتراح الأوّل کان لغیر المسلمین ویؤیده قولهم فی حقّ أصحاب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ینمَّ عن اهتمام بالغ بحالهم ومکانتهم فحوَّلوا أمرهم إلی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الاقتراح الثانی فنفس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قبورهم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أنّ المقترحین کانوا هم المؤمنین، وما اقترحوا ذلک إلّاللتبرّک بالمکان الذی دفنت فیه أجساد هؤلاء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یذکر ذلک الاقتراح من دون أن یعقب علیه بنقد أو ردّ، وهو یدلّ علی کونه مقبولًا عند مُنزل الوحی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المبعوث دخل المدینة فجعل یمشی بین ظهری سوقها فیسمع أُناساً کثیرین یحلفون باسم عیسی بن مریم، فزاده فرقاً ورأی أنّه حیران، فقام مُسْنِداً ظهره إلی جدار من جُدُر المدینة، ویقول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ما هذا أمّا عشیة أمس فلیس علی الأرض إنسان یذکر عیسی بن مریم إلّاقتل، وأمّا الغداة فأسمعهم وکلّ إنسان یذکر أمر عیسی لا یخاف، ثمّ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لیست بالمدینة التی أعرف</w:t>
      </w:r>
      <w:r>
        <w:rPr>
          <w:rFonts w:eastAsia="IRNazanin" w:cs="IRNazanin"/>
          <w:color w:val="111111"/>
          <w:sz w:val="28"/>
          <w:szCs w:val="28"/>
          <w:rtl w:val="true"/>
          <w:lang w:bidi="fa-IR"/>
        </w:rPr>
        <w:t>.</w:t>
      </w:r>
      <w:r>
        <w:rPr>
          <w:rStyle w:val="FootnoteAnchor"/>
          <w:rtl w:val="true"/>
        </w:rPr>
        <w:footnoteReference w:id="141"/>
      </w:r>
      <w:bookmarkStart w:id="252" w:name="pg1680_12983"/>
    </w:p>
    <w:p>
      <w:pPr>
        <w:pStyle w:val="Heading5"/>
        <w:numPr>
          <w:ilvl w:val="4"/>
          <w:numId w:val="1"/>
        </w:numPr>
        <w:rPr/>
      </w:pPr>
      <w:bookmarkStart w:id="253" w:name="__RefHeading___Toc1400916_3650668749"/>
      <w:bookmarkStart w:id="254" w:name="_Toc96"/>
      <w:bookmarkEnd w:id="252"/>
      <w:bookmarkEnd w:id="253"/>
      <w:r>
        <w:rPr>
          <w:rtl w:val="true"/>
        </w:rPr>
        <w:t>سیرة المسلمین فی البناء علی قبور الصالحین‌</w:t>
      </w:r>
      <w:bookmarkEnd w:id="254"/>
    </w:p>
    <w:p>
      <w:pPr>
        <w:pStyle w:val="BookText"/>
        <w:rPr/>
      </w:pPr>
      <w:r>
        <w:rPr>
          <w:rFonts w:ascii="IRNazanin" w:hAnsi="IRNazanin" w:eastAsia="IRNazanin"/>
          <w:color w:val="111111"/>
          <w:sz w:val="28"/>
          <w:sz w:val="28"/>
          <w:szCs w:val="28"/>
          <w:rtl w:val="true"/>
          <w:lang w:bidi="fa-IR"/>
        </w:rPr>
        <w:t>إنّ سیرة المسلمین تکشف عن جواز بناء المساجد علی قبور الصالحین الذین یُتبرّک بهم ولهم مکانة عالیة فی قلوبهم، ویدلّ علی ذلک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النبی صلی الله علیه و آله و سلم فی بیته الذی فیه وکان فی جوار المسجد النبوی، ولمّا کثر المسلمون وازداد عددهم وضاق المسجد بهم أدخلوا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فیه بیوت أزواج النبی صلی الله علیه و آله و سلم والبیت الذی دفن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النبوی علی نحو یقف المصلون أطراف القبر من الجوانب الأربعة ویحیطون 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الطبری فی حوادث سنة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شهر ربیع الأوّل من هذه السنة قدم کتاب الولید علی عمر بن عبد العزیز یأمره بهدم المسجد النبوی وإضافة حجر رسول اللَّه صلی الله علیه و آله و سلم وأن یوسعه من قبلته وسائر نواحیه، باشتراء الأملاک المحیطة به، فأخبر عمر الفقهاء العشرة وأهل المدینة بذلک، فحبذوا بقاء تلک الحُجُر علی حالها لیعتبر بها المسلمون، ویکون أدعی لهم إلی الزهد اقتداءً بنبیهم، فکاتب ابن عبد العزیز الولید فی ذلک، فأرسل إلیه یأمره بالخراب، وتنفیذ ما ذکره فی کتابه الأوّل، فضجَّ بنو هاشم وتباکوا، ولکن عمر نفّذ ما أمره به الولید، فأدخل الحجرة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فدخل القبر فی المسجد وسائر حجرات أُمّهات المؤمنین وقد</w:t>
      </w:r>
    </w:p>
    <w:p>
      <w:pPr>
        <w:pStyle w:val="BookText"/>
        <w:rPr/>
      </w:pPr>
      <w:r>
        <w:rPr>
          <w:rFonts w:ascii="IRNazanin" w:hAnsi="IRNazanin" w:eastAsia="IRNazanin"/>
          <w:color w:val="111111"/>
          <w:sz w:val="28"/>
          <w:sz w:val="28"/>
          <w:szCs w:val="28"/>
          <w:rtl w:val="true"/>
          <w:lang w:bidi="fa-IR"/>
        </w:rPr>
        <w:t>بنی علیه سقف مرتفع کما أمر الولید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فإذا کان هذا العمل بمرأی ومسمع من فقهاء المدینة العشرة والمسلمین عامة، وفی مقدم التابعین منهم علی بن الحسین زین العابدین وابنه محمد بن علی الباقر علیهم السلام اللّذین لم یشک أحد فی زهدهما وعلمهما وعرفانهما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أوضح دلیل علی جواز إقامة المسجد عند قبور الأنبیاء والصالحین والصلاة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یعترض علی هذا العمل کلّ التابعین بما فیهم مالک إمام دار الهجرة وأحد أئمّة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السمهودی فی حقّ السیدة فاطمة بنت أسد أُمّ الإمام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خرج رسول اللَّه فأمر بقبرها فحفر فی موضع المسجد الذی یقال له الیوم قبر فاطمة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والعبارة تدلّ علی أنّهم بنوا المسجد بعد تدفینها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مصعب بن عمیر وعبد اللَّه بن جحش دفنا تحت المسجد الذی بنی علی قبر حمزة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السیدة عائشة قضت حیاتها فی بیتها وصلّت فیه تمام عمرها، ولم یکن بینها وبین القبر أیّ جدار إلی أن دفن عمر فبنی</w:t>
      </w:r>
    </w:p>
    <w:p>
      <w:pPr>
        <w:pStyle w:val="BookText"/>
        <w:rPr/>
      </w:pPr>
      <w:r>
        <w:rPr>
          <w:rFonts w:ascii="IRNazanin" w:hAnsi="IRNazanin" w:eastAsia="IRNazanin"/>
          <w:color w:val="111111"/>
          <w:sz w:val="28"/>
          <w:sz w:val="28"/>
          <w:szCs w:val="28"/>
          <w:rtl w:val="true"/>
          <w:lang w:bidi="fa-IR"/>
        </w:rPr>
        <w:t>جدار حال بینها وبین القبور الثلاثة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انّ فاطمة بنت النبی صلی الله علیه و آله و سلم کانت تذهب إلی زیارة قبر عمها حمزة فتبکی وتصلی عنده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أخرج الحاکم، عن سلیمان بن داود، عن جعفر بن محمد، عن أبیه، عن علی بن الحسین علیهم السلام، عن أبیه، انّ فاطمة بنت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تزور قبر عمها حمزة کلّ جمعة فتصلی وتبکی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رواته عن آخرهم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الذهبی علیه ونقله البیهقی فی سننه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وهذا یدل علی بناء المسجد علی قبر حمزة فی حیاة النبی صلی الله علیه و آله و سلم والصلاة فیه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معراجه الذی بدأ به من المسجد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المدینة، وطور سینا وبیت لحم، وصلّی فیها،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وإلیها مهاجرتک، وصلّیت فی طور سینا حیث کلّم اللَّه موسی، وصلّیت فی بیت لحم حیث ولد المسیح</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هل هناک فرق بین المدفن والمولد، مع أنّ الصلاة فی کلٍّ، لغایة</w:t>
      </w:r>
    </w:p>
    <w:p>
      <w:pPr>
        <w:pStyle w:val="BookText"/>
        <w:rPr/>
      </w:pPr>
      <w:r>
        <w:rPr>
          <w:rFonts w:ascii="IRNazanin" w:hAnsi="IRNazanin" w:eastAsia="IRNazanin"/>
          <w:color w:val="111111"/>
          <w:sz w:val="28"/>
          <w:sz w:val="28"/>
          <w:szCs w:val="28"/>
          <w:rtl w:val="true"/>
          <w:lang w:bidi="fa-IR"/>
        </w:rPr>
        <w:t>واحدة وهی التبرّک بالإنسان المثالی الذی مسّ جسده الطاهر، ذلک التراب بدایة عمره أو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السیرة المستمرة بعد رحیل رسول اللَّه صلی الله علیه و آله و سلم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یکون محکماً یؤخذ به، وما دلّ علی خلافه، یکون متشابهاً، فیرد إلی المحکم ویفسره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یتراءی من بعض الروایات عدم جواز اتّخاذ قبور الأنبیاء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 اتّخذوا قبور أنبیائهم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والنصاری اتّخذوا قبور أنبیائهم مساجد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من کان قبلکم کانوا یتخذون قبور أنبیائهم وصالحیهم مساجد، ألا فلا تتخذوا القبور مساجد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ولنا مع هذه الأحادیث وقفة قصیرة، وذلک لأنّ تاریخ الیهود لا یتفق مع مضامین تلک الروایات، لأنّ سیرتهم قد قامت علی قتل الأنبیاء وتشریدهم وإیذائهم إلی غیر ذلک من أنواع البلایا التی کانوا یصبّونها علی أنبیائهم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ویکفی فی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الَّذینَ قالُوا إِنَّ اللَّهَ فَقیرٌ وَنَحْنُ أَغْنیاءُ سَنَکْتُبُ ما قالُوا وَقَتْلَهُمُ الأَنْبِیاءَ بِغَیْرِ حَقّ وَنَقُولُ ذُوقُوا عَذابَ الْحَریق</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قَدْجاءَکُمْ رُسُلٌ مِنْ قَبْلی بِالْبَیِّناتِ وَبِالّذی قُلْتُمْ فَلِمَ قَتَلْتُمُوهُمْ إِنْ کُنْتُمْ صادِقینَ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مِیثاقَهُمْ وکُفْرِهِمْ بِآیاتِ اللَّهِ وَقَتْلِهِمُ الأَنْبِیاءَ بِغَیْرِ حَقّ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أفتزعم انّ أُمّة قتلت أنبیاءها فی مواطن مختلفة تتحول إلی أُمّة تشید المساجد علی قبور أنبیائها تکریماً وتبجیلًا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صدور هذا العمل عن بعضهم، فللحدیث محتملات أُخری غیر الصلاة فیها والتبرّک بصاحب القبر،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القبور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القبور تعظیماً لها بحیث یکون القبر مسجوداً علیه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لصاحب القبر بحیث یکون هو المسجود له، فالقدر المتیقن هو هذه الصور الثلاث لا بناء المسجد علی القبور تبرّکاً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انّ الرسول صلی الله علیه و آله و سلم حسب بعض الروایات یصف هؤلاء بکونهم شرار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فی کتاب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حبیبة وأُمّ سلمة ذکرتا کنیسة رأینها بالحبشة فیها تصاویر لرسول اللَّه صلی الله علیه و آله و سلم،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إذا کان فیهم الرجل الصالح فمات بنی علی قبره مسجداً، وصوّروا فیه تلک الصور، أُولئک شرار الخلق عند اللَّه یوم القیامة</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إنّ وصفهم بشرار الخلق یمیط اللثام عن حقیقة عملهم إذ لا یوصف الإنسان بالشر المطلق إلّاإذا کان مشرکاً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فی الظاهر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الَّذِینَ کَفَرُوا فَهُمْ لا یُؤْمِنُونَ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وهذا یعرب عن أنّ عملهم لم یکن صرفَ بناء المسجد علی القبر والصلاة فیه، أو مجرد إقامة الصلاة عند القبور، بل کان عملًا مقروناً بالشرک بألوانه، وهذا کما فی اتخاذ القبر مسجوداً له أو مسجوداً علیه أو قبلة یصلی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الأئمّة عن أبی مرثد 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إلی القبور، ولا تجلسوا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أی‌لا</w:t>
      </w:r>
    </w:p>
    <w:p>
      <w:pPr>
        <w:pStyle w:val="BookText"/>
        <w:rPr/>
      </w:pPr>
      <w:r>
        <w:rPr>
          <w:rFonts w:ascii="IRNazanin" w:hAnsi="IRNazanin" w:eastAsia="IRNazanin"/>
          <w:color w:val="111111"/>
          <w:sz w:val="28"/>
          <w:sz w:val="28"/>
          <w:szCs w:val="28"/>
          <w:rtl w:val="true"/>
          <w:lang w:bidi="fa-IR"/>
        </w:rPr>
        <w:t>تتخذّوها قبلة فتصلّوا علیها أو إلیها کما فعل الیهود و النصاری فیؤدی إلی عبادة من فیها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إنّ الصلاة عند قبر الرسول صلی الله علیه و آله و سلم إنّما هو لأجل التبرّک بمن دفن، ولا غروَ فیه وقد أمر سبحانه الحجیج باتخاذ مقام إبراهیم مصلی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إنّ الصلاة عند قبور الأنبیاء کالصلاة عند مقام إبراهیم غیر أنّ جسد النبی إبراهیم علیه السلام لامس هذا المکان مرّة أو مرات عدیدة، ولکن مقام الأنبیاء احتضن أجسادهم التی لا تبلی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وانّ علماء الإسلام فسروا الروایات الناهیة بمثل ما قلناه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الیهود والنصاری یسجدون لقبور الأنبیاء تعظیماً لشأنهم ویجعلونها قبلة یتوجهون فی الصلاة نحوها، واتّخذوها أوثاناً، لعنهم ومنع المسلمین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اتخذ مسجداً فی جوار صالح وقصد التبّرک بالقرب منه لا للتعظیم ولا للتوجه ونحوه، فلا یدخل فی الوعید المذکور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وقال السندی شارح 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قبور أنبیائهم مساجد، أی</w:t>
      </w:r>
    </w:p>
    <w:p>
      <w:pPr>
        <w:pStyle w:val="BookText"/>
        <w:rPr/>
      </w:pPr>
      <w:r>
        <w:rPr>
          <w:rFonts w:ascii="IRNazanin" w:hAnsi="IRNazanin" w:eastAsia="IRNazanin"/>
          <w:color w:val="111111"/>
          <w:sz w:val="28"/>
          <w:sz w:val="28"/>
          <w:szCs w:val="28"/>
          <w:rtl w:val="true"/>
          <w:lang w:bidi="fa-IR"/>
        </w:rPr>
        <w:t>قبلة للصلاة ویصلون إلیها، أو بنوا مساجد یصلون فیها، ولعلّ وجه الکراهة أنّه قد یفضی إلی عبادة نفس القبر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النبی صلی الله علیه و آله و سلم أُمّته أن یصنعوا بقبره ما صنع الیهود والنصاری بقبور أنبیائهم من اتخاذ تلک القبور مساجد، إمّا بالسجود إلیها تعظیماً لها أو بجعلها قبلة یتوجهون فی الصلاة إلیها</w:t>
      </w:r>
      <w:r>
        <w:rPr>
          <w:rFonts w:eastAsia="IRNazanin" w:cs="IRNazanin"/>
          <w:color w:val="111111"/>
          <w:sz w:val="28"/>
          <w:szCs w:val="28"/>
          <w:rtl w:val="true"/>
          <w:lang w:bidi="fa-IR"/>
        </w:rPr>
        <w:t>.</w:t>
      </w:r>
      <w:r>
        <w:rPr>
          <w:rStyle w:val="FootnoteAnchor"/>
          <w:rtl w:val="true"/>
        </w:rPr>
        <w:footnoteReference w:id="159"/>
      </w:r>
      <w:bookmarkStart w:id="255" w:name="pg1680_12991"/>
    </w:p>
    <w:p>
      <w:pPr>
        <w:pStyle w:val="Heading4"/>
        <w:numPr>
          <w:ilvl w:val="3"/>
          <w:numId w:val="1"/>
        </w:numPr>
        <w:rPr/>
      </w:pPr>
      <w:bookmarkStart w:id="256" w:name="__RefHeading___Toc1400918_3650668749"/>
      <w:bookmarkStart w:id="257" w:name="_Toc97"/>
      <w:bookmarkEnd w:id="255"/>
      <w:bookmarkEnd w:id="256"/>
      <w:r>
        <w:rPr/>
        <w:t>8</w:t>
      </w:r>
      <w:r>
        <w:rPr>
          <w:rtl w:val="true"/>
        </w:rPr>
        <w:t xml:space="preserve">- </w:t>
      </w:r>
      <w:r>
        <w:rPr>
          <w:rtl w:val="true"/>
        </w:rPr>
        <w:t>البکاء علی المیت‌</w:t>
      </w:r>
      <w:bookmarkEnd w:id="257"/>
    </w:p>
    <w:p>
      <w:pPr>
        <w:pStyle w:val="Heading5"/>
        <w:numPr>
          <w:ilvl w:val="4"/>
          <w:numId w:val="1"/>
        </w:numPr>
        <w:rPr/>
      </w:pPr>
      <w:bookmarkStart w:id="258" w:name="__RefHeading___Toc1400920_3650668749"/>
      <w:bookmarkStart w:id="259" w:name="_Toc98"/>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الحزن والتأثر عند فقدان الأحبة أمر جُبلت علیه الفطرة الإنسانیة فإذا ابتلی بمصاب عزیز من أعزّائه أو فلذة من أفلاذ کبده وأرحامه یحس بحزن شدید یتعقبه ذرف الدموع علی وجناته، دون أن یستطیع أن یتمالک حزنه أو بکاءه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أجد أحداً ینکر هذه الحقیقة إنکار جدٍ وموضوعیة ومن الواضح بمکان انّ الإسلام دین الفطرة یجاریها ولا یخالفها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فَأَقِمْ‌وَجْهَکَ لِلدِّینِ حَنیفاً 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ولا یمکن لتشریع عالمیّ أن یحرم الحزن والبکاء علی فقد الأحبة إذا لم یقترن بشی‌ء یغضب الرب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حسن الحظ نری أنّ النبی صلی الله علیه و آله و سلم والصحابة الکرام والتابعین لهم بإحسان ساروا علی وفق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رسول اللَّه صلی الله علیه و آله و سلم یبکی علی ولده إبراهیم،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تدمع، والقلب یحزن، ولا نقول إلّاما یرضی ربنا، وإنّا بک یا إبراهیم لمحزونون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روی أصحاب السِّیَر والتاریخ، أنّه لمّا احتضر إبراهیم ابن النبی، جاء صلی الله علیه و آله و سلم فوجده فی حجر أُمّه، فأخذه ووضعهُ فی حجره،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إنّا لن نغنی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ذرفت عیناه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بک یا إبراهیم لمحزونون، تبکی العین ویحزن القلب ولا نقول ما یسخط الربّ، ولولا أنّه أمرٌ حقٌّ ووعدٌ صدقٌ وأنّها سبیل مأتیّة لحزَنّا علیک حزناً شدیداً أشدّ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 له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نهیت عن البکاء؟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نهیتُ عن صوتین أحمقین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مصیبة وخمش وجوه وشقّ جیوب ورنّة شیطان، وصوت عن نغمة لهو، وهذه رحمة، ومن لا یَرحم لا یُرحَم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ولیس هذا أوّل وآخر بکاء منه صلی الله علیه و آله و سلم عند ابتلائه بمصاب أعزّائه، بل کان صلی الله علیه و آله و سلم قد بکی علی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العین تذرف، وإنّ الدمع یغلب، والقلب یحزن، ولا نعصی اللَّه عزّ وجلّ</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وقد قام العلّامة الأمینی فی موسوعته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موارد کثیرة بکی فیها النبی صلی الله علیه و آله و سلم والصحابة والتابعون علی موتاهم وأعزّائهم عند افتقادهم، وإلیک نصّ ما جاء به ذلک المتتبع الخبیر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صلی الله علیه و آله و سلم لمّا أُصیب حمزة رضی الله عنه وجاءت صفیّة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تطلبه فحال بینها و بینه الأنصار،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فجلست عنده فجعلت إذا بکت بکی رسول اللَّه صلی الله علیه و آله و سلم وإذا نشجت نَشَجَ، وکانت فاطمة علیها السلام تبکی، ورسول اللَّه‌کلّما بکت یبکی،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أُصاب بمثلک أبداً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ولمّا رجع رسول اللَّه صلی الله علیه و آله و سلم من أُحد بکت نساء الأنصار علی شهدائهن، فبلغ ذلک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حمزة لا بواکی له، فرجع الأنصار فقالوا لنسائهم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أحداً حتّی تبدأن بحمزة،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فیهم إلی الیوم لا یبکین میّتاً إلّابدأن بحمزة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وهذا هو صلی الله علیه و آله و سلم ینعی جعفراً، وزید بن حارثة، وعبد اللَّه بن رواحة، وعیناه تذرفان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وهذا هو صلی الله علیه و آله و سلم زار قبر أُمّه وبکی علیها وأبکی من حوله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وهذا هو صلی الله علیه و آله و سلم یقبّل عثمان بن مظعون وهو میّت ودموعه تسیل علی خدّه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وهذا هو صلی الله علیه و آله و سلم یبکی علی ابن لبعض بناته، فقال له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یا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التی جعلها اللَّه فی بنی آدم وإنّما یرحم اللَّه من عباده الرحماء</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وهذه الصدّیقة الطاهرة تبکی علی رسول اللَّه صلی الله علیه و آله و 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 یا أبتاه أجاب ربّاً دعاه، یا أبتاه إلی جبرئیل ننعاه، یا أبتاه جنّة الفردوس مأواه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وهذه هی علیها السلام وقفت علی قبر أبیها الطاهر، وأخذت قبضة من تراب القبر فوضعتها علی عینها وبکت وأنشأت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 مَن شمَّ تربة أحمدأن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أنّهاصُبّت علی الأیّام صِرن لیالیا</w:t>
      </w:r>
    </w:p>
    <w:p>
      <w:pPr>
        <w:pStyle w:val="BookText"/>
        <w:rPr/>
      </w:pPr>
      <w:r>
        <w:rPr>
          <w:rFonts w:ascii="IRNazanin" w:hAnsi="IRNazanin" w:eastAsia="IRNazanin"/>
          <w:color w:val="111111"/>
          <w:sz w:val="28"/>
          <w:sz w:val="28"/>
          <w:szCs w:val="28"/>
          <w:rtl w:val="true"/>
          <w:lang w:bidi="fa-IR"/>
        </w:rPr>
        <w:t>وهذا أبو بکر بن أبی قحافة یبکی علی رسول اللَّه صلی الله علیه و آله و سلم ویرثیه بقوله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عین فابکی ولا تسأمی‌وحُقَّ البکاء علی السیّد</w:t>
      </w:r>
      <w:bookmarkStart w:id="260" w:name="pg1680_12995"/>
    </w:p>
    <w:p>
      <w:pPr>
        <w:pStyle w:val="BookText"/>
        <w:rPr/>
      </w:pPr>
      <w:bookmarkEnd w:id="260"/>
      <w:r>
        <w:rPr>
          <w:rFonts w:ascii="IRNazanin" w:hAnsi="IRNazanin" w:eastAsia="IRNazanin"/>
          <w:color w:val="111111"/>
          <w:sz w:val="28"/>
          <w:sz w:val="28"/>
          <w:szCs w:val="28"/>
          <w:rtl w:val="true"/>
          <w:lang w:bidi="fa-IR"/>
        </w:rPr>
        <w:t>وهذا حسّان بن ثابت یبکیه صلی الله علیه و آله و سلم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ظللت بها أبکی الرسول فأسعدت‌عیونٌ ومثلاها من الجفن أسعد</w:t>
      </w:r>
      <w:r>
        <w:rPr>
          <w:rStyle w:val="FootnoteAnchor"/>
          <w:rtl w:val="true"/>
        </w:rPr>
        <w:footnoteReference w:id="171"/>
      </w:r>
    </w:p>
    <w:p>
      <w:pPr>
        <w:pStyle w:val="Heading5"/>
        <w:numPr>
          <w:ilvl w:val="4"/>
          <w:numId w:val="1"/>
        </w:numPr>
        <w:rPr/>
      </w:pPr>
      <w:bookmarkStart w:id="261" w:name="__RefHeading___Toc1400922_3650668749"/>
      <w:bookmarkStart w:id="262" w:name="_Toc99"/>
      <w:bookmarkEnd w:id="261"/>
      <w:r>
        <w:rPr>
          <w:rtl w:val="true"/>
        </w:rPr>
        <w:t>تحلیل حدیث تعذیب المیت ببکاء أهله‌</w:t>
      </w:r>
      <w:bookmarkEnd w:id="262"/>
    </w:p>
    <w:p>
      <w:pPr>
        <w:pStyle w:val="BookText"/>
        <w:rPr/>
      </w:pPr>
      <w:r>
        <w:rPr>
          <w:rFonts w:ascii="IRNazanin" w:hAnsi="IRNazanin" w:eastAsia="IRNazanin"/>
          <w:color w:val="111111"/>
          <w:sz w:val="28"/>
          <w:sz w:val="28"/>
          <w:szCs w:val="28"/>
          <w:rtl w:val="true"/>
          <w:lang w:bidi="fa-IR"/>
        </w:rPr>
        <w:t>نعم ربما یتمسک بالروایة المعروفة من أن المیّت یعذب ببکاء أهله علیه، ویتخذ ذلک ذریعة للمنع عن البکاء الّذی تتطلبه الفطرة الإنسانیة وتدفع الإنسان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المتمسکین قد غفلوا عن مفاد الحدیث وإلیک 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فی صحیحه عن هشام بن عروة،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 عائشة قول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یعذب ببکاء أهله علیه، فقالت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أبا عبد الرحمن، سمع شیئاً فلم یحفظه إنّما مرّت علی رسول اللَّه صلی الله علیه و آله و سلم جنازة یهودی، وهم یبکون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تبکون وانّه لیعذب</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وأخرج أبو داود فی سننه عن عروة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أهله علیه، فذکر ذلک 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تعنی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مرّ النبی صلی الله علیه و آله و سلم علی قبر یهودی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صاحب هذا لیُعذَّب وأهله یبکون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 عائشة عن رسول اللَّه صلی الله علیه و آله و سلم أشبه أن یکون محفوظاً عنه صلی الله علیه و آله و سلم بدلالة الکتاب والسنّة،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دلالة الکتاب؟</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لِتُجْزی کُلُّ نَفْسٍ بِما تَسْعی</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دلالة السنّة؟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یجنی علیک ولا تجنی علیه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فأعلم رسول اللَّه مثلما أعلم اللَّه من أنّ جنایة کلّ امرئ علیه، کما أنّ عمله لا لغیره ولا علیه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وأخرج مسلم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یعذّب ببکاء أهله علیه،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ذکرت ذلک لعائشة،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عمر، لا واللَّه ما حدّث رسول اللَّه صلی الله علیه و آله و سلم انّ اللَّه یعذّب المؤمن ببکاء أحد ولکن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یزید الکافر عذاباً ببکاء أهله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وما أخرجه مسلم عن هشام بن عروة هو الحقّ دون ما أخرجه عن ابن عباس، لأنّ تعذیب الکافر ببکاء أهله علیه أیضاً یضاد الذکر الحکیم</w:t>
      </w:r>
      <w:r>
        <w:rPr>
          <w:rFonts w:eastAsia="IRNazanin" w:cs="IRNazanin"/>
          <w:color w:val="111111"/>
          <w:sz w:val="28"/>
          <w:szCs w:val="28"/>
          <w:rtl w:val="true"/>
          <w:lang w:bidi="fa-IR"/>
        </w:rPr>
        <w:t>.</w:t>
      </w:r>
      <w:bookmarkStart w:id="263" w:name="pg1680_12998"/>
    </w:p>
    <w:p>
      <w:pPr>
        <w:pStyle w:val="Heading4"/>
        <w:numPr>
          <w:ilvl w:val="3"/>
          <w:numId w:val="1"/>
        </w:numPr>
        <w:rPr/>
      </w:pPr>
      <w:bookmarkStart w:id="264" w:name="__RefHeading___Toc1400924_3650668749"/>
      <w:bookmarkStart w:id="265" w:name="_Toc100"/>
      <w:bookmarkEnd w:id="263"/>
      <w:bookmarkEnd w:id="264"/>
      <w:r>
        <w:rPr/>
        <w:t>9</w:t>
      </w:r>
      <w:r>
        <w:rPr>
          <w:rtl w:val="true"/>
        </w:rPr>
        <w:t xml:space="preserve">- </w:t>
      </w:r>
      <w:r>
        <w:rPr>
          <w:rtl w:val="true"/>
        </w:rPr>
        <w:t>التوسّل بالنبی صلی الله علیه و آله و سلم والأولیاء بأصنافه‌</w:t>
      </w:r>
      <w:bookmarkEnd w:id="265"/>
    </w:p>
    <w:p>
      <w:pPr>
        <w:pStyle w:val="Heading5"/>
        <w:numPr>
          <w:ilvl w:val="4"/>
          <w:numId w:val="1"/>
        </w:numPr>
        <w:rPr/>
      </w:pPr>
      <w:bookmarkStart w:id="266" w:name="__RefHeading___Toc1400926_3650668749"/>
      <w:bookmarkStart w:id="267" w:name="_Toc101"/>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اتّفق المسلمون علی جواز التوسّل بدعاء الرسول صلی الله علیه و آله و سلم فی حال حیاته، بل یستحب التوسّل بدعاء المؤمن کذلک،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 فَاسْتَغْفروا اللَّهَ وَاسْتَغْفَرَلَهُمُ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تجد انّه سبحانه یدعو الظالمین إلی المجی‌ء إلی مجلس الرسول صلی الله علیه و آله و سلم کی یستغفر لهم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آیة أُخری یندد بالمنافقین بأنّهم إذا دعوا إلی المجی‌ء إلی مجلس الرسول صلی الله علیه و آله و سلم وطلب المغفرة منه تنکّروا لذلک واعترضوا علیه بلیِّ الرأس،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یَسْتَغْفِر لَکُمْ رَسُولُ اللَّهِ لَوَّوْا رُءُوسَهُمْ وَرَأَیْتَهُمْ یَصُدُّونَ وَهُمْ مُسْتَکْبِرُونَ</w:t>
      </w:r>
      <w:r>
        <w:rPr>
          <w:rFonts w:eastAsia="Amiri" w:cs="Amiri" w:ascii="Amiri" w:hAnsi="Amiri"/>
          <w:color w:val="111111"/>
          <w:sz w:val="28"/>
          <w:szCs w:val="28"/>
          <w:rtl w:val="true"/>
          <w:lang w:bidi="ar-SA"/>
        </w:rPr>
        <w:t>».</w:t>
      </w:r>
      <w:r>
        <w:rPr>
          <w:rStyle w:val="FootnoteAnchor"/>
          <w:rtl w:val="true"/>
        </w:rPr>
        <w:footnoteReference w:id="180"/>
      </w:r>
      <w:bookmarkStart w:id="268" w:name="pg1680_12999"/>
    </w:p>
    <w:p>
      <w:pPr>
        <w:pStyle w:val="BookText"/>
        <w:rPr/>
      </w:pPr>
      <w:bookmarkEnd w:id="268"/>
      <w:r>
        <w:rPr>
          <w:rFonts w:ascii="IRNazanin" w:hAnsi="IRNazanin" w:eastAsia="IRNazanin"/>
          <w:color w:val="111111"/>
          <w:sz w:val="28"/>
          <w:sz w:val="28"/>
          <w:szCs w:val="28"/>
          <w:rtl w:val="true"/>
          <w:lang w:bidi="fa-IR"/>
        </w:rPr>
        <w:t>وتاریخ الإسلام حافل بنماذج عدیدة من أصناف التوسّل، وإلیک بیانها</w:t>
      </w:r>
      <w:r>
        <w:rPr>
          <w:rFonts w:eastAsia="IRNazanin" w:cs="IRNazanin"/>
          <w:color w:val="111111"/>
          <w:sz w:val="28"/>
          <w:szCs w:val="28"/>
          <w:rtl w:val="true"/>
          <w:lang w:bidi="fa-IR"/>
        </w:rPr>
        <w:t>:</w:t>
      </w:r>
    </w:p>
    <w:p>
      <w:pPr>
        <w:pStyle w:val="Heading5"/>
        <w:numPr>
          <w:ilvl w:val="4"/>
          <w:numId w:val="1"/>
        </w:numPr>
        <w:rPr/>
      </w:pPr>
      <w:bookmarkStart w:id="269" w:name="__RefHeading___Toc1400928_3650668749"/>
      <w:bookmarkStart w:id="270" w:name="_Toc102"/>
      <w:bookmarkEnd w:id="269"/>
      <w:r>
        <w:rPr>
          <w:rtl w:val="true"/>
        </w:rPr>
        <w:t>الأوّل</w:t>
      </w:r>
      <w:r>
        <w:rPr>
          <w:rtl w:val="true"/>
        </w:rPr>
        <w:t xml:space="preserve">: </w:t>
      </w:r>
      <w:r>
        <w:rPr>
          <w:rtl w:val="true"/>
        </w:rPr>
        <w:t>التوسّل بذات النبی صلی الله علیه و آله و سلم و قدسیته وشخصیته‌</w:t>
      </w:r>
      <w:bookmarkEnd w:id="270"/>
    </w:p>
    <w:p>
      <w:pPr>
        <w:pStyle w:val="Heading6"/>
        <w:numPr>
          <w:ilvl w:val="5"/>
          <w:numId w:val="1"/>
        </w:numPr>
        <w:rPr/>
      </w:pPr>
      <w:bookmarkStart w:id="271" w:name="__RefHeading___Toc1400930_3650668749"/>
      <w:bookmarkStart w:id="272" w:name="_Toc103"/>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وها هنا وثیقة تاریخیة ننقلها بنصّها تعرب عن توسّل الصحابة بدعاء النبی صلی الله علیه و آله و سلم فی حال حیاته أوّلًا، وبقدسیته وشخصیته ثانیاً، والمقصود من نقلها هو الاستدلال علی الأمر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عثمان بن حنیف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ضریراً أتی النبی‌فقال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یعافینی؟</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وإن شئت صبرت وهو خیر؟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 فأمره صلی الله علیه و آله و سلم أن یتوضّأ فیحسن وضوءه ویصلی رکعتین ویدعو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بنبیک نبی الرحمة، یا محمد إنّی أتوجه بک إلی ربّی فی حاجتی لتقضی، اللّهمّ شفّعه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وطال بنا الحدیث حتّی دخل علینا کأن لم یکن به ضرّ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من أصح الروایات،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حق، حسن صحیح</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r>
        <w:rPr>
          <w:rStyle w:val="FootnoteAnchor"/>
          <w:rtl w:val="true"/>
        </w:rPr>
        <w:footnoteReference w:id="182"/>
      </w:r>
      <w:bookmarkStart w:id="273" w:name="pg1680_13000"/>
    </w:p>
    <w:p>
      <w:pPr>
        <w:pStyle w:val="Heading6"/>
        <w:numPr>
          <w:ilvl w:val="5"/>
          <w:numId w:val="1"/>
        </w:numPr>
        <w:rPr/>
      </w:pPr>
      <w:bookmarkStart w:id="274" w:name="__RefHeading___Toc1400932_3650668749"/>
      <w:bookmarkStart w:id="275" w:name="_Toc104"/>
      <w:bookmarkEnd w:id="273"/>
      <w:bookmarkEnd w:id="274"/>
      <w:r>
        <w:rPr>
          <w:rtl w:val="true"/>
        </w:rPr>
        <w:t>ویستفاد من الحدیث أمران</w:t>
      </w:r>
      <w:r>
        <w:rPr>
          <w:rtl w:val="true"/>
        </w:rPr>
        <w:t>:</w:t>
      </w:r>
      <w:bookmarkEnd w:id="275"/>
    </w:p>
    <w:p>
      <w:pPr>
        <w:pStyle w:val="Heading6"/>
        <w:numPr>
          <w:ilvl w:val="5"/>
          <w:numId w:val="1"/>
        </w:numPr>
        <w:rPr/>
      </w:pPr>
      <w:bookmarkStart w:id="276" w:name="__RefHeading___Toc1400934_3650668749"/>
      <w:bookmarkStart w:id="277" w:name="_Toc105"/>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التوسّل بدعاء النبی صلی الله علیه و آله و سلم، ویدلّ علی ذلک قول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یعافینی، وجواب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دعوتُ، وإن شئت صبرت وهو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للإنسان الداعی أن یتوسّل بذات النبی صلی الله علیه و آله و سلم فی ضمن دعائه، وهذا یستفاد من الدعاء الذی علّمه النبی صلی الله علیه و آله و سلم للضریر، والإمعان فیه یثبت هذا المعنی، وانّه یجوز لکلّ مسلم فی مقام الدعاء أن یتوسل بذات النبی صلی الله علیه و آله و سلم ویتوجّه به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الجمل التی تدلّ علی هذا النوع من التوسّل</w:t>
      </w:r>
      <w:r>
        <w:rPr>
          <w:rFonts w:eastAsia="IRNazanin" w:cs="IRNazanin"/>
          <w:color w:val="111111"/>
          <w:sz w:val="28"/>
          <w:szCs w:val="28"/>
          <w:rtl w:val="true"/>
          <w:lang w:bidi="fa-IR"/>
        </w:rPr>
        <w:t>:</w:t>
      </w:r>
    </w:p>
    <w:p>
      <w:pPr>
        <w:pStyle w:val="Heading6"/>
        <w:numPr>
          <w:ilvl w:val="5"/>
          <w:numId w:val="1"/>
        </w:numPr>
        <w:rPr/>
      </w:pPr>
      <w:bookmarkStart w:id="278" w:name="__RefHeading___Toc1400936_3650668749"/>
      <w:bookmarkStart w:id="279" w:name="_Toc106"/>
      <w:bookmarkEnd w:id="278"/>
      <w:r>
        <w:rPr/>
        <w:t>1</w:t>
      </w:r>
      <w:r>
        <w:rPr>
          <w:rtl w:val="true"/>
        </w:rPr>
        <w:t xml:space="preserve">. </w:t>
      </w:r>
      <w:r>
        <w:rPr>
          <w:rtl w:val="true"/>
        </w:rPr>
        <w:t>اللّهمّ إنّی أسألک وأتوجه إلیک بنبیّک‌</w:t>
      </w:r>
      <w:bookmarkEnd w:id="279"/>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النبی صلی الله علیه و آله و سلم نفسه القدسیة وشخصیته الکریمة لا دعاءه</w:t>
      </w:r>
      <w:r>
        <w:rPr>
          <w:rFonts w:eastAsia="IRNazanin" w:cs="IRNazanin"/>
          <w:color w:val="111111"/>
          <w:sz w:val="28"/>
          <w:szCs w:val="28"/>
          <w:rtl w:val="true"/>
          <w:lang w:bidi="fa-IR"/>
        </w:rPr>
        <w:t>.</w:t>
      </w:r>
    </w:p>
    <w:p>
      <w:pPr>
        <w:pStyle w:val="Heading6"/>
        <w:numPr>
          <w:ilvl w:val="5"/>
          <w:numId w:val="1"/>
        </w:numPr>
        <w:rPr/>
      </w:pPr>
      <w:bookmarkStart w:id="280" w:name="__RefHeading___Toc1400938_3650668749"/>
      <w:bookmarkStart w:id="281" w:name="_Toc107"/>
      <w:bookmarkEnd w:id="280"/>
      <w:r>
        <w:rPr/>
        <w:t>2</w:t>
      </w:r>
      <w:r>
        <w:rPr>
          <w:rtl w:val="true"/>
        </w:rPr>
        <w:t xml:space="preserve">. </w:t>
      </w:r>
      <w:r>
        <w:rPr>
          <w:rtl w:val="true"/>
        </w:rPr>
        <w:t>محمد نبی الرحمة</w:t>
      </w:r>
      <w:bookmarkEnd w:id="281"/>
    </w:p>
    <w:p>
      <w:pPr>
        <w:pStyle w:val="BookText"/>
        <w:rPr/>
      </w:pPr>
      <w:r>
        <w:rPr>
          <w:rFonts w:ascii="IRNazanin" w:hAnsi="IRNazanin" w:eastAsia="IRNazanin"/>
          <w:color w:val="111111"/>
          <w:sz w:val="28"/>
          <w:sz w:val="28"/>
          <w:szCs w:val="28"/>
          <w:rtl w:val="true"/>
          <w:lang w:bidi="fa-IR"/>
        </w:rPr>
        <w:t>نجد انّه یذکر اسم النبی صلی الله علیه و آله و سلم ثمّ یصفه بنبی الرحمة معرباً عن أنّ التوسّل بذات النبی صلی الله علیه و آله و سلم بما لها من الکرامة والفضیلة</w:t>
      </w:r>
      <w:r>
        <w:rPr>
          <w:rFonts w:eastAsia="IRNazanin" w:cs="IRNazanin"/>
          <w:color w:val="111111"/>
          <w:sz w:val="28"/>
          <w:szCs w:val="28"/>
          <w:rtl w:val="true"/>
          <w:lang w:bidi="fa-IR"/>
        </w:rPr>
        <w:t>.</w:t>
      </w:r>
    </w:p>
    <w:p>
      <w:pPr>
        <w:pStyle w:val="Heading6"/>
        <w:numPr>
          <w:ilvl w:val="5"/>
          <w:numId w:val="1"/>
        </w:numPr>
        <w:rPr/>
      </w:pPr>
      <w:bookmarkStart w:id="282" w:name="__RefHeading___Toc1400940_3650668749"/>
      <w:bookmarkStart w:id="283" w:name="_Toc108"/>
      <w:bookmarkEnd w:id="282"/>
      <w:r>
        <w:rPr/>
        <w:t>3</w:t>
      </w:r>
      <w:r>
        <w:rPr>
          <w:rtl w:val="true"/>
        </w:rPr>
        <w:t xml:space="preserve">. </w:t>
      </w:r>
      <w:r>
        <w:rPr>
          <w:rtl w:val="true"/>
        </w:rPr>
        <w:t>یا محمّد إنّی أتوجّه بک إلی ربّی‌</w:t>
      </w:r>
      <w:bookmarkEnd w:id="2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إنّی أتوجّه بک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 الضریر</w:t>
      </w:r>
    </w:p>
    <w:p>
      <w:pPr>
        <w:pStyle w:val="BookText"/>
        <w:rPr/>
      </w:pPr>
      <w:r>
        <w:rPr>
          <w:rFonts w:ascii="IRNazanin" w:hAnsi="IRNazanin" w:eastAsia="IRNazanin"/>
          <w:color w:val="111111"/>
          <w:sz w:val="28"/>
          <w:sz w:val="28"/>
          <w:szCs w:val="28"/>
          <w:rtl w:val="true"/>
          <w:lang w:bidi="fa-IR"/>
        </w:rPr>
        <w:t>حسب تعلیم الرسول، اتّخذ النبی صلی الله علیه و آله و سلم نفسه وسیلة لدعائه وتوسّل بذاته بما لها من المقام والفضیلة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یکن یدور فی خلد الضریر سوی التوسّل بدعائه ولکن الرسول صلی الله علیه و آله و سلم علّمه دعاء جاء فیه التوسّل بذات النبی صلی الله علیه و آله و سلم وهو فی نوعه توسّل ثان، وبذلک وقفنا علی أنّه یستحب للمسلم أن یتوسّل بدعاء الصالحین من الأنبیاء والأولیاء کما یجوز له فی دعائه التوسّل بذواتهم ومقامهم ومنزلتهم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الأحادیث الشریفة انّ أصحاب النبی صلی الله علیه و آله و سلم کانوا یتوسّلون بذات النبی صلی الله علیه و آله و سلم فی مقام الابتهال والدعاء حتی بعد رحیل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الطبرانی، عن أبی أُمامة بن سهل بن حنیف، عن عمّه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کان یختلف إلی عثمان بن عفان فی حاجة له، فکان عثمان لا یلتفت إلیه ولا ینظر فی حاجته، فلقی ابن حنیف فشکا ذلک إلیه، فقال له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المیضاة فتوضأ، ثم ائتِ المسجد فصلِ فیه رکعتین،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بنبیّنا محمّد صلی الله علیه و آله و سلم نبی الرحمة، یا محمد إنّی أتوجه بک إلی ربّی فتقضی لی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 حاجتک ورح حتی أروح معک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الرجل فصنع ما قال له، ثمّ أتی باب عثمان بن عفان، فجاء البواب حتی أخذ بیده فأدخله علی عثمان بن عفان، فأجلسه معه علی الطنفسة،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فذکر حاجته وقضاها 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w:t>
      </w:r>
    </w:p>
    <w:p>
      <w:pPr>
        <w:pStyle w:val="BookText"/>
        <w:rPr/>
      </w:pPr>
      <w:r>
        <w:rPr>
          <w:rFonts w:ascii="IRNazanin" w:hAnsi="IRNazanin" w:eastAsia="IRNazanin"/>
          <w:color w:val="111111"/>
          <w:sz w:val="28"/>
          <w:sz w:val="28"/>
          <w:szCs w:val="28"/>
          <w:rtl w:val="true"/>
          <w:lang w:bidi="fa-IR"/>
        </w:rPr>
        <w:t>حاجتک حتی کان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لک من حاجة فاذکرها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خرج من عنده فلقی عثمان بن حنیف،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ما کان ینظر فی حاجتی ولا یلتفت إلیَّ حتّی کلّمته فیّ، فقال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کلّمته، ولکنی شهدت رسول اللَّه صلی الله علیه و آله و سلم وأتاه ضریر فشکا إلیه ذهاب بصره،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لی قائد فقد شقّ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المیضاة فتوضأ، ثمّ صلّ رکعتین، ثمّ ادع بهذه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وطال بنا الحدیث حتی دخل علینا الرجل کأنّه لم یکن به ضرّ قط</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المسلمین فی حیاة النبی صلی الله علیه و آله و سلم وبعدها، استقرت علی أنّهم کانوا یتوسّلون بأولیاء اللَّه والصالحین من عباده، دون أن یدور فی خلد أحد منهم بأنّه أمر حرام أو شرک أو بدعة، بل کانوا یرون التوسّل بدعاء الصالحین طریقاً إلی التوسّل بمنزلتهم، وشخصیتهم، فإنّه لو کان لدعاء الرجل الصالح أثر، فإنّما هو لأجل قداسة نفسه وطهارتها، ولولاهما لما استجیبت دعوته، فما معنی الفرق بین التوسّل بدعاء الصالح وبین التوسّل</w:t>
      </w:r>
      <w:bookmarkStart w:id="284" w:name="pg1680_13003"/>
    </w:p>
    <w:p>
      <w:pPr>
        <w:pStyle w:val="BookText"/>
        <w:rPr/>
      </w:pPr>
      <w:bookmarkEnd w:id="284"/>
      <w:r>
        <w:rPr>
          <w:rFonts w:ascii="IRNazanin" w:hAnsi="IRNazanin" w:eastAsia="IRNazanin"/>
          <w:color w:val="111111"/>
          <w:sz w:val="28"/>
          <w:sz w:val="28"/>
          <w:szCs w:val="28"/>
          <w:rtl w:val="true"/>
          <w:lang w:bidi="fa-IR"/>
        </w:rPr>
        <w:t>بشخصه وذاته، حتی یکون الأوّل نفس التوحید و الآخر عین الشرک أو ذریعة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التوسّل بقدسیة الصالحین، والمعصومین من الذنب، والمخلصین من عباد اللَّه لم یکن قط أمراً جدیداً بین الصحابة، بل کان ذلک امتداداً للسیرة الموجودة قبل الإسلام، فقد تضافرت الروایات التاریخیة علی ذلک وإلیک البیان</w:t>
      </w:r>
      <w:r>
        <w:rPr>
          <w:rFonts w:eastAsia="IRNazanin" w:cs="IRNazanin"/>
          <w:color w:val="111111"/>
          <w:sz w:val="28"/>
          <w:szCs w:val="28"/>
          <w:rtl w:val="true"/>
          <w:lang w:bidi="fa-IR"/>
        </w:rPr>
        <w:t>:</w:t>
      </w:r>
    </w:p>
    <w:p>
      <w:pPr>
        <w:pStyle w:val="Heading6"/>
        <w:numPr>
          <w:ilvl w:val="5"/>
          <w:numId w:val="1"/>
        </w:numPr>
        <w:rPr/>
      </w:pPr>
      <w:bookmarkStart w:id="285" w:name="__RefHeading___Toc1400942_3650668749"/>
      <w:bookmarkStart w:id="286" w:name="_Toc109"/>
      <w:bookmarkEnd w:id="285"/>
      <w:r>
        <w:rPr/>
        <w:t>1</w:t>
      </w:r>
      <w:r>
        <w:rPr>
          <w:rtl w:val="true"/>
        </w:rPr>
        <w:t xml:space="preserve">. </w:t>
      </w:r>
      <w:r>
        <w:rPr>
          <w:rtl w:val="true"/>
        </w:rPr>
        <w:t>استسقاء عبد المطلب بالنبی صلی الله علیه و آله و سلم وهو رضیع</w:t>
      </w:r>
      <w:r>
        <w:rPr>
          <w:rtl w:val="true"/>
        </w:rPr>
        <w:t>:</w:t>
      </w:r>
      <w:bookmarkEnd w:id="286"/>
    </w:p>
    <w:p>
      <w:pPr>
        <w:pStyle w:val="BookText"/>
        <w:rPr/>
      </w:pPr>
      <w:r>
        <w:rPr>
          <w:rFonts w:ascii="IRNazanin" w:hAnsi="IRNazanin" w:eastAsia="IRNazanin"/>
          <w:color w:val="111111"/>
          <w:sz w:val="28"/>
          <w:sz w:val="28"/>
          <w:szCs w:val="28"/>
          <w:rtl w:val="true"/>
          <w:lang w:bidi="fa-IR"/>
        </w:rPr>
        <w:t>لقد استسقی عبد المطلب بالنبی صلی الله علیه و آله و سلم وهو طفل صغیر، حتی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یشیر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بوجهه‌ثمال الیتامی عصمة للأرامل</w:t>
      </w:r>
    </w:p>
    <w:p>
      <w:pPr>
        <w:pStyle w:val="BookText"/>
        <w:rPr/>
      </w:pPr>
      <w:r>
        <w:rPr>
          <w:rFonts w:ascii="IRNazanin" w:hAnsi="IRNazanin" w:eastAsia="IRNazanin"/>
          <w:color w:val="111111"/>
          <w:sz w:val="28"/>
          <w:sz w:val="28"/>
          <w:szCs w:val="28"/>
          <w:rtl w:val="true"/>
          <w:lang w:bidi="fa-IR"/>
        </w:rPr>
        <w:t>إلی ما وقع فی زمن عبد المطلب حیث استسقی لقریش والنبی صلی الله علیه و آله و سلم معه غلام</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287" w:name="__RefHeading___Toc1400944_3650668749"/>
      <w:bookmarkStart w:id="288" w:name="_Toc110"/>
      <w:bookmarkEnd w:id="287"/>
      <w:r>
        <w:rPr/>
        <w:t>2</w:t>
      </w:r>
      <w:r>
        <w:rPr>
          <w:rtl w:val="true"/>
        </w:rPr>
        <w:t xml:space="preserve">. </w:t>
      </w:r>
      <w:r>
        <w:rPr>
          <w:rtl w:val="true"/>
        </w:rPr>
        <w:t>استسقاء أبی طالب بالنبی صلی الله علیه و آله و سلم</w:t>
      </w:r>
      <w:r>
        <w:rPr>
          <w:rtl w:val="true"/>
        </w:rPr>
        <w:t>:</w:t>
      </w:r>
      <w:bookmarkEnd w:id="2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عساکر عن ابن عرفلة،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مکة وقریش فی قحط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أقحط الوادی وأجدب العیال، فهلم فاستسق، فخرج أبو طالب ومعه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شمس دجی تجلّت عنه سحابة قتماء، وحوله اغیلمة، فأخذه أبو طالب فألصق ظهره بالکعبة،</w:t>
      </w:r>
    </w:p>
    <w:p>
      <w:pPr>
        <w:pStyle w:val="BookText"/>
        <w:rPr/>
      </w:pPr>
      <w:r>
        <w:rPr>
          <w:rFonts w:ascii="IRNazanin" w:hAnsi="IRNazanin" w:eastAsia="IRNazanin"/>
          <w:color w:val="111111"/>
          <w:sz w:val="28"/>
          <w:sz w:val="28"/>
          <w:szCs w:val="28"/>
          <w:rtl w:val="true"/>
          <w:lang w:bidi="fa-IR"/>
        </w:rPr>
        <w:t>ولاذ باصبعه الغلام وما فی السماء قزعة، فأقبل السحاب من هاهنا و من هاهنا واغدودق وانفجر له الوادی وأخصب النادی والبادی، وفی ذلک یقول أبو طالب فی قصیدة یمدح بها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بوجهه‌ثمال الیتامی عصمةللأرامل‌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وقد کان استسقاء أبی طالب بالنبی صلی الله علیه و آله و سلم وهو غلام، بل استسقاء عبد المطلب به وهو صبی أمراً معروفاً بین العرب، وکان شعر أبی طالب فی هذه الواقعة مما یحفظه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الروایات أنّ استسقاء أبی طالب بالنبی صلی الله علیه و آله و سلم کان موضع رضاً من رسول اللَّه صلی الله علیه و آله و سلم، فإنّه بعد ما بعث للرسالة استسقی للناس، فجاء المطر وأخصب الوادی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أبو طالب حیّاً لقرّت عیناه، من ینشدنا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کأنّک أردت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بوجهه‌ثمال الیتامی عصمة للأرامل‌</w:t>
      </w:r>
      <w:r>
        <w:rPr>
          <w:rStyle w:val="FootnoteAnchor"/>
          <w:rtl w:val="true"/>
        </w:rPr>
        <w:footnoteReference w:id="1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التوسل بالأطفال الأبریاء فی الاستسقاء أمر ندب إلیه الشرع الشریف، فهذا هو الإمام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الصبیان، ویتنظفوا</w:t>
      </w:r>
      <w:bookmarkStart w:id="289" w:name="pg1680_13005"/>
    </w:p>
    <w:p>
      <w:pPr>
        <w:pStyle w:val="BookText"/>
        <w:rPr/>
      </w:pPr>
      <w:bookmarkEnd w:id="289"/>
      <w:r>
        <w:rPr>
          <w:rFonts w:ascii="IRNazanin" w:hAnsi="IRNazanin" w:eastAsia="IRNazanin"/>
          <w:color w:val="111111"/>
          <w:sz w:val="28"/>
          <w:sz w:val="28"/>
          <w:szCs w:val="28"/>
          <w:rtl w:val="true"/>
          <w:lang w:bidi="fa-IR"/>
        </w:rPr>
        <w:t>للاستسقاء وکبار النساء ومن لا هیئة له منهنّ، ولا أحب خروج ذوات الهیئة ولا آمر بإخراج البهائم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وما الهدف من إخراج الصبیان والنساء الطاعنات فی السن، إلّا استنزال الرحمة بهم وبقداستهم وطهارتهم، وکلّ ذلک یعرب عن أنّ التوسّل بالأبریاء والصلحاء والمعصومین مفتاح استنزال الرحمة، وکأنّ المتوسّل بهم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 سیدی انّ الصغیر معصوم من الذنب، و الکبیر الطاعن فی السن أسیرک فی أرضک، وکلتا الطائفتین أحقّ بالرحمة والمرحمة، فلأجلهم أنزل رحمتک إلینا، حتی تعمّنا فی ظلّهم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الساقی ربما یسقی مساحة کبیرة لأجل شجرة واحدة وفی ظلها تسقی الأعشاب غیر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التحلیل یفسر توسّل الخلیفة بعمّ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سیمر علیک، وأنّه کان توسّلًا بشخصه وقداسته وصلته بالرسول صلی الله علیه و آله و سلم، وتعلم بالتالی أنّ هذا العمل کان امتداداً للسیرة المستمرة، وانّ هذا لا یمت إلی التوسّل بدعاء العباس بصلة</w:t>
      </w:r>
      <w:r>
        <w:rPr>
          <w:rFonts w:eastAsia="IRNazanin" w:cs="IRNazanin"/>
          <w:color w:val="111111"/>
          <w:sz w:val="28"/>
          <w:szCs w:val="28"/>
          <w:rtl w:val="true"/>
          <w:lang w:bidi="fa-IR"/>
        </w:rPr>
        <w:t>.</w:t>
      </w:r>
    </w:p>
    <w:p>
      <w:pPr>
        <w:pStyle w:val="Heading6"/>
        <w:numPr>
          <w:ilvl w:val="5"/>
          <w:numId w:val="1"/>
        </w:numPr>
        <w:rPr/>
      </w:pPr>
      <w:bookmarkStart w:id="290" w:name="__RefHeading___Toc1400946_3650668749"/>
      <w:bookmarkStart w:id="291" w:name="_Toc111"/>
      <w:bookmarkEnd w:id="290"/>
      <w:r>
        <w:rPr/>
        <w:t>3</w:t>
      </w:r>
      <w:r>
        <w:rPr>
          <w:rtl w:val="true"/>
        </w:rPr>
        <w:t xml:space="preserve">. </w:t>
      </w:r>
      <w:r>
        <w:rPr>
          <w:rtl w:val="true"/>
        </w:rPr>
        <w:t>التوسّل بعمّ النبی صلی الله علیه و آله و سلم‌</w:t>
      </w:r>
      <w:bookmarkEnd w:id="2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البخاری فی صحیحه، 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بن الخطاب کان إذا قَحَطوا استسقی بالعباس بن عبد المطلب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کنّا نتوسل</w:t>
      </w:r>
      <w:bookmarkStart w:id="292" w:name="pg1680_13006"/>
    </w:p>
    <w:p>
      <w:pPr>
        <w:pStyle w:val="BookText"/>
        <w:rPr/>
      </w:pPr>
      <w:bookmarkEnd w:id="292"/>
      <w:r>
        <w:rPr>
          <w:rFonts w:ascii="IRNazanin" w:hAnsi="IRNazanin" w:eastAsia="IRNazanin"/>
          <w:color w:val="111111"/>
          <w:sz w:val="28"/>
          <w:sz w:val="28"/>
          <w:szCs w:val="28"/>
          <w:rtl w:val="true"/>
          <w:lang w:bidi="fa-IR"/>
        </w:rPr>
        <w:t>إلیک بنبیّنا فتسقینا، وانّا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هذا ما نصّ علیه البخاری وهو یدل علی أنّ عمر بن الخطاب عند دعائه واستسقائه توسّل بعمّ النبی صلی الله علیه و آله و سلم وشخصه وشخصیته وقدسیته وقرابته من النبی صلی الله علیه و آله و سلم لا بدعائه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الخلیفة عند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کنّا نتوسّل إلیک بنبیّنا فتسقینا، وانّا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 أنّ الخلیفة قام بنفسه بالدعاء عند الاستسقاء، وتوسّل بعمّ الرسول وقرابته منه فی دعائه</w:t>
      </w:r>
      <w:r>
        <w:rPr>
          <w:rFonts w:eastAsia="IRNazanin" w:cs="IRNazanin"/>
          <w:color w:val="111111"/>
          <w:sz w:val="28"/>
          <w:szCs w:val="28"/>
          <w:rtl w:val="true"/>
          <w:lang w:bidi="fa-IR"/>
        </w:rPr>
        <w:t>.</w:t>
      </w:r>
    </w:p>
    <w:p>
      <w:pPr>
        <w:pStyle w:val="Heading5"/>
        <w:numPr>
          <w:ilvl w:val="4"/>
          <w:numId w:val="1"/>
        </w:numPr>
        <w:rPr/>
      </w:pPr>
      <w:bookmarkStart w:id="293" w:name="__RefHeading___Toc1400948_3650668749"/>
      <w:bookmarkStart w:id="294" w:name="_Toc112"/>
      <w:bookmarkEnd w:id="293"/>
      <w:r>
        <w:rPr>
          <w:rtl w:val="true"/>
        </w:rPr>
        <w:t>الثانی</w:t>
      </w:r>
      <w:r>
        <w:rPr>
          <w:rtl w:val="true"/>
        </w:rPr>
        <w:t xml:space="preserve">: </w:t>
      </w:r>
      <w:r>
        <w:rPr>
          <w:rtl w:val="true"/>
        </w:rPr>
        <w:t>التوسّل بحقّ النبی صلی الله علیه و آله و سلم والأنبیاء والصالحین‌</w:t>
      </w:r>
      <w:bookmarkEnd w:id="294"/>
    </w:p>
    <w:p>
      <w:pPr>
        <w:pStyle w:val="BookText"/>
        <w:rPr/>
      </w:pPr>
      <w:r>
        <w:rPr>
          <w:rFonts w:ascii="Amiri" w:hAnsi="Amiri" w:eastAsia="Amiri" w:cs="Amiri"/>
          <w:color w:val="111111"/>
          <w:sz w:val="28"/>
          <w:sz w:val="28"/>
          <w:szCs w:val="28"/>
          <w:rtl w:val="true"/>
          <w:lang w:bidi="ar-SA"/>
        </w:rPr>
        <w:t>وهناک لون آخر من التوسّل وهو التوسّل بحقّ الأنبیاء والمرسلین، والمراد الحقّ الذی تفضّل به سبحانه علیهم فجعلهم أصحاب الحقوق، ولیس معنی ذلک أنّ للعباد أو للصالحین علی اللَّه حقّاً ذاتیاً یلزم علیه تعالی الخروج منه، بل الحقّ کلّه للَّه، وإنّما المراد الحقّ الذی منحه سبحانه لهم تکریماً، وجعلهم أصحاب حقّ علی اللَّه،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ویدلّ علی ذلک من الروایات ما یلی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w:t>
      </w:r>
    </w:p>
    <w:p>
      <w:pPr>
        <w:pStyle w:val="BookText"/>
        <w:rPr/>
      </w:pPr>
      <w:r>
        <w:rPr>
          <w:rFonts w:ascii="IRNazanin" w:hAnsi="IRNazanin" w:eastAsia="IRNazanin"/>
          <w:color w:val="111111"/>
          <w:sz w:val="28"/>
          <w:sz w:val="28"/>
          <w:szCs w:val="28"/>
          <w:rtl w:val="true"/>
          <w:lang w:bidi="fa-IR"/>
        </w:rPr>
        <w:t>بیته إلی الصلاة،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السائلین علیک، وأسألک بحقّ ممشای هذا، فانّی لم أخرج أشراً ولا بطراً ولا ریاءً ولا سمعة، وخرجت اتقاء سُخْطِک وابتغاء مرضاتک، فأسألک أن تعیذنی من النار، وأن تغفر لی ذنوبی انّه لا یغفر الذنوب إلّاأنت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اللَّه علیه بوجهه، واستغفر له سبعون ألف ملک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أسألک بحقّ‌محمّد لما غفرت لی، فقال اللَّه عزّوجلّ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آدم کیف عرفت محمّداً ولم أخلقه؟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لما خلقتنی بیدک ونفخت فیّ‌من روحک، رفعت رأسی فرأیت علی قوائم العرش مکتوباً لا إله إلّااللَّه، محّمد رسول اللَّه، فعلمت أنّک لم تضف إلی اسمک إلّاأحبّ الخلق إلیک،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انّه لأحبّ الخلق إلیّ، وإذ سألتنی بحقّه فقد غفرت ولولا محمّد ما خلقتک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الطبرانی بسنده عن أنس بن مالک انّه لما ماتت فاطمة بنت أسد حفروا قبرها، فلمّا بلغوا اللحد حفر رسول اللَّه بیده وأخرج ترابه بیده، فلمّا فرغ دخل رسول اللَّه فاضطجع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یحیی ویمیت وهو حی لا یموت اغفر لأُمّی فاطمة بنت أسد ولقّنها حجتها، ووسّع علیها</w:t>
      </w:r>
      <w:bookmarkStart w:id="295" w:name="pg1680_13008"/>
    </w:p>
    <w:p>
      <w:pPr>
        <w:pStyle w:val="BookText"/>
        <w:rPr/>
      </w:pPr>
      <w:bookmarkEnd w:id="295"/>
      <w:r>
        <w:rPr>
          <w:rFonts w:ascii="IRNazanin" w:hAnsi="IRNazanin" w:eastAsia="IRNazanin"/>
          <w:color w:val="111111"/>
          <w:sz w:val="28"/>
          <w:sz w:val="28"/>
          <w:szCs w:val="28"/>
          <w:rtl w:val="true"/>
          <w:lang w:bidi="fa-IR"/>
        </w:rPr>
        <w:t>مدخلها بحقّ نبیّک والأنبیاء الذین من قبلی، فإنّک أرحم الراحمین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إلی هنا تم البحث عن أقسام التوسّل الثلاثة وعرفت أنّ الجمیع یدعمه الکتاب والسنة وتصور انّ التوسل بغیره سبحانه تألیه وعبادة لغیره قد عرفت بطلانه وذلک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التوسّل بدعاء النبی صلی الله علیه و آله و سلم وذاته أو حقّه شرکاً یلزم أن یکون کلّ توسّل کذلک حتی التوسّل بالغیر فی الأُمور العادیة مع أنّه باطل بالضرورة، لأنّ الجمیع من قبیل التوسّل بالأسباب، عادیة کانت أو غیر عادیة، طبیعیةً کانت أو غیر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تعریف العبادة انّه الخضوع أمام الغیر بما هو إله أو ربّ أو مفوض إلیه أُموره سبحانه، ولیس واحد من هذه القیود متحقّقاً فی التوسّل بالأنبیاء والصالحین والشهداء، بل یتوسّل بهم بما أنّهم عباد مکرمون یستجاب دعاؤهم عند اللَّه سبحانه، أو أنّ لذواتهم وحقوقهم منزلة عند اللَّه، فالتوسّل بهم یثیر بحار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التوسّل بنبی التوحید صلی الله علیه و آله و سلم شرکاً مع أنّه یتوسّل به بما أنّه مکافح للشرک ومقوض لدعائمه؟</w:t>
      </w:r>
    </w:p>
    <w:p>
      <w:pPr>
        <w:pStyle w:val="Heading5"/>
        <w:numPr>
          <w:ilvl w:val="4"/>
          <w:numId w:val="1"/>
        </w:numPr>
        <w:rPr/>
      </w:pPr>
      <w:bookmarkStart w:id="296" w:name="__RefHeading___Toc1400950_3650668749"/>
      <w:bookmarkStart w:id="297" w:name="_Toc113"/>
      <w:bookmarkEnd w:id="296"/>
      <w:r>
        <w:rPr>
          <w:rtl w:val="true"/>
        </w:rPr>
        <w:t>الثالث</w:t>
      </w:r>
      <w:r>
        <w:rPr>
          <w:rtl w:val="true"/>
        </w:rPr>
        <w:t xml:space="preserve">: </w:t>
      </w:r>
      <w:r>
        <w:rPr>
          <w:rtl w:val="true"/>
        </w:rPr>
        <w:t>التوسّل بدعاء النبی صلی الله علیه و آله و سلم والصالحین بعد رحیلهم‌</w:t>
      </w:r>
      <w:bookmarkEnd w:id="2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أقسام التوسّل الرائجة بین المسلمین هو التوسّل بدعاء</w:t>
      </w:r>
    </w:p>
    <w:p>
      <w:pPr>
        <w:pStyle w:val="BookText"/>
        <w:rPr/>
      </w:pPr>
      <w:r>
        <w:rPr>
          <w:rFonts w:ascii="IRNazanin" w:hAnsi="IRNazanin" w:eastAsia="IRNazanin"/>
          <w:color w:val="111111"/>
          <w:sz w:val="28"/>
          <w:sz w:val="28"/>
          <w:szCs w:val="28"/>
          <w:rtl w:val="true"/>
          <w:lang w:bidi="fa-IR"/>
        </w:rPr>
        <w:t>النبی صلی الله علیه و آله و سلم أو الصالحین بعد رحیلهم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ثمة سؤالًا یطرح نفسه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التوسل بدعاء الغیر إنّما یصحّ إذا کان الغیر حیاً یسمع دعاءک ویستجیب لک ویدعو اللَّه سبحانه لقضاء وطرک ونجاح سؤالک، أمّا إذا کان المستغاث میتاً انتقل من هذه الدنیا فکیف یصحّ التوسّل بمن انتقل إلی رحمة اللَّه وهو لا یسمع؟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یوحی إلیه القرآن والسنّة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بمعنی فناء الإنسان وانعدامه، بل معناه الانتقال من دار إلی دار وبقاء الحیاة بنحو آخر والذی یعبر عنه بالحیاة البرزخیة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الآیات الکریمة علی أنّ الشهداء فی سبیل اللَّه أحیاء عند ربهم یرزقون‌</w:t>
      </w:r>
      <w:r>
        <w:rPr>
          <w:rStyle w:val="FootnoteAnchor"/>
          <w:rtl w:val="true"/>
        </w:rPr>
        <w:footnoteReference w:id="193"/>
      </w:r>
      <w:r>
        <w:rPr>
          <w:rFonts w:ascii="IRNazanin" w:hAnsi="IRNazanin" w:eastAsia="IRNazanin"/>
          <w:color w:val="111111"/>
          <w:sz w:val="28"/>
          <w:sz w:val="28"/>
          <w:szCs w:val="28"/>
          <w:rtl w:val="true"/>
          <w:lang w:bidi="fa-IR"/>
        </w:rPr>
        <w:t>، فما ظنک بنبی الشهداء وأفضل الخلیقة</w:t>
      </w:r>
      <w:r>
        <w:rPr>
          <w:rFonts w:eastAsia="IRNazanin" w:cs="IRNazanin"/>
          <w:color w:val="111111"/>
          <w:sz w:val="28"/>
          <w:szCs w:val="28"/>
          <w:rtl w:val="true"/>
          <w:lang w:bidi="fa-IR"/>
        </w:rPr>
        <w:t>.</w:t>
      </w:r>
      <w:bookmarkStart w:id="298" w:name="pg1680_13010"/>
    </w:p>
    <w:p>
      <w:pPr>
        <w:pStyle w:val="Heading2"/>
        <w:numPr>
          <w:ilvl w:val="1"/>
          <w:numId w:val="1"/>
        </w:numPr>
        <w:rPr/>
      </w:pPr>
      <w:bookmarkStart w:id="299" w:name="__RefHeading___Toc1400952_3650668749"/>
      <w:bookmarkStart w:id="300" w:name="_Toc114"/>
      <w:bookmarkEnd w:id="298"/>
      <w:bookmarkEnd w:id="299"/>
      <w:r>
        <w:rPr>
          <w:rtl w:val="true"/>
        </w:rPr>
        <w:t>الفصل الرابع</w:t>
      </w:r>
      <w:r>
        <w:rPr>
          <w:rtl w:val="true"/>
        </w:rPr>
        <w:t xml:space="preserve">: </w:t>
      </w:r>
      <w:r>
        <w:rPr>
          <w:rtl w:val="true"/>
        </w:rPr>
        <w:t>القرآن عند الشیعة الإمامیة</w:t>
      </w:r>
      <w:bookmarkEnd w:id="300"/>
    </w:p>
    <w:p>
      <w:pPr>
        <w:pStyle w:val="Heading3"/>
        <w:numPr>
          <w:ilvl w:val="2"/>
          <w:numId w:val="1"/>
        </w:numPr>
        <w:rPr/>
      </w:pPr>
      <w:bookmarkStart w:id="301" w:name="__RefHeading___Toc1400954_3650668749"/>
      <w:bookmarkStart w:id="302" w:name="_Toc115"/>
      <w:bookmarkEnd w:id="301"/>
      <w:r>
        <w:rPr>
          <w:rtl w:val="true"/>
        </w:rPr>
        <w:t>اشارة</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القرآن الکریم عند الشیعة الإمامیّة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لغة واصطلاحاً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تطرق التحریف إلی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القرآن علی عدم التحریف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الروایات علی مصونیة القرآن الکریم من التحریف‌</w:t>
      </w:r>
    </w:p>
    <w:p>
      <w:pPr>
        <w:pStyle w:val="Heading3"/>
        <w:numPr>
          <w:ilvl w:val="2"/>
          <w:numId w:val="1"/>
        </w:numPr>
        <w:rPr/>
      </w:pPr>
      <w:bookmarkStart w:id="303" w:name="__RefHeading___Toc1400956_3650668749"/>
      <w:bookmarkStart w:id="304" w:name="_Toc116"/>
      <w:bookmarkEnd w:id="303"/>
      <w:r>
        <w:rPr/>
        <w:t>1</w:t>
      </w:r>
      <w:r>
        <w:rPr>
          <w:rtl w:val="true"/>
        </w:rPr>
        <w:t xml:space="preserve">. </w:t>
      </w:r>
      <w:r>
        <w:rPr>
          <w:rtl w:val="true"/>
        </w:rPr>
        <w:t>أخبار عرض الأحادیث علی القرآن الکریم‌</w:t>
      </w:r>
      <w:bookmarkEnd w:id="304"/>
    </w:p>
    <w:p>
      <w:pPr>
        <w:pStyle w:val="Heading3"/>
        <w:numPr>
          <w:ilvl w:val="2"/>
          <w:numId w:val="1"/>
        </w:numPr>
        <w:rPr/>
      </w:pPr>
      <w:bookmarkStart w:id="305" w:name="__RefHeading___Toc1400958_3650668749"/>
      <w:bookmarkStart w:id="306" w:name="_Toc117"/>
      <w:bookmarkEnd w:id="305"/>
      <w:r>
        <w:rPr/>
        <w:t>2</w:t>
      </w:r>
      <w:r>
        <w:rPr>
          <w:rtl w:val="true"/>
        </w:rPr>
        <w:t xml:space="preserve">. </w:t>
      </w:r>
      <w:r>
        <w:rPr>
          <w:rtl w:val="true"/>
        </w:rPr>
        <w:t>حدیث الثقلین‌</w:t>
      </w:r>
      <w:bookmarkEnd w:id="306"/>
    </w:p>
    <w:p>
      <w:pPr>
        <w:pStyle w:val="Heading4"/>
        <w:numPr>
          <w:ilvl w:val="3"/>
          <w:numId w:val="1"/>
        </w:numPr>
        <w:rPr/>
      </w:pPr>
      <w:bookmarkStart w:id="307" w:name="__RefHeading___Toc1400960_3650668749"/>
      <w:bookmarkStart w:id="308" w:name="_Toc118"/>
      <w:bookmarkEnd w:id="307"/>
      <w:r>
        <w:rPr>
          <w:rtl w:val="true"/>
        </w:rPr>
        <w:t>اشارة</w:t>
      </w:r>
      <w:bookmarkEnd w:id="30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 أهل البیت وصیانة القرآن من التحریف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الشیعة وصیانة القرآن من التحریف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غیر مکتوبة ادعیت انها من القرآن الکریم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شبهتان حول التحریف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جمع القرآن الکریم</w:t>
      </w:r>
      <w:bookmarkStart w:id="309" w:name="pg1680_13012"/>
    </w:p>
    <w:p>
      <w:pPr>
        <w:pStyle w:val="Heading4"/>
        <w:numPr>
          <w:ilvl w:val="3"/>
          <w:numId w:val="1"/>
        </w:numPr>
        <w:rPr/>
      </w:pPr>
      <w:bookmarkStart w:id="310" w:name="__RefHeading___Toc1400962_3650668749"/>
      <w:bookmarkStart w:id="311" w:name="_Toc119"/>
      <w:bookmarkEnd w:id="309"/>
      <w:bookmarkEnd w:id="310"/>
      <w:r>
        <w:rPr/>
        <w:t>1</w:t>
      </w:r>
      <w:r>
        <w:rPr>
          <w:rtl w:val="true"/>
        </w:rPr>
        <w:t xml:space="preserve">. </w:t>
      </w:r>
      <w:r>
        <w:rPr>
          <w:rtl w:val="true"/>
        </w:rPr>
        <w:t>منزلة القرآن الکریم عند الشیعة الإمامیة</w:t>
      </w:r>
      <w:bookmarkEnd w:id="311"/>
    </w:p>
    <w:p>
      <w:pPr>
        <w:pStyle w:val="BookText"/>
        <w:rPr/>
      </w:pPr>
      <w:r>
        <w:rPr>
          <w:rFonts w:ascii="IRNazanin" w:hAnsi="IRNazanin" w:eastAsia="IRNazanin"/>
          <w:color w:val="111111"/>
          <w:sz w:val="28"/>
          <w:sz w:val="28"/>
          <w:szCs w:val="28"/>
          <w:rtl w:val="true"/>
          <w:lang w:bidi="fa-IR"/>
        </w:rPr>
        <w:t>یُعدُّ القرآن الحجر الأساس للتشریع الإسلامی، وتلیه السنّة النبویة التی هی قرینة الکتاب، غیر أنّ القرآن وحی بلفظه ومعناه، والسنّة وحی بمعناها ومضمونها دون لفظها، وهذا هو السبب الذی جعل النبی صلی الله علیه و آله و سلم یتحدّی بالقرآن دون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أجلّ من أن یکون بحاجة إلی تعریف، إذ هو نور ظاهر بنفسه، مظهر لغیره، فهو کالشمس المضیئة، یُنیر ماحوله، وکلّ نور دونه فهو خافت لا یضی‌ء، وکفاک انّه سبحانه یُشید بالقرآن بصور مختلفة،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هِیَ‌أَقْوَم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و یقول عزّمن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کما ویصرّح سبحانه بأنّه الفاصل بین الحقّ‌والباطل،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إلی غیر ذلک ممّا أشار إلیه فی الذکر الحکیم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القرآن الکریم الدعامة الأُولی للمسلمین و اللبنة الأساسیة فی بناء الحضارة الإسلامیة لا سیما الجانب الأخلاقی والفلسفی والفقهی، والذی زوّد المسلمین بالتشریع حقبة زمنیة طویلة</w:t>
      </w:r>
      <w:r>
        <w:rPr>
          <w:rFonts w:eastAsia="IRNazanin" w:cs="IRNazanin"/>
          <w:color w:val="111111"/>
          <w:sz w:val="28"/>
          <w:szCs w:val="28"/>
          <w:rtl w:val="true"/>
          <w:lang w:bidi="fa-IR"/>
        </w:rPr>
        <w:t>.</w:t>
      </w:r>
      <w:bookmarkStart w:id="312" w:name="pg1680_13013"/>
    </w:p>
    <w:p>
      <w:pPr>
        <w:pStyle w:val="Heading4"/>
        <w:numPr>
          <w:ilvl w:val="3"/>
          <w:numId w:val="1"/>
        </w:numPr>
        <w:rPr/>
      </w:pPr>
      <w:bookmarkStart w:id="313" w:name="__RefHeading___Toc1400964_3650668749"/>
      <w:bookmarkStart w:id="314" w:name="_Toc120"/>
      <w:bookmarkEnd w:id="312"/>
      <w:bookmarkEnd w:id="313"/>
      <w:r>
        <w:rPr/>
        <w:t>2</w:t>
      </w:r>
      <w:r>
        <w:rPr>
          <w:rtl w:val="true"/>
        </w:rPr>
        <w:t xml:space="preserve">. </w:t>
      </w:r>
      <w:r>
        <w:rPr>
          <w:rtl w:val="true"/>
        </w:rPr>
        <w:t>صیانة القرآن من التحریف‌</w:t>
      </w:r>
      <w:bookmarkEnd w:id="314"/>
    </w:p>
    <w:p>
      <w:pPr>
        <w:pStyle w:val="BookText"/>
        <w:rPr/>
      </w:pPr>
      <w:r>
        <w:rPr>
          <w:rFonts w:ascii="IRNazanin" w:hAnsi="IRNazanin" w:eastAsia="IRNazanin"/>
          <w:color w:val="111111"/>
          <w:sz w:val="28"/>
          <w:sz w:val="28"/>
          <w:szCs w:val="28"/>
          <w:rtl w:val="true"/>
          <w:lang w:bidi="fa-IR"/>
        </w:rPr>
        <w:t>القرآن هو المصدر الرئیسی والمنبع الأوّل للتشریع، وعنه صدر المسلمون منذ نزوله إلی یومنا هذا، وهو القول الفصل فی الخلاف والجدال، إلّاأنّ هنا نکتة جدیرة بالاهتمام، و هی انّ استنباط المعارف والأحکام من الذکر الحکیم فرع عدم طروء التحریف إلی آیاته بالزیادة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وصیانته عنهما وإن کان أمراً مفروغاً منه عند جلّ طوائف المسلمین، ولکن لأجل دحض بعض الشبه التی تثار فی هذا الصدد، نتناول موضوع صیانة القرآن بالبحث والدراسة علی وجه الإیجاز، فنقول</w:t>
      </w:r>
      <w:r>
        <w:rPr>
          <w:rFonts w:eastAsia="IRNazanin" w:cs="IRNazanin"/>
          <w:color w:val="111111"/>
          <w:sz w:val="28"/>
          <w:szCs w:val="28"/>
          <w:rtl w:val="true"/>
          <w:lang w:bidi="fa-IR"/>
        </w:rPr>
        <w:t>:</w:t>
      </w:r>
    </w:p>
    <w:p>
      <w:pPr>
        <w:pStyle w:val="Heading4"/>
        <w:numPr>
          <w:ilvl w:val="3"/>
          <w:numId w:val="1"/>
        </w:numPr>
        <w:rPr/>
      </w:pPr>
      <w:bookmarkStart w:id="315" w:name="__RefHeading___Toc1400966_3650668749"/>
      <w:bookmarkStart w:id="316" w:name="_Toc121"/>
      <w:bookmarkEnd w:id="315"/>
      <w:r>
        <w:rPr/>
        <w:t>3</w:t>
      </w:r>
      <w:r>
        <w:rPr>
          <w:rtl w:val="true"/>
        </w:rPr>
        <w:t xml:space="preserve">. </w:t>
      </w:r>
      <w:r>
        <w:rPr>
          <w:rtl w:val="true"/>
        </w:rPr>
        <w:t>التحریف لغة واصطلاحاً</w:t>
      </w:r>
      <w:bookmarkEnd w:id="316"/>
    </w:p>
    <w:p>
      <w:pPr>
        <w:pStyle w:val="BookText"/>
        <w:rPr/>
      </w:pPr>
      <w:r>
        <w:rPr>
          <w:rFonts w:ascii="Amiri" w:hAnsi="Amiri" w:eastAsia="Amiri" w:cs="Amiri"/>
          <w:color w:val="111111"/>
          <w:sz w:val="28"/>
          <w:sz w:val="28"/>
          <w:szCs w:val="28"/>
          <w:rtl w:val="true"/>
          <w:lang w:bidi="ar-SA"/>
        </w:rPr>
        <w:t>التحریف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الکلام علی غیر وجهه،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الشی‌ء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وأماله، وبه یفسر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قال الطبرسی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یفسّرونها علی غیر ما أُنزلت، والمراد من المواضع هی المعانی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اصطلاحاً، فیطلق ویراد به وجوه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مدلول الکلام، أی‌تفسیره علی وجه یوافق رأی المفسِّر،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أوافق الواقع أم لا، والتفسیر بهذا المعنی واقع فی القرآن الکریم، ولا یمسُّ بکرامته أبداً، فإنّ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یصدرون عن القرآن ویستندون إلیه، فکلّ صاحب هوی، یتظاهر بالأخذ بالقرآن لکن بتفسیر یُدْعِمُ عقیدته، فهو یأخذ بعنان الآیة، ویمیل بها إلی جانب هواه، ومن أوضح مصادیق هذا النوع من التفسیر، تفاسیر الباطنیة حیث وضعوا من عند أنفسهم لکلّ ظاهر، باطناً، نسبته إلی الثانی، کنسبة القشر إلی اللبّ، وأنّ باطنه یؤدّی إلی ترک العمل بظاهره، فقد فسّروا الاحتلام بإفشاء سرّ من أسرارهم، والغسلَ بتجدید العهد لمن أفشاه من غیر قصد، والزکاة بتزکیة النفس، والصلاة بالرسول الناطق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Style w:val="FootnoteAnchor"/>
        </w:rPr>
        <w:footnoteReference w:id="19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والزیادة فی الحرکة والحرف مع حفظ القرآن وصیانته، مثاله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قُرِئ بالتخفیف والتشدید؛ فلو صحّ تواتر القراءات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یصحَّ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النبی هو الذی قرأ القرآن بها، فیکون الجمیع قرآناً بلا تحریف،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 بروایة واحد، فهی القرآن وغیرها کلّها تحریف اخترعتها عقول القرّاء وزیّنوا قرآنهم بالحجج التی ذکروها بعد کلّ قراءة، وعلی هذا ینحصر القرآن بواحدة منها وغیرها لا صلة لها بالقرآن، والدلیل الواضح علی أنّهما من اختراعات القرّاء،</w:t>
      </w:r>
    </w:p>
    <w:p>
      <w:pPr>
        <w:pStyle w:val="BookText"/>
        <w:rPr/>
      </w:pPr>
      <w:r>
        <w:rPr>
          <w:rFonts w:ascii="IRNazanin" w:hAnsi="IRNazanin" w:eastAsia="IRNazanin"/>
          <w:color w:val="111111"/>
          <w:sz w:val="28"/>
          <w:sz w:val="28"/>
          <w:szCs w:val="28"/>
          <w:rtl w:val="true"/>
          <w:lang w:bidi="fa-IR"/>
        </w:rPr>
        <w:t>إقامتهم الحجّة علی قراءتهم ولو کان الجمیع من صمیم القرآن لما احتاجوا إلی إقامة الحجّة، ویکفیهم ذکر سند القراءة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فالقرآن مصون عن هذا النوع من التحریف، لأنّ القراءة المتواترة، هی القراءة المتداولة فی کلّ عصر،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عاصم بروایة حفص، القراءة الموصولة إلی علی علیه السلام، وغیرها اجتهادات مبتدعة، لم یکن منها أثر فی عصر النبی صلی الله علیه و آله و سلم، و لذلک صارت متروکة لا وجود لها إلّافی بطون کتب القراءات، وأحیاناً فی ألسن بعض القرّاء، لغایة إظهار التبحّر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ولکن الاختلاف یجی‌ء من قبل الرواة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ولذلک لا نجیز القراءة غیر المعروفة منها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تبدیل کلمة مکان کلمة مرادفة، کوضع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یَلْتَفِتْ مِنْکُمْ أَحَدٌ وَامْضُوا حَیْثُ تُؤْمَرُونَ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نسب ذلک إلی عبد اللَّه بن مسعود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الخطأ أن یقرأ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أُجلُّ ذلک الصحابی الجلیل عن هذه التهمة، وأی غایة عقلائیة یترتب علی ذاک التبدیل؟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التحریف فی لهجة التعبیر، انّ لهجات القبائل کانت تختلف عند النطق بالحرف أو الکلمة من حیث الحرکات والأداء، کما هو کذلک فی سائر اللغات،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العربیة، یتلفّظ بها فی إیران الإسلامیة العزیزة علی أربعة أوجه، فکیف المفردات من حیث الحرکات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الآخِرَةَ وَسَعَی لَها سَعْیَها وَهُوَ مُؤْمِنٌ فَأُولئِکَ کانَ سَعْیُهُمْ مَشْکُوراً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فکان بعض القرّاء تبعاً لبعض اللهجات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مکان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من التحریف لم یتطرّق إلی القرآن، لأنّ المسلمین فی عهد الخلیفة الثالث لمّا رأوا اختلاف المسلمین فی التلفّظ ببعض الکلمات، مثل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تغییر بعضه ببعض مع عدم التغیّر فی المعنی،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عجل، اسرع علی فرض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بتوحید المصاحف وغسل غیر ما جمعوه، فارتفع بذلک التحریف بالمعنی المذکور فاتفقوا علی لهجة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بالزیادة لکنّه مجمع علی خلافه، نعم نسب إلی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المعوذتین لیستا من القرآن، إنّهما تعویذان، و إنّهما لیستا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نسب إلی العجاردة من الخوارج أنّهم أنکروا أن تکون</w:t>
      </w:r>
      <w:bookmarkStart w:id="317" w:name="pg1680_13017"/>
    </w:p>
    <w:p>
      <w:pPr>
        <w:pStyle w:val="BookText"/>
        <w:rPr/>
      </w:pPr>
      <w:bookmarkEnd w:id="317"/>
      <w:r>
        <w:rPr>
          <w:rFonts w:ascii="IRNazanin" w:hAnsi="IRNazanin" w:eastAsia="IRNazanin"/>
          <w:color w:val="111111"/>
          <w:sz w:val="28"/>
          <w:sz w:val="28"/>
          <w:szCs w:val="28"/>
          <w:rtl w:val="true"/>
          <w:lang w:bidi="fa-IR"/>
        </w:rPr>
        <w:t>سورة یوسف من القرآن، وکانوا یرون أنّها قصة عشق لا یجوز أن یکون من الوحی</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ولکن النسبتین غیر ثابتتین، ولو صحّ ما ذکره ابن مسعود لبطل تحدّی القرآن بالسورة، حیث أتی الإنسان غیر الموحی إلیه بسورتین مثل سور القرآن القصار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بالنقص والإسقاط عن عمد أو نسیان، سواء کان الساقط حرفاً، أو کلمة، أو جملة، أو آیة، أو سورة، وهذا هو الذی دعانا إلی استعراض ذلک البحث،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ادّعاء النقص فی القرآن الکریم بالوجوه التی مرّ ذکرها أمر یکذبه العقل والنقل، وإلیک البیان</w:t>
      </w:r>
      <w:r>
        <w:rPr>
          <w:rFonts w:eastAsia="IRNazanin" w:cs="IRNazanin"/>
          <w:color w:val="111111"/>
          <w:sz w:val="28"/>
          <w:szCs w:val="28"/>
          <w:rtl w:val="true"/>
          <w:lang w:bidi="fa-IR"/>
        </w:rPr>
        <w:t>:</w:t>
      </w:r>
    </w:p>
    <w:p>
      <w:pPr>
        <w:pStyle w:val="Heading4"/>
        <w:numPr>
          <w:ilvl w:val="3"/>
          <w:numId w:val="1"/>
        </w:numPr>
        <w:rPr/>
      </w:pPr>
      <w:bookmarkStart w:id="318" w:name="__RefHeading___Toc1400968_3650668749"/>
      <w:bookmarkStart w:id="319" w:name="_Toc122"/>
      <w:bookmarkEnd w:id="318"/>
      <w:r>
        <w:rPr/>
        <w:t>4</w:t>
      </w:r>
      <w:r>
        <w:rPr>
          <w:rtl w:val="true"/>
        </w:rPr>
        <w:t xml:space="preserve">. </w:t>
      </w:r>
      <w:r>
        <w:rPr>
          <w:rtl w:val="true"/>
        </w:rPr>
        <w:t>امتناع تطرّق التحریف إلی القرآن‌</w:t>
      </w:r>
      <w:bookmarkEnd w:id="3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کان موضع عنایة المسلمین من أوّل یوم آمنوا به، فقد کان المرجعَ الأوّل لهم، فکانوا یهتمون به قراءة وحفظاً، کتابة وضبطاً، فتطرّق التحریف إلی مثل هذا الکتاب لا یمکن إلّابقدرة قاهرة حتی تتلاعب بالقرآن بالنقص، ولم یکن للأُمویّین ولا للعباسیین تلک القدرة القاهرة، لأنّ انتشار القرآن بین القرّاء والحفّاظ، وانتشار نسخه علی صعید هائل قد جعل هذه الأُمنیة الخبیثة فی عداد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للسید الشریف المرتضی بیاناً فی المقام نأتی بنصِّه،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بصحّة نقل القرآن کالعلم بالبلدان والحوادث الکبار، والوقائع العظام، والکتب المشهورة، وأشعار العرب المسطورة، فإنّ العنایة اشتدت والدواعی توفّرت علی نقله وحراسته، وبلغت إلی حدّ لم یبلغه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ذکرناه، لأنّ القرآن معجزة النبوّة، ومأخذ العلوم الشرعیة، والأحکام الدینیة، وعلماء المسلمین قد بلغوا فی حفظه وحمایته الغایة، حتی عرفُوا کلّ شی‌ء اختلف فیه من إعرابه وقراءته وحروفه وآیاته، فکیف یجوز أن یکون مغیّراً ومنقوصاً مع العنایة الصادقة والضبط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بتفسیر القرآن وأبعاضه فی صحّة نقله کالعلم بجملته، وجری ذلک مجری ما علم ضرورة من الکتب المصنفة ککتاب سیبویه والمُزَنی، فإنّ أهل العنایة بهذا الشأن یعلمون من تفصیلهما ما یعلمونه من جملتهما، ومعلوم أنّ العنایة بنقل القرآن وضبطه أصدق من العنایة بضبط کتاب سیبویه ودواوین الشعراء</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وهناک نکتة أُخری جدیرة بالإشارة، وهی إنّ تطرّق التحریف إلی المصحف الشریف یعدُّ من أفظع الجرائم التی لا یصحّ السکوت عنها، فکیف سکت الإمام أمیر المؤمنین علیه السلام وخاصّته نظیر سلمان و المقداد وأبی ذر وغیرهم، مع أنّا نری أنّ الإمام وریحانة الرسول صلی الله علیه و آله و سلم قد اعترضا علی غصب فدک مع أنّه لا یبلغ عُشْرَ ما للقرآن من العظمة والأهمیة؟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ویرشدک إلی صدق المقال أنّه قد اختلف أُبیّ بن کعب والخلیفة</w:t>
      </w:r>
    </w:p>
    <w:p>
      <w:pPr>
        <w:pStyle w:val="BookText"/>
        <w:rPr/>
      </w:pPr>
      <w:r>
        <w:rPr>
          <w:rFonts w:ascii="Amiri" w:hAnsi="Amiri" w:eastAsia="Amiri" w:cs="Amiri"/>
          <w:color w:val="111111"/>
          <w:sz w:val="28"/>
          <w:sz w:val="28"/>
          <w:szCs w:val="28"/>
          <w:rtl w:val="true"/>
          <w:lang w:bidi="ar-SA"/>
        </w:rPr>
        <w:t>الثالث فی قراءة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 فأصرّ أُبیّ انّه سمع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نظر الخلیفة إلی أنّه خال منها، فتشاجرا عند کتابة المصحف الواحد وإرساله إلی العواصم، فهدّده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تکتب الآیة بالواو وإلّا لأضع سیفی علی عاتقی فألحقوها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کما نجد أنّ الإمام علیه السلام أمر بردّ قطائع عثمان إلی بیت المال،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ومُلِکَ به الإماء، لرددته، فإنّ فی العدل سعة، و من ضاق علیه العدل، فالجور علیه أضیق</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فلو کان هناک تحریف کان ردّ الآیات المزعوم حذفها من القرآن إلی محالِّها أوجب وألزم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 أنّ علیاً علیه السلام بعدما تقلّد الخلافة الظاهریة اعترض علی إقامة صلاة التراویح جماعة، کما اعترض علی قراءة البسملة سرّاً فی الصلوات الجهریة، إلی غیر ذلک من البدع المحدثة، فعارضها الإمام وشدّد النکیر علیها بحماس، فلو صدر أیّام الخلفاء شی‌ء من هذا القبیل حول القرآن لقام الإمام بمواجهته، وردّ ما حذف بلا واهمة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سیرة المسلمین فی الصدر الأوّل یقف علی أنّ نظریة التحریف بصورة النقص کان أمراً ممتنعاً عادة</w:t>
      </w:r>
      <w:r>
        <w:rPr>
          <w:rFonts w:eastAsia="IRNazanin" w:cs="IRNazanin"/>
          <w:color w:val="111111"/>
          <w:sz w:val="28"/>
          <w:szCs w:val="28"/>
          <w:rtl w:val="true"/>
          <w:lang w:bidi="fa-IR"/>
        </w:rPr>
        <w:t>.</w:t>
      </w:r>
      <w:bookmarkStart w:id="320" w:name="pg1680_13020"/>
    </w:p>
    <w:p>
      <w:pPr>
        <w:pStyle w:val="Heading4"/>
        <w:numPr>
          <w:ilvl w:val="3"/>
          <w:numId w:val="1"/>
        </w:numPr>
        <w:rPr/>
      </w:pPr>
      <w:bookmarkStart w:id="321" w:name="__RefHeading___Toc1400970_3650668749"/>
      <w:bookmarkStart w:id="322" w:name="_Toc123"/>
      <w:bookmarkEnd w:id="320"/>
      <w:bookmarkEnd w:id="321"/>
      <w:r>
        <w:rPr/>
        <w:t>5</w:t>
      </w:r>
      <w:r>
        <w:rPr>
          <w:rtl w:val="true"/>
        </w:rPr>
        <w:t xml:space="preserve">. </w:t>
      </w:r>
      <w:r>
        <w:rPr>
          <w:rtl w:val="true"/>
        </w:rPr>
        <w:t>شهادة القرآن علی عدم التحریف</w:t>
      </w:r>
      <w:r>
        <w:rPr>
          <w:rtl w:val="true"/>
        </w:rPr>
        <w:t>:</w:t>
      </w:r>
      <w:bookmarkEnd w:id="322"/>
    </w:p>
    <w:p>
      <w:pPr>
        <w:pStyle w:val="Heading5"/>
        <w:numPr>
          <w:ilvl w:val="4"/>
          <w:numId w:val="1"/>
        </w:numPr>
        <w:rPr/>
      </w:pPr>
      <w:bookmarkStart w:id="323" w:name="__RefHeading___Toc1400972_3650668749"/>
      <w:bookmarkStart w:id="324" w:name="_Toc124"/>
      <w:bookmarkEnd w:id="323"/>
      <w:r>
        <w:rPr>
          <w:rtl w:val="true"/>
        </w:rPr>
        <w:t>آیة الحفظ</w:t>
      </w:r>
      <w:bookmarkEnd w:id="324"/>
    </w:p>
    <w:p>
      <w:pPr>
        <w:pStyle w:val="BookText"/>
        <w:rPr/>
      </w:pPr>
      <w:r>
        <w:rPr>
          <w:rFonts w:ascii="Amiri" w:hAnsi="Amiri" w:eastAsia="Amiri" w:cs="Amiri"/>
          <w:color w:val="111111"/>
          <w:sz w:val="28"/>
          <w:sz w:val="28"/>
          <w:szCs w:val="28"/>
          <w:rtl w:val="true"/>
          <w:lang w:bidi="ar-SA"/>
        </w:rPr>
        <w:t>إنّ القرآن هو الکتاب النازل من عند اللَّه سبحانه، وهو سبحانه تکفّل صیانة القرآن وحفظه عن أیِّ تلاعب،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لَوما تَأْتِینا بِالمَلائِکَةِ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وَما کانُوا إِذاً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إنّ المراد من الذکر فی کلا الموردین هو القرآن الکریم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القرآن، وقد أورد المشرکون اعتراضات ثلاثة علی النبی، أشار إلیها القرآن مع نقدها،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محمّداً صلی الله علیه و آله و سلم یتلقّی القرآن من لدن شخص مجهول، ویشیر إلی هذا الاعتراض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 نزّلَ عَلَیْهِ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صلی الله علیه و آله و سلم مختل الحواس لا اعتبار بما یتلقّاه من القرآن وینقله، فلا نُؤمن من تصرّف مخیّلته وعقلیّته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ینزل علیه الملک ویأتی بالوحی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لَوما تَأْتِینا بِالمَلائِکَةِ إِنْ کُنْتَ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أجاب الوحی عن الاعتراضات الثلاثة، ونقدّم الجواب عن الثانی والثالث بوجه موجز، ثمّ‌نعطف النظر إلی الاعتراض الأوّل لأهمیته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فقد ردّه بالتصریح بأنّه سبحانه هو المنزِّل دون غیره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رد الثالث بأنّ نزول الملائکة موجب لهلاکهم وإبادتهم، وهو یخالف هدف البعثة،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کانُوا إِذاً مُنْظَرین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فقد صرّح سبحانه بأنّه الحافظ لذکره عن تطرق أیّ خلل وتحریف فیه، وهو لا تُغلب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ظهر عدم تمامیة بعض الاحتمالات فی تفسیر الحفظ حیث قالوا المراد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حفظه من قدح القادحین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حفظه فی اللوح المحفوظ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حفظه فی صدر النبی والإمام بعده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قدح القادحین لیس مطروحاً فی الآیة حتی تجیب عنه الآیة، کما أنّ حفظه فی اللوح المحفوظ أو فی صدر النبی صلی الله علیه و آله و سلم لا یرتبط باعتراض المشرکین، فإنّ اعتراضهم کان مبنیّاً علی اتّهام النبی بالجنون الذی لا ینفک عن الخلط فی إبلاغ الوحی، فالإجابة بأنّه محفوظ فی اللوح المحفوظ أو ما أشبهه لا یکون قالعاً للإشکال، فالحقّ الذی لا ریب فیه انّه سبحانه یخبر</w:t>
      </w:r>
      <w:bookmarkStart w:id="325" w:name="pg1680_13022"/>
    </w:p>
    <w:p>
      <w:pPr>
        <w:pStyle w:val="BookText"/>
        <w:rPr/>
      </w:pPr>
      <w:bookmarkEnd w:id="325"/>
      <w:r>
        <w:rPr>
          <w:rFonts w:ascii="IRNazanin" w:hAnsi="IRNazanin" w:eastAsia="IRNazanin"/>
          <w:color w:val="111111"/>
          <w:sz w:val="28"/>
          <w:sz w:val="28"/>
          <w:szCs w:val="28"/>
          <w:rtl w:val="true"/>
          <w:lang w:bidi="fa-IR"/>
        </w:rPr>
        <w:t>عن تعهده بحفظ القرآن وصیانته فی عامّة المراحل، فالقول بالنقصان یتضاد مع تعهده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مدّعی التحریف یدّعی التحریف فی نفس هذه الآیة، لأنّها بعض القرآن، فلا یکون الاستدلال بها صحیحاً، لاستلزامه الدور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مصبّ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طروئه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الآیات الراجعة إلی الخلافة والزعامة لأئمّة أهل البیت، أو ما یرجع إلی آیات الأحکام، کآیة الرجم، وآیة الرضعات، وأمثالهما؛ وأمّا هذه الآیة ونحوها فلم یتطرّق التحریف إلیها باتّفاق المسلمین</w:t>
      </w:r>
      <w:r>
        <w:rPr>
          <w:rFonts w:eastAsia="IRNazanin" w:cs="IRNazanin"/>
          <w:color w:val="111111"/>
          <w:sz w:val="28"/>
          <w:szCs w:val="28"/>
          <w:rtl w:val="true"/>
          <w:lang w:bidi="fa-IR"/>
        </w:rPr>
        <w:t>.</w:t>
      </w:r>
    </w:p>
    <w:p>
      <w:pPr>
        <w:pStyle w:val="Heading5"/>
        <w:numPr>
          <w:ilvl w:val="4"/>
          <w:numId w:val="1"/>
        </w:numPr>
        <w:rPr/>
      </w:pPr>
      <w:bookmarkStart w:id="326" w:name="__RefHeading___Toc1400974_3650668749"/>
      <w:bookmarkStart w:id="327" w:name="_Toc125"/>
      <w:bookmarkEnd w:id="326"/>
      <w:r>
        <w:rPr>
          <w:rtl w:val="true"/>
        </w:rPr>
        <w:t>آیة نفی الباطل‌</w:t>
      </w:r>
      <w:bookmarkEnd w:id="327"/>
    </w:p>
    <w:p>
      <w:pPr>
        <w:pStyle w:val="BookText"/>
        <w:rPr/>
      </w:pPr>
      <w:r>
        <w:rPr>
          <w:rFonts w:ascii="Amiri" w:hAnsi="Amiri" w:eastAsia="Amiri" w:cs="Amiri"/>
          <w:color w:val="111111"/>
          <w:sz w:val="28"/>
          <w:sz w:val="28"/>
          <w:szCs w:val="28"/>
          <w:rtl w:val="true"/>
          <w:lang w:bidi="ar-SA"/>
        </w:rPr>
        <w:t>یصف سبحانه کتابه بأنّه المقتدر الذی لا یُغْلَب ولا یأتیه الباطل من أی جانب،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بِالذِّکْرِ لَمّا جاءَهُمْ وَإِنَّهُ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ودلالة الآیة رهن بیان أُمور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الذکر هو القرآن، ویشهد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إطلاقه علی القرآن فی غیر واحد من الآیات،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 نُزِّلَ عَلَیْهِ الذِّکْرُ إِنَّکَ لَمَجْنُون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مقدّر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نجزیهم وما شابهه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یقابل الحق، فالحق ثابت لا یُغْلب؛ والباطل له جولة، لکنّه سوف یُغلب، مثلهما کمثل الماء والزبد، فالماء یمکث فی الأرض والزبد یذهب جفاء،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حقّ فی مدالیله ومفاهیمه، وأحکامه خالدة، ومعارفه وأُصوله مطابقة للفطرة، وأخباره الغیبیة حق لا زیغ فیه، کما أنّه نزیه عن التناقض بین دساتیره وأخباره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أنّه حقّ من حیث المادة والمعنی، فهو حقّ من حیث الصورة واللفظ أیضاً، فلا یتطرّق إلیه التحریف، ونعم ما قاله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تناقض فی ألفاظه، ولا کذب فی أخباره، ولا یعارض، ولا یزداد، ولا ینقص</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ویؤیّده قوله قبل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 مِنَ الشَّیْطانِ نَزْغٌ فَاسْتَعِذْ بِاللَّهِ إِنَّهُ هُوَ السَّمِیعُ الْعَلِیم</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ولعلّه إشارة إلی ما کان یدخله فی</w:t>
      </w:r>
      <w:bookmarkStart w:id="328" w:name="pg1680_13024"/>
    </w:p>
    <w:p>
      <w:pPr>
        <w:pStyle w:val="BookText"/>
        <w:rPr/>
      </w:pPr>
      <w:bookmarkEnd w:id="328"/>
      <w:r>
        <w:rPr>
          <w:rFonts w:ascii="IRNazanin" w:hAnsi="IRNazanin" w:eastAsia="IRNazanin"/>
          <w:color w:val="111111"/>
          <w:sz w:val="28"/>
          <w:sz w:val="28"/>
          <w:szCs w:val="28"/>
          <w:rtl w:val="true"/>
          <w:lang w:bidi="fa-IR"/>
        </w:rPr>
        <w:t>نفسه من إمکان إبطال شریعته بعد مماته، فأمره بالاستعاذة باللَّه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تخصیص مفاد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بطروء التناقض فی أحکامه وتکاذب أخباره لا وجه له، فالقرآن مصون عن أیّ باطل یبطله، أو فاسد یفسده، بل هو غضّ طریّ لا یُبْلی وَلا یُفنی</w:t>
      </w:r>
      <w:r>
        <w:rPr>
          <w:rFonts w:eastAsia="IRNazanin" w:cs="IRNazanin"/>
          <w:color w:val="111111"/>
          <w:sz w:val="28"/>
          <w:szCs w:val="28"/>
          <w:rtl w:val="true"/>
          <w:lang w:bidi="fa-IR"/>
        </w:rPr>
        <w:t>.</w:t>
      </w:r>
    </w:p>
    <w:p>
      <w:pPr>
        <w:pStyle w:val="Heading5"/>
        <w:numPr>
          <w:ilvl w:val="4"/>
          <w:numId w:val="1"/>
        </w:numPr>
        <w:rPr/>
      </w:pPr>
      <w:bookmarkStart w:id="329" w:name="__RefHeading___Toc1400976_3650668749"/>
      <w:bookmarkStart w:id="330" w:name="_Toc126"/>
      <w:bookmarkEnd w:id="329"/>
      <w:r>
        <w:rPr>
          <w:rtl w:val="true"/>
        </w:rPr>
        <w:t>آیة جمع القرآن الکریم وقراءته‌</w:t>
      </w:r>
      <w:bookmarkEnd w:id="330"/>
    </w:p>
    <w:p>
      <w:pPr>
        <w:pStyle w:val="BookText"/>
        <w:rPr/>
      </w:pPr>
      <w:r>
        <w:rPr>
          <w:rFonts w:ascii="Amiri" w:hAnsi="Amiri" w:eastAsia="Amiri" w:cs="Amiri"/>
          <w:color w:val="111111"/>
          <w:sz w:val="28"/>
          <w:sz w:val="28"/>
          <w:szCs w:val="28"/>
          <w:rtl w:val="true"/>
          <w:lang w:bidi="ar-SA"/>
        </w:rPr>
        <w:t>رُوی أنّه إذا نزل القرآن، عجل النبی بقراءته، حرصاً منه علی ضبطه، فوافاه الوحی ونهاه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فعلی اللَّه سبحانه الجمع والحفظ والبیان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ضمن فی آیة أُخری عدم نسیانه صلی الله علیه و آله و سلم القرآن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یَعْلَمُ الجَهْرَ وَما یَخْفی</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یمکن أن یستدلّ به، علی صیانة القرآن من التحریف بالقرآن، والاستثناء فی الآیة الأخیرة نظیر الاستثناء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سُعِدُوا فَفِی الجَنَّةِ خالِدینَ فیها ما دامَتِ السَّماواتُ وَ الأْرضُ‌إِلّا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من المعلوم أنّ أهل السعادة محکومون</w:t>
      </w:r>
      <w:bookmarkStart w:id="331" w:name="pg1680_13025"/>
    </w:p>
    <w:p>
      <w:pPr>
        <w:pStyle w:val="BookText"/>
        <w:rPr/>
      </w:pPr>
      <w:bookmarkEnd w:id="331"/>
      <w:r>
        <w:rPr>
          <w:rFonts w:ascii="IRNazanin" w:hAnsi="IRNazanin" w:eastAsia="IRNazanin"/>
          <w:color w:val="111111"/>
          <w:sz w:val="28"/>
          <w:sz w:val="28"/>
          <w:szCs w:val="28"/>
          <w:rtl w:val="true"/>
          <w:lang w:bidi="fa-IR"/>
        </w:rPr>
        <w:t>بالخلود فی الجنة ویشهد له ذیل الآیة،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مقطوع، ومع ذلک فلیس التقدیر علی وجه یخرج الأمر من یده سبحانه، فهو فی کلّ حین قادر علی نقض الخلود</w:t>
      </w:r>
      <w:r>
        <w:rPr>
          <w:rFonts w:eastAsia="IRNazanin" w:cs="IRNazanin"/>
          <w:color w:val="111111"/>
          <w:sz w:val="28"/>
          <w:szCs w:val="28"/>
          <w:rtl w:val="true"/>
          <w:lang w:bidi="fa-IR"/>
        </w:rPr>
        <w:t>.</w:t>
      </w:r>
    </w:p>
    <w:p>
      <w:pPr>
        <w:pStyle w:val="Heading4"/>
        <w:numPr>
          <w:ilvl w:val="3"/>
          <w:numId w:val="1"/>
        </w:numPr>
        <w:rPr/>
      </w:pPr>
      <w:bookmarkStart w:id="332" w:name="__RefHeading___Toc1400978_3650668749"/>
      <w:bookmarkStart w:id="333" w:name="_Toc127"/>
      <w:bookmarkEnd w:id="332"/>
      <w:r>
        <w:rPr/>
        <w:t>6</w:t>
      </w:r>
      <w:r>
        <w:rPr>
          <w:rtl w:val="true"/>
        </w:rPr>
        <w:t xml:space="preserve">. </w:t>
      </w:r>
      <w:r>
        <w:rPr>
          <w:rtl w:val="true"/>
        </w:rPr>
        <w:t>شهادة الروایات علی مصونیة القرآن الکریم من التحریف‌</w:t>
      </w:r>
      <w:bookmarkEnd w:id="333"/>
    </w:p>
    <w:p>
      <w:pPr>
        <w:pStyle w:val="Heading5"/>
        <w:numPr>
          <w:ilvl w:val="4"/>
          <w:numId w:val="1"/>
        </w:numPr>
        <w:rPr/>
      </w:pPr>
      <w:bookmarkStart w:id="334" w:name="__RefHeading___Toc1400980_3650668749"/>
      <w:bookmarkStart w:id="335" w:name="_Toc128"/>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وأمّا الروایات الدالّة علی کونه مصوناً منه، فنقتصر منها بما یلی</w:t>
      </w:r>
      <w:r>
        <w:rPr>
          <w:rFonts w:eastAsia="IRNazanin" w:cs="IRNazanin"/>
          <w:color w:val="111111"/>
          <w:sz w:val="28"/>
          <w:szCs w:val="28"/>
          <w:rtl w:val="true"/>
          <w:lang w:bidi="fa-IR"/>
        </w:rPr>
        <w:t>:</w:t>
      </w:r>
    </w:p>
    <w:p>
      <w:pPr>
        <w:pStyle w:val="Heading5"/>
        <w:numPr>
          <w:ilvl w:val="4"/>
          <w:numId w:val="1"/>
        </w:numPr>
        <w:rPr/>
      </w:pPr>
      <w:bookmarkStart w:id="336" w:name="__RefHeading___Toc1400982_3650668749"/>
      <w:bookmarkStart w:id="337" w:name="_Toc129"/>
      <w:bookmarkEnd w:id="336"/>
      <w:r>
        <w:rPr/>
        <w:t>1</w:t>
      </w:r>
      <w:r>
        <w:rPr>
          <w:rtl w:val="true"/>
        </w:rPr>
        <w:t xml:space="preserve">. </w:t>
      </w:r>
      <w:r>
        <w:rPr>
          <w:rtl w:val="true"/>
        </w:rPr>
        <w:t>أخبار عرض الأحادیث علی القرآن الکریم‌</w:t>
      </w:r>
      <w:bookmarkEnd w:id="337"/>
    </w:p>
    <w:p>
      <w:pPr>
        <w:pStyle w:val="BookText"/>
        <w:rPr/>
      </w:pPr>
      <w:r>
        <w:rPr>
          <w:rFonts w:ascii="IRNazanin" w:hAnsi="IRNazanin" w:eastAsia="IRNazanin"/>
          <w:color w:val="111111"/>
          <w:sz w:val="28"/>
          <w:sz w:val="28"/>
          <w:szCs w:val="28"/>
          <w:rtl w:val="true"/>
          <w:lang w:bidi="fa-IR"/>
        </w:rPr>
        <w:t>قد تضافرت الروایات عن الأئمّة علیهم السلام بعرض الروایات علی القرآن والأخذ بموافقه وردّ مخالفه، وقد جمعها الشیخ الحر العاملی فی الباب التاسع من أبواب صفات القاضی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وروی أیّوب بن راشد،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وفی روایة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bookmarkStart w:id="338" w:name="pg1680_13026"/>
    </w:p>
    <w:p>
      <w:pPr>
        <w:pStyle w:val="BookText"/>
        <w:rPr/>
      </w:pPr>
      <w:bookmarkEnd w:id="338"/>
      <w:r>
        <w:rPr>
          <w:rFonts w:ascii="IRNazanin" w:hAnsi="IRNazanin" w:eastAsia="IRNazanin"/>
          <w:color w:val="111111"/>
          <w:sz w:val="28"/>
          <w:sz w:val="28"/>
          <w:szCs w:val="28"/>
          <w:rtl w:val="true"/>
          <w:lang w:bidi="fa-IR"/>
        </w:rPr>
        <w:t>شی‌ء مردود إلی الکتاب والسنّة، وکلّ حدیث لا یوافق کتاب اللَّه فهو زخرف</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وجه الدلالة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المتبادر من أخبار العرض أنّ القرآن مقیاس سالم لم تنله ید التبدیل و التحریف والتصرف، والقول بالتحریف لا یلائم القول بسلامة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الإمعان فی مجموع روایات العرض یثبت انّ الشرط اللازم هو عدم المخالفة، لا وجود الموافقة، وإلّا لزم ردّ أخبار کثیرة لعدم تعرض القرآن إلیها بالإثبات والنفی، ولا تعلم المخالفة وعدمها إلّاإذا کان المقیس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بعامة سوره وأجزائه موجوداً عندنا، وإلّا فیمکن أن یکون الخبر مخالفاً لما سقط وحرّف</w:t>
      </w:r>
      <w:r>
        <w:rPr>
          <w:rFonts w:eastAsia="IRNazanin" w:cs="IRNazanin"/>
          <w:color w:val="111111"/>
          <w:sz w:val="28"/>
          <w:szCs w:val="28"/>
          <w:rtl w:val="true"/>
          <w:lang w:bidi="fa-IR"/>
        </w:rPr>
        <w:t>.</w:t>
      </w:r>
    </w:p>
    <w:p>
      <w:pPr>
        <w:pStyle w:val="Heading5"/>
        <w:numPr>
          <w:ilvl w:val="4"/>
          <w:numId w:val="1"/>
        </w:numPr>
        <w:rPr/>
      </w:pPr>
      <w:bookmarkStart w:id="339" w:name="__RefHeading___Toc1400984_3650668749"/>
      <w:bookmarkStart w:id="340" w:name="_Toc130"/>
      <w:bookmarkEnd w:id="339"/>
      <w:r>
        <w:rPr/>
        <w:t>2</w:t>
      </w:r>
      <w:r>
        <w:rPr>
          <w:rtl w:val="true"/>
        </w:rPr>
        <w:t xml:space="preserve">. </w:t>
      </w:r>
      <w:r>
        <w:rPr>
          <w:rtl w:val="true"/>
        </w:rPr>
        <w:t>حدیث الثقلین‌</w:t>
      </w:r>
      <w:bookmarkEnd w:id="340"/>
    </w:p>
    <w:p>
      <w:pPr>
        <w:pStyle w:val="BookText"/>
        <w:rPr/>
      </w:pPr>
      <w:r>
        <w:rPr>
          <w:rFonts w:ascii="IRNazanin" w:hAnsi="IRNazanin" w:eastAsia="IRNazanin"/>
          <w:color w:val="111111"/>
          <w:sz w:val="28"/>
          <w:sz w:val="28"/>
          <w:szCs w:val="28"/>
          <w:rtl w:val="true"/>
          <w:lang w:bidi="fa-IR"/>
        </w:rPr>
        <w:t>إنّ حدیث الثقلین یأمر بالتمسّک بالقرآن، مثل التمسّک بأقوال العترة، حیث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 عدم التحریف،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بالتمسّک بالقرآن، فرع وجود القرآن بین المتمسّکین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بسقوط قسم من آیاته وسُوَره، یوجب عدم الاطمئنان</w:t>
      </w:r>
      <w:bookmarkStart w:id="341" w:name="pg1680_13027"/>
    </w:p>
    <w:p>
      <w:pPr>
        <w:pStyle w:val="BookText"/>
        <w:rPr/>
      </w:pPr>
      <w:bookmarkEnd w:id="341"/>
      <w:r>
        <w:rPr>
          <w:rFonts w:ascii="IRNazanin" w:hAnsi="IRNazanin" w:eastAsia="IRNazanin"/>
          <w:color w:val="111111"/>
          <w:sz w:val="28"/>
          <w:sz w:val="28"/>
          <w:szCs w:val="28"/>
          <w:rtl w:val="true"/>
          <w:lang w:bidi="fa-IR"/>
        </w:rPr>
        <w:t>فیما یستفاد من القرآن الموجود، إذ من المحتمل أن یکون المحذوف قرینة علی المراد من الموجود</w:t>
      </w:r>
      <w:r>
        <w:rPr>
          <w:rFonts w:eastAsia="IRNazanin" w:cs="IRNazanin"/>
          <w:color w:val="111111"/>
          <w:sz w:val="28"/>
          <w:szCs w:val="28"/>
          <w:rtl w:val="true"/>
          <w:lang w:bidi="fa-IR"/>
        </w:rPr>
        <w:t>.</w:t>
      </w:r>
    </w:p>
    <w:p>
      <w:pPr>
        <w:pStyle w:val="Heading4"/>
        <w:numPr>
          <w:ilvl w:val="3"/>
          <w:numId w:val="1"/>
        </w:numPr>
        <w:rPr/>
      </w:pPr>
      <w:bookmarkStart w:id="342" w:name="__RefHeading___Toc1400986_3650668749"/>
      <w:bookmarkStart w:id="343" w:name="_Toc131"/>
      <w:bookmarkEnd w:id="342"/>
      <w:r>
        <w:rPr/>
        <w:t>7</w:t>
      </w:r>
      <w:r>
        <w:rPr>
          <w:rtl w:val="true"/>
        </w:rPr>
        <w:t xml:space="preserve">. </w:t>
      </w:r>
      <w:r>
        <w:rPr>
          <w:rtl w:val="true"/>
        </w:rPr>
        <w:t>أئمة أهل البیت وصیانة القرآن من التحریف‌</w:t>
      </w:r>
      <w:bookmarkEnd w:id="343"/>
    </w:p>
    <w:p>
      <w:pPr>
        <w:pStyle w:val="BookText"/>
        <w:rPr/>
      </w:pPr>
      <w:r>
        <w:rPr>
          <w:rFonts w:ascii="IRNazanin" w:hAnsi="IRNazanin" w:eastAsia="IRNazanin"/>
          <w:color w:val="111111"/>
          <w:sz w:val="28"/>
          <w:sz w:val="28"/>
          <w:szCs w:val="28"/>
          <w:rtl w:val="true"/>
          <w:lang w:bidi="fa-IR"/>
        </w:rPr>
        <w:t>إنّ الإمعان فی خطب الإمام أمیر المؤمنین علیه السلام وکلمات أوصیائه المعصومین علیهم السلام یعرب عن اعتبارهم القرآن الموجود بین ظهرانی المسلمین، هو کتاب اللَّه المنزل علی رسوله بلا زیادة ولا نقیصة، ویعرف ذلک من تصریحاتهم تارة، وإشاراتهم أُخری، ونذکر شیئاً قلیلًا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علیکم الکتاب تبیاناً لکلّ شی‌ء، وعمّر فیکم نبیّه أزماناً، حتی أکمل له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أنزل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الذی رضی لنفسه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والخطبة صریحة فی إکمال الدین تحت ظل کتابه، فکیف یکون الدین کاملًا و مصدره محرّفاً غیر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 ذلک انّ الإمام یحثّ علی التمسّک بالدین الکامل بعد رحیل الرسول صلی الله علیه و آله و سلم، وهو فرع کمال مصدره وسنده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اللَّه بین أظهرکم ناطق لا یعیا لسانه، وبیت لا تهدم أرکانه، وعزٌّ لا تهزم أعوانه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أئمة الکتاب ولیس الکتاب إمامهم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رسالة الإمام الجواد علیه السلام إلی سعد الخیر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نبذهم الکتاب أن أقاموا حروفه، وحرّفوا حدوده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وفی هذا تصریح ببقاء القرآن بلفظه، وانّ التحریف فی تطبیقه علی الحیاة حیث لم یطبقوا أحکامه فی حیاتهم، ومن أوضح مظاهره منع بنت المصطفی علیها السلام من إرث والدها مع أنّه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سبحانه عن لسان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فیما ذکرنا کفایة، فلنستعرض کلمات علمائنا</w:t>
      </w:r>
      <w:r>
        <w:rPr>
          <w:rFonts w:eastAsia="IRNazanin" w:cs="IRNazanin"/>
          <w:color w:val="111111"/>
          <w:sz w:val="28"/>
          <w:szCs w:val="28"/>
          <w:rtl w:val="true"/>
          <w:lang w:bidi="fa-IR"/>
        </w:rPr>
        <w:t>.</w:t>
      </w:r>
      <w:bookmarkStart w:id="344" w:name="pg1680_13029"/>
    </w:p>
    <w:p>
      <w:pPr>
        <w:pStyle w:val="Heading4"/>
        <w:numPr>
          <w:ilvl w:val="3"/>
          <w:numId w:val="1"/>
        </w:numPr>
        <w:rPr/>
      </w:pPr>
      <w:bookmarkStart w:id="345" w:name="__RefHeading___Toc1400988_3650668749"/>
      <w:bookmarkStart w:id="346" w:name="_Toc132"/>
      <w:bookmarkEnd w:id="344"/>
      <w:bookmarkEnd w:id="345"/>
      <w:r>
        <w:rPr/>
        <w:t>8</w:t>
      </w:r>
      <w:r>
        <w:rPr>
          <w:rtl w:val="true"/>
        </w:rPr>
        <w:t xml:space="preserve">. </w:t>
      </w:r>
      <w:r>
        <w:rPr>
          <w:rtl w:val="true"/>
        </w:rPr>
        <w:t>علماء الشیعة وصیانة القرآن من التحریف‌</w:t>
      </w:r>
      <w:bookmarkEnd w:id="346"/>
    </w:p>
    <w:p>
      <w:pPr>
        <w:pStyle w:val="BookText"/>
        <w:rPr/>
      </w:pPr>
      <w:r>
        <w:rPr>
          <w:rFonts w:ascii="IRNazanin" w:hAnsi="IRNazanin" w:eastAsia="IRNazanin"/>
          <w:color w:val="111111"/>
          <w:sz w:val="28"/>
          <w:sz w:val="28"/>
          <w:szCs w:val="28"/>
          <w:rtl w:val="true"/>
          <w:lang w:bidi="fa-IR"/>
        </w:rPr>
        <w:t>إنّ التتبع فی کلمات علمائنا الکبار الذین کانوا هم القدوة والأُسوة فی جمیع الأجیال، یعرب عن أنّهم کانوا یتبرّأون من القول بالتحریف، وینسبون فکرة التحریف إلی روایات الآحاد، ولا یمکننا نقل کلمات علمائنا عبر القرون، بل نشیر إلی کلمات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الأجل الفضل بن شاذان الأزدی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نقده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أخاف أن یقال زاد عمر فی القرآن، ثبّتَ هذه الآیة، فإنّا کنّا نقرؤها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زنیا فارجموهما ألبتة بما قضیا من الشهوة نکالًا من اللَّه واللَّه عزیز حکیم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فلو کان التحریف من عقائد الشیعة، لما کان له التحامل علی السنّة بالقول بالتحریف لاشتراکهما فی ذلک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أنّه کلام اللَّه ووحیه تنزیلًا، وقوله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القصص الحق، وانّه لحقّ‌فصل، وما هو بالهزل، وانّ اللَّه تبارک و تعالی مُحْدثه ومنزله وربّه وحافظه والمتکلّم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جماعة من أهل الإمامة انّه لم ینقص من کلمة ولا من آیة ولا من سورة، ولکن حذف ما کان مثبتاً فی مصحف أمیر المؤمنین علیه السلام من تأویل وتفسیر معانیه علی حقیقة تنزیله، وذلک کان ثابتاً منزلًا، وإن لم یکن من جملة کلام اللَّه الذی هو القرآن المعجز، وقد یسمّی تأویل القرآن قرآناً، وعندی انّ هذا القول أشبه بالحقّ من مقال من ادّعی نقصان کلم من نفس القرآن علی الحقیقة دون التأویل وإلیه أمیل</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وقال أیضاً فی أجوبة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احتج علی التحریف بالروایات الواردة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أئمة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الأخبار التی جاءت بذلک أخبار آحاد لا یقطع علی اللَّه تعالی بصحّتها، فلذلک وقفنا فیها، ولم نعدل عمّا فی المصحف الظاهر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 نقلنا عنه فی الدلیل الأوّل، انّ جماعة من الصحابة، مثل عبد اللَّه بن مسعود و أُبّی بن کعب وغیرهما ختموا القرآن علی النبی عدّة ختمات، وکلّ ذلک یدلّ بأدنی تأمّل علی أنّه کان مجموعاً مرتباً غیر مستور ولا مبثوث</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زیادة القرآن ونقصانه فمما لا یلیق به أیضاً، لأنّ الزیادة فیه مجمع علی بطلانها، والنقصان منه فالظاهر أیضاً من مذهب المسلمین خلافه، وهو الألیق بالصحیح من مذهبنا، وهو الذی نصره المرتضی رحمه الله، وهو الظاهر فی الروایات، ثمّ‌وصف الروایات المخالفة بالآحاد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زیادة القرآن ونقصانه؛ أمّا الزیادة فیه فمجمع علی بطلانها، وأمّا النقصان منه فقد روی جماعة من أصحابنا وقوم من حشویة العامة انّ فی القرآن تغییراً أو نقصاناً، والصحیح من مذهب أصحابنا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علی بن طاووس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الإمامیة هو عدم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السید الجلیل المهنّا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انّه لا تبدیل ولا تأخیر ولا تقدیم، وانّه لم یزد ولم یُنْقَص، ونعوذ باللَّه من أن یعتقد مثل ذلک وأمثال ذلک، فإنّه یوجب تطرّق الشک إلی معجزة الرسول المنقولة بالتواتر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لزوم 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یقرأه هو القرآن، فینبغی تحصیله من التواتر الموجب للعلم، وعدم جواز الاکتفاء بالسماع حتی من عدل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ثبت تواتره فهو مأمون من الاختلال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مضبوط فی الکتب حتی أنّه معدود حرفاً حرفاً، وحرکة حرکة، وکذا طریق الکتابة وغیرها ممّا یفید الظن الغالب بل العلم بعدم الزیادة علی ذلک والنقص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القاضی السید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الشیعة الإمامیة من وقوع التحریف فی القرآن لیس ممّا یقول به جمهور الإمامیة، إنّما قال به شرذمة قلیلة منهم لا اعتداد لهم فیما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استقصینا کلمات علمائنا فی هذا المجال لطال بنا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ظهر الحقّ بأجلی مظاهره فلم یبق إلّا دراسة بعض الشبهات ودحضها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انّ أهل السنّة یتّهمون الشیعة بالقول بالتحریف ویشنّون الغارة علیهم، وهم یروون أحادیثه فی أصحّ صحاحهم ومسانیدهم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انّ أکابر الفریقین بریئون عن هذه الوصمة، غیر أنّ لفیفاً من حشویة أهل السنّة، وأخباریة الشیعة یدّعون التحریف وهم یستندون إلی روایات لا قیمة لها فی سوق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ولنذکر ما رواه أهل السنّة فی کتبهم</w:t>
      </w:r>
      <w:r>
        <w:rPr>
          <w:rFonts w:eastAsia="IRNazanin" w:cs="IRNazanin"/>
          <w:color w:val="111111"/>
          <w:sz w:val="28"/>
          <w:szCs w:val="28"/>
          <w:rtl w:val="true"/>
          <w:lang w:bidi="fa-IR"/>
        </w:rPr>
        <w:t>.</w:t>
      </w:r>
      <w:bookmarkStart w:id="347" w:name="pg1680_13033"/>
    </w:p>
    <w:p>
      <w:pPr>
        <w:pStyle w:val="Heading4"/>
        <w:numPr>
          <w:ilvl w:val="3"/>
          <w:numId w:val="1"/>
        </w:numPr>
        <w:rPr/>
      </w:pPr>
      <w:bookmarkStart w:id="348" w:name="__RefHeading___Toc1400990_3650668749"/>
      <w:bookmarkStart w:id="349" w:name="_Toc133"/>
      <w:bookmarkEnd w:id="347"/>
      <w:bookmarkEnd w:id="348"/>
      <w:r>
        <w:rPr/>
        <w:t>9</w:t>
      </w:r>
      <w:r>
        <w:rPr>
          <w:rtl w:val="true"/>
        </w:rPr>
        <w:t xml:space="preserve">. </w:t>
      </w:r>
      <w:r>
        <w:rPr>
          <w:rtl w:val="true"/>
        </w:rPr>
        <w:t>آیات غیر مکتوبة ادّعیت انّها من القرآن الکریم‌</w:t>
      </w:r>
      <w:bookmarkEnd w:id="349"/>
    </w:p>
    <w:p>
      <w:pPr>
        <w:pStyle w:val="Heading5"/>
        <w:numPr>
          <w:ilvl w:val="4"/>
          <w:numId w:val="1"/>
        </w:numPr>
        <w:rPr/>
      </w:pPr>
      <w:bookmarkStart w:id="350" w:name="__RefHeading___Toc1400992_3650668749"/>
      <w:bookmarkStart w:id="351" w:name="_Toc134"/>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یری عمر بن الخطاب أنّ آیات أربع سقطت من القرآن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الرجم، وآیة الفراش، وآیة الرغبة، وآیة الجهاد، والعجب انّ الصحاح والمسانید احتفلت بنقلها، مع أنّ نصوصها تشهد علی أنّها لیست من القرآن وإن کانت مضامینها مطابقة للشریعة، وإلیک الآیات الأربع المزعومة</w:t>
      </w:r>
      <w:r>
        <w:rPr>
          <w:rFonts w:eastAsia="IRNazanin" w:cs="IRNazanin"/>
          <w:color w:val="111111"/>
          <w:sz w:val="28"/>
          <w:szCs w:val="28"/>
          <w:rtl w:val="true"/>
          <w:lang w:bidi="fa-IR"/>
        </w:rPr>
        <w:t>:</w:t>
      </w:r>
    </w:p>
    <w:p>
      <w:pPr>
        <w:pStyle w:val="Heading5"/>
        <w:numPr>
          <w:ilvl w:val="4"/>
          <w:numId w:val="1"/>
        </w:numPr>
        <w:rPr/>
      </w:pPr>
      <w:bookmarkStart w:id="352" w:name="__RefHeading___Toc1400994_3650668749"/>
      <w:bookmarkStart w:id="353" w:name="_Toc135"/>
      <w:bookmarkEnd w:id="352"/>
      <w:r>
        <w:rPr/>
        <w:t>1</w:t>
      </w:r>
      <w:r>
        <w:rPr>
          <w:rtl w:val="true"/>
        </w:rPr>
        <w:t xml:space="preserve">. </w:t>
      </w:r>
      <w:r>
        <w:rPr>
          <w:rtl w:val="true"/>
        </w:rPr>
        <w:t>آیة الرجم‌</w:t>
      </w:r>
      <w:bookmarkEnd w:id="353"/>
    </w:p>
    <w:p>
      <w:pPr>
        <w:pStyle w:val="BookText"/>
        <w:rPr/>
      </w:pPr>
      <w:r>
        <w:rPr>
          <w:rFonts w:ascii="IRNazanin" w:hAnsi="IRNazanin" w:eastAsia="IRNazanin"/>
          <w:color w:val="111111"/>
          <w:sz w:val="28"/>
          <w:sz w:val="28"/>
          <w:szCs w:val="28"/>
          <w:rtl w:val="true"/>
          <w:lang w:bidi="fa-IR"/>
        </w:rPr>
        <w:t>خطب عمر عند منصرفه من الحج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تهلکوا عن آیة الرجم یقول قائل لا نجد حدّین فی کتاب اللَّه، فقد رجم رسول اللَّه ورجمنا، والذی نفسی بیده لولا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فی کتاب اللَّه تعالی لکتبتها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قرأناها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ولفظها ینادی بأنّها لیست من القرآن، والمضمون غیر خال من الإشکال، لأنّ الموضوع للرجم هو المحصن والمحصنة، سواء کانا شابین أو شیخین أو مختلفین</w:t>
      </w:r>
      <w:r>
        <w:rPr>
          <w:rFonts w:eastAsia="IRNazanin" w:cs="IRNazanin"/>
          <w:color w:val="111111"/>
          <w:sz w:val="28"/>
          <w:szCs w:val="28"/>
          <w:rtl w:val="true"/>
          <w:lang w:bidi="fa-IR"/>
        </w:rPr>
        <w:t>.</w:t>
      </w:r>
    </w:p>
    <w:p>
      <w:pPr>
        <w:pStyle w:val="Heading5"/>
        <w:numPr>
          <w:ilvl w:val="4"/>
          <w:numId w:val="1"/>
        </w:numPr>
        <w:rPr/>
      </w:pPr>
      <w:bookmarkStart w:id="354" w:name="__RefHeading___Toc1400996_3650668749"/>
      <w:bookmarkStart w:id="355" w:name="_Toc136"/>
      <w:bookmarkEnd w:id="354"/>
      <w:r>
        <w:rPr/>
        <w:t>2</w:t>
      </w:r>
      <w:r>
        <w:rPr>
          <w:rtl w:val="true"/>
        </w:rPr>
        <w:t xml:space="preserve">. </w:t>
      </w:r>
      <w:r>
        <w:rPr>
          <w:rtl w:val="true"/>
        </w:rPr>
        <w:t>آیة الفراش‌</w:t>
      </w:r>
      <w:bookmarkEnd w:id="3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الخطاب مخاطباً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فقدنا من کتاب اللَّه؛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واللفظ</w:t>
      </w:r>
      <w:bookmarkStart w:id="356" w:name="pg1680_13034"/>
    </w:p>
    <w:p>
      <w:pPr>
        <w:pStyle w:val="BookText"/>
        <w:rPr/>
      </w:pPr>
      <w:bookmarkEnd w:id="356"/>
      <w:r>
        <w:rPr>
          <w:rFonts w:ascii="IRNazanin" w:hAnsi="IRNazanin" w:eastAsia="IRNazanin"/>
          <w:color w:val="111111"/>
          <w:sz w:val="28"/>
          <w:sz w:val="28"/>
          <w:szCs w:val="28"/>
          <w:rtl w:val="true"/>
          <w:lang w:bidi="fa-IR"/>
        </w:rPr>
        <w:t>مع فصاحته أیضاً یأبی أن یکون من القرآن، لکن الخلیفة زعم انّ العبارة من القرآن</w:t>
      </w:r>
      <w:r>
        <w:rPr>
          <w:rFonts w:eastAsia="IRNazanin" w:cs="IRNazanin"/>
          <w:color w:val="111111"/>
          <w:sz w:val="28"/>
          <w:szCs w:val="28"/>
          <w:rtl w:val="true"/>
          <w:lang w:bidi="fa-IR"/>
        </w:rPr>
        <w:t>.</w:t>
      </w:r>
    </w:p>
    <w:p>
      <w:pPr>
        <w:pStyle w:val="Heading5"/>
        <w:numPr>
          <w:ilvl w:val="4"/>
          <w:numId w:val="1"/>
        </w:numPr>
        <w:rPr/>
      </w:pPr>
      <w:bookmarkStart w:id="357" w:name="__RefHeading___Toc1400998_3650668749"/>
      <w:bookmarkStart w:id="358" w:name="_Toc137"/>
      <w:bookmarkEnd w:id="357"/>
      <w:r>
        <w:rPr/>
        <w:t>3</w:t>
      </w:r>
      <w:r>
        <w:rPr>
          <w:rtl w:val="true"/>
        </w:rPr>
        <w:t xml:space="preserve">. </w:t>
      </w:r>
      <w:r>
        <w:rPr>
          <w:rtl w:val="true"/>
        </w:rPr>
        <w:t>آیة الرغبة</w:t>
      </w:r>
      <w:bookmarkEnd w:id="358"/>
    </w:p>
    <w:p>
      <w:pPr>
        <w:pStyle w:val="BookText"/>
        <w:rPr/>
      </w:pPr>
      <w:r>
        <w:rPr>
          <w:rFonts w:ascii="IRNazanin" w:hAnsi="IRNazanin" w:eastAsia="IRNazanin"/>
          <w:color w:val="111111"/>
          <w:sz w:val="28"/>
          <w:sz w:val="28"/>
          <w:szCs w:val="28"/>
          <w:rtl w:val="true"/>
          <w:lang w:bidi="fa-IR"/>
        </w:rPr>
        <w:t>روی البخاری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نقرأ فیما نقرأ من کتاب اللَّه أن لا ترغبوا عن آبائکم فإنّه کفر بکم أن ترغبوا عن آبائکم أو أن کفرا بکم أن ترغبوا عن آبائکم</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359" w:name="__RefHeading___Toc1401000_3650668749"/>
      <w:bookmarkStart w:id="360" w:name="_Toc138"/>
      <w:bookmarkEnd w:id="359"/>
      <w:r>
        <w:rPr/>
        <w:t>4</w:t>
      </w:r>
      <w:r>
        <w:rPr>
          <w:rtl w:val="true"/>
        </w:rPr>
        <w:t xml:space="preserve">. </w:t>
      </w:r>
      <w:r>
        <w:rPr>
          <w:rtl w:val="true"/>
        </w:rPr>
        <w:t>آیة الجهاد</w:t>
      </w:r>
      <w:bookmarkEnd w:id="360"/>
    </w:p>
    <w:p>
      <w:pPr>
        <w:pStyle w:val="BookText"/>
        <w:rPr/>
      </w:pPr>
      <w:r>
        <w:rPr>
          <w:rFonts w:ascii="IRNazanin" w:hAnsi="IRNazanin" w:eastAsia="IRNazanin"/>
          <w:color w:val="111111"/>
          <w:sz w:val="28"/>
          <w:sz w:val="28"/>
          <w:szCs w:val="28"/>
          <w:rtl w:val="true"/>
          <w:lang w:bidi="fa-IR"/>
        </w:rPr>
        <w:t>روی السیوطی أنّ عمر قال لابن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تجد فیما أُنزل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جاهدوا کما جاهدتم أوّل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 فیما أُسقط من القرآن</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61" w:name="__RefHeading___Toc1401002_3650668749"/>
      <w:bookmarkStart w:id="362" w:name="_Toc139"/>
      <w:bookmarkEnd w:id="361"/>
      <w:r>
        <w:rPr/>
        <w:t>5</w:t>
      </w:r>
      <w:r>
        <w:rPr>
          <w:rtl w:val="true"/>
        </w:rPr>
        <w:t xml:space="preserve">. </w:t>
      </w:r>
      <w:r>
        <w:rPr>
          <w:rtl w:val="true"/>
        </w:rPr>
        <w:t>آیة الرضعات‌</w:t>
      </w:r>
      <w:bookmarkEnd w:id="3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أُنزل من القرآن عشر رضعات معلومات یحرمن ثمّ نسخن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وهنّ فیما یقرأ من القرآن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إنّ آیتها نظیر آیات الخلیفة تأبی أن تکون من صمیم القرآن، ولو کان لکتب فی المصاحف، ولا وجه لإسقاطها</w:t>
      </w:r>
      <w:r>
        <w:rPr>
          <w:rFonts w:eastAsia="IRNazanin" w:cs="IRNazanin"/>
          <w:color w:val="111111"/>
          <w:sz w:val="28"/>
          <w:szCs w:val="28"/>
          <w:rtl w:val="true"/>
          <w:lang w:bidi="fa-IR"/>
        </w:rPr>
        <w:t>.</w:t>
      </w:r>
      <w:bookmarkStart w:id="363" w:name="pg1680_13035"/>
    </w:p>
    <w:p>
      <w:pPr>
        <w:pStyle w:val="Heading4"/>
        <w:numPr>
          <w:ilvl w:val="3"/>
          <w:numId w:val="1"/>
        </w:numPr>
        <w:rPr/>
      </w:pPr>
      <w:bookmarkStart w:id="364" w:name="__RefHeading___Toc1401004_3650668749"/>
      <w:bookmarkStart w:id="365" w:name="_Toc140"/>
      <w:bookmarkEnd w:id="363"/>
      <w:bookmarkEnd w:id="364"/>
      <w:r>
        <w:rPr/>
        <w:t>10</w:t>
      </w:r>
      <w:r>
        <w:rPr>
          <w:rtl w:val="true"/>
        </w:rPr>
        <w:t xml:space="preserve">. </w:t>
      </w:r>
      <w:r>
        <w:rPr>
          <w:rtl w:val="true"/>
        </w:rPr>
        <w:t>شبهتان حول التحریف‌</w:t>
      </w:r>
      <w:bookmarkEnd w:id="365"/>
    </w:p>
    <w:p>
      <w:pPr>
        <w:pStyle w:val="Heading5"/>
        <w:numPr>
          <w:ilvl w:val="4"/>
          <w:numId w:val="1"/>
        </w:numPr>
        <w:rPr/>
      </w:pPr>
      <w:bookmarkStart w:id="366" w:name="__RefHeading___Toc1401006_3650668749"/>
      <w:bookmarkStart w:id="367" w:name="_Toc141"/>
      <w:bookmarkEnd w:id="366"/>
      <w:r>
        <w:rPr>
          <w:rtl w:val="true"/>
        </w:rPr>
        <w:t>الشبهة الأُولی</w:t>
      </w:r>
      <w:r>
        <w:rPr>
          <w:rtl w:val="true"/>
        </w:rPr>
        <w:t xml:space="preserve">: </w:t>
      </w:r>
      <w:r>
        <w:rPr>
          <w:rtl w:val="true"/>
        </w:rPr>
        <w:t>وجود مصحف لعلی علیه السلام‌</w:t>
      </w:r>
      <w:bookmarkEnd w:id="367"/>
    </w:p>
    <w:p>
      <w:pPr>
        <w:pStyle w:val="BookText"/>
        <w:rPr/>
      </w:pPr>
      <w:r>
        <w:rPr>
          <w:rFonts w:ascii="IRNazanin" w:hAnsi="IRNazanin" w:eastAsia="IRNazanin"/>
          <w:color w:val="111111"/>
          <w:sz w:val="28"/>
          <w:sz w:val="28"/>
          <w:szCs w:val="28"/>
          <w:rtl w:val="true"/>
          <w:lang w:bidi="fa-IR"/>
        </w:rPr>
        <w:t xml:space="preserve">روی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رأی من الناس طیرة عند وفاة النبی، فأقسم أن لا یضع عن ظهره رداءه حتی یجمع القرآن، فجلس فی بیته ثلاثة أیام حتی جمع القرآن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روی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بعضهم أنّ علی بن أبی طالب علیه السلام کان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وأتی وحمله علی 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جمعته، وکان قد جزّأه سبعة أجزاء، ثمّ ذکر کلّ جزء، والسور الواردة فیه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الإمعان فیما ذکره الیعقوبی انّ مصحف علی لا یخالف المصحف الموجود فی سوره وآیاته، وإنّما یختلف فی ترتیب السور، وهذا یثبت انّ ترتیب السور کان باجتهاد الصحابة والجامعین، بخلاف وضع الآیات وترتیبها، فإنّه کان بإشارة النبی صلی الله علیه و آله و سلم، وما ذکره ابن الندیم یثبت انّ القرآن کان مکتوباً فی عصر النبی کلّ سورة علی حدة، وکان فاقداً للترتیب الذی رتّبه الإمام علی سبعة أجزاء، وکلّ جزء یشتمل علی سور، وقد نقل المحقّق الزنجانی ترتیب سور مصحف الإمام فی ضمن جداول تعرب عن أنّ مصحَف علیّ علیه السلام کان فی سبعة أجزاء، وکلّ جزء</w:t>
      </w:r>
      <w:bookmarkStart w:id="368" w:name="pg1680_13036"/>
    </w:p>
    <w:p>
      <w:pPr>
        <w:pStyle w:val="BookText"/>
        <w:rPr/>
      </w:pPr>
      <w:bookmarkEnd w:id="368"/>
      <w:r>
        <w:rPr>
          <w:rFonts w:ascii="IRNazanin" w:hAnsi="IRNazanin" w:eastAsia="IRNazanin"/>
          <w:color w:val="111111"/>
          <w:sz w:val="28"/>
          <w:sz w:val="28"/>
          <w:szCs w:val="28"/>
          <w:rtl w:val="true"/>
          <w:lang w:bidi="fa-IR"/>
        </w:rPr>
        <w:t>یحتوی علی سور، فالجزء الأوّل یسمّی بالبقرة وفیه سور، والجزء الثانی یسمی جزء آل عمران وفیه سور، والثالث جزء النساء وفیه سور، والرابع جزء المائدة وفیه سور، والخامس جزء الأنعام وفیه سور، والسادس جزء الأعراف وفیه سور، والسابع جزء الأنفال وفیه سور، والظاهر منه انّ التنظیم لم یکن علی نسق تقدیم الطوال علی القصار ولا علی حسب النزول</w:t>
      </w:r>
      <w:r>
        <w:rPr>
          <w:rFonts w:eastAsia="IRNazanin" w:cs="IRNazanin"/>
          <w:color w:val="111111"/>
          <w:sz w:val="28"/>
          <w:szCs w:val="28"/>
          <w:rtl w:val="true"/>
          <w:lang w:bidi="fa-IR"/>
        </w:rPr>
        <w:t>.</w:t>
      </w:r>
    </w:p>
    <w:p>
      <w:pPr>
        <w:pStyle w:val="Heading5"/>
        <w:numPr>
          <w:ilvl w:val="4"/>
          <w:numId w:val="1"/>
        </w:numPr>
        <w:rPr/>
      </w:pPr>
      <w:bookmarkStart w:id="369" w:name="__RefHeading___Toc1401008_3650668749"/>
      <w:bookmarkStart w:id="370" w:name="_Toc142"/>
      <w:bookmarkEnd w:id="369"/>
      <w:r>
        <w:rPr>
          <w:rtl w:val="true"/>
        </w:rPr>
        <w:t>الشبهة الثانیة</w:t>
      </w:r>
      <w:r>
        <w:rPr>
          <w:rtl w:val="true"/>
        </w:rPr>
        <w:t xml:space="preserve">: </w:t>
      </w:r>
      <w:r>
        <w:rPr>
          <w:rtl w:val="true"/>
        </w:rPr>
        <w:t>مصحف فاطمة</w:t>
      </w:r>
      <w:bookmarkEnd w:id="370"/>
    </w:p>
    <w:p>
      <w:pPr>
        <w:pStyle w:val="BookText"/>
        <w:rPr/>
      </w:pPr>
      <w:r>
        <w:rPr>
          <w:rFonts w:ascii="IRNazanin" w:hAnsi="IRNazanin" w:eastAsia="IRNazanin"/>
          <w:color w:val="111111"/>
          <w:sz w:val="28"/>
          <w:sz w:val="28"/>
          <w:szCs w:val="28"/>
          <w:rtl w:val="true"/>
          <w:lang w:bidi="fa-IR"/>
        </w:rPr>
        <w:t>لا شکّ أنّه کان عند فاطمة مصحف، حسبما تضافرت علیه الروایات، ولکن المصحف لیس اسماً مختصّاً بالقرآن، حتی تختص بنت المصطفی بقرآن خاصّ، وإنّما کان کتاباً فیه الملاحم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والمصحف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أصحف، بمعنی ما جعل فیه الصحف، وإنّما سمی المصحف مصحفاً؛ لأنّه جعل جامعاً للصحف المکتوبة بین الدفّتین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ذلک اللفظ علماً للقرآن فی عصر نزوله، وإنّما صار علماً له بعد رحیل رسول اللَّه صلی الله علیه و آله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أشتة فی کتاب المصاحف أنّه لمّا جمعوا القرآن فکتبوه فی الورق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له اسماً،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فإنّ الحبشة یسمّونه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 أوّل من جمع کتاب اللَّه وسمّاه المصحف‌</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هو واقع هذا الکتاب؟ فقد کشفت عنه الروایات المتضافرة عن أئمة أهل البیت، وقد جمع قسماً کبیراً منها العلّامة الشیخ مصطفی قصیر العاملی فی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ومصحف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عبیدة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مکثت بعد رسول‌اللَّه صلی الله علیه و آله خمسة وسبعین یوماً، و کان دخلها حزن شدید علی أبیها، وکان جبرئیل علیه السلام یأتیها فیحسن عزاءها علی أبیها، ویطیب نفسها، ویخبرها عن أبیها ومکانه، ویخبرها بما یکون بعدها فی ذریّتها، وکان علیّ علیه السلام یکتب ذلک، فهذا مصحف فاطمة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حمزة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فاطمة مافیه شی‌ء من کتاب اللَّه، وإنّما هو شی‌ء أُلقی إلیها بعد موت أبیها صلوات اللَّه علیهما</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الدسّ الإعلامی قد اتّخذ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لاتّهام الشیعة بأنّ عندهم قرآناً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سعی غیر واحد من دعاة التفرقة إلی نشر تلک الفکرة الخاطئة بین المسلمین، ولکن خاب سعیهم؛ فإنّ للحقّ دولة، وللباطل جولة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القارئ یسأل نفسه عن کون فاطمة محدَّثة تحدّثها الملائکة،</w:t>
      </w:r>
      <w:bookmarkStart w:id="371" w:name="pg1680_13038"/>
    </w:p>
    <w:p>
      <w:pPr>
        <w:pStyle w:val="BookText"/>
        <w:rPr/>
      </w:pPr>
      <w:bookmarkEnd w:id="371"/>
      <w:r>
        <w:rPr>
          <w:rFonts w:ascii="Amiri" w:hAnsi="Amiri" w:eastAsia="Amiri" w:cs="Amiri"/>
          <w:color w:val="111111"/>
          <w:sz w:val="28"/>
          <w:sz w:val="28"/>
          <w:szCs w:val="28"/>
          <w:rtl w:val="true"/>
          <w:lang w:bidi="ar-SA"/>
        </w:rPr>
        <w:t>کما ورد فی الروایة السابقة، غیر أنّ فاطمة علیها السلام لا تقلّ شأناً عن مریم البتول، ولا عن امرأة الخلیل،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إلی غیر ذلک من الآیات الواردة فی سورتی آل عمران، ومریم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امرأة إبراهیم تسمع کلام الملک،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 رُسلُنا إبراهیمَ بالبُشری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فضَحِکَتْ فَبشَّرناها بإسحقَ ومن وراءِ إسحقَ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أألِدُ وأنا عَجوزٌ وهذا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أتَعجَبینَ مِنْ أمرِ اللَّهِ رحمتُ اللَّهِ وبرکاتُهُ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مریم وامرأة الخلیل محدّثتین، ففاطمة سیدة نساء العالمین أولی بأن تکون محدّثة</w:t>
      </w:r>
      <w:r>
        <w:rPr>
          <w:rFonts w:eastAsia="IRNazanin" w:cs="IRNazanin"/>
          <w:color w:val="111111"/>
          <w:sz w:val="28"/>
          <w:szCs w:val="28"/>
          <w:rtl w:val="true"/>
          <w:lang w:bidi="fa-IR"/>
        </w:rPr>
        <w:t>.</w:t>
      </w:r>
    </w:p>
    <w:p>
      <w:pPr>
        <w:pStyle w:val="Heading4"/>
        <w:numPr>
          <w:ilvl w:val="3"/>
          <w:numId w:val="1"/>
        </w:numPr>
        <w:rPr/>
      </w:pPr>
      <w:bookmarkStart w:id="372" w:name="__RefHeading___Toc1401010_3650668749"/>
      <w:bookmarkStart w:id="373" w:name="_Toc143"/>
      <w:bookmarkEnd w:id="372"/>
      <w:r>
        <w:rPr/>
        <w:t>11</w:t>
      </w:r>
      <w:r>
        <w:rPr>
          <w:rtl w:val="true"/>
        </w:rPr>
        <w:t xml:space="preserve">. </w:t>
      </w:r>
      <w:r>
        <w:rPr>
          <w:rtl w:val="true"/>
        </w:rPr>
        <w:t>تاریخ جمع القرآن الکریم‌</w:t>
      </w:r>
      <w:bookmarkEnd w:id="373"/>
    </w:p>
    <w:p>
      <w:pPr>
        <w:pStyle w:val="Heading5"/>
        <w:numPr>
          <w:ilvl w:val="4"/>
          <w:numId w:val="1"/>
        </w:numPr>
        <w:rPr/>
      </w:pPr>
      <w:bookmarkStart w:id="374" w:name="__RefHeading___Toc1401012_3650668749"/>
      <w:bookmarkStart w:id="375" w:name="_Toc144"/>
      <w:bookmarkEnd w:id="374"/>
      <w:r>
        <w:rPr>
          <w:rtl w:val="true"/>
        </w:rPr>
        <w:t>اشارة</w:t>
      </w:r>
      <w:bookmarkEnd w:id="37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عن تاریخ القرآن الکریم وکیفیة جمعه والوقت الّذی جمع فیه طویل الذیل، قد أُلف حوله کتب ورسائل ونحن نأتی فی المقام بملخص الکلام فیه</w:t>
      </w:r>
      <w:r>
        <w:rPr>
          <w:rFonts w:eastAsia="IRNazanin" w:cs="IRNazanin"/>
          <w:color w:val="111111"/>
          <w:sz w:val="28"/>
          <w:szCs w:val="28"/>
          <w:rtl w:val="true"/>
          <w:lang w:bidi="fa-IR"/>
        </w:rPr>
        <w:t>.</w:t>
      </w:r>
      <w:bookmarkStart w:id="376" w:name="pg1680_13039"/>
    </w:p>
    <w:p>
      <w:pPr>
        <w:pStyle w:val="Heading5"/>
        <w:numPr>
          <w:ilvl w:val="4"/>
          <w:numId w:val="1"/>
        </w:numPr>
        <w:rPr/>
      </w:pPr>
      <w:bookmarkStart w:id="377" w:name="__RefHeading___Toc1401014_3650668749"/>
      <w:bookmarkStart w:id="378" w:name="_Toc145"/>
      <w:bookmarkEnd w:id="376"/>
      <w:bookmarkEnd w:id="377"/>
      <w:r>
        <w:rPr>
          <w:rtl w:val="true"/>
        </w:rPr>
        <w:t>القرآن قد جمع فی عصر النبی الأکرم صلی الله علیه و آله و سلم‌</w:t>
      </w:r>
      <w:bookmarkEnd w:id="378"/>
    </w:p>
    <w:p>
      <w:pPr>
        <w:pStyle w:val="BookText"/>
        <w:rPr/>
      </w:pPr>
      <w:r>
        <w:rPr>
          <w:rFonts w:ascii="IRNazanin" w:hAnsi="IRNazanin" w:eastAsia="IRNazanin"/>
          <w:color w:val="111111"/>
          <w:sz w:val="28"/>
          <w:sz w:val="28"/>
          <w:szCs w:val="28"/>
          <w:rtl w:val="true"/>
          <w:lang w:bidi="fa-IR"/>
        </w:rPr>
        <w:t>قد جُمع القرآن فی حیاة الرسول الأکرم صلی الله علیه و آله و سلم، وقد رتبت السور والآیات بأمر منه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الدلیل علی جمع القرآن الکریم فی حیاته صلی الله علیه و آله و سلم، إضافةً إلی شواهد تاریخیة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سنعرضها علی القرّاء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حدیث الرسول صلی الله علیه و آله و سلم نفسه حیث سمّی سورة الحمد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إلّابفاتحة الکتاب</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ومن هنا یتّضح أنّ القرآن جُمع فی زمن الرسول صلی الله علیه و آله و سلم، وأنّ سورة الحمد کانت فی المقدّمة، ولو کان القرآن مجموعة سور وآیات متفرقة، لما کان هناک من معنی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Heading5"/>
        <w:numPr>
          <w:ilvl w:val="4"/>
          <w:numId w:val="1"/>
        </w:numPr>
        <w:rPr/>
      </w:pPr>
      <w:bookmarkStart w:id="379" w:name="__RefHeading___Toc1401016_3650668749"/>
      <w:bookmarkStart w:id="380" w:name="_Toc146"/>
      <w:bookmarkEnd w:id="379"/>
      <w:r>
        <w:rPr>
          <w:rtl w:val="true"/>
        </w:rPr>
        <w:t>الشواهد التاریخیة علی جمع القرآن فی زمن النبی صلی الله علیه و آله و سلم‌</w:t>
      </w:r>
      <w:bookmarkEnd w:id="380"/>
    </w:p>
    <w:p>
      <w:pPr>
        <w:pStyle w:val="BookText"/>
        <w:rPr/>
      </w:pPr>
      <w:r>
        <w:rPr>
          <w:rFonts w:ascii="IRNazanin" w:hAnsi="IRNazanin" w:eastAsia="IRNazanin"/>
          <w:color w:val="111111"/>
          <w:sz w:val="28"/>
          <w:sz w:val="28"/>
          <w:szCs w:val="28"/>
          <w:rtl w:val="true"/>
          <w:lang w:bidi="fa-IR"/>
        </w:rPr>
        <w:t>الحق انّ القرآن الکریم قد جمع فی عهد النبی الأکرم صلی الله علیه و آله و سلم، ونحن نعرضُ هنا شواهد علی جمع القرآن فی زمنه صلی الله علیه و آله و سلم، ومن ثم نقارنها بالروایات الّتی تقول إنّ القرآن جمع بعد ارتحال النبی صلی الله علیه و آله و سلم ونتعرف من خلال ذلک علی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الطبرانی وابن عساکر عن الشعبی؛ انّ ستة أشخاص جمعوا القرآن فی زمن النبی صلی الله علیه و آله و سلم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زید بن ثابت، معاذ بن جبل،</w:t>
      </w:r>
    </w:p>
    <w:p>
      <w:pPr>
        <w:pStyle w:val="BookText"/>
        <w:rPr/>
      </w:pPr>
      <w:r>
        <w:rPr>
          <w:rFonts w:ascii="IRNazanin" w:hAnsi="IRNazanin" w:eastAsia="IRNazanin"/>
          <w:color w:val="111111"/>
          <w:sz w:val="28"/>
          <w:sz w:val="28"/>
          <w:szCs w:val="28"/>
          <w:rtl w:val="true"/>
          <w:lang w:bidi="fa-IR"/>
        </w:rPr>
        <w:t xml:space="preserve">أبو الدرداء، سعد بن عبید، وأبو زید، وینقلون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القرآن إلّامن سورتین من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مالک؛ من جمع القرآن الکریم فی زمن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وکلهم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معاذ بن جبل، زید بن ثابت، وأبو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أحب عبد اللَّه بن مسعود، لأنّنی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من أربعة؛ عبد اللَّه بن مسعود، سالم، معاذ، وأبی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النسائی عن عبد اللَّه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القرآنَ وکنتُ اقرأه کل لیلة مرة، فوصل خبر ذلک إلی الرسول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فی الشهر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عثمان أنّه کلّما کان الوحی ینزل یبعث رسول اللَّه صلی الله علیه و آله و سلم ویطلب کتّاب الوحی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هذه الآیة فی سورة إلی جانب آیاتٍ معینة</w:t>
      </w:r>
      <w:r>
        <w:rPr>
          <w:rFonts w:eastAsia="IRNazanin" w:cs="IRNazanin"/>
          <w:color w:val="111111"/>
          <w:sz w:val="28"/>
          <w:szCs w:val="28"/>
          <w:rtl w:val="true"/>
          <w:lang w:bidi="fa-IR"/>
        </w:rPr>
        <w:t>.</w:t>
      </w:r>
      <w:r>
        <w:rPr>
          <w:rStyle w:val="FootnoteAnchor"/>
        </w:rPr>
        <w:footnoteReference w:id="23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عبد اللَّه الزنجانی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بعضُ الصحابة فی زمن الرسول صلی الله علیه و آله و سلم بجمع القرآن أو أجزاء منه، وأمّا المجموعة الّتی لم تجمع القرآن تماماً فی زمن النبی صلی الله علیه و آله و سلم فإنّهم أکملوه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ویذکر محمد بن إسحاق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جامعی القرآن الکریم فی زمن النبی هم؛ علی بن أبی طالب علیه السلام، سعد بن عبید، أبو الدرداء، معاذ بن جبل، أبو زید، ثابت بن زید، أُبی بن کعب، عبید بن معاویة، وزید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السیوطی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کعب القُرظی أن خمسةً جمعوا القرآن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عبادة بن صامت، أُبی بن کعب، أبو الدرداء، وأبو أیوب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أربعة جمعوا القرآن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أُبی، أبو زید، أو أبو الدرداء، أو عثمان، أو هو وتمیم الداری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الخوارزمی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رباح أنّ علی بن أبی طالب علیه السلام وابن کعب، جمعا القرآن الکریم فی زمن رسول اللَّه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روایاتٍ لأبی بکر الحضرمی نقلًا عن الإمام الصادق علیه السلام ان النبی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خلف فراشی فی الصحف والحریر والقراطیس، فخذوه ولا تضیعوه کما ضیّعت الیهود التوراة</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علی علیه السلام وجمعه فی قماش أصفر وختم علیه</w:t>
      </w:r>
      <w:r>
        <w:rPr>
          <w:rFonts w:eastAsia="IRNazanin" w:cs="IRNazanin"/>
          <w:color w:val="111111"/>
          <w:sz w:val="28"/>
          <w:szCs w:val="28"/>
          <w:rtl w:val="true"/>
          <w:lang w:bidi="fa-IR"/>
        </w:rPr>
        <w:t>.</w:t>
      </w:r>
      <w:bookmarkStart w:id="381" w:name="pg1680_13042"/>
    </w:p>
    <w:p>
      <w:pPr>
        <w:pStyle w:val="BookText"/>
        <w:rPr/>
      </w:pPr>
      <w:bookmarkEnd w:id="38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حدیث الثقلین دلیلٌ علی جمع القرآن فی زمن الرسول الأکرم صلی الله علیه و آله و سلم، وإذا أضفنا هذا الحدیث إلی ما ذکرنا، فلن یبق هناک شکٌّ فی أنّ القرآن جُمع فی عهد البنی صلی الله علیه و آله و سلم، حیث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ما أن تمسکتم بهما لن تضلّوا أبداً، وإنّهما لن یفترقا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الحدیث یثبت بوضوح بأنّ القرآن کان قد جمع فی عهد رسول اللَّه صلی الله علیه و آله و سلم، وأمّا القول بأنّه کان محفوظاً فی الصدور فإنّه حدیث غیر صحیح، وإذا لم یکن هذا الحدیث دالًا علی الکتابة المنظمة للقرآن فی عهد النبی صلی الله علیه و آله و سلم، فإنّه علی الأقل یدلُّ علی أنّ سور القرآن ومکان الآیات کان منظّماً فی زمن رسول اللَّه صلی الله علیه و آله و سلم، حتی ولو کان غیر مکتوبٍ علی الورق</w:t>
      </w:r>
      <w:r>
        <w:rPr>
          <w:rFonts w:eastAsia="IRNazanin" w:cs="IRNazanin"/>
          <w:color w:val="111111"/>
          <w:sz w:val="28"/>
          <w:szCs w:val="28"/>
          <w:rtl w:val="true"/>
          <w:lang w:bidi="fa-IR"/>
        </w:rPr>
        <w:t>.</w:t>
      </w:r>
    </w:p>
    <w:p>
      <w:pPr>
        <w:pStyle w:val="Heading5"/>
        <w:numPr>
          <w:ilvl w:val="4"/>
          <w:numId w:val="1"/>
        </w:numPr>
        <w:rPr/>
      </w:pPr>
      <w:bookmarkStart w:id="382" w:name="__RefHeading___Toc1401018_3650668749"/>
      <w:bookmarkStart w:id="383" w:name="_Toc147"/>
      <w:bookmarkEnd w:id="382"/>
      <w:r>
        <w:rPr>
          <w:rtl w:val="true"/>
        </w:rPr>
        <w:t>أحادیث جمع القرآن بعد رحیل النبی صلی الله علیه و آله و سلم تُعارضُ نصَّ القرآن‌</w:t>
      </w:r>
      <w:bookmarkEnd w:id="383"/>
    </w:p>
    <w:p>
      <w:pPr>
        <w:pStyle w:val="BookText"/>
        <w:rPr/>
      </w:pPr>
      <w:r>
        <w:rPr>
          <w:rFonts w:ascii="IRNazanin" w:hAnsi="IRNazanin" w:eastAsia="IRNazanin"/>
          <w:color w:val="111111"/>
          <w:sz w:val="28"/>
          <w:sz w:val="28"/>
          <w:szCs w:val="28"/>
          <w:rtl w:val="true"/>
          <w:lang w:bidi="fa-IR"/>
        </w:rPr>
        <w:t>هنا یبقی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حقاً أنّ القرآن قد جُمع فی عهد الرسول الأکرم صلی الله علیه و آله و سلم، إذن کیف تقول روایات إن القرآن جمع فی عهد الخلفاء؟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الّتی تذکر أنّ القرآن جمع بعد ارتحال النبی صلی الله علیه و آله و سلم تعارض القرآن نفسه، لأنّ الکثیر من آیات القرآن تدلّ علی أنّ السور کانت مشهورة ومعروفة حتی بین المشرکین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ذلک، فإنّه أُطلق علی القرآن الکریم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w:t>
      </w:r>
      <w:bookmarkStart w:id="384" w:name="pg1680_13043"/>
    </w:p>
    <w:p>
      <w:pPr>
        <w:pStyle w:val="BookText"/>
        <w:rPr/>
      </w:pPr>
      <w:bookmarkEnd w:id="384"/>
      <w:r>
        <w:rPr>
          <w:rFonts w:ascii="IRNazanin" w:hAnsi="IRNazanin" w:eastAsia="IRNazanin"/>
          <w:color w:val="111111"/>
          <w:sz w:val="28"/>
          <w:sz w:val="28"/>
          <w:szCs w:val="28"/>
          <w:rtl w:val="true"/>
          <w:lang w:bidi="fa-IR"/>
        </w:rPr>
        <w:t xml:space="preserve">کانت أجزاؤه متفرقة لما أُطلق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ومجازاً وبدون قرینة سیکون بلا معنی</w:t>
      </w:r>
      <w:r>
        <w:rPr>
          <w:rFonts w:eastAsia="IRNazanin" w:cs="IRNazanin"/>
          <w:color w:val="111111"/>
          <w:sz w:val="28"/>
          <w:szCs w:val="28"/>
          <w:rtl w:val="true"/>
          <w:lang w:bidi="fa-IR"/>
        </w:rPr>
        <w:t>.</w:t>
      </w:r>
    </w:p>
    <w:p>
      <w:pPr>
        <w:pStyle w:val="Heading5"/>
        <w:numPr>
          <w:ilvl w:val="4"/>
          <w:numId w:val="1"/>
        </w:numPr>
        <w:rPr/>
      </w:pPr>
      <w:bookmarkStart w:id="385" w:name="__RefHeading___Toc1401020_3650668749"/>
      <w:bookmarkStart w:id="386" w:name="_Toc148"/>
      <w:bookmarkEnd w:id="385"/>
      <w:r>
        <w:rPr>
          <w:rtl w:val="true"/>
        </w:rPr>
        <w:t>أحادیث جمع القرآن بعد ارتحال النبی صلی الله علیه و آله و سلم لا تنسجم مع حکم العقل‌</w:t>
      </w:r>
      <w:bookmarkEnd w:id="386"/>
    </w:p>
    <w:p>
      <w:pPr>
        <w:pStyle w:val="BookText"/>
        <w:rPr/>
      </w:pPr>
      <w:r>
        <w:rPr>
          <w:rFonts w:ascii="IRNazanin" w:hAnsi="IRNazanin" w:eastAsia="IRNazanin"/>
          <w:color w:val="111111"/>
          <w:sz w:val="28"/>
          <w:sz w:val="28"/>
          <w:szCs w:val="28"/>
          <w:rtl w:val="true"/>
          <w:lang w:bidi="fa-IR"/>
        </w:rPr>
        <w:t>إنّ عظمة القرآن الکریم والأهمیة الّتی کان رسول اللَّه صلی الله علیه و آله و سلم یولیها له وکذلک المسلمون من جهات مختلفة، تکشف بوضوح عن عدم صحّة الروایات الّتی تذکر أنّه جمع بعد ارتحال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علی ذلک إن أعظم وأکبر شی‌ء عند المسلمین هو القرآن، ویتلخص کیانهم وعظمتهم فی صیانته وحفظه، وانّ أساسَ النبوة یشکّله القرآنُ الکریم، فهل یُحتمل أنّ شخصیةً مثل النبی صلی الله علیه و آله و سلم لا یولی أهمیة لجمع وکتابة القرآن الکریم؟ أو أن ینشغل بشی‌ءٍ آخر عن توضیح کیفیة وضع السور والآیات؟ إنّ المعجزة الخالدة للنبی صلی الله علیه و آله و سلم هی القرآن وهو صلی الله علیه و آله و سلم یتحدّی به الجمیع علی مرور الأعصار والقرون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هذه النقطة کان لزاماً علی رسول اللَّه صلی الله علیه و آله و سلم أن یسعی لصیانة وحفظ القرآن، لأنّه مهما کان ذهنُ الإنسان قویاً وحافظته قویة فإنّه لا یمکن الاعتماد علیهما فی خضمِّ أحداثِ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القرآن کان ینزل بالتدریج وإنّ رسول اللَّه صلی الله علیه و آله و سلم قد عیّن مجموعةً لکتابَته یُسمّوون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الوحی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أبو عبد اللَّه الزنجانی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للنبی من کتّاب یکتبون الوحی بالخط المقرر وهو النسخ، وهم ثلاثة وأربعون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وأکثرهم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وعلی بن أبی طالب علیه السلام، ویظهر من الروایات أنّه کان یهتم بکتابة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یُوردُ قصة إسلام عمر بن الخطاب وکیف أنّه شاهد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منزل أُختِه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الختام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هذه الأحادیث تدلّ علی اهتمام المسلمین بکتابةِ القرآن، وإنّ جمیع القرآن قد جُمع فی عهد رسول اللَّه صلی الله علیه و آله و سلم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إنّ بعض سور القرآن أو قسماً من سوره کان موجوداً لدی جمیع المسلمین، وقد جاء ذلک فی الروایات، من بینها نقرأ روایة عبادة بن الصامت أنّ کلّ مهاجرٍ کان یأتی یدفعُ به رسول اللَّه صلی الله علیه و آله و سلم إلی أحد المسلمین لتعلیمه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علیه السلام عندما ارتفع صوت قراءة القرآن من المسجد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مجموعة تقرأ القرآن بصوتٍ عال فصدر الأمرُ إلیهم أن اقرأوا بصوت أکثر هدوءاً وانخفاضاً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الحادثتان تدلّان علی اهتمام المسلمین بقراءة القرآن،</w:t>
      </w:r>
    </w:p>
    <w:p>
      <w:pPr>
        <w:pStyle w:val="BookText"/>
        <w:rPr/>
      </w:pPr>
      <w:r>
        <w:rPr>
          <w:rFonts w:ascii="IRNazanin" w:hAnsi="IRNazanin" w:eastAsia="IRNazanin"/>
          <w:color w:val="111111"/>
          <w:sz w:val="28"/>
          <w:sz w:val="28"/>
          <w:szCs w:val="28"/>
          <w:rtl w:val="true"/>
          <w:lang w:bidi="fa-IR"/>
        </w:rPr>
        <w:t>ولذاکیف یمکن أن یتأخّر جمعه إلی زمن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انتساب جمع القرآن الکریم إلی زمن الخلفاء أمرٌ وهمی ومخالف للکتاب والسُّنة والعقل، ولا یمکن نسبُ جمع القرآن إلی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جمع عثمان للقرآن فی زمنه فهو بمعنی انّه جمع المسلمین علی قراءة واحدة، وقد أقرّ کبار علماء أهل السُّنة بهذه الحقیقة،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المحاسبی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عثمان جمع القرآن، ولکن هذا لیس صحیحاً، وإنما جمع عثمانُ الناسَ علی قراءةٍ واحدة، لأنّه کانت هناک قراءات أُخری 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جمع القرآن بعد ارتحال النبی صلی الله علیه و آله و سلم، فهذا یعنی انّه کتب القرآن طبقاً لشأن النزول، وقدّم المنسوخ علی الناسخ، وهذا ما یقررُهُ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الأمرُ غیر ذلک فی جمع القرآن فهل کان باستطاعة الإمام علی علیه السلام أن یجمع القرآن فی عدّة أیام؟</w:t>
      </w:r>
      <w:bookmarkStart w:id="387" w:name="pg1680_13046"/>
    </w:p>
    <w:p>
      <w:pPr>
        <w:pStyle w:val="Heading2"/>
        <w:numPr>
          <w:ilvl w:val="1"/>
          <w:numId w:val="1"/>
        </w:numPr>
        <w:rPr/>
      </w:pPr>
      <w:bookmarkStart w:id="388" w:name="__RefHeading___Toc1401022_3650668749"/>
      <w:bookmarkStart w:id="389" w:name="_Toc149"/>
      <w:bookmarkEnd w:id="387"/>
      <w:bookmarkEnd w:id="388"/>
      <w:r>
        <w:rPr>
          <w:rtl w:val="true"/>
        </w:rPr>
        <w:t>الفصل الخامس</w:t>
      </w:r>
      <w:r>
        <w:rPr>
          <w:rtl w:val="true"/>
        </w:rPr>
        <w:t xml:space="preserve">: </w:t>
      </w:r>
      <w:r>
        <w:rPr>
          <w:rtl w:val="true"/>
        </w:rPr>
        <w:t>الإمامة عند السنّة والشیعة</w:t>
      </w:r>
      <w:bookmarkEnd w:id="389"/>
    </w:p>
    <w:p>
      <w:pPr>
        <w:pStyle w:val="Heading3"/>
        <w:numPr>
          <w:ilvl w:val="2"/>
          <w:numId w:val="1"/>
        </w:numPr>
        <w:rPr/>
      </w:pPr>
      <w:bookmarkStart w:id="390" w:name="__RefHeading___Toc1401024_3650668749"/>
      <w:bookmarkStart w:id="391" w:name="_Toc150"/>
      <w:bookmarkEnd w:id="390"/>
      <w:r>
        <w:rPr>
          <w:rtl w:val="true"/>
        </w:rPr>
        <w:t>اشارة</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الإمامة عند الشیعة الإمامیّة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صیغة الحکومة بعد رحلة النبی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النبی علی الإمام بعده، وفیه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ترک الأُمّة بلا قائد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الإسلامیّة والخطر الثلاثی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الإمام فی أحادیث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کحدیث الدار والمنزلة ونصبه رسمیاً فی یوم الغدیر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الأمر إلی الأُمّة وطرقه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المسلمین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فی الحکم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أساس الحکم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النبویة والأُئمة الاثنا عشر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أوصاف الإمام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الغلاة لیسوا من الشیعة الإمامیّة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النبی والرسول والإمام</w:t>
      </w:r>
      <w:bookmarkStart w:id="392" w:name="pg1680_13048"/>
    </w:p>
    <w:p>
      <w:pPr>
        <w:pStyle w:val="Heading3"/>
        <w:numPr>
          <w:ilvl w:val="2"/>
          <w:numId w:val="1"/>
        </w:numPr>
        <w:rPr/>
      </w:pPr>
      <w:bookmarkStart w:id="393" w:name="__RefHeading___Toc1401026_3650668749"/>
      <w:bookmarkStart w:id="394" w:name="_Toc151"/>
      <w:bookmarkEnd w:id="392"/>
      <w:bookmarkEnd w:id="393"/>
      <w:r>
        <w:rPr>
          <w:rtl w:val="true"/>
        </w:rPr>
        <w:t>الإمامة عند السنّة والشیعة</w:t>
      </w:r>
      <w:bookmarkEnd w:id="394"/>
    </w:p>
    <w:p>
      <w:pPr>
        <w:pStyle w:val="Heading4"/>
        <w:numPr>
          <w:ilvl w:val="3"/>
          <w:numId w:val="1"/>
        </w:numPr>
        <w:rPr/>
      </w:pPr>
      <w:bookmarkStart w:id="395" w:name="__RefHeading___Toc1401028_3650668749"/>
      <w:bookmarkStart w:id="396" w:name="_Toc152"/>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إنّ حقیقة الإمامة عند السنّة تختلف عمّا هی عند الشیعة، فالسُّنة ینظرون إلی الإمام کرئیس دولة، ینتخبه الشعب أو نوّاب الأُمّة، أو یتسلّط علیها بانقلاب عسکری، وما شابه ذلک، فإنّ مثل هذا لا یشترط فیه سوی بعض المواصفات المعروفة، ومن المعلوم أنّ الاعتقاد برئاسة رئیس جمهوریة، أو رئیس وُزَراء، لیس من الأُصول، بحیث یُفَسَّق من لم یعتقد بإمامته ورئاسته وولایته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البلاد الإسلامیة لم تزل یسیطر علیها رئیس بعد آخر، رغبة أو رهبة، ولم یَرَ أحَدٌ الاعتقادَ بإمامته من الأُصول، ولم یَجْعَل فِسْقَه موجباً لخَلْعِه، وإلّا لما استقرّ حجر علی حجر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الشیعة الإمامیة، فینظرون إلی الإمامة بأنّها استمرار لوظائف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لنفس الرسالة، فإنّ الرسالة والنبوة مختومتان بالتحاق النبی الأکرم بالرفیق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ممارسة هذا المقام، یتوقّف علی توفّر صلاحیات عالیة، لا ینالها الفرد، إلّاإذا وقع تحت عنایة إلهیة ربّانیة خاصة، فیخلُف النبیَّ فی علمه بالأُصول والفروع، وفی عدالته وعصمته، وقیادته الحکیمة، وغیر ذلک من الشؤون</w:t>
      </w:r>
      <w:r>
        <w:rPr>
          <w:rFonts w:eastAsia="IRNazanin" w:cs="IRNazanin"/>
          <w:color w:val="111111"/>
          <w:sz w:val="28"/>
          <w:szCs w:val="28"/>
          <w:rtl w:val="true"/>
          <w:lang w:bidi="fa-IR"/>
        </w:rPr>
        <w:t>.</w:t>
      </w:r>
      <w:bookmarkStart w:id="397" w:name="pg1680_13049"/>
    </w:p>
    <w:p>
      <w:pPr>
        <w:pStyle w:val="Heading4"/>
        <w:numPr>
          <w:ilvl w:val="3"/>
          <w:numId w:val="1"/>
        </w:numPr>
        <w:rPr/>
      </w:pPr>
      <w:bookmarkStart w:id="398" w:name="__RefHeading___Toc1401030_3650668749"/>
      <w:bookmarkStart w:id="399" w:name="_Toc153"/>
      <w:bookmarkEnd w:id="397"/>
      <w:bookmarkEnd w:id="398"/>
      <w:r>
        <w:rPr/>
        <w:t>1</w:t>
      </w:r>
      <w:r>
        <w:rPr>
          <w:rtl w:val="true"/>
        </w:rPr>
        <w:t xml:space="preserve">. </w:t>
      </w:r>
      <w:r>
        <w:rPr>
          <w:rtl w:val="true"/>
        </w:rPr>
        <w:t xml:space="preserve">دور </w:t>
      </w:r>
      <w:r>
        <w:rPr>
          <w:rtl w:val="true"/>
        </w:rPr>
        <w:t>«</w:t>
      </w:r>
      <w:r>
        <w:rPr>
          <w:rtl w:val="true"/>
        </w:rPr>
        <w:t>الإمامة</w:t>
      </w:r>
      <w:r>
        <w:rPr>
          <w:rtl w:val="true"/>
        </w:rPr>
        <w:t xml:space="preserve">» </w:t>
      </w:r>
      <w:r>
        <w:rPr>
          <w:rtl w:val="true"/>
        </w:rPr>
        <w:t>عند الشیعة الإمامیّة</w:t>
      </w:r>
      <w:bookmarkEnd w:id="399"/>
    </w:p>
    <w:p>
      <w:pPr>
        <w:pStyle w:val="BookText"/>
        <w:rPr/>
      </w:pPr>
      <w:r>
        <w:rPr>
          <w:rFonts w:ascii="IRNazanin" w:hAnsi="IRNazanin" w:eastAsia="IRNazanin"/>
          <w:color w:val="111111"/>
          <w:sz w:val="28"/>
          <w:sz w:val="28"/>
          <w:szCs w:val="28"/>
          <w:rtl w:val="true"/>
          <w:lang w:bidi="fa-IR"/>
        </w:rPr>
        <w:t>قد تعرفت علی حقیقة الإمامة لدی أهل السنّة والجماعة، وعرفت أنّ ما یتبنّونه لا یقتضی أزید من الشرائط المتوفّرة فی رؤساء الدول، غیر أنّ الإمامة عند الشیعة تختلف فی حقیقتها عمّا لدی إخوانهم، فهی إمرة إلهیّة، واستمرار لوظائف النبوة کلّها سوی تحمّل الوحی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هذا اتّصاف الإمام بالشروط المُشْتَرَطة فی النبی، سوی کونه طرفاً للوحی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 آله و سلم، کان یملأ فراغاً کبیراً وعظیماً فی حیاة الأُمّة الإسلامیة، ولم تکن مسؤولیاته وأعماله مقتصرة علی تلقّی الوحی الإلهی، وتبلیغه إلی الناس فحسب، بل کان یقوم بالأُمور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الکتاب العزیز، ویشرح مقاصده وأَهدافه، ویکشف رموزه وأسراره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أحکام الموضوعات الّتی کانت تَحْدُثُ فی زمن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الحملات التشکیکیة، والتساؤلات العویصة المریبة الّتی کان یثیرها أعداء الإسلام من یهود ونصاری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یصون الدین من التحریف والدسّ، ویراقب ما أخذه عنه‌المسلمون من أُصول وفروع، حتی لا تَزِلّ فیه أقدامهم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والإمامة عند الشیعة الإمامیّة لمن یملأ هذا الفراغ الهائل الحاصل من</w:t>
      </w:r>
      <w:bookmarkStart w:id="400" w:name="pg1680_13050"/>
    </w:p>
    <w:p>
      <w:pPr>
        <w:pStyle w:val="BookText"/>
        <w:rPr/>
      </w:pPr>
      <w:bookmarkEnd w:id="400"/>
      <w:r>
        <w:rPr>
          <w:rFonts w:ascii="IRNazanin" w:hAnsi="IRNazanin" w:eastAsia="IRNazanin"/>
          <w:color w:val="111111"/>
          <w:sz w:val="28"/>
          <w:sz w:val="28"/>
          <w:szCs w:val="28"/>
          <w:rtl w:val="true"/>
          <w:lang w:bidi="fa-IR"/>
        </w:rPr>
        <w:t>رحیل النبی صلی الله علیه و آله و سلم، وراء القیادة فی أُمور الدنیا کتأمین البلاد وحفظ الثغور، واجراء الحدود، ونشر الدین الحنیف بالجهاد المتواصل</w:t>
      </w:r>
      <w:r>
        <w:rPr>
          <w:rFonts w:eastAsia="IRNazanin" w:cs="IRNazanin"/>
          <w:color w:val="111111"/>
          <w:sz w:val="28"/>
          <w:szCs w:val="28"/>
          <w:rtl w:val="true"/>
          <w:lang w:bidi="fa-IR"/>
        </w:rPr>
        <w:t>.</w:t>
      </w:r>
    </w:p>
    <w:p>
      <w:pPr>
        <w:pStyle w:val="Heading4"/>
        <w:numPr>
          <w:ilvl w:val="3"/>
          <w:numId w:val="1"/>
        </w:numPr>
        <w:rPr/>
      </w:pPr>
      <w:bookmarkStart w:id="401" w:name="__RefHeading___Toc1401032_3650668749"/>
      <w:bookmarkStart w:id="402" w:name="_Toc154"/>
      <w:bookmarkEnd w:id="401"/>
      <w:r>
        <w:rPr/>
        <w:t>2</w:t>
      </w:r>
      <w:r>
        <w:rPr>
          <w:rtl w:val="true"/>
        </w:rPr>
        <w:t xml:space="preserve">. </w:t>
      </w:r>
      <w:r>
        <w:rPr>
          <w:rtl w:val="true"/>
        </w:rPr>
        <w:t>صیغة الحکومة بعد رحلة النبی صلی الله علیه و آله و سلم‌</w:t>
      </w:r>
      <w:bookmarkEnd w:id="402"/>
    </w:p>
    <w:p>
      <w:pPr>
        <w:pStyle w:val="Heading5"/>
        <w:numPr>
          <w:ilvl w:val="4"/>
          <w:numId w:val="1"/>
        </w:numPr>
        <w:rPr/>
      </w:pPr>
      <w:bookmarkStart w:id="403" w:name="__RefHeading___Toc1401034_3650668749"/>
      <w:bookmarkStart w:id="404" w:name="_Toc155"/>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یسود بین المسلمین، فی صیغة الحکومة وقیادة الأُمّة بعد النبی، رأیان واتّجاهان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الحکومة صیغة التنصیب، وأنّ الإمام بعد النبی یعیّن عن طریق الرسول بأمر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الأمر إلی اختیار الأُمّة، وانتخابها بشکل من الأشکال التی ستوافیک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محاسبة مصالح الأُمّة الإسلامیة آنذاک، فهل کانت تقتضی تحقیق النظریة الأُولی، وهی نظریة النصّ علی شخص أو أشخاص معینین، أو تقتضی ترک مسألة الخلافة إلی رأی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التفصیل</w:t>
      </w:r>
      <w:r>
        <w:rPr>
          <w:rFonts w:eastAsia="IRNazanin" w:cs="IRNazanin"/>
          <w:color w:val="111111"/>
          <w:sz w:val="28"/>
          <w:szCs w:val="28"/>
          <w:rtl w:val="true"/>
          <w:lang w:bidi="fa-IR"/>
        </w:rPr>
        <w:t>.</w:t>
      </w:r>
    </w:p>
    <w:p>
      <w:pPr>
        <w:pStyle w:val="Heading5"/>
        <w:numPr>
          <w:ilvl w:val="4"/>
          <w:numId w:val="1"/>
        </w:numPr>
        <w:rPr/>
      </w:pPr>
      <w:bookmarkStart w:id="405" w:name="__RefHeading___Toc1401036_3650668749"/>
      <w:bookmarkStart w:id="406" w:name="_Toc156"/>
      <w:bookmarkEnd w:id="405"/>
      <w:r>
        <w:rPr>
          <w:rtl w:val="true"/>
        </w:rPr>
        <w:t>الصیغة الأُولی</w:t>
      </w:r>
      <w:r>
        <w:rPr>
          <w:rtl w:val="true"/>
        </w:rPr>
        <w:t xml:space="preserve">: </w:t>
      </w:r>
      <w:r>
        <w:rPr>
          <w:rtl w:val="true"/>
        </w:rPr>
        <w:t>تنصیص النبی علی الإمام بعده‌</w:t>
      </w:r>
      <w:bookmarkEnd w:id="406"/>
    </w:p>
    <w:p>
      <w:pPr>
        <w:pStyle w:val="Heading6"/>
        <w:numPr>
          <w:ilvl w:val="5"/>
          <w:numId w:val="1"/>
        </w:numPr>
        <w:rPr/>
      </w:pPr>
      <w:bookmarkStart w:id="407" w:name="__RefHeading___Toc1401038_3650668749"/>
      <w:bookmarkStart w:id="408" w:name="_Toc157"/>
      <w:bookmarkEnd w:id="407"/>
      <w:r>
        <w:rPr>
          <w:rtl w:val="true"/>
        </w:rPr>
        <w:t>اشارة</w:t>
      </w:r>
      <w:bookmarkEnd w:id="4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هنا أموراً تدلّ علی أنّ مصلحة الأُمّة آنذاک، کانت تتطلب تنصیب الإمام والقائد الّذی یخلف النبی، وتعیینه بلسانه فی حیاته، وکان فی ترک هذا رمی للأُمّة أمام أکبر المخاطر، وإلیک بیان تلک الأُمور</w:t>
      </w:r>
      <w:r>
        <w:rPr>
          <w:rFonts w:eastAsia="IRNazanin" w:cs="IRNazanin"/>
          <w:color w:val="111111"/>
          <w:sz w:val="28"/>
          <w:szCs w:val="28"/>
          <w:rtl w:val="true"/>
          <w:lang w:bidi="fa-IR"/>
        </w:rPr>
        <w:t>:</w:t>
      </w:r>
      <w:bookmarkStart w:id="409" w:name="pg1680_13051"/>
    </w:p>
    <w:p>
      <w:pPr>
        <w:pStyle w:val="Heading6"/>
        <w:numPr>
          <w:ilvl w:val="5"/>
          <w:numId w:val="1"/>
        </w:numPr>
        <w:rPr/>
      </w:pPr>
      <w:bookmarkStart w:id="410" w:name="__RefHeading___Toc1401040_3650668749"/>
      <w:bookmarkStart w:id="411" w:name="_Toc158"/>
      <w:bookmarkEnd w:id="409"/>
      <w:bookmarkEnd w:id="410"/>
      <w:r>
        <w:rPr/>
        <w:t>1</w:t>
      </w:r>
      <w:r>
        <w:rPr>
          <w:rtl w:val="true"/>
        </w:rPr>
        <w:t xml:space="preserve">. </w:t>
      </w:r>
      <w:r>
        <w:rPr>
          <w:rtl w:val="true"/>
        </w:rPr>
        <w:t>استحالة ترک الأُمة بلا قائد</w:t>
      </w:r>
      <w:bookmarkEnd w:id="411"/>
    </w:p>
    <w:p>
      <w:pPr>
        <w:pStyle w:val="BookText"/>
        <w:rPr/>
      </w:pPr>
      <w:r>
        <w:rPr>
          <w:rFonts w:ascii="Amiri" w:hAnsi="Amiri" w:eastAsia="Amiri" w:cs="Amiri"/>
          <w:color w:val="111111"/>
          <w:sz w:val="28"/>
          <w:sz w:val="28"/>
          <w:szCs w:val="28"/>
          <w:rtl w:val="true"/>
          <w:lang w:bidi="ar-SA"/>
        </w:rPr>
        <w:t>إنَّ العقلَ البدیهیَّ یحکم بأنّ أی إنسانٍ مصلحٍ إذا استطاع من خلال جهودٍ مُضنیةٍ دامت سَنَواتٍ عدیدةً، من تنفیذ أُطروحةٍ اجتماعیّة خاصة له، وابتکر طریقة جدیدة للمجتمع البشریّ فإنّه لا بدّ من أن یفکِّر فی وسیلةٍ مؤثِّرة للإبقاء علی تلک الأُطروحة، وضمان استمرارها، بل رُشدها، ونموّها أیضاً، ولیس من الحکمة أن یؤسّسَ شخصٌ مّا بناءً عظیماً، متحمّلًا فی ذلک السبیل متاعبَ کثیرة، ولکن لا یفکِّر فیما یقیه من الأخطار، ولا ینصب أحداً لصیانته والعنایة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النبیَّ الأکرم صلی الله علیه و آله و سلم، وهو من أکبر الشخصیّات العالمیّة فی تاریخ البشریّة، قد 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أتی من 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أرضیّةً مساعدةً لتحوّلٍ إلهیٍّ عالمیٍ کبیرٍ، ومَهَّدَ لقیام حضارةٍ جدُّ حدیثةٍ، وفریدةٍ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الشخصیّة العظیمة، التی طَرَحَت علی البشریّة شریعةً خالدةً، وقادت المجتمعَ البشریّ فی عصرِهِ وأیام حیاته، من المسلَّم أنّه فَکَّر لحفظ شریعته من الأخطار والآفات المحتملة التی تهدِّدها فی المستقبل، وکذا لهدایة أُمّته الخالدة، وإدارتها، وبیّن صیغة القیادة من بعده، وذلک لأنّه من غیر المعقول أن یؤسّس هذا النبیُّ الحکیمُ قواعدَ شریعةٍ خالدةٍ أبدیّةٍ، دون أنْ یطرح صیغة قویّة لقیادتها من بعده، یضمن بها بقاء تلک الشریعة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النبیَّ الَّذی لم یألُ جُهداً فی بیان أَصغر ما تحتاج إلیه سعادةُ</w:t>
      </w:r>
      <w:bookmarkStart w:id="412" w:name="pg1680_13052"/>
    </w:p>
    <w:p>
      <w:pPr>
        <w:pStyle w:val="BookText"/>
        <w:rPr/>
      </w:pPr>
      <w:bookmarkEnd w:id="412"/>
      <w:r>
        <w:rPr>
          <w:rFonts w:ascii="IRNazanin" w:hAnsi="IRNazanin" w:eastAsia="IRNazanin"/>
          <w:color w:val="111111"/>
          <w:sz w:val="28"/>
          <w:sz w:val="28"/>
          <w:szCs w:val="28"/>
          <w:rtl w:val="true"/>
          <w:lang w:bidi="fa-IR"/>
        </w:rPr>
        <w:t>البشریة، کیفَ یُعقَل أنْ یسکتَ فی مجال قیادة المجتمع الإسلامی وصیغتها، وکیفیتها، والحال أنّها من المسائل الجوهریّة، والمصیریّة، فی حیاة الأُمّة، بل وفی حیاة البشریّة، وفی الحقیقة یترک المجتمعَ الإسلامیَّ حیاری مهمَلین، لا یَعرِفون واجبهم فی هذا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لا یمکن مطلقاً القبولُ بالزَّعم القائل بأنَّ النبیّ الأکرم أغمض عینیه عن الحیاة دون أن ینبس ببنت شفة فی مجال قیادة الأُمّة</w:t>
      </w:r>
      <w:r>
        <w:rPr>
          <w:rFonts w:eastAsia="IRNazanin" w:cs="IRNazanin"/>
          <w:color w:val="111111"/>
          <w:sz w:val="28"/>
          <w:szCs w:val="28"/>
          <w:rtl w:val="true"/>
          <w:lang w:bidi="fa-IR"/>
        </w:rPr>
        <w:t>.</w:t>
      </w:r>
    </w:p>
    <w:p>
      <w:pPr>
        <w:pStyle w:val="Heading6"/>
        <w:numPr>
          <w:ilvl w:val="5"/>
          <w:numId w:val="1"/>
        </w:numPr>
        <w:rPr/>
      </w:pPr>
      <w:bookmarkStart w:id="413" w:name="__RefHeading___Toc1401042_3650668749"/>
      <w:bookmarkStart w:id="414" w:name="_Toc159"/>
      <w:bookmarkEnd w:id="413"/>
      <w:r>
        <w:rPr/>
        <w:t>2</w:t>
      </w:r>
      <w:r>
        <w:rPr>
          <w:rtl w:val="true"/>
        </w:rPr>
        <w:t xml:space="preserve">. </w:t>
      </w:r>
      <w:r>
        <w:rPr>
          <w:rtl w:val="true"/>
        </w:rPr>
        <w:t>الأُمة الإسلامیّة والخطر الثلاثی‌</w:t>
      </w:r>
      <w:bookmarkEnd w:id="414"/>
    </w:p>
    <w:p>
      <w:pPr>
        <w:pStyle w:val="BookText"/>
        <w:rPr/>
      </w:pPr>
      <w:r>
        <w:rPr>
          <w:rFonts w:ascii="Amiri" w:hAnsi="Amiri" w:eastAsia="Amiri" w:cs="Amiri"/>
          <w:color w:val="111111"/>
          <w:sz w:val="28"/>
          <w:sz w:val="28"/>
          <w:szCs w:val="28"/>
          <w:rtl w:val="true"/>
          <w:lang w:bidi="ar-SA"/>
        </w:rPr>
        <w:t>إنّ مراجعةَ التاریخ، وأخذِ الظروف التی کانت تحیط بالمنطقة، وبالعالم فی زمان رحیل النبی صلی الله علیه و آله و سلم وقُبَیل وفاتهِ بالذات بنظر الاعتبار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بداهة وضرورةَ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تنْصیصیَّة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الامامة، وذلک لأنّ أخطاراً ثلاثة کانت تهدّد الدینَ والکیانَ الإسلامیَّ، وتحیط به علی شکلِ مُثَلّثٍ 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الضلعُ الأوَّل مِن هذا المثلَّث الخَطِر کان یتمثَّل فی الإمبراطوریة الرومیّة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والضلع الثانِی کانَ یَتمثّل فی الإمبراطوریّة 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والضلعُ الثالث کان یَتَمثَّل فی فریق المنافقین الداخِلِیّین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لخَطَر الضلعِ الأوّل، وأهمیّته القُصْوی یکفی أن نعلمَ أنّ</w:t>
      </w:r>
    </w:p>
    <w:p>
      <w:pPr>
        <w:pStyle w:val="BookText"/>
        <w:rPr/>
      </w:pPr>
      <w:r>
        <w:rPr>
          <w:rFonts w:ascii="Amiri" w:hAnsi="Amiri" w:eastAsia="Amiri" w:cs="Amiri"/>
          <w:color w:val="111111"/>
          <w:sz w:val="28"/>
          <w:sz w:val="28"/>
          <w:szCs w:val="28"/>
          <w:rtl w:val="true"/>
          <w:lang w:bidi="ar-SA"/>
        </w:rPr>
        <w:t>النبی صلی الله علیه و آله و سلم لم یزل یفکّر فیه حتی آخر لحظة من حیاته، ولهذا 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 أیّام بل ساعاتٍ من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جیشاً عظیماً بقیادة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لمواجهة الروم، کما ولَعَنَ مَن تَخلَّفَ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لخطَر الضلعِ الثانی یکفی أن نعرفَ أنّه کان عَدُوّاً شرساً أیضاً أقدمَ علی تمزیقِ رسالةِ النبیّ صلی الله علیه و آله و سلم وکتب إلی حاکم الیمن بأنْ یقبضَ علی رسولِ اللَّهِ صلی الله علیه و آله و سلم، ویبعث به إلیه، أو یرسلَ إلیه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وبالتالی بالنسبة إلی الخَطَر الثالث یجب أن نعلمَ أنّ هذا الفریق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یقوم فی المدینة بمزاحمة النبی صلی الله علیه و آله و سلم باستمرار، وکان المنافقون هؤلاء یؤذونه بالمؤامرات المتنوعة، ویعرقلون حرکته، وقد تحدّث القرآنُ الکریمُ عنهم وعن خصالهم، ونفاقهم، وأَذاهم، ومحاولاتهم الخبیثة فی سوره المختلفة إلی درجة انّه سمّیت سورة کاملة باسمهم، وهی تتحدّث عنهم وعن نوایاهم وأعمالِهم الشرّیرةِ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نطرحُ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وجودِ هذا المثلَّث الخَطِر کانَ من الصحیحِ أنْ یترک النبیُ الأکرمُ صلی الله علیه و آله و سلم الأُمّة الإسلامیةَ، والدینَ الإسلامیَ اللّذَین کانا محاطَین بالأخطار من کلّ جانب، وکان الأعداءُ لهما بالمرصاد من کلّ ناحیة، من دونِ قائدٍ معیّنٍ؟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النبیَّ صلی الله علیه و آله و سلم ولاشکَّ کانَ یَعْلَم أنّ حیاةَ العرب حیاة قَبَلیّة، عشائریة، وأنّ أفرادَ هذه القبائِل کانَتْ مُتَعَصِبّة لرؤساء تلک القبائل، فهم کانوا یطیعون الرؤساء بشدّة، ویخضَعُون لهُمْ خضوعاً کبیراً، ولهذا فإنَّ ترک مِثل</w:t>
      </w:r>
      <w:bookmarkStart w:id="415" w:name="pg1680_13054"/>
    </w:p>
    <w:p>
      <w:pPr>
        <w:pStyle w:val="BookText"/>
        <w:rPr/>
      </w:pPr>
      <w:bookmarkEnd w:id="415"/>
      <w:r>
        <w:rPr>
          <w:rFonts w:ascii="IRNazanin" w:hAnsi="IRNazanin" w:eastAsia="IRNazanin"/>
          <w:color w:val="111111"/>
          <w:sz w:val="28"/>
          <w:sz w:val="28"/>
          <w:szCs w:val="28"/>
          <w:rtl w:val="true"/>
          <w:lang w:bidi="fa-IR"/>
        </w:rPr>
        <w:t>هذا المجتمع مِن دون نصبِ قائدٍ معیّن سوف یؤدّی إلی التشتّت والتنازع بین هذه القبائل، وسیستفید الأعداء من هذا التخاصُم والتَنازع،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الحقیقة قال الشیخ الرئیس أبو علی 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الاستخلاف بالنصّ أصوب، فإنّ ذلک لا یؤدی إلی التشعّب والتشاغب والاختلاف‌</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1401044_3650668749"/>
      <w:bookmarkStart w:id="417" w:name="_Toc160"/>
      <w:bookmarkEnd w:id="416"/>
      <w:r>
        <w:rPr/>
        <w:t>3</w:t>
      </w:r>
      <w:r>
        <w:rPr>
          <w:rtl w:val="true"/>
        </w:rPr>
        <w:t xml:space="preserve">. </w:t>
      </w:r>
      <w:r>
        <w:rPr>
          <w:rtl w:val="true"/>
        </w:rPr>
        <w:t>تعیین الإمام فی أحادیث الرسول صلی الله علیه و آله و سلم‌</w:t>
      </w:r>
      <w:bookmarkEnd w:id="417"/>
    </w:p>
    <w:p>
      <w:pPr>
        <w:pStyle w:val="Heading6"/>
        <w:numPr>
          <w:ilvl w:val="5"/>
          <w:numId w:val="1"/>
        </w:numPr>
        <w:rPr/>
      </w:pPr>
      <w:bookmarkStart w:id="418" w:name="__RefHeading___Toc1401046_3650668749"/>
      <w:bookmarkStart w:id="419" w:name="_Toc161"/>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 xml:space="preserve">إنَّ الإمعانَ فی حیاة النبیّ صلی الله علیه و آله و سلم مُنذ أن کُلّف بتبلیغِ شرِیعتهِ إلی أقربائِهِ وعَشیرته، ثم الإعلان عن دعوتهِ إلی النّاس کافّة، یفید أنّ النبیّ صلی الله علیه و آله و سلم سلک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القیادة، والخلافة، مراراً، دون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الانتخاب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الموضوع نثبتهُ من خلال الأُمور التالیة</w:t>
      </w:r>
      <w:r>
        <w:rPr>
          <w:rFonts w:eastAsia="IRNazanin" w:cs="IRNazanin"/>
          <w:color w:val="111111"/>
          <w:sz w:val="28"/>
          <w:szCs w:val="28"/>
          <w:rtl w:val="true"/>
          <w:lang w:bidi="fa-IR"/>
        </w:rPr>
        <w:t>:</w:t>
      </w:r>
    </w:p>
    <w:p>
      <w:pPr>
        <w:pStyle w:val="Heading6"/>
        <w:numPr>
          <w:ilvl w:val="5"/>
          <w:numId w:val="1"/>
        </w:numPr>
        <w:rPr/>
      </w:pPr>
      <w:bookmarkStart w:id="420" w:name="__RefHeading___Toc1401048_3650668749"/>
      <w:bookmarkStart w:id="421" w:name="_Toc162"/>
      <w:bookmarkEnd w:id="420"/>
      <w:r>
        <w:rPr/>
        <w:t>1</w:t>
      </w:r>
      <w:r>
        <w:rPr>
          <w:rtl w:val="true"/>
        </w:rPr>
        <w:t xml:space="preserve">. </w:t>
      </w:r>
      <w:r>
        <w:rPr>
          <w:rtl w:val="true"/>
        </w:rPr>
        <w:t>حدیث یوم الدار</w:t>
      </w:r>
      <w:bookmarkEnd w:id="421"/>
    </w:p>
    <w:p>
      <w:pPr>
        <w:pStyle w:val="BookText"/>
        <w:rPr/>
      </w:pPr>
      <w:r>
        <w:rPr>
          <w:rFonts w:ascii="Amiri" w:hAnsi="Amiri" w:eastAsia="Amiri" w:cs="Amiri"/>
          <w:color w:val="111111"/>
          <w:sz w:val="28"/>
          <w:sz w:val="28"/>
          <w:szCs w:val="28"/>
          <w:rtl w:val="true"/>
          <w:lang w:bidi="ar-SA"/>
        </w:rPr>
        <w:t>بعد أن مضت ثلاثُ سَنَوات علی الیوم الذی بُعِثَ فیه رسول اللَّه صلی الله علیه و آله و سلم، کَلّفهُ اللَّهُ تعالی بأن یبلّغَ رسالَتَه لأبناءِ قَبیلتِهِ، وذلک عندما نَزَل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النبیُّ صلی الله علیه و آله و سلم رؤوسَ بنی هاشم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عبد المطّلب إنّی واللَّهِ ما أعلمُ شابّاً فی العَرَبِ جاء قومَه بأفضل ممّا قد جئتکم به، إنّی قد جئتکُم بخَیِر الدُنیا</w:t>
      </w:r>
      <w:bookmarkStart w:id="422" w:name="pg1680_13055"/>
    </w:p>
    <w:p>
      <w:pPr>
        <w:pStyle w:val="BookText"/>
        <w:rPr/>
      </w:pPr>
      <w:bookmarkEnd w:id="422"/>
      <w:r>
        <w:rPr>
          <w:rFonts w:ascii="Amiri" w:hAnsi="Amiri" w:eastAsia="Amiri" w:cs="Amiri"/>
          <w:color w:val="111111"/>
          <w:sz w:val="28"/>
          <w:sz w:val="28"/>
          <w:szCs w:val="28"/>
          <w:rtl w:val="true"/>
          <w:lang w:bidi="ar-SA"/>
        </w:rPr>
        <w:t>والآخِرة، وقد أمَرَنیَ اللَّهُ تعالی أنْ أدعوکم إلیه فأیُّکم یؤازرنی علی هذا الأمر یکون أخی ووصیی ووزیری وخلیفتی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کرّر النبی صلی الله علیه و آله و سلم العبارة الأخیرة ثلاثَ مرّات، ولم یقمْ فی کلّ تلک المرّات إلّاالإمامُ علی علیه السلام، الّذی أعلَنَ عن استعدادِهِ فی کلّ مرّة لمؤازرةِ النبیّ صلی الله علیه و آله و سلم ونُصْرته، وفی المرّة الثالِثة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وَوَصیِّی وخَلِیفَتِی فِیکُمْ فَاْسمَعوا لَه وأطیعُوا</w:t>
      </w:r>
      <w:r>
        <w:rPr>
          <w:rFonts w:eastAsia="Amiri" w:cs="Amiri" w:ascii="Amiri" w:hAnsi="Amiri"/>
          <w:color w:val="111111"/>
          <w:sz w:val="28"/>
          <w:szCs w:val="28"/>
          <w:rtl w:val="true"/>
          <w:lang w:bidi="ar-SA"/>
        </w:rPr>
        <w:t>».</w:t>
      </w:r>
      <w:r>
        <w:rPr>
          <w:rStyle w:val="FootnoteAnchor"/>
          <w:rtl w:val="true"/>
        </w:rPr>
        <w:footnoteReference w:id="240"/>
      </w:r>
    </w:p>
    <w:p>
      <w:pPr>
        <w:pStyle w:val="Heading6"/>
        <w:numPr>
          <w:ilvl w:val="5"/>
          <w:numId w:val="1"/>
        </w:numPr>
        <w:rPr/>
      </w:pPr>
      <w:bookmarkStart w:id="423" w:name="__RefHeading___Toc1401050_3650668749"/>
      <w:bookmarkStart w:id="424" w:name="_Toc163"/>
      <w:bookmarkEnd w:id="423"/>
      <w:r>
        <w:rPr/>
        <w:t>2</w:t>
      </w:r>
      <w:r>
        <w:rPr>
          <w:rtl w:val="true"/>
        </w:rPr>
        <w:t xml:space="preserve">. </w:t>
      </w:r>
      <w:r>
        <w:rPr>
          <w:rtl w:val="true"/>
        </w:rPr>
        <w:t>حَدیِثُ المَنْزِلَةِ</w:t>
      </w:r>
      <w:bookmarkEnd w:id="42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اعتبر النبیُّ صلی الله علیه و آله و سلم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علی غرارِ منزلةِ هارون من موسی علیهما السلام، ولم یستثنِ من منازِلِ ومراتبِ هارون من موسی إلّاالنبوّة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أما ترضی أن تکونَ مِنّی بمنزلةِ هارونَ من مُوسی إلّاأنّه لا نبیَّ بعدی</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وهذا النفی والسَّلب هو فی الحقیقة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تکن بعد رسولِ اللَّه الخاتم صلی الله علیه و آله و سلم نبوّةٌ حتی یکونَ علیٌ نبیّاً من بعده إذ بنُبُوّة رسولِ الإسلام خُتمت النبوّات، وبِشریعتِهِ خُتِمت الشّرائع</w:t>
      </w:r>
      <w:r>
        <w:rPr>
          <w:rFonts w:eastAsia="Amiri" w:cs="Amiri" w:ascii="Amiri" w:hAnsi="Amiri"/>
          <w:color w:val="111111"/>
          <w:sz w:val="28"/>
          <w:szCs w:val="28"/>
          <w:rtl w:val="true"/>
          <w:lang w:bidi="ar-SA"/>
        </w:rPr>
        <w:t>.</w:t>
      </w:r>
      <w:bookmarkStart w:id="425" w:name="pg1680_13056"/>
    </w:p>
    <w:p>
      <w:pPr>
        <w:pStyle w:val="BookText"/>
        <w:rPr/>
      </w:pPr>
      <w:bookmarkEnd w:id="425"/>
      <w:r>
        <w:rPr>
          <w:rFonts w:ascii="Amiri" w:hAnsi="Amiri" w:eastAsia="Amiri" w:cs="Amiri"/>
          <w:color w:val="111111"/>
          <w:sz w:val="28"/>
          <w:sz w:val="28"/>
          <w:szCs w:val="28"/>
          <w:rtl w:val="true"/>
          <w:lang w:bidi="ar-SA"/>
        </w:rPr>
        <w:t>ولقد کانَ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فی زمانِ مُوسی، وقد أثبتَ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هذه المناصب الثابتة لهارون للإمام علیّ علیه السلام ما عدا النُّبُوَّة، علی أنّه إذا لم یکن المقصودُ مِن هذا الحَدیث هو إثباتُ جمیعِ المناصبِ والمقاماتِ لعلیّ إلّاالنبوَّة، لم یکنْ أیّة حاجة إلی استثناء النُّبوّة</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401052_3650668749"/>
      <w:bookmarkStart w:id="427" w:name="_Toc164"/>
      <w:bookmarkEnd w:id="426"/>
      <w:r>
        <w:rPr/>
        <w:t>3</w:t>
      </w:r>
      <w:r>
        <w:rPr>
          <w:rtl w:val="true"/>
        </w:rPr>
        <w:t xml:space="preserve">. </w:t>
      </w:r>
      <w:r>
        <w:rPr>
          <w:rtl w:val="true"/>
        </w:rPr>
        <w:t>نصب الإمام یوم الغدیر</w:t>
      </w:r>
      <w:bookmarkEnd w:id="4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یبدو فی الأحادیث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بخلیفته ووصیه تارةً بصورةٍ کلیّةٍ، وأُخری بصورةٍمعیّنةٍ، أی بذکر اسم الخلیفة والوصیّ، بحیث یمثّلُ کلُّ واحدٍ من تلک الأحادیث حجةً کاملةً وتامّةً لمن یطلبُ الحقیقة وهو شهیدٌ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مع ذلک ولکی یُوصِلَ النبیُّ صلی الله علیه و آله و سلم نداءَه إلی کلّ قاصٍ ودانٍ من المسلمین فی ذلک الیوم، ویرفعَ کلّ إبهام وغموضٍ، ویدفع کلّ شکٍ أو تشکیکٍ فی هذا المجال، توقّفَ عند قُفوله ومراجَعَته من حَجّة الوَداع فی أرض تسمی بغدیر خم، وأخبر من مَعَه من الحجیج بأنّه کُلِّف مِن جانب اللَّه تعالی بأن یُبلِّغ رسالة إلیهم، وهی رسالة تحکی عن القیام بأمرٍ جدّ عظیم، بحیث إذا لم یُبلِّغها یکون کأنّه لم یُبَلّغ شیئاً من رسالته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ثم رقی النبیُّ منبراً من أقتاب الإبل وحُدُوجها، وقال صلی الله علیه و آله و سلم مخاطباً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أنْ أُدعی فأُجیب فماذا أنتم قائلون؟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قد بَلّغتَ ونَصحتَ وجَهَدتَ فجزاک اللَّهُ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إلّااللَّه وأنّ محمّداً عَبدُه ورسولهُ وأنّ الساعة آتیةٌ لا ریبَ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نَشْهدُ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أسبقکُم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کیفَ تَخلِفوُنی فی الثَّقَلَین؟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یا رَسولَ اللَّه؟</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طَرَفٌ بیدِ اللَّهِ عزَّ وجَلَّ وطَرَفٌ بأیدِیکُمْ فتمَسَّکُوا به لا تَضِلُّوا، والآخَرالأصغَر عترتی، وإنّ اللطیفَ الخبیرَ نبّأنی أَنَّهما لنْ یفترقا حتی یَردا علیَّ الحَوضَ، فلا تقدمُوهُما فتَهلکوا، ولا تقصّروا عنْهما فَتَهْلَکُوا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حتی رُئی بیاضُ آباطهما فعرفَه القومُ</w:t>
      </w:r>
    </w:p>
    <w:p>
      <w:pPr>
        <w:pStyle w:val="BookText"/>
        <w:rPr/>
      </w:pPr>
      <w:r>
        <w:rPr>
          <w:rFonts w:ascii="Amiri" w:hAnsi="Amiri" w:eastAsia="Amiri" w:cs="Amiri"/>
          <w:color w:val="111111"/>
          <w:sz w:val="28"/>
          <w:sz w:val="28"/>
          <w:szCs w:val="28"/>
          <w:rtl w:val="true"/>
          <w:lang w:bidi="ar-SA"/>
        </w:rPr>
        <w:t>أجمعون،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من أولی النّاس بالمؤْمِنین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مولایَ، وأنا مَولی المؤمِنِین، وأنا أولی بِهِمْ مِن أنفسهِمْ، فَمَن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وأحِبَّ من أحَبَّهُ، وابْغَضْ مَن أبْغَضَهُ، وانْصُرْ مَنْ نَصَرَهُ، واخْذُلْ من خَذَلهَ، وأدِرِ الحقَّ معه حیث دارَ، ألا فَلْیُبَلّغِ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حدیثَ الغَدِیر منَ الأَحادیثِ المتَواتِرة، وقد رَواهُ الصَّحابة والتابعون وعُلماء الحدیث فی کلّ قرنٍ بصورَةٍ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نقل حدیثَ الغدیر ورواه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و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التابعین، و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والمحدّثین، وفی ضوء هذا التواتر لا یبقی أیُّ مجالٍ للشَکِ فی أصالةِ، وصحّة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فریقاً من العُلَماء ألَّفوا کُتباً مستَقِلّةً حولَ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أشْمَلُها وأکثرُها اسْتِیعاباً لِطُرق وأسنادِ هذا الحدیث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الشیخ عبد الحسین الأمینی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یجب أن نَری ما هو المقصود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وماذا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القرائن والشواهدَ الکثیرةَ والعدیدةَ تشهد بأنَّ المقصودَ من هذه</w:t>
      </w:r>
    </w:p>
    <w:p>
      <w:pPr>
        <w:pStyle w:val="BookText"/>
        <w:rPr/>
      </w:pPr>
      <w:r>
        <w:rPr>
          <w:rFonts w:ascii="IRNazanin" w:hAnsi="IRNazanin" w:eastAsia="IRNazanin"/>
          <w:color w:val="111111"/>
          <w:sz w:val="28"/>
          <w:sz w:val="28"/>
          <w:szCs w:val="28"/>
          <w:rtl w:val="true"/>
          <w:lang w:bidi="fa-IR"/>
        </w:rPr>
        <w:t>اللَّفظة، والکلمة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الزعامة والقیادة، وها نحن نشیرُ إلی بعض هذه الشَواهدِ والقرائن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واقعة الغدیر، أمَرَ رسولُ اللَّه صلی الله علیه و آله و سلم بأنْ یحطَّ الحُجّاج الّذین کانوا یرجعون معه من الحج، فی أرض قاحِلةٍ لا ماء فیها، ولا کلأ، وفی وقتِ الزوال، وتحت أشعّة الشَّمس الحارقة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کانت حرارةُ الهَجیر من الشِدّة فی ذلک الوَقت بحیث أنّ الشخص من الحاضرین فی ذلک المشهد کان یضع بعض عباءته تحت رجلیه وبعضها فوق رأسه تَوقِّیاً من شدّة الرَمضاء، وحرارة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النبی صلی الله علیه و آله و سلم کان یرید فی هذه الحالة الخاصّة، أن یقول ماله دورٌ مصیریٌّ هامٌ فی هدایة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أی شی‌ء یمکنه أن یکون له دور مصیریٌّ وهامٌّ فی حیاة المسلمین أکثر من تعیین القیادة التی توجب وحدةَ کَلِمةِ المسلمین، وتکونُ حافظة لدینهم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تحدّث رسولُ اللَّه صلی الله علیه و آله و سلم قبل ذکر مسألة ولایة الإمام علی علیه السلام عَن أُصول الدین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والنبوّة، والمعاد، وأخَذَ من الناس الإقرارَ بها، ثم طرَحَ مسألة ولایة الإمام علی علیه السلام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التقارن بین إبلاغ هذه الرسالة وأخذ الاعتراف والإقرار بالأُصول المذکورة یمکن أن یقودنا إلی معرفة أهمیّة الرسالة التی أمَرَ النبیُّ بإبلاغِها إلی 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معرفة أنّ النبیّ صلی الله علیه و آله و سلم ما کانَ یقصُد مِن</w:t>
      </w:r>
      <w:bookmarkStart w:id="428" w:name="pg1680_13060"/>
    </w:p>
    <w:p>
      <w:pPr>
        <w:pStyle w:val="BookText"/>
        <w:rPr/>
      </w:pPr>
      <w:bookmarkEnd w:id="428"/>
      <w:r>
        <w:rPr>
          <w:rFonts w:ascii="Amiri" w:hAnsi="Amiri" w:eastAsia="Amiri" w:cs="Amiri"/>
          <w:color w:val="111111"/>
          <w:sz w:val="28"/>
          <w:sz w:val="28"/>
          <w:szCs w:val="28"/>
          <w:rtl w:val="true"/>
          <w:lang w:bidi="ar-SA"/>
        </w:rPr>
        <w:t xml:space="preserve">ذلک الاجتماع العظیم فی تلک الظروفِ الاستثنائیّةِ والملابَسات الخاصّة التوصیة فقط بمحبّة وموادّة شخصٍ 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إبلاغِ الرِّسالة الإلهیّة فی شأنِ علیٍّ علیه السلام تحدَّثَ النبیُّ صلی الله علیه و آله و سلم عن ولایَته ومولویَّتهِ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مولایَ وأنا مولی المْؤُمِنِین، وأنا أولی بِهِمْ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ذکر هذه المطالب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نمط وسنخ مولویة النبیّ صلی الله علیه و آله و سلم، وأنّ النبی أثبت بأمر اللَّه تعالی مَولویّته وأولویّته بالأمر لعلیّ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و سلم قال بعد إبلاغ هذه الرِسّالة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401054_3650668749"/>
      <w:bookmarkStart w:id="430" w:name="_Toc165"/>
      <w:bookmarkEnd w:id="429"/>
      <w:r>
        <w:rPr>
          <w:rtl w:val="true"/>
        </w:rPr>
        <w:t>الصیغة الثانیة</w:t>
      </w:r>
      <w:r>
        <w:rPr>
          <w:rtl w:val="true"/>
        </w:rPr>
        <w:t xml:space="preserve">: </w:t>
      </w:r>
      <w:r>
        <w:rPr>
          <w:rtl w:val="true"/>
        </w:rPr>
        <w:t>تفویض الأمر إلی الأُمّة</w:t>
      </w:r>
      <w:bookmarkEnd w:id="430"/>
    </w:p>
    <w:p>
      <w:pPr>
        <w:pStyle w:val="Heading6"/>
        <w:numPr>
          <w:ilvl w:val="5"/>
          <w:numId w:val="1"/>
        </w:numPr>
        <w:rPr/>
      </w:pPr>
      <w:bookmarkStart w:id="431" w:name="__RefHeading___Toc1401056_3650668749"/>
      <w:bookmarkStart w:id="432" w:name="_Toc166"/>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قد أوقفک البحث والتحلیل السابق علی أنّ صیغة الحکومة بعد رحلة النبی صلی الله علیه و آله و سلم هی صیغة التنصیص بإمامة مَن یملأ الفراغ بعد النبی صلی الله علیه و آله و سلم، وأنّ المحاسبات الاجتماعیة والأحادیث المتضافرة تؤید تلک الحقیقة، إلّا أنّه وجدت فی وسط الأُمة طائفة تعتقد بأنّ أمر الحکومة بعد وفاة النبی صلی الله علیه و آله و سلم کان مفوضاً إلی انتخاب الأُمّة، وأنّ الخلیفة یتعیّن بأحد الطرق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إجماع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 المهاجرین والأنصار</w:t>
      </w:r>
      <w:r>
        <w:rPr>
          <w:rFonts w:eastAsia="IRNazanin" w:cs="IRNazanin"/>
          <w:color w:val="111111"/>
          <w:sz w:val="28"/>
          <w:szCs w:val="28"/>
          <w:rtl w:val="true"/>
          <w:lang w:bidi="fa-IR"/>
        </w:rPr>
        <w:t>.</w:t>
      </w:r>
      <w:bookmarkStart w:id="433" w:name="pg1680_13061"/>
    </w:p>
    <w:p>
      <w:pPr>
        <w:pStyle w:val="BookText"/>
        <w:rPr/>
      </w:pPr>
      <w:bookmarkEnd w:id="4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بیعة 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وسندرس هذه الطرق الثلاثة بإیجاز</w:t>
      </w:r>
      <w:r>
        <w:rPr>
          <w:rFonts w:eastAsia="IRNazanin" w:cs="IRNazanin"/>
          <w:color w:val="111111"/>
          <w:sz w:val="28"/>
          <w:szCs w:val="28"/>
          <w:rtl w:val="true"/>
          <w:lang w:bidi="fa-IR"/>
        </w:rPr>
        <w:t>.</w:t>
      </w:r>
    </w:p>
    <w:p>
      <w:pPr>
        <w:pStyle w:val="Heading6"/>
        <w:numPr>
          <w:ilvl w:val="5"/>
          <w:numId w:val="1"/>
        </w:numPr>
        <w:rPr/>
      </w:pPr>
      <w:bookmarkStart w:id="434" w:name="__RefHeading___Toc1401058_3650668749"/>
      <w:bookmarkStart w:id="435" w:name="_Toc167"/>
      <w:bookmarkEnd w:id="434"/>
      <w:r>
        <w:rPr>
          <w:rtl w:val="true"/>
        </w:rPr>
        <w:t>إجماع المسلمین‌</w:t>
      </w:r>
      <w:bookmarkEnd w:id="435"/>
    </w:p>
    <w:p>
      <w:pPr>
        <w:pStyle w:val="BookText"/>
        <w:rPr/>
      </w:pPr>
      <w:r>
        <w:rPr>
          <w:rFonts w:ascii="IRNazanin" w:hAnsi="IRNazanin" w:eastAsia="IRNazanin"/>
          <w:color w:val="111111"/>
          <w:sz w:val="28"/>
          <w:sz w:val="28"/>
          <w:szCs w:val="28"/>
          <w:rtl w:val="true"/>
          <w:lang w:bidi="fa-IR"/>
        </w:rPr>
        <w:t>إنّ نظریة إجماع المسلمین علی قیادة فرد منهم، لم تتحقّق بشکل عملی ولا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التاریخ الإسلامی خیر دلیل علی أنّ خلافة أبی بکر لم تأت نتیجة مشارکة الأُمّة الإسلامیة فی اختیاره وانتخابه للحکم والقیادة، بل لم ینتخبه إلّاأربعة أنفار لا غیر، وهؤلاء النفر هم؛ عمر بن الخطاب، وأبو عبیدة من المهاجرین، وبشیر بن سعد وأُسید بن حُضیر من الأنصار، وأمّا الباقون من رجال الأوس لم یبایعوا أبا بکر إلّاتبعاً لرئیسهم أُسید بن حضیر، فی حین غاب عن هذا المجلس کبار الصحابة وأفاضلهم، کالإمام علی بن أبی طالب، والمقداد، وأبی ذر، وحذیفة بن الیمان، وأُبیّ بن کعب وطلحة والزبیر، وعشرات آخرین من الصحابة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الخزرجیین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حضورهم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امتنعوا عن البیعة لأبی بکر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ومن درس أحداث السقیفة وما بعدها یقف علی أنّه لم یکن هناک أی إجماع علی 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عمر یعترف بأنّ هذه البیعة کانت فلتة لا تخضع لضابطة ولا تقوم علی أساس من المبادئ الإسلامیة والمنطلقات الصحیحة والمشروعة،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بیعة أبی بکر فلتة کفلتة الجاهلیة وقی اللَّه المسلمین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یحذّر المسلمین من الأخذ بها، لأنّها لم تکن تمثّل أی صورة انتخابیة صحیحة حتّی لو قیل بمشروعیة تعیّن الخلیفة عن طریق الانتخاب،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عاد إلیها فاقتلوه‌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هذا حال تنصیب أبی بکر فما بالک بخلافة الآخرین، إذ عقد أبو بکر الخلافة لعمر واعترض جماعة من الصحابة علی أبی بکر فی هذا التعیین والنصب</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وإنّ من البدیهیّ أنّه لو کانَ تعیینُ أبی بکر لِعُمر بن الخطاب مِن باب مجرَّد الاقتراح والترشیح فحسب، لما کان لاعتراض الصحابة علیه أیّ مجالٍ ولا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إلی أنّ الخلیفة الثالث هو الآخر تمّ تعیینُهُ عن طریق شوری تألَّفَتْ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عیَّنهُمُ الخلیفةُ الثانی، وکانَ هذا نوعاً مِن تعیین الخلیفة الّذی مَنَع الآخرین من مراجعة الرأی العامّ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الموانع الّتی لا یمکن تحقّق إجماع المسلمین من خلالها هو تفرّقهم فی أطراف العالم، وهذا ممّا یجعل عملیة إجماعهم علی شخص</w:t>
      </w:r>
      <w:bookmarkStart w:id="436" w:name="pg1680_13063"/>
    </w:p>
    <w:p>
      <w:pPr>
        <w:pStyle w:val="BookText"/>
        <w:rPr/>
      </w:pPr>
      <w:bookmarkEnd w:id="436"/>
      <w:r>
        <w:rPr>
          <w:rFonts w:ascii="IRNazanin" w:hAnsi="IRNazanin" w:eastAsia="IRNazanin"/>
          <w:color w:val="111111"/>
          <w:sz w:val="28"/>
          <w:sz w:val="28"/>
          <w:szCs w:val="28"/>
          <w:rtl w:val="true"/>
          <w:lang w:bidi="fa-IR"/>
        </w:rPr>
        <w:t>واحد أمر عسیر إن لم یکن مستحیل، والاقتصار ببیعة المهاجرین والانصار وأولادهم وإلقاء رأی الآخرین المستقرین فی بقاع العالم إهانة لقطاع واسع من المسلمین</w:t>
      </w:r>
      <w:r>
        <w:rPr>
          <w:rFonts w:eastAsia="IRNazanin" w:cs="IRNazanin"/>
          <w:color w:val="111111"/>
          <w:sz w:val="28"/>
          <w:szCs w:val="28"/>
          <w:rtl w:val="true"/>
          <w:lang w:bidi="fa-IR"/>
        </w:rPr>
        <w:t>.</w:t>
      </w:r>
    </w:p>
    <w:p>
      <w:pPr>
        <w:pStyle w:val="Heading6"/>
        <w:numPr>
          <w:ilvl w:val="5"/>
          <w:numId w:val="1"/>
        </w:numPr>
        <w:rPr/>
      </w:pPr>
      <w:bookmarkStart w:id="437" w:name="__RefHeading___Toc1401060_3650668749"/>
      <w:bookmarkStart w:id="438" w:name="_Toc168"/>
      <w:bookmarkEnd w:id="437"/>
      <w:r>
        <w:rPr>
          <w:rtl w:val="true"/>
        </w:rPr>
        <w:t>هل الشوری أساس الحکم؟</w:t>
      </w:r>
      <w:r>
        <w:rPr>
          <w:rtl w:val="true"/>
        </w:rPr>
        <w:t>!</w:t>
      </w:r>
      <w:bookmarkEnd w:id="438"/>
    </w:p>
    <w:p>
      <w:pPr>
        <w:pStyle w:val="BookText"/>
        <w:rPr/>
      </w:pPr>
      <w:r>
        <w:rPr>
          <w:rFonts w:ascii="IRNazanin" w:hAnsi="IRNazanin" w:eastAsia="IRNazanin"/>
          <w:color w:val="111111"/>
          <w:sz w:val="28"/>
          <w:sz w:val="28"/>
          <w:szCs w:val="28"/>
          <w:rtl w:val="true"/>
          <w:lang w:bidi="fa-IR"/>
        </w:rPr>
        <w:t>حاول المجدّدون من متکلّمی السنّة صب صیغة الحکومة الإسلامیّة علی أساس الشوری بجعلها بمنزلة الاستفتاء الشعبی، واستدلّوا علی ذلک بآیتین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وقد قیل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یأمر نبیّه بالمشاورة، تعلیماً للأُمّة، حتی یتشاوروا فی مهام الأُمور، ومنها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فی الآیة متوجّه إلی الحاکم الذی استقرّت حکومته، فیأمره سبحانه أن ینتفع من آراء رعیّته، فأقصی ما یمکن التجاوز به عن الآیة، هو أنّ من وظائف کلّ الحکّام التشاور مع الأُمّة، وأمّا أنّ الخلافة بنفس الشوری، فلا یمکن الاستدلال علیه بهذه الآیة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الآیة هو أنّ التشاور لا یوجب حکماً للحاکم، ولا یلزمه بشی‌ء، بل هو یقلب وجوه الرأی ویستعرض الأفکار المختلفة، ثم یأخذ بما هو المفید فی نظره، وذلک لقوله سبحانه فی نفس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عَزَمْتَ فَتَوَکَّلْ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المعرب عن أنّ العزم والتصمیم والاستنتاج من الآراء الأخذ بما هو الأصلح راجع إلی نفس المشیر، وهذا یتحقّق فی ظرف یکون هناک مسؤول تام الاختیار فی استحصال الأفکار والعمل بالنافع منها، حتی یخاطب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لم یکن ثمة رئیس، فلا تنطبق علیه الآیة، إذ لیس فی انتخاب الخلیفة بین المشیرین من یقوم بدعوة الأفراد للمشورة، لغایة استعراض آرائهم، ثم تمحیص أفکارهم، والأخذ بالنافع منها، ثم العزم القاطع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یعرب عن أنّ الآیة ترجع إلی غیر مسألة الحکومة وما 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لم نر أحداً من الحاضرین فی السقیفة احتجّ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اسْتَجَابُوا لِرَبِّهِمْ وَأَقَامُوا الصَّلوةَ وَأَمْرُهُمْ شُوری بَیْنَهُمْ وَمِمَّا رَزَقْنَاهُمْ یُنْفِقُونَ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ببیان أنّ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 إلی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یفید العموم والشمول لکلّ أمر، ومنه الخلافة، فیعود معنی الآیة أنّ شأن المؤمنین فی کل موردٍ، شوری بینهم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تأمر بالمشورة فی الأُمور المضافة إلی المؤمنین، وأمّا أنّ تعیین الخلیفة من الأُمور المضافة إلیهم، فهو أوّل الکلام، والتمسّک بالآیة فی هذا المجال، تَمَسّک بالحکم فی إثبات موضوعه</w:t>
      </w:r>
      <w:r>
        <w:rPr>
          <w:rFonts w:eastAsia="IRNazanin" w:cs="IRNazanin"/>
          <w:color w:val="111111"/>
          <w:sz w:val="28"/>
          <w:szCs w:val="28"/>
          <w:rtl w:val="true"/>
          <w:lang w:bidi="fa-IR"/>
        </w:rPr>
        <w:t>.</w:t>
      </w:r>
      <w:bookmarkStart w:id="439" w:name="pg1680_13065"/>
    </w:p>
    <w:p>
      <w:pPr>
        <w:pStyle w:val="BookText"/>
        <w:rPr/>
      </w:pPr>
      <w:bookmarkEnd w:id="439"/>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حثّت علی الشوری فیما یمتّ إلی شؤون المؤمنین بصلة، لا فیما هو خارج عن أُمورهم، أمّا کون تعیین الإمام داخلًا فی أُمورهم، فهو أوّل الکلام، إذ لا ندری هل هو من شؤونهم أو من شؤون اللَّه سبحانه؟ ولا ندری هل هی إمرة وولایة إلهیة تتم بنصبه سبحانه وتعیینه، أو إمرة وولایة شعبیة، یجوز للناس التدخّل فیها؟ ومع هذا التردید لا یصحّ التمسّک بالآیة</w:t>
      </w:r>
      <w:r>
        <w:rPr>
          <w:rFonts w:eastAsia="IRNazanin" w:cs="IRNazanin"/>
          <w:color w:val="111111"/>
          <w:sz w:val="28"/>
          <w:szCs w:val="28"/>
          <w:rtl w:val="true"/>
          <w:lang w:bidi="fa-IR"/>
        </w:rPr>
        <w:t>.</w:t>
      </w:r>
    </w:p>
    <w:p>
      <w:pPr>
        <w:pStyle w:val="Heading6"/>
        <w:numPr>
          <w:ilvl w:val="5"/>
          <w:numId w:val="1"/>
        </w:numPr>
        <w:rPr/>
      </w:pPr>
      <w:bookmarkStart w:id="440" w:name="__RefHeading___Toc1401062_3650668749"/>
      <w:bookmarkStart w:id="441" w:name="_Toc169"/>
      <w:bookmarkEnd w:id="440"/>
      <w:r>
        <w:rPr>
          <w:rtl w:val="true"/>
        </w:rPr>
        <w:t>هل البیعة أساس الحکم؟</w:t>
      </w:r>
      <w:bookmarkEnd w:id="441"/>
    </w:p>
    <w:p>
      <w:pPr>
        <w:pStyle w:val="BookText"/>
        <w:rPr/>
      </w:pPr>
      <w:r>
        <w:rPr>
          <w:rFonts w:ascii="IRNazanin" w:hAnsi="IRNazanin" w:eastAsia="IRNazanin"/>
          <w:color w:val="111111"/>
          <w:sz w:val="28"/>
          <w:sz w:val="28"/>
          <w:szCs w:val="28"/>
          <w:rtl w:val="true"/>
          <w:lang w:bidi="fa-IR"/>
        </w:rPr>
        <w:t>ربّما یتصوّر أنّ البیعة أساس الحکم، وانّه یتم من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غفلة عن حقیقة البیعة وموقفها، فإنّ البیعة فی حیاة العرب وبعد رحیل الرسول صلی الله علیه و آله و سلم، کانت تجسیداً لما تمّ أمره من قبل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المسلمین للنبی الأکرم صلی الله علیه و آله و سلم، لم تعن الاعتراف بزعامة الرسول ورئاسته، فضلًا عن نصبه وتعیینه، بل إنّ المبایعین بعد أن آمنوا بنبوة النبی واعترفوا بقیادته وزعامته، وأرادوا أن یصبّوا ما یلازم ذلک الإیمان، من الالتزام النفسی بأوامر النبی، بعد الإقرار بنبوته، وزعامته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النبی الأکرم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آمنتم بی فبایعونی علی أن تطیعونی، وتصلّوا وتزکّوا، وأن تدفعوا عنی العدو حتی الموت، ولا تفروا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الهدف عندئذٍ من البیعة لم یکن هو الاعتراف بمنصب المبایع، وانتخابه وتعیینه لمقام الحکومة والولایة، بل کانت لأجل التأکید العملی علی الالتزام بلوازم الإیمان السابق علیه، وهذا بارز فی البیعة الثانیة للأنصار</w:t>
      </w:r>
      <w:bookmarkStart w:id="442" w:name="pg1680_13066"/>
    </w:p>
    <w:p>
      <w:pPr>
        <w:pStyle w:val="BookText"/>
        <w:rPr/>
      </w:pPr>
      <w:bookmarkEnd w:id="442"/>
      <w:r>
        <w:rPr>
          <w:rFonts w:ascii="IRNazanin" w:hAnsi="IRNazanin" w:eastAsia="IRNazanin"/>
          <w:color w:val="111111"/>
          <w:sz w:val="28"/>
          <w:sz w:val="28"/>
          <w:szCs w:val="28"/>
          <w:rtl w:val="true"/>
          <w:lang w:bidi="fa-IR"/>
        </w:rPr>
        <w:t>فی منی، وبیعة الصحابة فی غزوة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ما ذکرنا فإنّ البیعة لیست طریقاً لتعیین الحاکم وانتخاب القائد، وإنّما یتعین الحاکم بالمقاولة وتصویت الجماعة الحاضرین، ثم یُصبّ ذلک الانتخاب فی قالب الحسّ بالبیعة والصفق، وکأنّ البیعة تأکید لما التزموا، وتجسید لما أضمروه أو تقاولوه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کونها طریقاً لتعیین الحاکم، فهی إحدی الطرق لا الطریق الوحید، فلو علم رضا الأُمّة بحکومة فرد وزعامة شخص عن غیر طریق البیعة، وأبرزت رضاها بطریق من الطرق، لکفی ذلک فی کونه قائداً لازم الطاعة، لأنّه أشبه بالعقد والعهد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الشوری أو بیعة الجماعة الحاضرین إنّما یعدّ طریقاً لتعیین الحاکم إذا لم یکن هناک نصّ من الرسول علی تنصیب شخص للزعامة، وإلّا تکون البیعة رفضاً للنّص، واجتهاداً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النصوص المتواترة علی الوصی علیه السلام</w:t>
      </w:r>
      <w:r>
        <w:rPr>
          <w:rFonts w:eastAsia="IRNazanin" w:cs="IRNazanin"/>
          <w:color w:val="111111"/>
          <w:sz w:val="28"/>
          <w:szCs w:val="28"/>
          <w:rtl w:val="true"/>
          <w:lang w:bidi="fa-IR"/>
        </w:rPr>
        <w:t>.</w:t>
      </w:r>
    </w:p>
    <w:p>
      <w:pPr>
        <w:pStyle w:val="Heading5"/>
        <w:numPr>
          <w:ilvl w:val="4"/>
          <w:numId w:val="1"/>
        </w:numPr>
        <w:rPr/>
      </w:pPr>
      <w:bookmarkStart w:id="443" w:name="__RefHeading___Toc1401064_3650668749"/>
      <w:bookmarkStart w:id="444" w:name="_Toc170"/>
      <w:bookmarkEnd w:id="443"/>
      <w:r>
        <w:rPr>
          <w:rtl w:val="true"/>
        </w:rPr>
        <w:t>السنّة النبویة والأئمة الاثنا عشر</w:t>
      </w:r>
      <w:bookmarkEnd w:id="444"/>
    </w:p>
    <w:p>
      <w:pPr>
        <w:pStyle w:val="Heading6"/>
        <w:numPr>
          <w:ilvl w:val="5"/>
          <w:numId w:val="1"/>
        </w:numPr>
        <w:rPr/>
      </w:pPr>
      <w:bookmarkStart w:id="445" w:name="__RefHeading___Toc1401066_3650668749"/>
      <w:bookmarkStart w:id="446" w:name="_Toc171"/>
      <w:bookmarkEnd w:id="445"/>
      <w:r>
        <w:rPr>
          <w:rtl w:val="true"/>
        </w:rPr>
        <w:t>اشارة</w:t>
      </w:r>
      <w:bookmarkEnd w:id="44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الأکرم لم یکتف بتنصیب علیّ منصب الإمامة والخلافة، کما لم یکتف بإرجاع الأُمّة الإسلامیة إلی أهل بیته وعترته الطاهرة، بل قام ببیان عدد الأئمة الذین یتوّلون الخلافة بعده، واحداً بعد واحد، حتی لا یبقی لمرتاب ریب، ولا لشاکّ شک، وقد جاء ذلک فی الصحاح والمسانید بصُوَر مختلفة نشیر إلیها</w:t>
      </w:r>
      <w:r>
        <w:rPr>
          <w:rFonts w:eastAsia="IRNazanin" w:cs="IRNazanin"/>
          <w:color w:val="111111"/>
          <w:sz w:val="28"/>
          <w:szCs w:val="28"/>
          <w:rtl w:val="true"/>
          <w:lang w:bidi="fa-IR"/>
        </w:rPr>
        <w:t>.</w:t>
      </w:r>
      <w:bookmarkStart w:id="447" w:name="pg1680_13067"/>
    </w:p>
    <w:p>
      <w:pPr>
        <w:pStyle w:val="Heading6"/>
        <w:numPr>
          <w:ilvl w:val="5"/>
          <w:numId w:val="1"/>
        </w:numPr>
        <w:rPr/>
      </w:pPr>
      <w:bookmarkStart w:id="448" w:name="__RefHeading___Toc1401068_3650668749"/>
      <w:bookmarkStart w:id="449" w:name="_Toc172"/>
      <w:bookmarkEnd w:id="447"/>
      <w:bookmarkEnd w:id="448"/>
      <w:r>
        <w:rPr/>
        <w:t>1</w:t>
      </w:r>
      <w:r>
        <w:rPr>
          <w:rtl w:val="true"/>
        </w:rPr>
        <w:t xml:space="preserve">. </w:t>
      </w:r>
      <w:r>
        <w:rPr>
          <w:rtl w:val="true"/>
        </w:rPr>
        <w:t>کلّهم من قریش‌</w:t>
      </w:r>
      <w:bookmarkEnd w:id="449"/>
    </w:p>
    <w:p>
      <w:pPr>
        <w:pStyle w:val="BookText"/>
        <w:rPr/>
      </w:pPr>
      <w:r>
        <w:rPr>
          <w:rFonts w:ascii="IRNazanin" w:hAnsi="IRNazanin" w:eastAsia="IRNazanin"/>
          <w:color w:val="111111"/>
          <w:sz w:val="28"/>
          <w:sz w:val="28"/>
          <w:szCs w:val="28"/>
          <w:rtl w:val="true"/>
          <w:lang w:bidi="fa-IR"/>
        </w:rPr>
        <w:t>روی البخاری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اثنا عشر أمیراً، فقال کلمة لم أسمعها،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1401070_3650668749"/>
      <w:bookmarkStart w:id="451" w:name="_Toc173"/>
      <w:bookmarkEnd w:id="450"/>
      <w:r>
        <w:rPr/>
        <w:t>2</w:t>
      </w:r>
      <w:r>
        <w:rPr>
          <w:rtl w:val="true"/>
        </w:rPr>
        <w:t xml:space="preserve">. </w:t>
      </w:r>
      <w:r>
        <w:rPr>
          <w:rtl w:val="true"/>
        </w:rPr>
        <w:t>لایزال الإسلام عزیزاً</w:t>
      </w:r>
      <w:bookmarkEnd w:id="451"/>
    </w:p>
    <w:p>
      <w:pPr>
        <w:pStyle w:val="BookText"/>
        <w:rPr/>
      </w:pPr>
      <w:r>
        <w:rPr>
          <w:rFonts w:ascii="IRNazanin" w:hAnsi="IRNazanin" w:eastAsia="IRNazanin"/>
          <w:color w:val="111111"/>
          <w:sz w:val="28"/>
          <w:sz w:val="28"/>
          <w:szCs w:val="28"/>
          <w:rtl w:val="true"/>
          <w:lang w:bidi="fa-IR"/>
        </w:rPr>
        <w:t>روی مسلم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الإسلام عزیزاً إلی اثنی عشر خلیفة، ثم قال کلمة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452" w:name="__RefHeading___Toc1401072_3650668749"/>
      <w:bookmarkStart w:id="453" w:name="_Toc174"/>
      <w:bookmarkEnd w:id="452"/>
      <w:r>
        <w:rPr/>
        <w:t>3</w:t>
      </w:r>
      <w:r>
        <w:rPr>
          <w:rtl w:val="true"/>
        </w:rPr>
        <w:t xml:space="preserve">. </w:t>
      </w:r>
      <w:r>
        <w:rPr>
          <w:rtl w:val="true"/>
        </w:rPr>
        <w:t>لا یزال الدین عزیزاً منیعاً</w:t>
      </w:r>
      <w:bookmarkEnd w:id="453"/>
    </w:p>
    <w:p>
      <w:pPr>
        <w:pStyle w:val="BookText"/>
        <w:rPr/>
      </w:pPr>
      <w:r>
        <w:rPr>
          <w:rFonts w:ascii="IRNazanin" w:hAnsi="IRNazanin" w:eastAsia="IRNazanin"/>
          <w:color w:val="111111"/>
          <w:sz w:val="28"/>
          <w:sz w:val="28"/>
          <w:szCs w:val="28"/>
          <w:rtl w:val="true"/>
          <w:lang w:bidi="fa-IR"/>
        </w:rPr>
        <w:t>و روی أیضاً عن جابر بن سمرة قال، انطلقت إلی رسول اللَّه ومعی أبی فسمعته یقول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لایزال هذا الدین عزیزاً منیعاً إلی اثنی عشر خلیفة، فقال کلمة</w:t>
      </w:r>
      <w:bookmarkStart w:id="454" w:name="pg1680_13068"/>
    </w:p>
    <w:p>
      <w:pPr>
        <w:pStyle w:val="BookText"/>
        <w:rPr/>
      </w:pPr>
      <w:bookmarkEnd w:id="454"/>
      <w:r>
        <w:rPr>
          <w:rFonts w:ascii="IRNazanin" w:hAnsi="IRNazanin" w:eastAsia="IRNazanin"/>
          <w:color w:val="111111"/>
          <w:sz w:val="28"/>
          <w:sz w:val="28"/>
          <w:szCs w:val="28"/>
          <w:rtl w:val="true"/>
          <w:lang w:bidi="fa-IR"/>
        </w:rPr>
        <w:t>صمّنیها الناس،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54"/>
      </w:r>
    </w:p>
    <w:p>
      <w:pPr>
        <w:pStyle w:val="Heading6"/>
        <w:numPr>
          <w:ilvl w:val="5"/>
          <w:numId w:val="1"/>
        </w:numPr>
        <w:rPr/>
      </w:pPr>
      <w:bookmarkStart w:id="455" w:name="__RefHeading___Toc1401074_3650668749"/>
      <w:bookmarkStart w:id="456" w:name="_Toc175"/>
      <w:bookmarkEnd w:id="455"/>
      <w:r>
        <w:rPr/>
        <w:t>4</w:t>
      </w:r>
      <w:r>
        <w:rPr>
          <w:rtl w:val="true"/>
        </w:rPr>
        <w:t xml:space="preserve">. </w:t>
      </w:r>
      <w:r>
        <w:rPr>
          <w:rtl w:val="true"/>
        </w:rPr>
        <w:t>لایزال الدین قائماً</w:t>
      </w:r>
      <w:bookmarkEnd w:id="456"/>
    </w:p>
    <w:p>
      <w:pPr>
        <w:pStyle w:val="BookText"/>
        <w:rPr/>
      </w:pPr>
      <w:r>
        <w:rPr>
          <w:rFonts w:ascii="IRNazanin" w:hAnsi="IRNazanin" w:eastAsia="IRNazanin"/>
          <w:color w:val="111111"/>
          <w:sz w:val="28"/>
          <w:sz w:val="28"/>
          <w:szCs w:val="28"/>
          <w:rtl w:val="true"/>
          <w:lang w:bidi="fa-IR"/>
        </w:rPr>
        <w:t>وروی أیضاً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یوم جمعة عَشیة رجم الأسلمی،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457" w:name="__RefHeading___Toc1401076_3650668749"/>
      <w:bookmarkStart w:id="458" w:name="_Toc176"/>
      <w:bookmarkEnd w:id="457"/>
      <w:r>
        <w:rPr/>
        <w:t>5</w:t>
      </w:r>
      <w:r>
        <w:rPr>
          <w:rtl w:val="true"/>
        </w:rPr>
        <w:t xml:space="preserve">. </w:t>
      </w:r>
      <w:r>
        <w:rPr>
          <w:rtl w:val="true"/>
        </w:rPr>
        <w:t>لا یزال الدین ظاهراً</w:t>
      </w:r>
      <w:bookmarkEnd w:id="458"/>
    </w:p>
    <w:p>
      <w:pPr>
        <w:pStyle w:val="BookText"/>
        <w:rPr/>
      </w:pPr>
      <w:r>
        <w:rPr>
          <w:rFonts w:ascii="IRNazanin" w:hAnsi="IRNazanin" w:eastAsia="IRNazanin"/>
          <w:color w:val="111111"/>
          <w:sz w:val="28"/>
          <w:sz w:val="28"/>
          <w:szCs w:val="28"/>
          <w:rtl w:val="true"/>
          <w:lang w:bidi="fa-IR"/>
        </w:rPr>
        <w:t>روی أحمد فی مسنده،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الدین لن یزال ظاهراً علی من ناواه، لا یضرّه مخالف ولا مفارق حتی یمضی من أُمّتی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بشی‌ء لم أفهمه،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أمر هذه الأمّة ظاهراً</w:t>
      </w:r>
      <w:r>
        <w:rPr>
          <w:rFonts w:eastAsia="IRNazanin" w:cs="IRNazanin"/>
          <w:color w:val="111111"/>
          <w:sz w:val="28"/>
          <w:szCs w:val="28"/>
          <w:rtl w:val="true"/>
          <w:lang w:bidi="fa-IR"/>
        </w:rPr>
        <w:t>».</w:t>
      </w:r>
    </w:p>
    <w:p>
      <w:pPr>
        <w:pStyle w:val="Heading6"/>
        <w:numPr>
          <w:ilvl w:val="5"/>
          <w:numId w:val="1"/>
        </w:numPr>
        <w:rPr/>
      </w:pPr>
      <w:bookmarkStart w:id="459" w:name="__RefHeading___Toc1401078_3650668749"/>
      <w:bookmarkStart w:id="460" w:name="_Toc177"/>
      <w:bookmarkEnd w:id="459"/>
      <w:r>
        <w:rPr/>
        <w:t>6</w:t>
      </w:r>
      <w:r>
        <w:rPr>
          <w:rtl w:val="true"/>
        </w:rPr>
        <w:t xml:space="preserve">. </w:t>
      </w:r>
      <w:r>
        <w:rPr>
          <w:rtl w:val="true"/>
        </w:rPr>
        <w:t>لا یزال هذا الأمر صالحاً</w:t>
      </w:r>
      <w:bookmarkEnd w:id="4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فی مسنده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أنا وأبی إلی النبی،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صالحاً، حتی یکون اثنا عشر أمیراً، ثم</w:t>
      </w:r>
    </w:p>
    <w:p>
      <w:pPr>
        <w:pStyle w:val="BookText"/>
        <w:rPr/>
      </w:pPr>
      <w:r>
        <w:rPr>
          <w:rFonts w:ascii="IRNazanin" w:hAnsi="IRNazanin" w:eastAsia="IRNazanin"/>
          <w:color w:val="111111"/>
          <w:sz w:val="28"/>
          <w:sz w:val="28"/>
          <w:szCs w:val="28"/>
          <w:rtl w:val="true"/>
          <w:lang w:bidi="fa-IR"/>
        </w:rPr>
        <w:t>قال کلمة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Pr>
        <w:footnoteReference w:id="25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بخیر</w:t>
      </w:r>
    </w:p>
    <w:p>
      <w:pPr>
        <w:pStyle w:val="BookText"/>
        <w:rPr/>
      </w:pPr>
      <w:r>
        <w:rPr>
          <w:rFonts w:ascii="IRNazanin" w:hAnsi="IRNazanin" w:eastAsia="IRNazanin"/>
          <w:color w:val="111111"/>
          <w:sz w:val="28"/>
          <w:sz w:val="28"/>
          <w:szCs w:val="28"/>
          <w:rtl w:val="true"/>
          <w:lang w:bidi="fa-IR"/>
        </w:rPr>
        <w:t>وروی أیضاً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عزیزاً،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الناس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أبو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اثنی عشر خلیفة، ثم قال کلمة خفیّة،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فَهَلُمّ الآن إلی البحث عن هؤلاء الخلفاء الاثنی عشر، حتی نعرف مَن هم؟ وقد وقفت علی أنّ الرسول الأکرم قد عرفهم بالخصوصیات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الإسلام عزیزاً إلی اثنی عشر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لایزال الدین عزیزاً منیعاً إلی اثنی عشر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الدین قائماً حتی تقوم الساعة، أو یکون علیکم اثنا عشر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لایزال الدین ظاهراً علی من ناواه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یمضی من أُمّتی اثنا عشر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یزال هذا الأمر صالحاً حتی یکون اثنا عشر أمیراً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لایزال الناس بخیر إلی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کلمة شرّاح الحدیث فی تعیین هؤلاء الأئمة، ولا تجد بینها کلمة تشفی العلیل، وتروی الغلیل، إلّاما نقله القندوزی عن بعض المحقّقین،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الأحادیث الدالّة علی کون الخلفاء بعده اثنی عشر، قد اشتهرت من طرق کثیرة، فبشرح الزمان، وتعریف الکون والمکان، علم أنّ مراد رسول اللَّه من حدیثه هذا، الأئمة الاثنا عشر من أهل بیته وعترته، إذ لا یمکن أن یُحمل هذا الحدیث علی الخلفاء بعده من أصحابه، لقلّتهم عن اثنی عشر، ولا یمکن أن یحمل علی الملوک الأمویّین لزیادتهم علی الاثنی عشر، ولظلمهم الفاحش إلّاعمر بن عبد العزیز، ولکونهم غیر بنی هاشم، لأنّ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 فی روایة عبد الملک عن جابر، وإخفاء صوته فی هذا القول یرجّح هذه الروایة، لأنّهم لا یُحَسِّنون خلافة بنی هاشم، ولا یمکن أن یحمل علی الملوک العباسیین لزیادتهم علی العدد المذکور، ولقلّة رعایتهم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الکساء، فلابدّ من أن یُحمل علی الأئمة الاثنی عشر من أهل بیته وعترته، لأنّهم کانوا أعلم أهل زمانهم، وأجَلّهم، وأورَعَهم، وأتْقاهم، وأعلاهُم نَسَباً، وأفضَلَهم حَسَباً، أَکْرَمَهم عند اللَّه، وکانت عُلُومهم عن آبائهم متصلة بجدّهم صلی الله علیه و آله و سلم، وبالوراثة اللَّدُنیَّة، کذا عَرَّفهم أهلُ العلم والتحقیق، وأهل الکشف والتوفیق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المعنی، أی أن مراد النبی الأئمة الاثنی عشر من أهل بیته،</w:t>
      </w:r>
    </w:p>
    <w:p>
      <w:pPr>
        <w:pStyle w:val="BookText"/>
        <w:rPr/>
      </w:pPr>
      <w:r>
        <w:rPr>
          <w:rFonts w:ascii="IRNazanin" w:hAnsi="IRNazanin" w:eastAsia="IRNazanin"/>
          <w:color w:val="111111"/>
          <w:sz w:val="28"/>
          <w:sz w:val="28"/>
          <w:szCs w:val="28"/>
          <w:rtl w:val="true"/>
          <w:lang w:bidi="fa-IR"/>
        </w:rPr>
        <w:t>ویشهد علیه ویرجّحه حدیث الثقلین والأحادیث المتکثرة المذکورة فی هذا الکتاب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یجتمع علیه الأُمّة، فی روایة جابر بن سمرة، فمراده أنّ الأُمّة تجتمع علی الإقرار بإمامة کلّهم وقت ظهور قائمهم المهدی‌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الخصوصیات لا توجد فی الأُمّة الإسلامیة إلّافی الأئمة الاثنی عشر المعروفین عند الفریقین، خصوصاً ما یدلّ علی أنّ وجود الأئمة مستمر إلی آخر الدهر، ومن المعلوم أنّ آخر الأئمة هو المهدی المنتظر، الذی یعدّ ظهوره من أشراط الساعة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أضفنا إلی هذا، الروایات الکثیرة الواردة فی الأئمة الاثنی عشر، یقطع الإنسان بأنّه لیس المراد إلّاهؤلاء الذین اعترف بفضلهم، وورعهم، وتُقاهم، وعلمهم، ووعیهم، وحلمهم، وصبرهم، ودرایتهم، وکفایتهم، الدانی والقاصی، والصدیق والعدو، ألا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فالحسن بن علی، فالحسین بن علی، فعلی بن الحسین، فمحمد بن علی، فجعفربن محمد، فموسی بن جعفر، فعلی بن موسی، فمحمد بن علی، فعلی بن محمد، فالحسن بن علی، فمحمد بن الحسن العسکری، المهدی المنتظر الذی یملأ اللَّه به الأرض قسطاً وعدلًا</w:t>
      </w:r>
      <w:bookmarkStart w:id="461" w:name="pg1680_13072"/>
    </w:p>
    <w:p>
      <w:pPr>
        <w:pStyle w:val="BookText"/>
        <w:rPr/>
      </w:pPr>
      <w:bookmarkEnd w:id="461"/>
      <w:r>
        <w:rPr>
          <w:rFonts w:ascii="Amiri" w:hAnsi="Amiri" w:eastAsia="Amiri" w:cs="Amiri"/>
          <w:color w:val="111111"/>
          <w:sz w:val="28"/>
          <w:sz w:val="28"/>
          <w:szCs w:val="28"/>
          <w:rtl w:val="true"/>
          <w:lang w:bidi="ar-SA"/>
        </w:rPr>
        <w:t>بعدما ملئت ظلماً وجوراً</w:t>
      </w:r>
      <w:r>
        <w:rPr>
          <w:rStyle w:val="FootnoteAnchor"/>
          <w:rtl w:val="true"/>
        </w:rPr>
        <w:footnoteReference w:id="260"/>
      </w:r>
      <w:r>
        <w:rPr>
          <w:rFonts w:ascii="IRNazanin" w:hAnsi="IRNazanin" w:eastAsia="IRNazanin"/>
          <w:color w:val="111111"/>
          <w:sz w:val="28"/>
          <w:sz w:val="28"/>
          <w:szCs w:val="28"/>
          <w:rtl w:val="true"/>
          <w:lang w:bidi="fa-IR"/>
        </w:rPr>
        <w:t>، صلوات اللَّه وتحیاته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تضافرت النصوص فی تنصیص الإمام السابق علی الإمام اللاحق، فمن أراد الوقوف علی هذه النصوص، فعلیه الرجوع إلی الکتب المعدّة لإمامة الأئمة الاثنی عشر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401080_3650668749"/>
      <w:bookmarkStart w:id="463" w:name="_Toc178"/>
      <w:bookmarkEnd w:id="462"/>
      <w:r>
        <w:rPr>
          <w:rtl w:val="true"/>
        </w:rPr>
        <w:t>أوصاف الإمام‌</w:t>
      </w:r>
      <w:bookmarkEnd w:id="463"/>
    </w:p>
    <w:p>
      <w:pPr>
        <w:pStyle w:val="Heading6"/>
        <w:numPr>
          <w:ilvl w:val="5"/>
          <w:numId w:val="1"/>
        </w:numPr>
        <w:rPr/>
      </w:pPr>
      <w:bookmarkStart w:id="464" w:name="__RefHeading___Toc1401082_3650668749"/>
      <w:bookmarkStart w:id="465" w:name="_Toc179"/>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قد علمت أنّ الإمامة عند الشیعة تختلف فی مفهومها عمّا عند السنّة، فإنّها عند الشیعة عبارة عن استمرار وظائف الرسالة، فالإمام وإن لم یکن نبیاً ولا رسولًا ولا یوحی إلیه ولکنّه یقوم بسائر الوظائف الّتی کان النبی یقوم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ومل‌ء هذا الفراغ رهن شروط وأوصاف یجب توفرها فیه، وهی</w:t>
      </w:r>
      <w:r>
        <w:rPr>
          <w:rFonts w:eastAsia="IRNazanin" w:cs="IRNazanin"/>
          <w:color w:val="111111"/>
          <w:sz w:val="28"/>
          <w:szCs w:val="28"/>
          <w:rtl w:val="true"/>
          <w:lang w:bidi="fa-IR"/>
        </w:rPr>
        <w:t>:</w:t>
      </w:r>
    </w:p>
    <w:p>
      <w:pPr>
        <w:pStyle w:val="Heading6"/>
        <w:numPr>
          <w:ilvl w:val="5"/>
          <w:numId w:val="1"/>
        </w:numPr>
        <w:rPr/>
      </w:pPr>
      <w:bookmarkStart w:id="466" w:name="__RefHeading___Toc1401084_3650668749"/>
      <w:bookmarkStart w:id="467" w:name="_Toc180"/>
      <w:bookmarkEnd w:id="466"/>
      <w:r>
        <w:rPr/>
        <w:t>1</w:t>
      </w:r>
      <w:r>
        <w:rPr>
          <w:rtl w:val="true"/>
        </w:rPr>
        <w:t xml:space="preserve">. </w:t>
      </w:r>
      <w:r>
        <w:rPr>
          <w:rtl w:val="true"/>
        </w:rPr>
        <w:t>العصمة</w:t>
      </w:r>
      <w:bookmarkEnd w:id="467"/>
    </w:p>
    <w:p>
      <w:pPr>
        <w:pStyle w:val="Heading6"/>
        <w:numPr>
          <w:ilvl w:val="5"/>
          <w:numId w:val="1"/>
        </w:numPr>
        <w:rPr/>
      </w:pPr>
      <w:bookmarkStart w:id="468" w:name="__RefHeading___Toc1401086_3650668749"/>
      <w:bookmarkStart w:id="469" w:name="_Toc181"/>
      <w:bookmarkEnd w:id="468"/>
      <w:r>
        <w:rPr>
          <w:rtl w:val="true"/>
        </w:rPr>
        <w:t>اشارة</w:t>
      </w:r>
      <w:bookmarkEnd w:id="4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الإمام أن یکون معصوماً من الخطأ والزلل، وذلک لأنّ الدلیل الّذی یبعثنا إلی القول بالعصمة فی النبی صلی الله علیه و آله و سلم هوبنفسه یسبّب القول بالعصمة فی الإمام أیضاً، وذلک لأنّ من مهمات الإمام سدّ الفراغات الهائلة</w:t>
      </w:r>
      <w:bookmarkStart w:id="470" w:name="pg1680_13073"/>
    </w:p>
    <w:p>
      <w:pPr>
        <w:pStyle w:val="BookText"/>
        <w:rPr/>
      </w:pPr>
      <w:bookmarkEnd w:id="470"/>
      <w:r>
        <w:rPr>
          <w:rFonts w:ascii="IRNazanin" w:hAnsi="IRNazanin" w:eastAsia="IRNazanin"/>
          <w:color w:val="111111"/>
          <w:sz w:val="28"/>
          <w:sz w:val="28"/>
          <w:szCs w:val="28"/>
          <w:rtl w:val="true"/>
          <w:lang w:bidi="fa-IR"/>
        </w:rPr>
        <w:t>بعد رحیله صلی الله علیه و آله و سلم، وهو لا یتحقّق إلّابأن یکون الإمام متمتعاً بما یتمتع به النبی الأکرم من الکفاءات والمؤهّلات، فیکون عارفاً بالکتاب والسنّة علی وفق الواقع، وعالماً بحکم الموضوعات المستجدة عرفاناً واقعیاً، وذابّاً عن الدین شبهات المشککین، ومن المعلوم أنّ هذه الوظیفة تستدعی کون الإمام مصوناً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أنّ النبیّ یجب أن یکون مصوناً فی مقام إبلاغ الرسالة، قائم فی المقام بنفسه، فإنّ الإمام یقوم بنفس تلک الوظیفة، وإن لم یکن رسولًا ولا طرفاً للوحی، ولکنه یکون عیبةً لعلمه، وحاملًا لشرعه وأحکامه، فإذا لم نجوّز الخطأ علی النبی فی مقام الإبلاغ، فلیکن الأمر کذلک فی مقام القیام بتلک الوظیفة بلا منصب الرسالة والنبوة</w:t>
      </w:r>
      <w:r>
        <w:rPr>
          <w:rFonts w:eastAsia="IRNazanin" w:cs="IRNazanin"/>
          <w:color w:val="111111"/>
          <w:sz w:val="28"/>
          <w:szCs w:val="28"/>
          <w:rtl w:val="true"/>
          <w:lang w:bidi="fa-IR"/>
        </w:rPr>
        <w:t>.</w:t>
      </w:r>
    </w:p>
    <w:p>
      <w:pPr>
        <w:pStyle w:val="Heading6"/>
        <w:numPr>
          <w:ilvl w:val="5"/>
          <w:numId w:val="1"/>
        </w:numPr>
        <w:rPr/>
      </w:pPr>
      <w:bookmarkStart w:id="471" w:name="__RefHeading___Toc1401088_3650668749"/>
      <w:bookmarkStart w:id="472" w:name="_Toc182"/>
      <w:bookmarkEnd w:id="471"/>
      <w:r>
        <w:rPr>
          <w:rtl w:val="true"/>
        </w:rPr>
        <w:t>عصمة الإمام فی القرآن الکریم‌</w:t>
      </w:r>
      <w:bookmarkEnd w:id="472"/>
    </w:p>
    <w:p>
      <w:pPr>
        <w:pStyle w:val="BookText"/>
        <w:rPr/>
      </w:pPr>
      <w:r>
        <w:rPr>
          <w:rFonts w:ascii="Amiri" w:hAnsi="Amiri" w:eastAsia="Amiri" w:cs="Amiri"/>
          <w:color w:val="111111"/>
          <w:sz w:val="28"/>
          <w:sz w:val="28"/>
          <w:szCs w:val="28"/>
          <w:rtl w:val="true"/>
          <w:lang w:bidi="ar-SA"/>
        </w:rPr>
        <w:t>إنّ آیة الابتلاء تدلّ بوضوح علی أنّ الإمامة لا ینالها الظالمون،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الإمامة الّتی وهبها سبحانه لإبراهیم وذریته غیر النبوة، وذلک لأنّه سبحانه خاطبه وبشّره بالإمامة وقد کان نبیاً، فیدلّ ذلک علی أنّ الإمامة الّتی بُشّر بها إبراهیم هی غیر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طلبها إبراهیم لذریته استجاب سبحانه دعوته لکنّه استثنی الظالمین، والمراد من غیر الظالمین هو مَن لم یتلبس بالظلم طیلة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الأسمی من تنصیب کل إنسان للإمامة، تجسید الشریعة الإلهیة فی المجتمع، فإذا کان القائد رجلًا مثالیاً نقی الثوب، مشرق الصحیفة لم یر منه عصیان ولا زَلّة، یتحقّق الهدف من نصبه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فی فترة من عمره مقترفاً للمعاصی، ماجناً، مجترحاً للسیئات، فیکون غرضاً لسهام الناقدین، ومن البعید أن ینفذ قوله، وتقبل قیادته بسهولة، بل ینادی علیه إنّه کان بالأمس یقترف الذنوب، وأصبح الیوم آمراً بالحق وممیتاً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تحقّق الهدف یحکم العقل بلزوم نقاوة الإمام عن کلّ رذیلة ومعصیة فی جمیع فترات عمره، وأنّ الإنابة لو کانت ناجعة فی حیاته الفردیة فلیست کذلک فی حیاته الاجتماعیة، فلن تخضع له الأعناق، وتمیل إلیه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بالنسبة إلی الظلم علی أقسام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طیلة عمره ظالماً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طاهراً ونقیاً فی جمیع فترات عمره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ظالماً فی بدایة عمره، وتائباً فی آخره</w:t>
      </w:r>
      <w:r>
        <w:rPr>
          <w:rFonts w:eastAsia="IRNazanin" w:cs="IRNazanin"/>
          <w:color w:val="111111"/>
          <w:sz w:val="28"/>
          <w:szCs w:val="28"/>
          <w:rtl w:val="true"/>
          <w:lang w:bidi="fa-IR"/>
        </w:rPr>
        <w:t>.</w:t>
      </w:r>
      <w:bookmarkStart w:id="473" w:name="pg1680_13075"/>
    </w:p>
    <w:p>
      <w:pPr>
        <w:pStyle w:val="BookText"/>
        <w:rPr/>
      </w:pPr>
      <w:bookmarkEnd w:id="47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طاهراً فی بدایة عمره وظالماً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یجب أن نقف علی أنّ إبراهیم علیه السلام، الذی سأل الإمامة لبعض ذریته، أیّ قسم أراد منها؟</w:t>
      </w:r>
    </w:p>
    <w:p>
      <w:pPr>
        <w:pStyle w:val="BookText"/>
        <w:rPr/>
      </w:pPr>
      <w:r>
        <w:rPr>
          <w:rFonts w:ascii="IRNazanin" w:hAnsi="IRNazanin" w:eastAsia="IRNazanin"/>
          <w:color w:val="111111"/>
          <w:sz w:val="28"/>
          <w:sz w:val="28"/>
          <w:szCs w:val="28"/>
          <w:rtl w:val="true"/>
          <w:lang w:bidi="fa-IR"/>
        </w:rPr>
        <w:t>حاش إبراهیم أن یسأل الإمامة للقسم الأول، والرابع من ذرّیته، لوضوح أنّ الغارق فی الظلم من بدایة عمره إلی آخره، أو المتصف به أیام تصدیه للإمامة لا یصلح لأن یؤتمن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القسمان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والثالث، وقد نصّ سبحانه علی أنّه لا ینال عهده الظالم، والظالم فی هذه العبارة لا ینطبق إلّاعلی القسم الثالث،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ظالماً فی بدایة عمره، وکان تائباً حین التصدی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 هذا القسم، بقی القسم الثانی، وهو من کان نقی الصحیفة طیلة عمره، لم 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التصدی ولا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انحرافٍ عن جادّة الحق، ومجاوزةٍ للصراط السوی</w:t>
      </w:r>
      <w:r>
        <w:rPr>
          <w:rFonts w:eastAsia="IRNazanin" w:cs="IRNazanin"/>
          <w:color w:val="111111"/>
          <w:sz w:val="28"/>
          <w:szCs w:val="28"/>
          <w:rtl w:val="true"/>
          <w:lang w:bidi="fa-IR"/>
        </w:rPr>
        <w:t>.</w:t>
      </w:r>
    </w:p>
    <w:p>
      <w:pPr>
        <w:pStyle w:val="Heading6"/>
        <w:numPr>
          <w:ilvl w:val="5"/>
          <w:numId w:val="1"/>
        </w:numPr>
        <w:rPr/>
      </w:pPr>
      <w:bookmarkStart w:id="474" w:name="__RefHeading___Toc1401090_3650668749"/>
      <w:bookmarkStart w:id="475" w:name="_Toc183"/>
      <w:bookmarkEnd w:id="474"/>
      <w:r>
        <w:rPr/>
        <w:t>2</w:t>
      </w:r>
      <w:r>
        <w:rPr>
          <w:rtl w:val="true"/>
        </w:rPr>
        <w:t xml:space="preserve">. </w:t>
      </w:r>
      <w:r>
        <w:rPr>
          <w:rtl w:val="true"/>
        </w:rPr>
        <w:t>الأعلمیة</w:t>
      </w:r>
      <w:bookmarkEnd w:id="47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یکون الإمام أعلم الناس بالقرآن والسنّة والمعارف والأحکام علی أن تنیخ الأُمّة رکائبها علی بابه دون أن یرجع الإمام إلیهم، ودلیله واضح لما عرفت من أنّ منصب الإمامة لیس منصباًعرفیاً کسائر المناصب الدنیویة، بل هی رئاسة عامة لتدبیر أُمور الناس فی الدین والدنیا، وهو یلازم أن یکون الإمام أعلم الناس بما یرجعون الناس فیه إلیه</w:t>
      </w:r>
      <w:r>
        <w:rPr>
          <w:rFonts w:eastAsia="IRNazanin" w:cs="IRNazanin"/>
          <w:color w:val="111111"/>
          <w:sz w:val="28"/>
          <w:szCs w:val="28"/>
          <w:rtl w:val="true"/>
          <w:lang w:bidi="fa-IR"/>
        </w:rPr>
        <w:t>.</w:t>
      </w:r>
      <w:bookmarkStart w:id="476" w:name="pg1680_13076"/>
    </w:p>
    <w:p>
      <w:pPr>
        <w:pStyle w:val="BookText"/>
        <w:rPr/>
      </w:pPr>
      <w:bookmarkEnd w:id="476"/>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مل‌ء الفراغات الّتی ترکتها رحلة النبی صلی الله علیه و آله و سلم فرع کونه أعلم الأُمة بالأُصول والفروع والعقائد والأحکام</w:t>
      </w:r>
      <w:r>
        <w:rPr>
          <w:rFonts w:eastAsia="IRNazanin" w:cs="IRNazanin"/>
          <w:color w:val="111111"/>
          <w:sz w:val="28"/>
          <w:szCs w:val="28"/>
          <w:rtl w:val="true"/>
          <w:lang w:bidi="fa-IR"/>
        </w:rPr>
        <w:t>.</w:t>
      </w:r>
    </w:p>
    <w:p>
      <w:pPr>
        <w:pStyle w:val="Heading6"/>
        <w:numPr>
          <w:ilvl w:val="5"/>
          <w:numId w:val="1"/>
        </w:numPr>
        <w:rPr/>
      </w:pPr>
      <w:bookmarkStart w:id="477" w:name="__RefHeading___Toc1401092_3650668749"/>
      <w:bookmarkStart w:id="478" w:name="_Toc184"/>
      <w:bookmarkEnd w:id="477"/>
      <w:r>
        <w:rPr/>
        <w:t>3</w:t>
      </w:r>
      <w:r>
        <w:rPr>
          <w:rtl w:val="true"/>
        </w:rPr>
        <w:t xml:space="preserve">. </w:t>
      </w:r>
      <w:r>
        <w:rPr>
          <w:rtl w:val="true"/>
        </w:rPr>
        <w:t>أفضل الناس‌</w:t>
      </w:r>
      <w:bookmarkEnd w:id="478"/>
    </w:p>
    <w:p>
      <w:pPr>
        <w:pStyle w:val="BookText"/>
        <w:rPr/>
      </w:pPr>
      <w:r>
        <w:rPr>
          <w:rFonts w:ascii="IRNazanin" w:hAnsi="IRNazanin" w:eastAsia="IRNazanin"/>
          <w:color w:val="111111"/>
          <w:sz w:val="28"/>
          <w:sz w:val="28"/>
          <w:szCs w:val="28"/>
          <w:rtl w:val="true"/>
          <w:lang w:bidi="fa-IR"/>
        </w:rPr>
        <w:t>یجب أن یکون الإمام أفضل الأُمة، لأنّه إمّا أن یکون مساویاً لهم أو أنقص منهم أو أفضل، والثالث هو المطلوب، والأوّل محال لأنّه مع التساوی یستحیل ترجیحه علی غیره بالإمامة، والثانی أیضاً محال لأنّ المفضول یقبح عقلًا تقدیمه علی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إلّاأنْ یُهدی فَما لَکُم کیفَ تَحکُمون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ویدخل تحت هذا الحکم کون الإمام أفضل فی العلم والدین والکرم والشجاعة وجمیع الفضائل النفسانیة والبدنیة</w:t>
      </w:r>
      <w:r>
        <w:rPr>
          <w:rFonts w:eastAsia="IRNazanin" w:cs="IRNazanin"/>
          <w:color w:val="111111"/>
          <w:sz w:val="28"/>
          <w:szCs w:val="28"/>
          <w:rtl w:val="true"/>
          <w:lang w:bidi="fa-IR"/>
        </w:rPr>
        <w:t>.</w:t>
      </w:r>
    </w:p>
    <w:p>
      <w:pPr>
        <w:pStyle w:val="Heading5"/>
        <w:numPr>
          <w:ilvl w:val="4"/>
          <w:numId w:val="1"/>
        </w:numPr>
        <w:rPr/>
      </w:pPr>
      <w:bookmarkStart w:id="479" w:name="__RefHeading___Toc1401094_3650668749"/>
      <w:bookmarkStart w:id="480" w:name="_Toc185"/>
      <w:bookmarkEnd w:id="479"/>
      <w:r>
        <w:rPr>
          <w:rtl w:val="true"/>
        </w:rPr>
        <w:t>الغلاة لیسوا من الشیعة الإمامیة</w:t>
      </w:r>
      <w:bookmarkEnd w:id="4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وصف الإمام بالعصمة والأعلمیة والأفضلیة لا یعنی سوی کونهم عباد اللَّه المخلصین الذین شملتهم عنایة اللَّه سبحانه وهو أعلم بمواضعها فجعلهم أئمة یهدون بأمر اللَّه سبحانه، وهم فی الوقت نفسه عباد مکرمون لا یعصون اللَّه وهم بأمره یعملون، فمَن فرّط فی حقّهم فهو ضال، کما أنّ مَن أفرط وغالی فی حقّهم فهو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المغالیة فی حقّهم لیسوا من الشیعة وإن انتموا إلیها، وقد حذر أئمة أهل البیت علیهم السلام شیعتهم من التفریط والغلو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فالخطابیة والمغیریة وغیرهما من الفرق الغالیة البائدة لیسوا فی الحقیقة من الشیعة، وفی کلام الإمام علی علیه السلام تعریف لأئمة أهل البیت نذکره بنصه وهو کافٍ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و سلم من هذه الأُمّة أحد، ولا یُسَوَّی بهم من جرت نعمتهم علیه أبداً؛ هم أساس الدین، وعماد الیقین، إلیهم یفی‌ءُ الغالی، وبهم یلحق التالی، ولهم خصائص حق الولایة، وفیهم الوصیةُ والوراثةُ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هذا وإنّ للإمام الطاهر علی بن موسی الرضا علیهما السلام دعاء یبیّن موقف أئمة أهل البیت 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بری‌ء من الحول والقوّة ولا حول ولا قوّة إلّابک، اللّهم إنّی أعوذ بک وأبرأ إلیک من الّذین ادّعوا لنا ما لیس لنا بحق، اللّهم إنّی أبرأ إلیک من الّذین قالوا فینا ما لم نقله فی أنفسنا، اللّهم لک‌الخلق ومنک الرزق وإیّاک نعبد وإیّاک نستعین، اللّهم أنت خالقنا وخالق آبائنا الأوّلین وآبائنا الآخرین، اللّهم لا تلیق الربوبیّة إلّابک ولا تصلح الإلهیة إلّالک، فالعن النصاری الّذین صغّروا عظمتک والعن المضاهئین لقولهم من 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عبیدک وأبناء عبیدک لا نملک لأنفسنا نفعاً ولا ضرّاً ولا موتاً</w:t>
      </w:r>
      <w:bookmarkStart w:id="481" w:name="pg1680_13078"/>
    </w:p>
    <w:p>
      <w:pPr>
        <w:pStyle w:val="BookText"/>
        <w:rPr/>
      </w:pPr>
      <w:bookmarkEnd w:id="481"/>
      <w:r>
        <w:rPr>
          <w:rFonts w:ascii="IRNazanin" w:hAnsi="IRNazanin" w:eastAsia="IRNazanin"/>
          <w:color w:val="111111"/>
          <w:sz w:val="28"/>
          <w:sz w:val="28"/>
          <w:szCs w:val="28"/>
          <w:rtl w:val="true"/>
          <w:lang w:bidi="fa-IR"/>
        </w:rPr>
        <w:t>ولا حیاة ولا نشوراً، اللهمّ من زعم أنّا أرباب فنحن منه براء، ومن زعم أنّ إلینا الخلق وعلینا الرزق فنحن براء منه کبراءة عیسی بن مریم علیه السلام من النصاری، اللّهم انّا لم ندعهم إلی ما یزعمون، فلا تؤاخذنا بما یقولون، واغفر لنا ما یدّعون ولا تدع علی الأرض منهم دیّاراً إنّک إن تذرهم یضلّوا عبادک ولا یلدوا إلّافاجراً کفّاراً</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82" w:name="__RefHeading___Toc1401096_3650668749"/>
      <w:bookmarkStart w:id="483" w:name="_Toc186"/>
      <w:bookmarkEnd w:id="482"/>
      <w:r>
        <w:rPr>
          <w:rtl w:val="true"/>
        </w:rPr>
        <w:t>الفرق بین النبی والرسول والإمام‌</w:t>
      </w:r>
      <w:bookmarkEnd w:id="483"/>
    </w:p>
    <w:p>
      <w:pPr>
        <w:pStyle w:val="BookText"/>
        <w:rPr/>
      </w:pPr>
      <w:r>
        <w:rPr>
          <w:rFonts w:ascii="IRNazanin" w:hAnsi="IRNazanin" w:eastAsia="IRNazanin"/>
          <w:color w:val="111111"/>
          <w:sz w:val="28"/>
          <w:sz w:val="28"/>
          <w:szCs w:val="28"/>
          <w:rtl w:val="true"/>
          <w:lang w:bidi="fa-IR"/>
        </w:rPr>
        <w:t xml:space="preserve">إنّ تبیین هذه المفاهیم الثلاثة الواردة فی الذکر الحکیم، علی وجه التفصیل غیر میسّر فی المقام، وقد أوضحنا حالها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وموجز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هو الحاکم السائد علی المجتمع والآخذ بید الأُمّة إلی نحو الکمال فی الحیاة الدنیویة والأُخرویة والفردیة والاجتماعیة، فیجب علی الأُمّة امتثال أوامره وتوجیهاته فی عامّة الحقول، وعلی ضوء 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عمّن یتلقّی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عمّن یؤمر بإبلاغه إلی الناس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تلقّی الوحی ولم یؤمر بإبلاغه فهو نبی، فإذا أُمر بالتبلیغ یکون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عمّن یُجسّد الشریعة السماویة فی المجتمع، سواء أُنزلت علیه فیکون نبیاً ورسولًا وإماماً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أُنزلت علی غیره کما هو الحال فی الأئمة الاثنی عشر، فالقادة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نصبوا أئمّة للأُمّة الإسلامیة لا یحقّقون أهدافهم ولا یقومون بشؤون الأُمّة وسیاستها، إلّافی ضوء الشریعة المحمّدیة النازلة علی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وتدبیر الأُمّة لیست مقصودة بالذات، وانّما اتّخذت أداة لإسعاد الأُمّة وإرشادها إلی قمّة الکمال، ولا یحصل ذلک إلّا بتطبیق الشریعة الإلهیة وتجسیدها فی المجتمع، لقصور کلّ المناهج البشریة عن القیام بذلک الهدف الأسمی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إنّ دلّ علی شی‌ء فإنّما یدلّ علی أنّ الإمام لا یحقّق أهدافه إلّا فی ضوء الشریعة السماویة، سواء أنزلت علیه أم نزلت علی غیره، وسواء کان ذلک الغیر حیاً حاضراً أم میتاً راحلًا، وعلی کل تقدیر فسیاسة الأُمّة وتدبیرها وقیادتها ودفعها إلی الکمال والّتی تعدّ من الوظائف الأساسیة للإمام، لا تحصل إلّاأن یکون أمره ونهیه وفعله وتقریره انعکاساً عن الکلیات والدساتیر العامّة النازلة منه سبحانه علی نبی زمانه وصاحب شریعته، إلّاأن یکون بنفسه صاحب شریعة کما فی خلیل الرحمن علیه السلام</w:t>
      </w:r>
      <w:r>
        <w:rPr>
          <w:rFonts w:eastAsia="IRNazanin" w:cs="IRNazanin"/>
          <w:color w:val="111111"/>
          <w:sz w:val="28"/>
          <w:szCs w:val="28"/>
          <w:rtl w:val="true"/>
          <w:lang w:bidi="fa-IR"/>
        </w:rPr>
        <w:t>.</w:t>
      </w:r>
      <w:bookmarkStart w:id="484" w:name="pg1680_13080"/>
    </w:p>
    <w:p>
      <w:pPr>
        <w:pStyle w:val="Heading2"/>
        <w:numPr>
          <w:ilvl w:val="1"/>
          <w:numId w:val="1"/>
        </w:numPr>
        <w:rPr/>
      </w:pPr>
      <w:bookmarkStart w:id="485" w:name="__RefHeading___Toc1401098_3650668749"/>
      <w:bookmarkStart w:id="486" w:name="_Toc187"/>
      <w:bookmarkEnd w:id="484"/>
      <w:bookmarkEnd w:id="485"/>
      <w:r>
        <w:rPr>
          <w:rtl w:val="true"/>
        </w:rPr>
        <w:t>الفصل السادس</w:t>
      </w:r>
      <w:r>
        <w:rPr>
          <w:rtl w:val="true"/>
        </w:rPr>
        <w:t xml:space="preserve">: </w:t>
      </w:r>
      <w:r>
        <w:rPr>
          <w:rtl w:val="true"/>
        </w:rPr>
        <w:t>أهل البیت علیهم السلام‌</w:t>
      </w:r>
      <w:bookmarkEnd w:id="486"/>
    </w:p>
    <w:p>
      <w:pPr>
        <w:pStyle w:val="Heading3"/>
        <w:numPr>
          <w:ilvl w:val="2"/>
          <w:numId w:val="1"/>
        </w:numPr>
        <w:rPr/>
      </w:pPr>
      <w:bookmarkStart w:id="487" w:name="__RefHeading___Toc1401100_3650668749"/>
      <w:bookmarkStart w:id="488" w:name="_Toc188"/>
      <w:bookmarkEnd w:id="487"/>
      <w:r>
        <w:rPr>
          <w:rtl w:val="true"/>
        </w:rPr>
        <w:t>اشارة</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أهل البیت علیهم السلام فی معاجم اللغة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القرآن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آیة التطهیر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الثلاث فی الآیة تعیّن ما هو المقصود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علیهم السلام فی أحادیث الرسول صلی الله علیه و آله و سلم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بأسمائهم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إدخالهم تحت الکساء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الآیة علی بابهم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المرجعیة العلمیة لأهل البیت علیهم السلام بعد رحیل الرسول صلی الله علیه و آله و سلم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السفینة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أئمة المذاهب بأفقهیة أهل البیت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أهل البیت فی توحید الأُمّة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أهل البیت علیهم السلام العلمی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علیها السلام فی کلام الرسول صلی الله علیه و آله و سلم</w:t>
      </w:r>
      <w:bookmarkStart w:id="489" w:name="pg1680_13082"/>
    </w:p>
    <w:p>
      <w:pPr>
        <w:pStyle w:val="Heading3"/>
        <w:numPr>
          <w:ilvl w:val="2"/>
          <w:numId w:val="1"/>
        </w:numPr>
        <w:rPr/>
      </w:pPr>
      <w:bookmarkStart w:id="490" w:name="__RefHeading___Toc1401102_3650668749"/>
      <w:bookmarkStart w:id="491" w:name="_Toc189"/>
      <w:bookmarkEnd w:id="489"/>
      <w:bookmarkEnd w:id="490"/>
      <w:r>
        <w:rPr>
          <w:rtl w:val="true"/>
        </w:rPr>
        <w:t>أهل البیت علیهم السلام‌</w:t>
      </w:r>
      <w:bookmarkEnd w:id="491"/>
    </w:p>
    <w:p>
      <w:pPr>
        <w:pStyle w:val="Heading4"/>
        <w:numPr>
          <w:ilvl w:val="3"/>
          <w:numId w:val="1"/>
        </w:numPr>
        <w:rPr/>
      </w:pPr>
      <w:bookmarkStart w:id="492" w:name="__RefHeading___Toc1401104_3650668749"/>
      <w:bookmarkStart w:id="493" w:name="_Toc190"/>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 xml:space="preserve">هذا اللفظ مرکب من کلمتین ولکلّ مفهوم، ویمکن تحدید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استعماله فیقال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الأمر والنهی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الإنجیل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الموارد تُوقفنا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مضافاً، فی مَن کان له علاقة قویة بمن أُضیف إلیه، فأهل الأمر والنهی هم الذین یمارسون الحکم والبعث والزجر، وأهل الإنجیل هم الذین لهم اعتقاد به کأهل الکتاب وأهل الإسلام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اتّفقت کلمة أهل اللغة علی أنّ الأهل والآل کلمتان بمعنی واحد،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وآل اللَّه وآل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أولیاؤه، أصلها أهل ثم أُبدلت الهاء همزة فصارت فی التقدیر أأل، فلمّا توالت الهمزتان أبدلوا</w:t>
      </w:r>
      <w:bookmarkStart w:id="494" w:name="pg1680_13083"/>
    </w:p>
    <w:p>
      <w:pPr>
        <w:pStyle w:val="BookText"/>
        <w:rPr/>
      </w:pPr>
      <w:bookmarkEnd w:id="494"/>
      <w:r>
        <w:rPr>
          <w:rFonts w:ascii="IRNazanin" w:hAnsi="IRNazanin" w:eastAsia="IRNazanin"/>
          <w:color w:val="111111"/>
          <w:sz w:val="28"/>
          <w:sz w:val="28"/>
          <w:szCs w:val="28"/>
          <w:rtl w:val="true"/>
          <w:lang w:bidi="fa-IR"/>
        </w:rPr>
        <w:t>الثانیة ألفاً،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وآخر، وفی الفعل آمن وآزر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أنشأ عبد المطلب عند هجوم أُبرهة علی مکة المکرمة، وقد أخذ حلقة باب الکعبة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 علی آل الصلیب‌وعابدیه الیوم آلک</w:t>
      </w:r>
    </w:p>
    <w:p>
      <w:pPr>
        <w:pStyle w:val="BookText"/>
        <w:rPr/>
      </w:pPr>
      <w:r>
        <w:rPr>
          <w:rFonts w:ascii="Amiri" w:hAnsi="Amiri" w:eastAsia="Amiri" w:cs="Amiri"/>
          <w:color w:val="111111"/>
          <w:sz w:val="28"/>
          <w:sz w:val="28"/>
          <w:szCs w:val="28"/>
          <w:rtl w:val="true"/>
          <w:lang w:bidi="ar-SA"/>
        </w:rPr>
        <w:t>وعلی ما ذکرنا، فهذا اللفظ إذا أُضیف إلی شی‌ء یقصد منه المضاف الذی له علاقة خاصة بالمضاف إلیه، فأهل الرجل مثلًا هم أخصّ الناس به، وأهل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المتردّدون کثیراً إلیه، وأهل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القاطنون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لاحظنا موارد استعمال هذه الکلمة لا نتردّد فی شمولها للزوجة والأولاد، بل وغیرهم ممّن تربطهم رابطة خاصة بالبیت من غیر فرق بین الأولاد والأزواج، ولأجل ذلک تری أنّه سبحانه یطلقه علی زوجة إبراهیم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أَتَعْجَبِینَ مِنْ أَمْرِ اللهِ رَحْمَةُ اللهِ وَ بَرَکَاتُهُ عَلَیْکُمْ أَهْلَ الْبَیْتِ</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401106_3650668749"/>
      <w:bookmarkStart w:id="496" w:name="_Toc191"/>
      <w:bookmarkEnd w:id="495"/>
      <w:r>
        <w:rPr/>
        <w:t>1</w:t>
      </w:r>
      <w:r>
        <w:rPr>
          <w:rtl w:val="true"/>
        </w:rPr>
        <w:t xml:space="preserve">. </w:t>
      </w:r>
      <w:r>
        <w:rPr>
          <w:rtl w:val="true"/>
        </w:rPr>
        <w:t>مفهوم أهل البیت علیهم السلام فی معاجم اللغة</w:t>
      </w:r>
      <w:bookmarkEnd w:id="496"/>
    </w:p>
    <w:p>
      <w:pPr>
        <w:pStyle w:val="BookText"/>
        <w:rPr/>
      </w:pPr>
      <w:r>
        <w:rPr>
          <w:rFonts w:ascii="IRNazanin" w:hAnsi="IRNazanin" w:eastAsia="IRNazanin"/>
          <w:color w:val="111111"/>
          <w:sz w:val="28"/>
          <w:sz w:val="28"/>
          <w:szCs w:val="28"/>
          <w:rtl w:val="true"/>
          <w:lang w:bidi="fa-IR"/>
        </w:rPr>
        <w:t>هذا هو حق الکلام فی تحدید مفهوم هذه الکلمة، ولنأت ببعض نصوص أئمّة اللغة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سُکّانه، وأهل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الناس به، وأهل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وبناته وصهره،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النبی والرجال الذین هم آله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أحسن الرجل فی تحدید المفهوم أوّلًا، وتوضیح معناه فی القرآن الکریم ثانیاً، کما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ضعف القول الآخر، لأنّه نسبه إلی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فارس ناقلًا عن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والتأهّل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التزوّج، وأهل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الناس به،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سکّانه، وأهل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یدین به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وقال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یجمعه وإیّاهم نسب أو دین أو ما یجری مجراهما من صناعة وبیت وبلد، فأهل الرجل فی الأصل من یجمعه وإیّاهم مسکن واحد، ثم تجوز 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الرجل لمن یجمعه وإیّاهم النسب، وتعورف فی أُسرة النبی علیه الصلاة والسلام مطلقاً إذا قیل أهل البیت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وللبیت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سکّانه، وللمذهب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یدین به، وللرجل زوجته کأهله، وللنبی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وبناته وصهره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نساؤه والرجال الذین هم آله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هذه الکلمات ونظائرها بین أعلام أهل اللغة کلّها تعرب عن أنّ مفهوم أهل البیت فی اللغة هم الذین لهم صلة وطیدة بالبیت، وأهل الرجل</w:t>
      </w:r>
      <w:bookmarkStart w:id="497" w:name="pg1680_13085"/>
    </w:p>
    <w:p>
      <w:pPr>
        <w:pStyle w:val="BookText"/>
        <w:rPr/>
      </w:pPr>
      <w:bookmarkEnd w:id="497"/>
      <w:r>
        <w:rPr>
          <w:rFonts w:ascii="IRNazanin" w:hAnsi="IRNazanin" w:eastAsia="IRNazanin"/>
          <w:color w:val="111111"/>
          <w:sz w:val="28"/>
          <w:sz w:val="28"/>
          <w:szCs w:val="28"/>
          <w:rtl w:val="true"/>
          <w:lang w:bidi="fa-IR"/>
        </w:rPr>
        <w:t>مَن له صلة به بنسب أو سبب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مراجعة کتب اللغة، وموارد استعمال الکلمة فی الکتاب والسنّة تعرب عن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العام، وهو یشمل کلّ مَن له صلة بالرجل والبیت صلة وطیدة مؤکّدة من نسب أو سبب أو غیر ذلک، من غیر فرق بین الزوجة والأولاد وغیرهم، وانّ تخصیصها بالزوجة قسوة علی الحق، کما أنّ تخصیصها لغة بالأولاد وإخراج الأزواج یخالف نصوص القرآن واستعمالها کما عرفت فی الآیات الماضیة</w:t>
      </w:r>
      <w:r>
        <w:rPr>
          <w:rFonts w:eastAsia="IRNazanin" w:cs="IRNazanin"/>
          <w:color w:val="111111"/>
          <w:sz w:val="28"/>
          <w:szCs w:val="28"/>
          <w:rtl w:val="true"/>
          <w:lang w:bidi="fa-IR"/>
        </w:rPr>
        <w:t>.</w:t>
      </w:r>
    </w:p>
    <w:p>
      <w:pPr>
        <w:pStyle w:val="Heading4"/>
        <w:numPr>
          <w:ilvl w:val="3"/>
          <w:numId w:val="1"/>
        </w:numPr>
        <w:rPr/>
      </w:pPr>
      <w:bookmarkStart w:id="498" w:name="__RefHeading___Toc1401108_3650668749"/>
      <w:bookmarkStart w:id="499" w:name="_Toc192"/>
      <w:bookmarkEnd w:id="498"/>
      <w:r>
        <w:rPr/>
        <w:t>2</w:t>
      </w:r>
      <w:r>
        <w:rPr>
          <w:rtl w:val="true"/>
        </w:rPr>
        <w:t xml:space="preserve">. </w:t>
      </w:r>
      <w:r>
        <w:rPr>
          <w:rtl w:val="true"/>
        </w:rPr>
        <w:t>أهل البیت فی القرآن الکریم‌</w:t>
      </w:r>
      <w:bookmarkEnd w:id="499"/>
    </w:p>
    <w:p>
      <w:pPr>
        <w:pStyle w:val="Heading5"/>
        <w:numPr>
          <w:ilvl w:val="4"/>
          <w:numId w:val="1"/>
        </w:numPr>
        <w:rPr/>
      </w:pPr>
      <w:bookmarkStart w:id="500" w:name="__RefHeading___Toc1401110_3650668749"/>
      <w:bookmarkStart w:id="501" w:name="_Toc193"/>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 xml:space="preserve">لقد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 حاکیاً عن لسان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أَتَعْجَبِینَ مِنْ أمرِ اللَّهِ رَحمةُ اللَّهِ وبَرکاتُهُ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فالآیة الأُولی تخاطب أهل بیت خلیل اللَّه عند ما جاءتهم الرسل فبشّروا امرأته بإسحاق ومن وراء إسحاق یعقوب</w:t>
      </w:r>
      <w:r>
        <w:rPr>
          <w:rFonts w:eastAsia="IRNazanin" w:cs="IRNazanin"/>
          <w:color w:val="111111"/>
          <w:sz w:val="28"/>
          <w:szCs w:val="28"/>
          <w:rtl w:val="true"/>
          <w:lang w:bidi="fa-IR"/>
        </w:rPr>
        <w:t>.</w:t>
      </w:r>
      <w:bookmarkStart w:id="502" w:name="pg1680_13086"/>
    </w:p>
    <w:p>
      <w:pPr>
        <w:pStyle w:val="BookText"/>
        <w:rPr/>
      </w:pPr>
      <w:bookmarkEnd w:id="502"/>
      <w:r>
        <w:rPr>
          <w:rFonts w:ascii="Amiri" w:hAnsi="Amiri" w:eastAsia="Amiri" w:cs="Amiri"/>
          <w:color w:val="111111"/>
          <w:sz w:val="28"/>
          <w:sz w:val="28"/>
          <w:szCs w:val="28"/>
          <w:rtl w:val="true"/>
          <w:lang w:bidi="ar-SA"/>
        </w:rPr>
        <w:t>ولمّا کانت هذه البشارة علی خلاف السنن الکونیة حیث کان الخلیل شیخاً وزوجته طاعنة فی السن، فلذلک تعجبت وقالت مخاطبة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ءَأَلِدُ وأنَا عَجُوزٌ وهذا بَعْلِی شَیْخاً إنّ هَذا لَشَیْ‌ءٌ عَجِیب</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فوافاها الجواب من جانب الرسل الذین کانوا ملائکة وتمثّلوا بصورة الإنسان،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أتعجبین من أمر اللَّه رحمة اللَّه وبرکاته علیکم أهل البیت انّه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 الثانیة فقد وردت فی ثنایا الآیات التی نزلت فی شأن نساء النبی صلی الله علیه و آله و سلم بدعوتهنّ إلی التخلّی عن الدنیا والتحلّی بالتقوی إلی غیر ذلک من الوصایا التی وردت ضمن آیات</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503" w:name="__RefHeading___Toc1401112_3650668749"/>
      <w:bookmarkStart w:id="504" w:name="_Toc194"/>
      <w:bookmarkEnd w:id="503"/>
      <w:r>
        <w:rPr>
          <w:rtl w:val="true"/>
        </w:rPr>
        <w:t>دراسة آیة التطهیر</w:t>
      </w:r>
      <w:bookmarkEnd w:id="504"/>
    </w:p>
    <w:p>
      <w:pPr>
        <w:pStyle w:val="BookText"/>
        <w:rPr/>
      </w:pPr>
      <w:r>
        <w:rPr>
          <w:rFonts w:ascii="IRNazanin" w:hAnsi="IRNazanin" w:eastAsia="IRNazanin"/>
          <w:color w:val="111111"/>
          <w:sz w:val="28"/>
          <w:sz w:val="28"/>
          <w:szCs w:val="28"/>
          <w:rtl w:val="true"/>
          <w:lang w:bidi="fa-IR"/>
        </w:rPr>
        <w:t>ونتناول هنا بالتفصیل دراسة الآیة الثانیة الّتی أشرنا إلیها، وذلک لکثرة مادار حولها من نقاش وأُلّف حولها من کتب حملت شبهاً وردوداً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المفسّرون فی بیان 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علی أقوال، غیر أنّ العبرة بقولین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بنت النبی وصهره وولداهما الحسن والحسین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 النبی صلی الله علیه و آله و سلم</w:t>
      </w:r>
      <w:r>
        <w:rPr>
          <w:rFonts w:eastAsia="IRNazanin" w:cs="IRNazanin"/>
          <w:color w:val="111111"/>
          <w:sz w:val="28"/>
          <w:szCs w:val="28"/>
          <w:rtl w:val="true"/>
          <w:lang w:bidi="fa-IR"/>
        </w:rPr>
        <w:t>.</w:t>
      </w:r>
      <w:r>
        <w:rPr>
          <w:rStyle w:val="FootnoteAnchor"/>
          <w:rtl w:val="true"/>
        </w:rPr>
        <w:footnoteReference w:id="275"/>
      </w:r>
      <w:bookmarkStart w:id="505" w:name="pg1680_13087"/>
    </w:p>
    <w:p>
      <w:pPr>
        <w:pStyle w:val="BookText"/>
        <w:rPr/>
      </w:pPr>
      <w:bookmarkEnd w:id="505"/>
      <w:r>
        <w:rPr>
          <w:rFonts w:ascii="IRNazanin" w:hAnsi="IRNazanin" w:eastAsia="IRNazanin"/>
          <w:color w:val="111111"/>
          <w:sz w:val="28"/>
          <w:sz w:val="28"/>
          <w:szCs w:val="28"/>
          <w:rtl w:val="true"/>
          <w:lang w:bidi="fa-IR"/>
        </w:rPr>
        <w:t>ولا بد من إمعان النظر فی تعیین المراد بعد قابلیة اللفظ لشمول کلتا الطائفتین،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قرائن تدلّ بوضوح علی أنّ المراد من هذه الکلمة جماعة خاصة منتمین إلی البیت النبوی بوشائج خاصة لا کلّ المنتمین إلیه، وإلیک تلک القرائن</w:t>
      </w:r>
      <w:r>
        <w:rPr>
          <w:rFonts w:eastAsia="IRNazanin" w:cs="IRNazanin"/>
          <w:color w:val="111111"/>
          <w:sz w:val="28"/>
          <w:szCs w:val="28"/>
          <w:rtl w:val="true"/>
          <w:lang w:bidi="fa-IR"/>
        </w:rPr>
        <w:t>:</w:t>
      </w:r>
    </w:p>
    <w:p>
      <w:pPr>
        <w:pStyle w:val="Heading5"/>
        <w:numPr>
          <w:ilvl w:val="4"/>
          <w:numId w:val="1"/>
        </w:numPr>
        <w:rPr/>
      </w:pPr>
      <w:bookmarkStart w:id="506" w:name="__RefHeading___Toc1401114_3650668749"/>
      <w:bookmarkStart w:id="507" w:name="_Toc195"/>
      <w:bookmarkEnd w:id="506"/>
      <w:r>
        <w:rPr>
          <w:rtl w:val="true"/>
        </w:rPr>
        <w:t>القرینة الأُولی</w:t>
      </w:r>
      <w:r>
        <w:rPr>
          <w:rtl w:val="true"/>
        </w:rPr>
        <w:t xml:space="preserve">: </w:t>
      </w:r>
      <w:r>
        <w:rPr>
          <w:rtl w:val="true"/>
        </w:rPr>
        <w:t xml:space="preserve">اللام فی </w:t>
      </w:r>
      <w:r>
        <w:rPr>
          <w:rtl w:val="true"/>
        </w:rPr>
        <w:t>«</w:t>
      </w:r>
      <w:r>
        <w:rPr>
          <w:rtl w:val="true"/>
        </w:rPr>
        <w:t>أهل البیت</w:t>
      </w:r>
      <w:r>
        <w:rPr>
          <w:rtl w:val="true"/>
        </w:rPr>
        <w:t xml:space="preserve">» </w:t>
      </w:r>
      <w:r>
        <w:rPr>
          <w:rtl w:val="true"/>
        </w:rPr>
        <w:t>للعهد</w:t>
      </w:r>
      <w:bookmarkEnd w:id="507"/>
    </w:p>
    <w:p>
      <w:pPr>
        <w:pStyle w:val="BookText"/>
        <w:rPr/>
      </w:pPr>
      <w:r>
        <w:rPr>
          <w:rFonts w:ascii="IRNazanin" w:hAnsi="IRNazanin" w:eastAsia="IRNazanin"/>
          <w:color w:val="111111"/>
          <w:sz w:val="28"/>
          <w:sz w:val="28"/>
          <w:szCs w:val="28"/>
          <w:rtl w:val="true"/>
          <w:lang w:bidi="fa-IR"/>
        </w:rPr>
        <w:t>لا شک أنّ اللام قد تطلق ویراد منها الجنس المدخول،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وقد یطلق ویراد منها استغراق أفراده،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وثالثة تستعمل فی العهد باعتبار معهودیة مدخولها بین المتکلّم والمخاطب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یمکن حمل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الجنس أو الاستغراق، لأنّ الأوّل إنّما یناسب إذا أراد المتکلم بیان الحکم المتعلّق بالطبیعة کما یعلم من تمثیلهم لذلک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ومن المعلوم أنّ الآیة الکریمة لیست بصدد بیان حکم طبیعة أهل البیت، کما لا یصح أن یحمل علی العموم،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البیوت فی العالم، أو بیوت النبی، وإلّا</w:t>
      </w:r>
    </w:p>
    <w:p>
      <w:pPr>
        <w:pStyle w:val="BookText"/>
        <w:rPr/>
      </w:pPr>
      <w:r>
        <w:rPr>
          <w:rFonts w:ascii="IRNazanin" w:hAnsi="IRNazanin" w:eastAsia="IRNazanin"/>
          <w:color w:val="111111"/>
          <w:sz w:val="28"/>
          <w:sz w:val="28"/>
          <w:szCs w:val="28"/>
          <w:rtl w:val="true"/>
          <w:lang w:bidi="fa-IR"/>
        </w:rPr>
        <w:t>لناسب الإتیان بصیغة الجمع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البیوت، کما أتی به عندما کان فی صدد إفادة ذلک، وقال فی صدر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یکون المراد هو الثالث، أی‌البیت المعهود، فالآیة تشیر إلی إذهاب الرجس عن أهل بیت خاص، معهود بین المتکلم والمخاطب، وحینئذ یقع الکلام فی تعیین هذا البیت المعهود، فما هو هذا البیت؟ هل هو بیت أزواجه، أو بیت فاطمة وزوجها والحسن والحسین علیهم السلام؟</w:t>
      </w:r>
    </w:p>
    <w:p>
      <w:pPr>
        <w:pStyle w:val="BookText"/>
        <w:rPr/>
      </w:pPr>
      <w:r>
        <w:rPr>
          <w:rFonts w:ascii="IRNazanin" w:hAnsi="IRNazanin" w:eastAsia="IRNazanin"/>
          <w:color w:val="111111"/>
          <w:sz w:val="28"/>
          <w:sz w:val="28"/>
          <w:szCs w:val="28"/>
          <w:rtl w:val="true"/>
          <w:lang w:bidi="fa-IR"/>
        </w:rPr>
        <w:t>لا سبیل إلی الأوّل، لأنّه لم یکن لأزواجه بیت واحد حتی تشیر اللام إلیه، بل تسکن کلّ واحدة فی بیت خاص، ولو أُرید واحد من بیوتهن لاختصّت الآیة بواحدة منهن، وهذا ما اتّفقت الأُمّة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یخرج بیت فاطمة مع أنّ الروایات ناطقة بشمولها، وانّما الکلام فی شمولها لأزواج النبی کما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تسلیم أنّ المراد من البیت هو البیت المبنیّ من الأحجار والآجر والأخشاب، فقد عرفت أنّ المتعیّن حمله علی بیت خاص معهود ولا یصح إلّاحمله علی بیت فاطمة، إذ لیس هناک بیت خاص صالح لحمل الآیة علیه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قلنا بأنّ البیت قد یطلق ویراد منه تارة هذا النسق،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الجاهلیة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غیر هذا النمط من البیت،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لهما علی المحسوس، فلا محیص أن یراد منه المنتمون إلی</w:t>
      </w:r>
    </w:p>
    <w:p>
      <w:pPr>
        <w:pStyle w:val="BookText"/>
        <w:rPr/>
      </w:pPr>
      <w:r>
        <w:rPr>
          <w:rFonts w:ascii="IRNazanin" w:hAnsi="IRNazanin" w:eastAsia="IRNazanin"/>
          <w:color w:val="111111"/>
          <w:sz w:val="28"/>
          <w:sz w:val="28"/>
          <w:szCs w:val="28"/>
          <w:rtl w:val="true"/>
          <w:lang w:bidi="fa-IR"/>
        </w:rPr>
        <w:t>النبوة والوحی بوشائج معنویة خاصة علی وجه یصحّ مع ملاحظتها، عدّهم أهلًا لذلک البیت، وتلک الوشائج عبارة عن النزاهة فی الروح والفکر، ولا یشمل کلّ من یرتبط ببیت النبوة عن طریق السبب أو النسب فحسب، وفی الوقت نفسه یفتقد الأواصر المعنویة الخاصة، ولقد تفطّن العلّامة الزمخشری صاحب التفسیر لهذه النکتة، فهو یقول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أَتَعْجَبِینَ مِنْ أَمْرِ اللَّهِ رَحْمَةُ اللَّهِ وَبَرَکَاتُهُ عَلَیْکُمْ أَهْلَ الْبَیْتِ</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بیت الآیات ومهبط المعجزات والأُمور الخارقة للعادات، فکان علیها أن تتوقّر ولا یزدهیها ما یزدهی سائر النساء الناشئات فی غیر بیوت النبوة، وان تسبح اللَّه وتمجّده مکان التعجب، وإلی ذلک أشارت الملائکة فی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وبرکاته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انّ هذه وأمثالها ممّا یکرمکم به رب العزة، ویخصّکم بالأنعام به یا أهل بیت النبوة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وعلی ذلک لا یصح تفسیر الآیة بکل المنتسبین عن طریق الأواصر الجسمانیة لبیت خاص حتی بیت فاطمة، إلّاأن تکون هناک الوشائج المشار إلیها، ولقد ضلّ من فسّر البیت بالبیت المبنی من حجر ومدر مع أنّ المراد غیره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جری بین قتادة ذلک المفسّر المعروف وبین أبی جعفر محمد</w:t>
      </w:r>
      <w:bookmarkStart w:id="508" w:name="pg1680_13090"/>
    </w:p>
    <w:p>
      <w:pPr>
        <w:pStyle w:val="BookText"/>
        <w:rPr/>
      </w:pPr>
      <w:bookmarkEnd w:id="508"/>
      <w:r>
        <w:rPr>
          <w:rFonts w:ascii="IRNazanin" w:hAnsi="IRNazanin" w:eastAsia="IRNazanin"/>
          <w:color w:val="111111"/>
          <w:sz w:val="28"/>
          <w:sz w:val="28"/>
          <w:szCs w:val="28"/>
          <w:rtl w:val="true"/>
          <w:lang w:bidi="fa-IR"/>
        </w:rPr>
        <w:t>بن علی الباقر علیه السلام محادثة لطیفة أرشده الإمام فیها إلی هذا المعنی الذی أشرنا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جلس أمام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جلست بین یدی الفقهاء وقدّام ابن عباس فما اضطرب قلبی قدّام واحد منهم ما اضطرب قدّامک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أتدری أین أنت؟ أنت بین 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فأنت ثم ونحن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جعلنی اللَّه فداک، واللَّه ما هی بیوت حجارة ولا طین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وهذه القرینة تحضّ المفسر علی التحقیق عن الأفراد الذین یرتبطون بالبیت بأواصر معینة، وبذلک یسقط القول بأنّ المراد منه أزواج النبی صلی الله علیه و آله و سلم، لأنّه لم تکن تلک الوشائج الخاصة باتّفاق المسلمین بینهم وأقصی ما عندهنّ انهنّ کنّ مسلمات مؤمنات</w:t>
      </w:r>
      <w:r>
        <w:rPr>
          <w:rFonts w:eastAsia="IRNazanin" w:cs="IRNazanin"/>
          <w:color w:val="111111"/>
          <w:sz w:val="28"/>
          <w:szCs w:val="28"/>
          <w:rtl w:val="true"/>
          <w:lang w:bidi="fa-IR"/>
        </w:rPr>
        <w:t>.</w:t>
      </w:r>
    </w:p>
    <w:p>
      <w:pPr>
        <w:pStyle w:val="Heading5"/>
        <w:numPr>
          <w:ilvl w:val="4"/>
          <w:numId w:val="1"/>
        </w:numPr>
        <w:rPr/>
      </w:pPr>
      <w:bookmarkStart w:id="509" w:name="__RefHeading___Toc1401116_3650668749"/>
      <w:bookmarkStart w:id="510" w:name="_Toc196"/>
      <w:bookmarkEnd w:id="509"/>
      <w:r>
        <w:rPr>
          <w:rtl w:val="true"/>
        </w:rPr>
        <w:t>القرینة الثانیة</w:t>
      </w:r>
      <w:r>
        <w:rPr>
          <w:rtl w:val="true"/>
        </w:rPr>
        <w:t xml:space="preserve">: </w:t>
      </w:r>
      <w:r>
        <w:rPr>
          <w:rtl w:val="true"/>
        </w:rPr>
        <w:t>تذکیر الضمائر</w:t>
      </w:r>
      <w:bookmarkEnd w:id="5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 أنّه سبحانه عندما یخاطب أزواج النبی یخاطبهن حسب المعتاد بضمائر التأنیث، ولکنّه عندما یصل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یغیر الصیغة الخطابیة فی التأنیث ویأتی بصیغة التذکیر، فما هو السر فی تبدیل الضمائر لو کان المراد أزواج النبی؟ وإلیک نص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تری أنّه سبحانه یخاطبهن فی الآیة الأُولی بهذه الخطابات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ویخاطبهن فی الآیة الثانیة بهذه الخطابات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یخاطبهن فی الآیة الثالثة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واذکرن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الوقت نفسه یتخذ فی ثنایا الآیة الثانیة موقفاً خاصاً فی الخطاب ویقول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وجه هذا العدول إذا کان المراد نساء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هذا یدل علی أنّ المراد لیس نساءه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القرطبی التفصّی عن الإشکال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تذکیر الضمیر یحتمل لأن یکون خرج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أهلک، أی امرأتک ونساؤک؟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بخیر،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أتعجبین من أمر اللَّه رحمة اللَّه وبرکاته علیکم أهل البیت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ولکن المحاولة فاشلة فإنّ ما ذکره من المثال علی فرض سماعه من العرب، إنّما إذا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العکس کما فی الآیة، فإنّ أحد الضمیرین مقدّم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کما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الرجس أهل البیت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الاستشهاد فی الآیة فغیر صحیح، لأنّ الخطاب فیها لإبراهیم وزوجته معاً، لا خصوص زوجته، فیصح التغلیب تغلیب الأشرف علی غیره فی الخطاب والمفروض فی المقام انّ الآیة نزلت فی زوجاته ونسائه خاصة فلا معنی للتغلیب</w:t>
      </w:r>
      <w:r>
        <w:rPr>
          <w:rFonts w:eastAsia="IRNazanin" w:cs="IRNazanin"/>
          <w:color w:val="111111"/>
          <w:sz w:val="28"/>
          <w:szCs w:val="28"/>
          <w:rtl w:val="true"/>
          <w:lang w:bidi="fa-IR"/>
        </w:rPr>
        <w:t>.</w:t>
      </w:r>
      <w:bookmarkStart w:id="511" w:name="pg1680_13093"/>
    </w:p>
    <w:p>
      <w:pPr>
        <w:pStyle w:val="Heading5"/>
        <w:numPr>
          <w:ilvl w:val="4"/>
          <w:numId w:val="1"/>
        </w:numPr>
        <w:rPr/>
      </w:pPr>
      <w:bookmarkStart w:id="512" w:name="__RefHeading___Toc1401118_3650668749"/>
      <w:bookmarkStart w:id="513" w:name="_Toc197"/>
      <w:bookmarkEnd w:id="511"/>
      <w:bookmarkEnd w:id="512"/>
      <w:r>
        <w:rPr>
          <w:rtl w:val="true"/>
        </w:rPr>
        <w:t>القرینة الثالثة</w:t>
      </w:r>
      <w:r>
        <w:rPr>
          <w:rtl w:val="true"/>
        </w:rPr>
        <w:t xml:space="preserve">: </w:t>
      </w:r>
      <w:r>
        <w:rPr>
          <w:rtl w:val="true"/>
        </w:rPr>
        <w:t>العدول عن السیاق‌</w:t>
      </w:r>
      <w:bookmarkEnd w:id="513"/>
    </w:p>
    <w:p>
      <w:pPr>
        <w:pStyle w:val="BookText"/>
        <w:rPr/>
      </w:pPr>
      <w:r>
        <w:rPr>
          <w:rFonts w:ascii="IRNazanin" w:hAnsi="IRNazanin" w:eastAsia="IRNazanin"/>
          <w:color w:val="111111"/>
          <w:sz w:val="28"/>
          <w:sz w:val="28"/>
          <w:szCs w:val="28"/>
          <w:rtl w:val="true"/>
          <w:lang w:bidi="fa-IR"/>
        </w:rPr>
        <w:t xml:space="preserve">إنّ الآیات المتعلّقة بأزواج النبی تبتدئ من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وتنتهی بالآیة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وهی تخاطبهن تارة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ومرتین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الصریحین فی زوجاته، فما هو الوجه فی العدول عنهما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العدول قرینة علی أنّ المخاطب به غیر المخاطب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القرائن الثلاث تورث الیقین بأنّ المراد به، هو غیر زوجاته ونسائه، وأمّا مَن هم مصادیقه فقد تکفّل ببیانهم أحادیث الرسول صلی الله علیه و آله و سلم المتضافرة</w:t>
      </w:r>
      <w:r>
        <w:rPr>
          <w:rFonts w:eastAsia="IRNazanin" w:cs="IRNazanin"/>
          <w:color w:val="111111"/>
          <w:sz w:val="28"/>
          <w:szCs w:val="28"/>
          <w:rtl w:val="true"/>
          <w:lang w:bidi="fa-IR"/>
        </w:rPr>
        <w:t>.</w:t>
      </w:r>
    </w:p>
    <w:p>
      <w:pPr>
        <w:pStyle w:val="Heading4"/>
        <w:numPr>
          <w:ilvl w:val="3"/>
          <w:numId w:val="1"/>
        </w:numPr>
        <w:rPr/>
      </w:pPr>
      <w:bookmarkStart w:id="514" w:name="__RefHeading___Toc1401120_3650668749"/>
      <w:bookmarkStart w:id="515" w:name="_Toc198"/>
      <w:bookmarkEnd w:id="514"/>
      <w:r>
        <w:rPr/>
        <w:t>3</w:t>
      </w:r>
      <w:r>
        <w:rPr>
          <w:rtl w:val="true"/>
        </w:rPr>
        <w:t xml:space="preserve">. </w:t>
      </w:r>
      <w:r>
        <w:rPr>
          <w:rtl w:val="true"/>
        </w:rPr>
        <w:t>التعریف بأهل البیت علیهم السلام فی أحادیث الرسول صلی الله علیه و آله و سلم‌</w:t>
      </w:r>
      <w:bookmarkEnd w:id="515"/>
    </w:p>
    <w:p>
      <w:pPr>
        <w:pStyle w:val="Heading5"/>
        <w:numPr>
          <w:ilvl w:val="4"/>
          <w:numId w:val="1"/>
        </w:numPr>
        <w:rPr/>
      </w:pPr>
      <w:bookmarkStart w:id="516" w:name="__RefHeading___Toc1401122_3650668749"/>
      <w:bookmarkStart w:id="517" w:name="_Toc199"/>
      <w:bookmarkEnd w:id="516"/>
      <w:r>
        <w:rPr>
          <w:rtl w:val="true"/>
        </w:rPr>
        <w:t>اشارة</w:t>
      </w:r>
      <w:bookmarkEnd w:id="5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الأحادیث الواردة فی کلام النبی صلی الله علیه و آله و سلم تکشف عن وجه الحقیقة، فإنّ للنبی الأکرم عنایة وافرة بتعریف أهل البیت لم یر مثلها إلّافی أقلِّ الموارد، حیث قام بتعریفهم بطرق مختلفة، کما أنّ للمحدّثین والمفسرین وأهل السیر والتاریخ عنایة کاملة بتعریف أهل بیت نبیه صلی الله علیه و آله و سلم فی مواضع مختلفة حسب المناسبات التی تقتضی طرح هذه المسألة، کما أنّ للشعراء الإسلامیین المخلصین فی طوال قرون، عنایة بارزة ببیان فضائل أهل البیت والتعریف بهم، والتصریح بأسمائهم علی وجه یظهر من الجمیع اتفاقهم علی نزول الآیة فی حق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یعرب عن أنّ الرأی العام بین المسلمین فی تفسیر أهل البیت هو القول الأوّل، وانّ القول بأنّ المقصود منهم زوجاته کان قولًا شاذاً متروکاً ینقل ولا یعتنی به، ولم ینحرف عن ذلک الطریق المهیع إلّابعض من اتّخذ لنفسه تجاه أهل البیت موقفاً یشبه موقف أهل العداء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النبی صلی الله علیه و آله و سلم بتعریف أهل البیت بطرق ثلاثة نشیر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بأسماء من نزلت الآیة فی حقّهم حتی یتعیّن المنزول فیه باسمه ورسمه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أدخل جمیع من نزلت الآیة فی حقّهم تحت الکساء، ومنع من دخول غیرهم، وأشار بیده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لکلّ نبی أهل بیت وهؤلاء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نصه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یمر ببیت فاطمة عدّة شهور، کلّما خرج إلی الصلاة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أوردنا فی کتابنا مفاهیم القرآن‌</w:t>
      </w:r>
      <w:r>
        <w:rPr>
          <w:rStyle w:val="FootnoteAnchor"/>
          <w:rtl w:val="true"/>
        </w:rPr>
        <w:footnoteReference w:id="287"/>
      </w:r>
      <w:r>
        <w:rPr>
          <w:rFonts w:ascii="IRNazanin" w:hAnsi="IRNazanin" w:eastAsia="IRNazanin"/>
          <w:color w:val="111111"/>
          <w:sz w:val="28"/>
          <w:sz w:val="28"/>
          <w:szCs w:val="28"/>
          <w:rtl w:val="true"/>
          <w:lang w:bidi="fa-IR"/>
        </w:rPr>
        <w:t>الروایات الّتی تتضمن تعریف أهل البیت من جانب النبی الأکرم صلی الله علیه و آله و سلم بالطرق الثلاثة، وسنقتصر هنا علی ذکر واحدة من کلّ طریق ومن أراد التفصیل فلیراجع</w:t>
      </w:r>
      <w:r>
        <w:rPr>
          <w:rFonts w:eastAsia="IRNazanin" w:cs="IRNazanin"/>
          <w:color w:val="111111"/>
          <w:sz w:val="28"/>
          <w:szCs w:val="28"/>
          <w:rtl w:val="true"/>
          <w:lang w:bidi="fa-IR"/>
        </w:rPr>
        <w:t>.</w:t>
      </w:r>
      <w:bookmarkStart w:id="518" w:name="pg1680_13095"/>
    </w:p>
    <w:p>
      <w:pPr>
        <w:pStyle w:val="Heading5"/>
        <w:numPr>
          <w:ilvl w:val="4"/>
          <w:numId w:val="1"/>
        </w:numPr>
        <w:rPr/>
      </w:pPr>
      <w:bookmarkStart w:id="519" w:name="__RefHeading___Toc1401124_3650668749"/>
      <w:bookmarkStart w:id="520" w:name="_Toc200"/>
      <w:bookmarkEnd w:id="518"/>
      <w:bookmarkEnd w:id="519"/>
      <w:r>
        <w:rPr>
          <w:rtl w:val="true"/>
        </w:rPr>
        <w:t>أ</w:t>
      </w:r>
      <w:r>
        <w:rPr>
          <w:rtl w:val="true"/>
        </w:rPr>
        <w:t xml:space="preserve">. </w:t>
      </w:r>
      <w:r>
        <w:rPr>
          <w:rtl w:val="true"/>
        </w:rPr>
        <w:t>التصریح بالأسماء</w:t>
      </w:r>
      <w:r>
        <w:rPr>
          <w:rtl w:val="true"/>
        </w:rPr>
        <w:t>:</w:t>
      </w:r>
      <w:bookmarkEnd w:id="520"/>
    </w:p>
    <w:p>
      <w:pPr>
        <w:pStyle w:val="BookText"/>
        <w:rPr/>
      </w:pPr>
      <w:r>
        <w:rPr>
          <w:rFonts w:ascii="IRNazanin" w:hAnsi="IRNazanin" w:eastAsia="IRNazanin"/>
          <w:color w:val="111111"/>
          <w:sz w:val="28"/>
          <w:sz w:val="28"/>
          <w:szCs w:val="28"/>
          <w:rtl w:val="true"/>
          <w:lang w:bidi="fa-IR"/>
        </w:rPr>
        <w:t>روی الطبری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 علیّ وحسن رضی الله عنه وحسین رضی الله عنه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521" w:name="__RefHeading___Toc1401126_3650668749"/>
      <w:bookmarkStart w:id="522" w:name="_Toc201"/>
      <w:bookmarkEnd w:id="521"/>
      <w:r>
        <w:rPr>
          <w:rtl w:val="true"/>
        </w:rPr>
        <w:t>ب</w:t>
      </w:r>
      <w:r>
        <w:rPr>
          <w:rtl w:val="true"/>
        </w:rPr>
        <w:t xml:space="preserve">. </w:t>
      </w:r>
      <w:r>
        <w:rPr>
          <w:rtl w:val="true"/>
        </w:rPr>
        <w:t>إدخالهم تحت الکساء</w:t>
      </w:r>
      <w:bookmarkEnd w:id="522"/>
    </w:p>
    <w:p>
      <w:pPr>
        <w:pStyle w:val="BookText"/>
        <w:rPr/>
      </w:pPr>
      <w:r>
        <w:rPr>
          <w:rFonts w:ascii="IRNazanin" w:hAnsi="IRNazanin" w:eastAsia="IRNazanin"/>
          <w:color w:val="111111"/>
          <w:sz w:val="28"/>
          <w:sz w:val="28"/>
          <w:szCs w:val="28"/>
          <w:rtl w:val="true"/>
          <w:lang w:bidi="fa-IR"/>
        </w:rPr>
        <w:t>أدخل النبی صلی الله علیه و آله و سلم أهل بیته تحت الکساء، فقد أخرج الطبری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عندی وعلی وفاطمة والحسن والحسین فجعلت لهم حریرة فأکلوا وناموا وغطّی علیهم عباءة أو قطیفة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أذهب عنهم الرجس وطهرهم تطهیراً</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523" w:name="__RefHeading___Toc1401128_3650668749"/>
      <w:bookmarkStart w:id="524" w:name="_Toc202"/>
      <w:bookmarkEnd w:id="523"/>
      <w:r>
        <w:rPr>
          <w:rtl w:val="true"/>
        </w:rPr>
        <w:t>ج</w:t>
      </w:r>
      <w:r>
        <w:rPr>
          <w:rtl w:val="true"/>
        </w:rPr>
        <w:t xml:space="preserve">. </w:t>
      </w:r>
      <w:r>
        <w:rPr>
          <w:rtl w:val="true"/>
        </w:rPr>
        <w:t>تعیینهم بتلاوة الآیة علی بابهم‌</w:t>
      </w:r>
      <w:bookmarkEnd w:id="52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الطبری عن أنس، أنّ النبی صلی الله علیه و آله و سلم کان یمر ببیت فاطمة ستة أشهر کلّما خرج إلی الصلاة،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90"/>
      </w:r>
      <w:bookmarkStart w:id="525" w:name="pg1680_13096"/>
    </w:p>
    <w:p>
      <w:pPr>
        <w:pStyle w:val="Heading4"/>
        <w:numPr>
          <w:ilvl w:val="3"/>
          <w:numId w:val="1"/>
        </w:numPr>
        <w:rPr/>
      </w:pPr>
      <w:bookmarkStart w:id="526" w:name="__RefHeading___Toc1401130_3650668749"/>
      <w:bookmarkStart w:id="527" w:name="_Toc203"/>
      <w:bookmarkEnd w:id="525"/>
      <w:bookmarkEnd w:id="526"/>
      <w:r>
        <w:rPr/>
        <w:t>4</w:t>
      </w:r>
      <w:r>
        <w:rPr>
          <w:rtl w:val="true"/>
        </w:rPr>
        <w:t xml:space="preserve">. </w:t>
      </w:r>
      <w:r>
        <w:rPr>
          <w:rtl w:val="true"/>
        </w:rPr>
        <w:t>المرجعیة العلمیة لأهل البیت علیهم السلام‌</w:t>
      </w:r>
      <w:bookmarkEnd w:id="527"/>
    </w:p>
    <w:p>
      <w:pPr>
        <w:pStyle w:val="Heading5"/>
        <w:numPr>
          <w:ilvl w:val="4"/>
          <w:numId w:val="1"/>
        </w:numPr>
        <w:rPr/>
      </w:pPr>
      <w:bookmarkStart w:id="528" w:name="__RefHeading___Toc1401132_3650668749"/>
      <w:bookmarkStart w:id="529" w:name="_Toc204"/>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إنّ البحث عن صیغة الخلافة بعد النبی الأکرم صلی الله علیه و آله و سلم یطرح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الحکم فی مرحلة خاصّة من الزمان،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الخلافة من جانب الرسول صلی الله علیه و آله و سلم کانت أمراً تنصیصیاً أو کانت أمراً محوَّلًا إلی الصحابة؟ وهذا النوع من البحث وإن کان غیر خال من الفائدة ولکنّه بحث تاریخی ربّما تجاوز عنه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المرجعیة العلمیة بعد رحیل الرسول صلی الله علیه و آله و سلم هل هی متمثّلة فی أئمة أهل البیت علیهم السلام أو فی غیرهم؟ وهل انّ واجب کلّ مسلم فی کل عصر وقرن هو التمسک بأئمة أهل البیت علیهم السلام أحد الثقلین، أو التمسک بغیرهم؟ وهذا النوع من البحث طری فی کلّ زمان وجدیر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علی الطراز الأوّل إذا کان غیر مستحسن عند طائفة ولکن البحث علی الطراز الثانی أمر یتطلّبه کلّ مَن یرید أن یأخذ أُصوله وفروعه من معین صاف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أنّ النبی الأکرم صلی الله علیه و آله و سلم نصب علیاً وأهل بیته للزعامة والحکومة یوم الغدیر فی الیوم الّذی لم یکن یظل المسلمین غیر حرّ الشمس وجعل ولاءه أصلًا ثالثاً بعد التوحید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w:t>
      </w:r>
      <w:bookmarkStart w:id="530" w:name="pg1680_13097"/>
    </w:p>
    <w:p>
      <w:pPr>
        <w:pStyle w:val="BookText"/>
        <w:rPr/>
      </w:pPr>
      <w:bookmarkEnd w:id="530"/>
      <w:r>
        <w:rPr>
          <w:rFonts w:ascii="IRNazanin" w:hAnsi="IRNazanin" w:eastAsia="IRNazanin"/>
          <w:color w:val="111111"/>
          <w:sz w:val="28"/>
          <w:sz w:val="28"/>
          <w:szCs w:val="28"/>
          <w:rtl w:val="true"/>
          <w:lang w:bidi="fa-IR"/>
        </w:rPr>
        <w:t>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 آله و سلم لم یزل یهیب فی الجاهلین ویصرخ فی الغافلین داعیاً إلی التمسک بالکتاب والعترة، وهذا تصریح منه بأنّ المرجعیة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الزعامة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منحصرة بأهل البیت علیهم السلام، وعلی المسلمین الانکباب علیهم فیما یطرأ علیهم من الحوادث والوقائع الدینیة وکلّ ما یمت إلی الدین بصلة، ولأجل التعرف علی ما صدر عن النبی صلی الله علیه و آله و سلم فی هذا الصدد نذکر بعض الأحادیث</w:t>
      </w:r>
      <w:r>
        <w:rPr>
          <w:rFonts w:eastAsia="IRNazanin" w:cs="IRNazanin"/>
          <w:color w:val="111111"/>
          <w:sz w:val="28"/>
          <w:szCs w:val="28"/>
          <w:rtl w:val="true"/>
          <w:lang w:bidi="fa-IR"/>
        </w:rPr>
        <w:t>:</w:t>
      </w:r>
    </w:p>
    <w:p>
      <w:pPr>
        <w:pStyle w:val="Heading5"/>
        <w:numPr>
          <w:ilvl w:val="4"/>
          <w:numId w:val="1"/>
        </w:numPr>
        <w:rPr/>
      </w:pPr>
      <w:bookmarkStart w:id="531" w:name="__RefHeading___Toc1401134_3650668749"/>
      <w:bookmarkStart w:id="532" w:name="_Toc205"/>
      <w:bookmarkEnd w:id="531"/>
      <w:r>
        <w:rPr/>
        <w:t>1</w:t>
      </w:r>
      <w:r>
        <w:rPr>
          <w:rtl w:val="true"/>
        </w:rPr>
        <w:t xml:space="preserve">. </w:t>
      </w:r>
      <w:r>
        <w:rPr>
          <w:rtl w:val="true"/>
        </w:rPr>
        <w:t>حدیث الثقلین‌</w:t>
      </w:r>
      <w:bookmarkEnd w:id="532"/>
    </w:p>
    <w:p>
      <w:pPr>
        <w:pStyle w:val="BookText"/>
        <w:rPr/>
      </w:pPr>
      <w:r>
        <w:rPr>
          <w:rFonts w:ascii="IRNazanin" w:hAnsi="IRNazanin" w:eastAsia="IRNazanin"/>
          <w:color w:val="111111"/>
          <w:sz w:val="28"/>
          <w:sz w:val="28"/>
          <w:szCs w:val="28"/>
          <w:rtl w:val="true"/>
          <w:lang w:bidi="fa-IR"/>
        </w:rPr>
        <w:t>روی أصحاب الصحاح والمسانید عن النبی الأکرم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فیکم ما إن تمسّکتم به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حبل ممدود من السماء إلی الأرض، وعترتی أهل بیتی؛ ولن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النصوص المتقاربة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صدع بها فی غیر موقف، تارة بعد انصرافه من الطائف، وأُخری یوم عرفة فی حجّة الوداع، وثالثة یوم غدیر خمّ، ورابعة علی منبره فی المدینة، وأُخری فی حجرته المبارکة فی مرضه والحجرة غاصّة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 فی صحّة الحدیث إلّاالجاهل به أو المعاند، فقد روی بطرق کثیرة عن نیف وعشرین صحابیاً</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قد قام المحدث الکبیر السید حامد حسین الهندی بجمع طرق الحدیث و نقل کلمات الأعاظم حوله و نشره فی ستة أجزاء و هو من أجزاء کتابه الکبیر العبقات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الإمعان فی الحدیث یعرب عن عصمة العترة الطاهرة، حیث قورنت بالقرآن الکریم، وأنّهما لا یفترقان، ومن المعلوم أنّ القرآن العظیم، کتاب لا یأتیه الباطل من بین یدیه ولا من خلفه، فکیف یمکن أن یکون قرناءُ القرآن وأعدا له، خاطئین فیما یحکمون ویبرمون، أو یقولون ویحدّثون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الافتراق إلی یوم القیامة، آیة کونهم معصومین فیما یقولون ویروون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یعدّ المتمسّک بالعترة غیر ضالّ،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کانوا غیر معصومین من الخلاف والخطأ، فکیف لا یضلّ المتمسّک بهم؟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بعض النصوص مکان کتاب اللَّه وعترتی، کتاب اللَّه وسنّتی‌</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فرض صحته، حدیث آخر لا یزاحمه، علی أنّه</w:t>
      </w:r>
      <w:bookmarkStart w:id="533" w:name="pg1680_13099"/>
    </w:p>
    <w:p>
      <w:pPr>
        <w:pStyle w:val="BookText"/>
        <w:rPr/>
      </w:pPr>
      <w:bookmarkEnd w:id="533"/>
      <w:r>
        <w:rPr>
          <w:rFonts w:ascii="IRNazanin" w:hAnsi="IRNazanin" w:eastAsia="IRNazanin"/>
          <w:color w:val="111111"/>
          <w:sz w:val="28"/>
          <w:sz w:val="28"/>
          <w:szCs w:val="28"/>
          <w:rtl w:val="true"/>
          <w:lang w:bidi="fa-IR"/>
        </w:rPr>
        <w:t>حدیث واحد، وهذا الحدیث متواتر نقله أعلام الأئمة، وأساتذة الحدیث والتاریخ والسیرة، ولا یعلم حقیقة ذلک إلّامن راجع مصادر الحدیث‌</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المراجعات، المراجعة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وتعالیق إحقاق الحق، 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فیقدّم علیه فی کلّ حال</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401136_3650668749"/>
      <w:bookmarkStart w:id="535" w:name="_Toc206"/>
      <w:bookmarkEnd w:id="534"/>
      <w:r>
        <w:rPr/>
        <w:t>2</w:t>
      </w:r>
      <w:r>
        <w:rPr>
          <w:rtl w:val="true"/>
        </w:rPr>
        <w:t xml:space="preserve">. </w:t>
      </w:r>
      <w:r>
        <w:rPr>
          <w:rtl w:val="true"/>
        </w:rPr>
        <w:t>حدیث السفینة</w:t>
      </w:r>
      <w:bookmarkEnd w:id="535"/>
    </w:p>
    <w:p>
      <w:pPr>
        <w:pStyle w:val="BookText"/>
        <w:rPr/>
      </w:pPr>
      <w:r>
        <w:rPr>
          <w:rFonts w:ascii="Amiri" w:hAnsi="Amiri" w:eastAsia="Amiri" w:cs="Amiri"/>
          <w:color w:val="111111"/>
          <w:sz w:val="28"/>
          <w:sz w:val="28"/>
          <w:szCs w:val="28"/>
          <w:rtl w:val="true"/>
          <w:lang w:bidi="ar-SA"/>
        </w:rPr>
        <w:t>روی المحدّثون عن النبی الأکرم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بیتی فی أُمَّتی، کَمَثَلِ سفینةِ نوحٍ، من رَکِبَها نجا، ومَن تخلّف عنها غَرِقَ</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للحدیث طرق ومسانید کثیرة، من أراد الوقوف علیها، فعلیه بتعالیق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فشبّه صلی الله علیه و آله و سلم، أهل بیته بسفینة نوح فی أنّ من لجأ إلیهم فی الدین فأخذ أُصوله وفروعه عنهم نجا من عذاب النّار، ومن تخلّف عنهم کان کمن أوی یوم الطّوفان إلی جبل لیعصمه من أمر اللَّه، غیر أنّ ذلک غرق فی الماء وهذا فی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هذه منزلة علماء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إبن حجر فی صواعقه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تشبیههم بالسفینة أنّ من أحبّهم وعظّمهم، شکراً لنعمة مشرّفهم، وأخذ بهدی علمائهم، نجی من ظلمة</w:t>
      </w:r>
      <w:bookmarkStart w:id="536" w:name="pg1680_13100"/>
    </w:p>
    <w:p>
      <w:pPr>
        <w:pStyle w:val="BookText"/>
        <w:rPr/>
      </w:pPr>
      <w:bookmarkEnd w:id="536"/>
      <w:r>
        <w:rPr>
          <w:rFonts w:ascii="IRNazanin" w:hAnsi="IRNazanin" w:eastAsia="IRNazanin"/>
          <w:color w:val="111111"/>
          <w:sz w:val="28"/>
          <w:sz w:val="28"/>
          <w:szCs w:val="28"/>
          <w:rtl w:val="true"/>
          <w:lang w:bidi="fa-IR"/>
        </w:rPr>
        <w:t>المخالفات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 ذلک غرق فی بحر کفر النِّعم، وهلک فی مفاوز الطغیان</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537" w:name="__RefHeading___Toc1401138_3650668749"/>
      <w:bookmarkStart w:id="538" w:name="_Toc207"/>
      <w:bookmarkEnd w:id="537"/>
      <w:r>
        <w:rPr/>
        <w:t>3</w:t>
      </w:r>
      <w:r>
        <w:rPr>
          <w:rtl w:val="true"/>
        </w:rPr>
        <w:t xml:space="preserve">. </w:t>
      </w:r>
      <w:r>
        <w:rPr>
          <w:rtl w:val="true"/>
        </w:rPr>
        <w:t>اعتراف أئمّة المذاهب بأفقهیة أهل البیت علیهم السلام‌</w:t>
      </w:r>
      <w:bookmarkEnd w:id="538"/>
    </w:p>
    <w:p>
      <w:pPr>
        <w:pStyle w:val="BookText"/>
        <w:rPr/>
      </w:pPr>
      <w:r>
        <w:rPr>
          <w:rFonts w:ascii="IRNazanin" w:hAnsi="IRNazanin" w:eastAsia="IRNazanin"/>
          <w:color w:val="111111"/>
          <w:sz w:val="28"/>
          <w:sz w:val="28"/>
          <w:szCs w:val="28"/>
          <w:rtl w:val="true"/>
          <w:lang w:bidi="fa-IR"/>
        </w:rPr>
        <w:t>إنّ کثیراً من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اعترفوا بأفقهیة أئمّة أهل البیت علیهم السلام، فها نحن نذکر هنا شیئاً قلیلًا من کثیر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عساکر فی تاریخه فی ترجمة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حازم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علی بن الحسین، وما رأیت أحداً کان أفقه منه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أفقه أهل البیت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وقال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أصغر علماً منهم عند أبی جعفر، لقد رأیت الحکم بن عتیبة مع جلالته فی القوم کأنّه متعلّم</w:t>
      </w:r>
      <w:r>
        <w:rPr>
          <w:rFonts w:eastAsia="IRNazanin" w:cs="IRNazanin"/>
          <w:color w:val="111111"/>
          <w:sz w:val="28"/>
          <w:szCs w:val="28"/>
          <w:rtl w:val="true"/>
          <w:lang w:bidi="fa-IR"/>
        </w:rPr>
        <w:t>.</w:t>
      </w:r>
      <w:r>
        <w:rPr>
          <w:rStyle w:val="FootnoteAnchor"/>
          <w:rtl w:val="true"/>
        </w:rPr>
        <w:footnoteReference w:id="298"/>
      </w:r>
      <w:bookmarkStart w:id="539" w:name="pg1680_13101"/>
    </w:p>
    <w:p>
      <w:pPr>
        <w:pStyle w:val="BookText"/>
        <w:rPr/>
      </w:pPr>
      <w:bookmarkEnd w:id="539"/>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بن محمد الصادق علیه السلام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ونقل الإمام الشافعی فی رحلته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من مالک قوله للرجل الّذی أجاب علی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مسائل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من أین لک؟</w:t>
      </w:r>
      <w:r>
        <w:rPr>
          <w:rStyle w:val="FootnoteAnchor"/>
          <w:rtl w:val="true"/>
        </w:rPr>
        <w:footnoteReference w:id="300"/>
      </w:r>
      <w:r>
        <w:rPr>
          <w:rFonts w:ascii="IRNazanin" w:hAnsi="IRNazanin" w:eastAsia="IRNazanin"/>
          <w:color w:val="111111"/>
          <w:sz w:val="28"/>
          <w:sz w:val="28"/>
          <w:szCs w:val="28"/>
          <w:rtl w:val="true"/>
          <w:lang w:bidi="fa-IR"/>
        </w:rPr>
        <w:t>قد خرجنا بالنتیجة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و سلم قد ارتحل وقد خلف الثقلین لترجع إلیهما الأُمّة فی حلّ‌معضلاتها ومشکلاتها، وانّه عیّن المقصود من أهل بیته وأشاد بهم فی مواقف مختلفة وعرفهم للأُمّة بید انّ هناک سؤالًا یطرح نفسه، وهو</w:t>
      </w:r>
      <w:r>
        <w:rPr>
          <w:rFonts w:eastAsia="IRNazanin" w:cs="IRNazanin"/>
          <w:color w:val="111111"/>
          <w:sz w:val="28"/>
          <w:szCs w:val="28"/>
          <w:rtl w:val="true"/>
          <w:lang w:bidi="fa-IR"/>
        </w:rPr>
        <w:t>:</w:t>
      </w:r>
    </w:p>
    <w:p>
      <w:pPr>
        <w:pStyle w:val="Heading4"/>
        <w:numPr>
          <w:ilvl w:val="3"/>
          <w:numId w:val="1"/>
        </w:numPr>
        <w:rPr/>
      </w:pPr>
      <w:bookmarkStart w:id="540" w:name="__RefHeading___Toc1401140_3650668749"/>
      <w:bookmarkStart w:id="541" w:name="_Toc208"/>
      <w:bookmarkEnd w:id="540"/>
      <w:r>
        <w:rPr/>
        <w:t>5</w:t>
      </w:r>
      <w:r>
        <w:rPr>
          <w:rtl w:val="true"/>
        </w:rPr>
        <w:t xml:space="preserve">. </w:t>
      </w:r>
      <w:r>
        <w:rPr>
          <w:rtl w:val="true"/>
        </w:rPr>
        <w:t>دور أهل البیت فی توحید الأُمة</w:t>
      </w:r>
      <w:bookmarkEnd w:id="54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أئمة أهل البیت علیهم السلام بما أنّهم أحد الثقلین وکسفینة نوح لهم دور فی توطید وحدة المسلمین ولمّ شعثهم وسوقهم إلی هدف واحد، لأنّ المسلمین مهما اختلفوا فی شی‌ء لا یختلفون فی مرجعیتهم وعلومهم وشرفهم، کیف وهذا هو النبی الأکرم صلی الله علیه و آله و سلم یعرفهم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w:t>
      </w:r>
      <w:bookmarkStart w:id="542" w:name="pg1680_13102"/>
    </w:p>
    <w:p>
      <w:pPr>
        <w:pStyle w:val="BookText"/>
        <w:rPr/>
      </w:pPr>
      <w:bookmarkEnd w:id="542"/>
      <w:r>
        <w:rPr>
          <w:rFonts w:ascii="IRNazanin" w:hAnsi="IRNazanin" w:eastAsia="IRNazanin"/>
          <w:color w:val="111111"/>
          <w:sz w:val="28"/>
          <w:sz w:val="28"/>
          <w:szCs w:val="28"/>
          <w:rtl w:val="true"/>
          <w:lang w:bidi="fa-IR"/>
        </w:rPr>
        <w:t>لأهل الأرض من الغرق، وأهل بیتی أمان لأُمّتی من الاختلاف فی الدین، فإذا خالفتها قبیلة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أحکام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فصاروا حزب إبلیس</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وفی حدیث آخر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بیتی فیکم مثل باب حطة فی بنی إسرائیل من دخله غفر له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فاتّباع أئمة أهل البیت علیهم السلام یوحّد الصفوف ویجعل المسلمین کلّهم فی صف واحد أمام عدوهم الغاشم، إلی غیر ذلک من الروایات النبویة الشریفة ممّا یأخذ بالأعناق إلی اتباع أهل البیت علیهم السلام ویضطر المؤمن إلی الانقطاع فی الدین إلیهم</w:t>
      </w:r>
      <w:r>
        <w:rPr>
          <w:rFonts w:eastAsia="IRNazanin" w:cs="IRNazanin"/>
          <w:color w:val="111111"/>
          <w:sz w:val="28"/>
          <w:szCs w:val="28"/>
          <w:rtl w:val="true"/>
          <w:lang w:bidi="fa-IR"/>
        </w:rPr>
        <w:t>.</w:t>
      </w:r>
    </w:p>
    <w:p>
      <w:pPr>
        <w:pStyle w:val="Heading4"/>
        <w:numPr>
          <w:ilvl w:val="3"/>
          <w:numId w:val="1"/>
        </w:numPr>
        <w:rPr/>
      </w:pPr>
      <w:bookmarkStart w:id="543" w:name="__RefHeading___Toc1401142_3650668749"/>
      <w:bookmarkStart w:id="544" w:name="_Toc209"/>
      <w:bookmarkEnd w:id="543"/>
      <w:r>
        <w:rPr/>
        <w:t>6</w:t>
      </w:r>
      <w:r>
        <w:rPr>
          <w:rtl w:val="true"/>
        </w:rPr>
        <w:t xml:space="preserve">. </w:t>
      </w:r>
      <w:r>
        <w:rPr>
          <w:rtl w:val="true"/>
        </w:rPr>
        <w:t>تراث أهل البیت علیهم السلام العلمی‌</w:t>
      </w:r>
      <w:bookmarkEnd w:id="544"/>
    </w:p>
    <w:p>
      <w:pPr>
        <w:pStyle w:val="Heading5"/>
        <w:numPr>
          <w:ilvl w:val="4"/>
          <w:numId w:val="1"/>
        </w:numPr>
        <w:rPr/>
      </w:pPr>
      <w:bookmarkStart w:id="545" w:name="__RefHeading___Toc1401144_3650668749"/>
      <w:bookmarkStart w:id="546" w:name="_Toc210"/>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 النبی صلی الله علیه و آله و سلم وعترته الطاهرة قد ارتحلوا فأین تراثهم وعلومهم حتّی ترجع إلیها الأُمّة؟ هب انّ النبی صلی الله علیه و آله و سلم تعبّدنا بالرجوع إلیهم والتمسک بأحادیثهم وکلماتهم فأین أحادیثهم وعلومهم حتّی نرجع إلیهم؟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واضح، وهو أنّ تراث أئمّة أهل البیت علیهم السلام وأحادیثهم ومعارفهم تتمثل فی الأُمور التالیة</w:t>
      </w:r>
      <w:r>
        <w:rPr>
          <w:rFonts w:eastAsia="IRNazanin" w:cs="IRNazanin"/>
          <w:color w:val="111111"/>
          <w:sz w:val="28"/>
          <w:szCs w:val="28"/>
          <w:rtl w:val="true"/>
          <w:lang w:bidi="fa-IR"/>
        </w:rPr>
        <w:t>:</w:t>
      </w:r>
      <w:bookmarkStart w:id="547" w:name="pg1680_13103"/>
    </w:p>
    <w:p>
      <w:pPr>
        <w:pStyle w:val="Heading5"/>
        <w:numPr>
          <w:ilvl w:val="4"/>
          <w:numId w:val="1"/>
        </w:numPr>
        <w:rPr/>
      </w:pPr>
      <w:bookmarkStart w:id="548" w:name="__RefHeading___Toc1401146_3650668749"/>
      <w:bookmarkStart w:id="549" w:name="_Toc211"/>
      <w:bookmarkEnd w:id="547"/>
      <w:bookmarkEnd w:id="548"/>
      <w:r>
        <w:rPr>
          <w:rtl w:val="true"/>
        </w:rPr>
        <w:t>الأوّل</w:t>
      </w:r>
      <w:r>
        <w:rPr>
          <w:rtl w:val="true"/>
        </w:rPr>
        <w:t xml:space="preserve">: </w:t>
      </w:r>
      <w:r>
        <w:rPr>
          <w:rtl w:val="true"/>
        </w:rPr>
        <w:t>کتاب علی‌</w:t>
      </w:r>
      <w:bookmarkEnd w:id="549"/>
    </w:p>
    <w:p>
      <w:pPr>
        <w:pStyle w:val="BookText"/>
        <w:rPr/>
      </w:pPr>
      <w:r>
        <w:rPr>
          <w:rFonts w:ascii="IRNazanin" w:hAnsi="IRNazanin" w:eastAsia="IRNazanin"/>
          <w:color w:val="111111"/>
          <w:sz w:val="28"/>
          <w:sz w:val="28"/>
          <w:szCs w:val="28"/>
          <w:rtl w:val="true"/>
          <w:lang w:bidi="fa-IR"/>
        </w:rPr>
        <w:t>فقد کان لعلی کتاب خاص بإملاء رسول اللَّه صلی الله علیه و آله و سلم، وقد حفظته العترة الطاهرة علیهم السلام وصدرت عنه فی مواضع کثیرة ونقلت نصوصه فی موضوعات مختلفة، وقد بث الحرّالعاملی فی موسوعته الحدیثیة، أحادیث ذلک الکتاب حسب الکتب الفقهیة من الطهارة إلی الدیات، ومن أراد فلیرجع إلی تلک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 عندما سئل عن الجامعة؟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کلّ ما یحتاج الناس إلیه، ولیس من قضیة إلّافیها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کتاب علی مصدراً لأحادیث العترة الطاهرة یرثونه واحد بعد آخر وینقلون عنه ویستدّلون به علی السائلین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أبو جعفر الباقر علیه السلام یقول لأحد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یشیر إلی بیت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حمران إنّ فی هذا البیت صحیفة طولها سبعون ذراعاً بخطّ علی علیه السلام وإملاء رسول اللَّه صلی الله علیه و آله و سلم، لو وُلّینا الناس لحکمنا بما أنزل اللَّه لم نعد ما فی هذه الصحیفة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الإمام الصادق علیه السلام یعرّف کتاب علی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کتاب طوله سبعون ذراعاً إملاء رسول اللَّه صلی الله علیه و آله و سلم من فلق فیه وخط علی بن أبی طالب علیه السلام بیده، فیه واللَّه جمیع ما یحتاج إلیه الناس إلی یوم القیامة حتّی أنّ فیه أرش الخدش والجلدة ونصف الجلدة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لصحیفة طولها سبعون ذراعاً، إملاء رسول اللَّه صلی الله علیه و آله و سلم، خطّ علیّ علیه السلام بیده، ما من حلال ولا حرام إلّاوهو فیها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أبو جعفر الباقر علیه السلام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إنّا لو کنّا نحدثکم برأینا وهوانا لکنّا من الهالکین، ولکنّا نحدّثکم بأحادیث نکنزها عن رسول اللَّه صلی الله علیه و آله و سلم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وقد کان علی علیه السلام أعلم الناس بسنّة الرسول صلی الله علیه و آله و سلم وکیف لا یکون کذلک،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إذا سألت رسول اللَّه صلی الله علیه و آله و سلم أنبأنی وإذا سکت ابتدأنی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یصدر عن ذلک الکتاب إمام بعد إمام، و هذا هو ولده الإمام الحسن السبط علیه السلام وهو یصف کتاب علی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فینا ونحن أهله، وهو عندنا مجموع کلّه بحذافیره، ولا یحدث شی‌ء إلی یوم القیامةحتّی أرش الخدش إلّاوهو عندنا مکتوب، بإملاء رسول اللَّه وخطّ علی بیده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وقال الإمام زین العابدین علیه السلام لرجل شاجره فی مسألة 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w:t>
      </w:r>
      <w:bookmarkStart w:id="550" w:name="pg1680_13105"/>
    </w:p>
    <w:p>
      <w:pPr>
        <w:pStyle w:val="BookText"/>
        <w:rPr/>
      </w:pPr>
      <w:bookmarkEnd w:id="550"/>
      <w:r>
        <w:rPr>
          <w:rFonts w:ascii="IRNazanin" w:hAnsi="IRNazanin" w:eastAsia="IRNazanin"/>
          <w:color w:val="111111"/>
          <w:sz w:val="28"/>
          <w:sz w:val="28"/>
          <w:szCs w:val="28"/>
          <w:rtl w:val="true"/>
          <w:lang w:bidi="fa-IR"/>
        </w:rPr>
        <w:t>لو صرت إلی منازلنا لأریناک آثار جبرئیل فی رحالنا، أیکون أحد أعلم بالسنّة منّا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وقال الإمام أبو جعفر الباقر علیه السلام للحکم بن عتیبة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وسلمة وأبو المقدام، حیث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تجدون العلم أوثق منه عند قوم کان ینزل علیهم جبرائیل</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وقال علیه السلام لسلمة بن کهیل والحکم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وغرّبا، لن تجدا علماً صحیحاً إلّاشیئاً یخرج من عندنا أهل البیت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إلی غیر ذلک من کلمات أئمّة أهل البیت علیهم السلام والّتی تعرب عن علمهم بالسنّة والکتاب، وانّهم أعرف الناس بمواقع الکتاب والسنّة</w:t>
      </w:r>
      <w:r>
        <w:rPr>
          <w:rFonts w:eastAsia="IRNazanin" w:cs="IRNazanin"/>
          <w:color w:val="111111"/>
          <w:sz w:val="28"/>
          <w:szCs w:val="28"/>
          <w:rtl w:val="true"/>
          <w:lang w:bidi="fa-IR"/>
        </w:rPr>
        <w:t>.</w:t>
      </w:r>
    </w:p>
    <w:p>
      <w:pPr>
        <w:pStyle w:val="Heading5"/>
        <w:numPr>
          <w:ilvl w:val="4"/>
          <w:numId w:val="1"/>
        </w:numPr>
        <w:rPr/>
      </w:pPr>
      <w:bookmarkStart w:id="551" w:name="__RefHeading___Toc1401148_3650668749"/>
      <w:bookmarkStart w:id="552" w:name="_Toc212"/>
      <w:bookmarkEnd w:id="551"/>
      <w:r>
        <w:rPr>
          <w:rtl w:val="true"/>
        </w:rPr>
        <w:t>الثانی</w:t>
      </w:r>
      <w:r>
        <w:rPr>
          <w:rtl w:val="true"/>
        </w:rPr>
        <w:t xml:space="preserve">: </w:t>
      </w:r>
      <w:r>
        <w:rPr>
          <w:rtl w:val="true"/>
        </w:rPr>
        <w:t>نهج البلاغة</w:t>
      </w:r>
      <w:bookmarkEnd w:id="552"/>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أعرق الکتب وأشهرها عند الفریقین، وهو یتضمّن خطب الإمام علی بن أبی طالب علیه السلام وکتبه وکلماته القصار قام بجمعها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حذف الأسانید وجاء بالمتون لاشتهار صدورها عن علی علیه السلام، وقد قام غیر واحد من الأصحاب بالاستدراک علی ما نقله الشریف الرضی،</w:t>
      </w:r>
      <w:bookmarkStart w:id="553" w:name="pg1680_13106"/>
    </w:p>
    <w:p>
      <w:pPr>
        <w:pStyle w:val="BookText"/>
        <w:rPr/>
      </w:pPr>
      <w:bookmarkEnd w:id="553"/>
      <w:r>
        <w:rPr>
          <w:rFonts w:ascii="IRNazanin" w:hAnsi="IRNazanin" w:eastAsia="IRNazanin"/>
          <w:color w:val="111111"/>
          <w:sz w:val="28"/>
          <w:sz w:val="28"/>
          <w:szCs w:val="28"/>
          <w:rtl w:val="true"/>
          <w:lang w:bidi="fa-IR"/>
        </w:rPr>
        <w:t>فذکروا خطباً ورسائل کثیرةکما استخرج بعضهم أسانید نهج البلاغة من الکتب المؤلفة قبل الشریف الرضی، وقد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دون کلام الخالق وفوق کلام المخلوق</w:t>
      </w:r>
      <w:r>
        <w:rPr>
          <w:rFonts w:eastAsia="IRNazanin" w:cs="IRNazanin"/>
          <w:color w:val="111111"/>
          <w:sz w:val="28"/>
          <w:szCs w:val="28"/>
          <w:rtl w:val="true"/>
          <w:lang w:bidi="fa-IR"/>
        </w:rPr>
        <w:t>.</w:t>
      </w:r>
    </w:p>
    <w:p>
      <w:pPr>
        <w:pStyle w:val="Heading5"/>
        <w:numPr>
          <w:ilvl w:val="4"/>
          <w:numId w:val="1"/>
        </w:numPr>
        <w:rPr/>
      </w:pPr>
      <w:bookmarkStart w:id="554" w:name="__RefHeading___Toc1401150_3650668749"/>
      <w:bookmarkStart w:id="555" w:name="_Toc213"/>
      <w:bookmarkEnd w:id="554"/>
      <w:r>
        <w:rPr>
          <w:rtl w:val="true"/>
        </w:rPr>
        <w:t>الثالث</w:t>
      </w:r>
      <w:r>
        <w:rPr>
          <w:rtl w:val="true"/>
        </w:rPr>
        <w:t xml:space="preserve">: </w:t>
      </w:r>
      <w:r>
        <w:rPr>
          <w:rtl w:val="true"/>
        </w:rPr>
        <w:t>الصحیفة السجادیة</w:t>
      </w:r>
      <w:bookmarkEnd w:id="555"/>
    </w:p>
    <w:p>
      <w:pPr>
        <w:pStyle w:val="BookText"/>
        <w:rPr/>
      </w:pPr>
      <w:r>
        <w:rPr>
          <w:rFonts w:ascii="IRNazanin" w:hAnsi="IRNazanin" w:eastAsia="IRNazanin"/>
          <w:color w:val="111111"/>
          <w:sz w:val="28"/>
          <w:sz w:val="28"/>
          <w:szCs w:val="28"/>
          <w:rtl w:val="true"/>
          <w:lang w:bidi="fa-IR"/>
        </w:rPr>
        <w:t>هذه الصحیفة المعروفة بالصحیفة السجادیة أو زبور آل محمّد من مظاهر علوم أهل البیت علیهم السلام، وهی خالدة علی جبین الدهر، وأسانیدها إلی الإمام متسلسلة متضافرة بل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وراء اتصال الأسانید شی‌ء آخر وهو انّ فصاحة ألفاظها وبلاغة معانیها وعلوّ مضامینها و ما فیها من أنواع التذلّل للَّه تعالی والثناء علیه، والأسالیب العجیبة فی طلب عفوه وکرمه والتوسّل إلیه أقوی شاهد علی صحّة نسبتها إلیه، وانّ هذا الدرّ من ذلک البحر، وهذا الجوهر من ذلک المعدن، وهذا الثمر من ذلک الشجر، مضافاً إلی اشتهارها شهرة لا تقبل الریب وتعدّد أسانیدها المتصلة إلی مُنشئِها، فقد رواها الثقات بأسانیدهم المتعدّدة المتصلة إلی زین العابدین علیه السلام</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556" w:name="__RefHeading___Toc1401152_3650668749"/>
      <w:bookmarkStart w:id="557" w:name="_Toc214"/>
      <w:bookmarkEnd w:id="556"/>
      <w:r>
        <w:rPr>
          <w:rtl w:val="true"/>
        </w:rPr>
        <w:t>الرابع</w:t>
      </w:r>
      <w:r>
        <w:rPr>
          <w:rtl w:val="true"/>
        </w:rPr>
        <w:t xml:space="preserve">: </w:t>
      </w:r>
      <w:r>
        <w:rPr>
          <w:rtl w:val="true"/>
        </w:rPr>
        <w:t>رسالة الحقوق‌</w:t>
      </w:r>
      <w:bookmarkEnd w:id="55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للإمام علی بن الحسین علیهما السلام رسالة معروفة باسم رسالة الحقوق، أوردها الصدوق فی خصاله بسند معتبر، کما رواها الحسن 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وهی من جلائل الرسائل فی أنواع الحقوق، یذکر</w:t>
      </w:r>
      <w:bookmarkStart w:id="558" w:name="pg1680_13107"/>
    </w:p>
    <w:p>
      <w:pPr>
        <w:pStyle w:val="BookText"/>
        <w:rPr/>
      </w:pPr>
      <w:bookmarkEnd w:id="558"/>
      <w:r>
        <w:rPr>
          <w:rFonts w:ascii="IRNazanin" w:hAnsi="IRNazanin" w:eastAsia="IRNazanin"/>
          <w:color w:val="111111"/>
          <w:sz w:val="28"/>
          <w:sz w:val="28"/>
          <w:szCs w:val="28"/>
          <w:rtl w:val="true"/>
          <w:lang w:bidi="fa-IR"/>
        </w:rPr>
        <w:t>الإمام فیها حقوق اللَّه سبحانه علی الإنسان وحقوق نفسه علیه، وحقوق أعضائه من اللسان والسمع والبصر والرجلین والیدین والبطن والفرج، ثمّ یذکر حقوق الأفعال، من الصلاة والصوم والحجّ والصدقة والهدی التی تبلغ خمسین حقاً، آخرها حقّ الذمة</w:t>
      </w:r>
      <w:r>
        <w:rPr>
          <w:rFonts w:eastAsia="IRNazanin" w:cs="IRNazanin"/>
          <w:color w:val="111111"/>
          <w:sz w:val="28"/>
          <w:szCs w:val="28"/>
          <w:rtl w:val="true"/>
          <w:lang w:bidi="fa-IR"/>
        </w:rPr>
        <w:t>.</w:t>
      </w:r>
    </w:p>
    <w:p>
      <w:pPr>
        <w:pStyle w:val="Heading5"/>
        <w:numPr>
          <w:ilvl w:val="4"/>
          <w:numId w:val="1"/>
        </w:numPr>
        <w:rPr/>
      </w:pPr>
      <w:bookmarkStart w:id="559" w:name="__RefHeading___Toc1401154_3650668749"/>
      <w:bookmarkStart w:id="560" w:name="_Toc215"/>
      <w:bookmarkEnd w:id="559"/>
      <w:r>
        <w:rPr>
          <w:rtl w:val="true"/>
        </w:rPr>
        <w:t>الخامس</w:t>
      </w:r>
      <w:r>
        <w:rPr>
          <w:rtl w:val="true"/>
        </w:rPr>
        <w:t xml:space="preserve">: </w:t>
      </w:r>
      <w:r>
        <w:rPr>
          <w:rtl w:val="true"/>
        </w:rPr>
        <w:t>رسالة الإمام الرضا علیه السلام فی الفرائض والسنن‌</w:t>
      </w:r>
      <w:bookmarkEnd w:id="560"/>
    </w:p>
    <w:p>
      <w:pPr>
        <w:pStyle w:val="BookText"/>
        <w:rPr/>
      </w:pPr>
      <w:r>
        <w:rPr>
          <w:rFonts w:ascii="IRNazanin" w:hAnsi="IRNazanin" w:eastAsia="IRNazanin"/>
          <w:color w:val="111111"/>
          <w:sz w:val="28"/>
          <w:sz w:val="28"/>
          <w:szCs w:val="28"/>
          <w:rtl w:val="true"/>
          <w:lang w:bidi="fa-IR"/>
        </w:rPr>
        <w:t>روی المحدّثون أنّ المأمون بعث الفضل بن سهل إلی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تجمع لی من الحلال والحرام، والفرائض والسنن فإنّک حجة اللَّه علی خلقه ومعدن العلم، فدعا الرضا علیه السلام بدواة وقرطاس وقال للفضل اکتب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شهادة أن لاإله إلّا اللَّه أحداً، صمداً لم یتّخذ صاحبة ولا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والرسالة مطبوعة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561" w:name="__RefHeading___Toc1401156_3650668749"/>
      <w:bookmarkStart w:id="562" w:name="_Toc216"/>
      <w:bookmarkEnd w:id="561"/>
      <w:r>
        <w:rPr>
          <w:rtl w:val="true"/>
        </w:rPr>
        <w:t>السادس</w:t>
      </w:r>
      <w:r>
        <w:rPr>
          <w:rtl w:val="true"/>
        </w:rPr>
        <w:t xml:space="preserve">: </w:t>
      </w:r>
      <w:r>
        <w:rPr>
          <w:rtl w:val="true"/>
        </w:rPr>
        <w:t>رسالة الإمام الهادی علیه السلام‌</w:t>
      </w:r>
      <w:bookmarkEnd w:id="5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المحدّثون عن الإمام الراشد الصابر أبی الحسن علی بن محمد الهادی علیه السلام رسالة فی الردّ علی أهل الجبر والتفویض وإثبات العدل والمنزلة</w:t>
      </w:r>
      <w:bookmarkStart w:id="563" w:name="pg1680_13108"/>
    </w:p>
    <w:p>
      <w:pPr>
        <w:pStyle w:val="BookText"/>
        <w:rPr/>
      </w:pPr>
      <w:bookmarkEnd w:id="563"/>
      <w:r>
        <w:rPr>
          <w:rFonts w:ascii="IRNazanin" w:hAnsi="IRNazanin" w:eastAsia="IRNazanin"/>
          <w:color w:val="111111"/>
          <w:sz w:val="28"/>
          <w:sz w:val="28"/>
          <w:szCs w:val="28"/>
          <w:rtl w:val="true"/>
          <w:lang w:bidi="fa-IR"/>
        </w:rPr>
        <w:t xml:space="preserve">بین المنزلتین، وقد نقلها بنصها 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هذه الرسائل هی المدونة من قبل الأئمّة علیهم السلام أنفسهم، وهناک رسائل أُخری بأقلامهم لم نذکرها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رُوی عنهم ودوّنها أئمّة أهل الحدیث عبر القرون فحدث عنه ولا حرج ونشیر إلی بعضها</w:t>
      </w:r>
      <w:r>
        <w:rPr>
          <w:rFonts w:eastAsia="IRNazanin" w:cs="IRNazanin"/>
          <w:color w:val="111111"/>
          <w:sz w:val="28"/>
          <w:szCs w:val="28"/>
          <w:rtl w:val="true"/>
          <w:lang w:bidi="fa-IR"/>
        </w:rPr>
        <w:t>.</w:t>
      </w:r>
    </w:p>
    <w:p>
      <w:pPr>
        <w:pStyle w:val="Heading5"/>
        <w:numPr>
          <w:ilvl w:val="4"/>
          <w:numId w:val="1"/>
        </w:numPr>
        <w:rPr/>
      </w:pPr>
      <w:bookmarkStart w:id="564" w:name="__RefHeading___Toc1401158_3650668749"/>
      <w:bookmarkStart w:id="565" w:name="_Toc217"/>
      <w:bookmarkEnd w:id="564"/>
      <w:r>
        <w:rPr>
          <w:rtl w:val="true"/>
        </w:rPr>
        <w:t>السابع</w:t>
      </w:r>
      <w:r>
        <w:rPr>
          <w:rtl w:val="true"/>
        </w:rPr>
        <w:t xml:space="preserve">: </w:t>
      </w:r>
      <w:r>
        <w:rPr>
          <w:rtl w:val="true"/>
        </w:rPr>
        <w:t>أربعمائة مصنَّف لأربعمائة مصنِّف‌</w:t>
      </w:r>
      <w:bookmarkEnd w:id="565"/>
    </w:p>
    <w:p>
      <w:pPr>
        <w:pStyle w:val="BookText"/>
        <w:rPr/>
      </w:pPr>
      <w:r>
        <w:rPr>
          <w:rFonts w:ascii="IRNazanin" w:hAnsi="IRNazanin" w:eastAsia="IRNazanin"/>
          <w:color w:val="111111"/>
          <w:sz w:val="28"/>
          <w:sz w:val="28"/>
          <w:szCs w:val="28"/>
          <w:rtl w:val="true"/>
          <w:lang w:bidi="fa-IR"/>
        </w:rPr>
        <w:t>إنّ أئمّة أهل البیت علیهم السلام قد ربَّوا جیلًا کبیراً من الفقهاء والمحدّثین، فدوّنوا ما وعوه عنهم فی کتبهم المعروفة بأربعمائة مصنَّف، ولم یزل بعضها موجوداً إلی الآن بهیئتها ووضعها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کثیراً منها قد انتقل موادها إلی الأُصول المؤلفة علی ید علماء الشیعة فی الأعصار المتأخّرة، وهی بین جوامع أوّلیة کالمحاسن لأحمد بن محمد بن أبی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ونوادر الحکمة لمحمد بن أحمد بن یحیی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الجامع لأحمد بن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الثلاثین للأخوین الحسن والحسین ابنی سعید بن حماد الأهوازی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جوامع ثانویة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الخبیر أبی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جوامع متأخّرة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لمحیی السنّة 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الجوامع وغیرها الّتی لم نشر إلیها بغیة الاختصار قد احتضنت علوم أهل البیت علیهم السلام فی مختلف المجالات، ومن أراد أن یتمسک بالثقلین فهذا هو کتاب اللَّه، وهذه هی سنّة رسول اللَّه صلی الله علیه و آله و سلم الّتی نقلها أئمّة أهل البیت علیهم السلام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نکتة جدیرة بالإشارة وهی انّه إذا کان أئمّة أهل البیت علیهم السلام مطهّرین من الرجس حسب تنصیص الکتاب، والمرجع العلمی بعد رحیل الرسول صلی الله علیه و آله و سلم وقرناء القرآن وأعداله بنفس روایة الثقلین، إلی غیر ذلک من سمات ومواصفات فلماذا غفل إخواننا أهل السنّة عن الرجوع إلیهم والاستضاءة بأنوارهم ورکوب سفینتهم حتّی ینجوا من الغرق؟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أنّهم رجعوا إلی کلّ صحابی وتابعی وکلّ إنسان یتّسم بالسلفیة، ومع ذلک لا نری أنّهم یتمسکون بأحادیث أئمّة أهل البیت علیهم السلام إلّا نزراً قلیلًا لا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طرقوا کلّ باب حتّی باب مستسلمة أهل الکتاب، 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bookmarkStart w:id="566" w:name="pg1680_13110"/>
    </w:p>
    <w:p>
      <w:pPr>
        <w:pStyle w:val="BookText"/>
        <w:rPr/>
      </w:pPr>
      <w:bookmarkEnd w:id="566"/>
      <w:r>
        <w:rPr>
          <w:rFonts w:ascii="IRNazanin" w:hAnsi="IRNazanin" w:eastAsia="IRNazanin"/>
          <w:color w:val="111111"/>
          <w:sz w:val="28"/>
          <w:sz w:val="28"/>
          <w:szCs w:val="28"/>
          <w:rtl w:val="true"/>
          <w:lang w:bidi="fa-IR"/>
        </w:rPr>
        <w:t>الأحبار و وهب بن منبّه إلی غیر ذلک ولم یطرقوا باب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سبحانه أن یلمّ شعث المسلمین ویرزقهم توحید الکلمة کما رزقهم کلمة التوحید</w:t>
      </w:r>
      <w:r>
        <w:rPr>
          <w:rFonts w:eastAsia="IRNazanin" w:cs="IRNazanin"/>
          <w:color w:val="111111"/>
          <w:sz w:val="28"/>
          <w:szCs w:val="28"/>
          <w:rtl w:val="true"/>
          <w:lang w:bidi="fa-IR"/>
        </w:rPr>
        <w:t>.</w:t>
      </w:r>
    </w:p>
    <w:p>
      <w:pPr>
        <w:pStyle w:val="Heading4"/>
        <w:numPr>
          <w:ilvl w:val="3"/>
          <w:numId w:val="1"/>
        </w:numPr>
        <w:rPr/>
      </w:pPr>
      <w:bookmarkStart w:id="567" w:name="__RefHeading___Toc1401160_3650668749"/>
      <w:bookmarkStart w:id="568" w:name="_Toc218"/>
      <w:bookmarkEnd w:id="567"/>
      <w:r>
        <w:rPr/>
        <w:t>7</w:t>
      </w:r>
      <w:r>
        <w:rPr>
          <w:rtl w:val="true"/>
        </w:rPr>
        <w:t xml:space="preserve">. </w:t>
      </w:r>
      <w:r>
        <w:rPr>
          <w:rtl w:val="true"/>
        </w:rPr>
        <w:t>فاطمة الزهراء علیها السلام فی کلام النبی صلی الله علیه و آله و سلم‌</w:t>
      </w:r>
      <w:bookmarkEnd w:id="568"/>
    </w:p>
    <w:p>
      <w:pPr>
        <w:pStyle w:val="Heading5"/>
        <w:numPr>
          <w:ilvl w:val="4"/>
          <w:numId w:val="1"/>
        </w:numPr>
        <w:rPr/>
      </w:pPr>
      <w:bookmarkStart w:id="569" w:name="__RefHeading___Toc1401162_3650668749"/>
      <w:bookmarkStart w:id="570" w:name="_Toc219"/>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إنّ السیدة فاطمة الزهراء علیها السلام بنت النبی الأکرم صلی الله علیه و آله و سلم هی الکوثر الفیّاض الّذی ردّ بها سبحانه شماتة أعداء الرسول صلی الله علیه و آله و سلم حیث وصفوه بکونه بلا عقب فأنزل اللَّه سبحانه سورة الکوثر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حظیت سیدة نساء العالمین بمنزلة عظیمة عند النبی صلی الله علیه و آله و سلم، حتّی قال صلی الله علیه و آله و سلم فی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فقد أغضبنی</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إنّ إغضاب النبی صلی الله علیه و آله و سلم یستعقب إیذاءه، و من آذاه فقد حکم علیه بالعذاب الألیم،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بیّن أنّ غضب الزهراء علیها السلام ورضاها یوجب غضب اللَّه سبحانه ورضاه،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یغضب لغضبک ویرضی لرضاک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فأیة مکانة شامخة للزهراء علیها السلام حتّی صار غضبها ورضاها ملاکاً لغضبه سبحانه ورضاه، وهذا إن دلّ علی شی‌ء فإنّما یدلّ علی عصمتها، فهو سبحانه بما انّه عادل و حکیم لا یغضب إلّاعلی الکافر والعاصی، ولا یرضی إلّاعلی المؤمن والمطیع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تلک الکرامة أصبحت فی لسان النبی صلی الله علیه و آله و سلم سیدة نساء العالمین، 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ألا ترضین أن تکونی سیّدة نساء العالمین، وسیّدة نساء المؤمنین، وسیدة نساء هذه الأُمّة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وعلی الرغم من أنّ الزهراء علیها السلام معصومة لا تعصی ولا تذنب، ولکنّها لیست بنبیّة، إذ لا ملازمة بین العصمة والنبوة، وهذه هی مریم البتول العذراء فهی معصومة بنصّ الکتاب الحکیم لکنّها لیست بنبیة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أنّها معصومة، فلقوله سبحانه فی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71" w:name="pg1680_13112"/>
    </w:p>
    <w:p>
      <w:pPr>
        <w:pStyle w:val="BookText"/>
        <w:rPr/>
      </w:pPr>
      <w:bookmarkEnd w:id="571"/>
      <w:r>
        <w:rPr>
          <w:rFonts w:ascii="IRNazanin" w:hAnsi="IRNazanin" w:eastAsia="IRNazanin"/>
          <w:color w:val="111111"/>
          <w:sz w:val="28"/>
          <w:sz w:val="28"/>
          <w:szCs w:val="28"/>
          <w:rtl w:val="true"/>
          <w:lang w:bidi="fa-IR"/>
        </w:rPr>
        <w:t>فإنّ الإخبار عن تطهیر مریم بعد اصطفائها دلیل علی تطهیرها من الذنوب ومخالفة شریعة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انّها لیست بنبیة فأمر واضح لا یحتاج إلی بیان، فلتکن بنت خاتم الرسل سیّدة نساء العالمین، کمریم البتول معصومة غیر 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ولنقتصر فی بیان فضائل الزهراء علیها السلام بهذا القدر الیسیر، فانّ استیفاء البحث فیها بحاجة إلی تصنیف مفرد</w:t>
      </w:r>
      <w:r>
        <w:rPr>
          <w:rFonts w:eastAsia="IRNazanin" w:cs="IRNazanin"/>
          <w:color w:val="111111"/>
          <w:sz w:val="28"/>
          <w:szCs w:val="28"/>
          <w:rtl w:val="true"/>
          <w:lang w:bidi="fa-IR"/>
        </w:rPr>
        <w:t>.</w:t>
      </w:r>
    </w:p>
    <w:p>
      <w:pPr>
        <w:pStyle w:val="Heading5"/>
        <w:numPr>
          <w:ilvl w:val="4"/>
          <w:numId w:val="1"/>
        </w:numPr>
        <w:rPr/>
      </w:pPr>
      <w:bookmarkStart w:id="572" w:name="__RefHeading___Toc1401164_3650668749"/>
      <w:bookmarkStart w:id="573" w:name="_Toc220"/>
      <w:bookmarkEnd w:id="572"/>
      <w:r>
        <w:rPr>
          <w:rtl w:val="true"/>
        </w:rPr>
        <w:t>منزلة بیت فاطمة علیها السلام‌</w:t>
      </w:r>
      <w:bookmarkEnd w:id="57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علی قلب سید المرسلین وهو صلی الله علیه و آله و سلم فی المسجد الشریف،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أی‌بیوت هذه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البیت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بیت علی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من أفاضلها</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تقدّمه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کَمِشْکاة فِیها مِصْباح المِصباح فی زُجاجة </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فالنور الذی نوّهت به الآیة بما له من صفات، مصدر إشعاعه هذه البیوت التی أذن اللَّه أن ترفع، فکیف لا یکون لها منزلة وکرامة؟</w:t>
      </w:r>
      <w:r>
        <w:rPr>
          <w:rFonts w:eastAsia="IRNazanin" w:cs="IRNazanin"/>
          <w:color w:val="111111"/>
          <w:sz w:val="28"/>
          <w:szCs w:val="28"/>
          <w:rtl w:val="true"/>
          <w:lang w:bidi="fa-IR"/>
        </w:rPr>
        <w:t>!</w:t>
      </w:r>
      <w:bookmarkStart w:id="574" w:name="pg1680_13114"/>
    </w:p>
    <w:p>
      <w:pPr>
        <w:pStyle w:val="Heading2"/>
        <w:numPr>
          <w:ilvl w:val="1"/>
          <w:numId w:val="1"/>
        </w:numPr>
        <w:rPr/>
      </w:pPr>
      <w:bookmarkStart w:id="575" w:name="__RefHeading___Toc1401166_3650668749"/>
      <w:bookmarkStart w:id="576" w:name="_Toc221"/>
      <w:bookmarkEnd w:id="574"/>
      <w:bookmarkEnd w:id="575"/>
      <w:r>
        <w:rPr>
          <w:rtl w:val="true"/>
        </w:rPr>
        <w:t>الفصل السابع</w:t>
      </w:r>
      <w:r>
        <w:rPr>
          <w:rtl w:val="true"/>
        </w:rPr>
        <w:t xml:space="preserve">: </w:t>
      </w:r>
      <w:r>
        <w:rPr>
          <w:rtl w:val="true"/>
        </w:rPr>
        <w:t>الإمام المهدی المنتظر علیه السلام‌</w:t>
      </w:r>
      <w:bookmarkEnd w:id="576"/>
    </w:p>
    <w:p>
      <w:pPr>
        <w:pStyle w:val="Heading3"/>
        <w:numPr>
          <w:ilvl w:val="2"/>
          <w:numId w:val="1"/>
        </w:numPr>
        <w:rPr/>
      </w:pPr>
      <w:bookmarkStart w:id="577" w:name="__RefHeading___Toc1401168_3650668749"/>
      <w:bookmarkStart w:id="578" w:name="_Toc222"/>
      <w:bookmarkEnd w:id="577"/>
      <w:r>
        <w:rPr>
          <w:rtl w:val="true"/>
        </w:rPr>
        <w:t>اشارة</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مصلح عالمی فی آخر الزمان أمر متفق علیه بین المسلمین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أصله ونسبه علی ضوء الروایات المتواترة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ولادة الإمام المنتظر فی کتب الفریقین فی سامراء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یقسم أولیاء اللَّه إلی ظاهر مشهود، وغائب غیر مشهود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بعض الأنبیاء فی الأُمم السابقة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المهدی وطول العمر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ظهور الإمام المنتظر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الآثار البنّاءة لوجود الإمام المنتظر علیه السلام</w:t>
      </w:r>
      <w:bookmarkStart w:id="579" w:name="pg1680_13116"/>
    </w:p>
    <w:p>
      <w:pPr>
        <w:pStyle w:val="Heading3"/>
        <w:numPr>
          <w:ilvl w:val="2"/>
          <w:numId w:val="1"/>
        </w:numPr>
        <w:rPr/>
      </w:pPr>
      <w:bookmarkStart w:id="580" w:name="__RefHeading___Toc1401170_3650668749"/>
      <w:bookmarkStart w:id="581" w:name="_Toc223"/>
      <w:bookmarkEnd w:id="579"/>
      <w:bookmarkEnd w:id="580"/>
      <w:r>
        <w:rPr>
          <w:rtl w:val="true"/>
        </w:rPr>
        <w:t>الإمام المهدی المنتظر علیه السلام‌</w:t>
      </w:r>
      <w:bookmarkEnd w:id="581"/>
    </w:p>
    <w:p>
      <w:pPr>
        <w:pStyle w:val="Heading4"/>
        <w:numPr>
          <w:ilvl w:val="3"/>
          <w:numId w:val="1"/>
        </w:numPr>
        <w:rPr/>
      </w:pPr>
      <w:bookmarkStart w:id="582" w:name="__RefHeading___Toc1401172_3650668749"/>
      <w:bookmarkStart w:id="583" w:name="_Toc224"/>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إنّ الحَدیثَ حولَ کلّ واحدٍ من الأئمةِ الاثنی عشر خارجٌ عن نِطاق هذا الکتاب، وإنّما تجدر الإشارة إلی مسألة أُخری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الاعتقاد بوجود إمام العَصْر الذی یقضی أیامَ حیاته خَلف ستار الغیبة، ریثما یأذنُ اللَّه له بالظهور فیملأ الأرضَ قسطاً وعَدلًا بعد أن مُلِئتْ ظُلماً وجَوراً، ویقیمَ حکومَة اللَّه علی المعمورة جمعاء، وفیما یلی بعضُ النقاط حول هذه المسألة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401174_3650668749"/>
      <w:bookmarkStart w:id="585" w:name="_Toc225"/>
      <w:bookmarkEnd w:id="584"/>
      <w:r>
        <w:rPr/>
        <w:t>1</w:t>
      </w:r>
      <w:r>
        <w:rPr>
          <w:rtl w:val="true"/>
        </w:rPr>
        <w:t xml:space="preserve">. </w:t>
      </w:r>
      <w:r>
        <w:rPr>
          <w:rtl w:val="true"/>
        </w:rPr>
        <w:t>ظهور مصلح عالمی فی آخر الزمان‌</w:t>
      </w:r>
      <w:bookmarkEnd w:id="585"/>
    </w:p>
    <w:p>
      <w:pPr>
        <w:pStyle w:val="BookText"/>
        <w:rPr/>
      </w:pPr>
      <w:r>
        <w:rPr>
          <w:rFonts w:ascii="Amiri" w:hAnsi="Amiri" w:eastAsia="Amiri" w:cs="Amiri"/>
          <w:color w:val="111111"/>
          <w:sz w:val="28"/>
          <w:sz w:val="28"/>
          <w:szCs w:val="28"/>
          <w:rtl w:val="true"/>
          <w:lang w:bidi="ar-SA"/>
        </w:rPr>
        <w:t xml:space="preserve">إنّ ظهورَ رجلٍ من أهل بَیت الرّسالة لبسط القسط والعدل فی مُستقبل الحیاةِ البَشریّة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تُملأَ الأرضُ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مُسَلَّماتِ العقائِدِ الإسلامیة التی اتّفقَ علیها جمهورُ المُسْلمین، ونقلوا فی هذا المجال أحادیث بَلَغَتْ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 إحصاءات أهلِ التحقیقِ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حول هذه المسألة نذکر منها حدیثاً واحداً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مِنَ الدُّنیْا إلّایومٌ واحِدٌ لَطَوَّل اللَّهُ ذلک الیومَ حَتّی</w:t>
      </w:r>
      <w:bookmarkStart w:id="586" w:name="pg1680_13117"/>
    </w:p>
    <w:p>
      <w:pPr>
        <w:pStyle w:val="BookText"/>
        <w:rPr/>
      </w:pPr>
      <w:bookmarkEnd w:id="586"/>
      <w:r>
        <w:rPr>
          <w:rFonts w:ascii="Amiri" w:hAnsi="Amiri" w:eastAsia="Amiri" w:cs="Amiri"/>
          <w:color w:val="111111"/>
          <w:sz w:val="28"/>
          <w:sz w:val="28"/>
          <w:szCs w:val="28"/>
          <w:rtl w:val="true"/>
          <w:lang w:bidi="ar-SA"/>
        </w:rPr>
        <w:t>یَخْرُجَ رَجُلٌ مِنْ وُلْدِی فَیَمْلأها عَدْلًا وقِسطاً کما مُلِئَتْ ظُلْماً وَجَوْراً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وعلی هذا الأساس یکونُ قیامُ رَجُلٍ من أهلِ البیت النَّبَویّ وظَهورُهُ فی آخِر الزمان موضعَ اتفاقٍ بین المسلمین شیعةً وسنةً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401176_3650668749"/>
      <w:bookmarkStart w:id="588" w:name="_Toc226"/>
      <w:bookmarkEnd w:id="587"/>
      <w:r>
        <w:rPr/>
        <w:t>2</w:t>
      </w:r>
      <w:r>
        <w:rPr>
          <w:rtl w:val="true"/>
        </w:rPr>
        <w:t xml:space="preserve">. </w:t>
      </w:r>
      <w:r>
        <w:rPr>
          <w:rtl w:val="true"/>
        </w:rPr>
        <w:t>أصله ونسبه‌</w:t>
      </w:r>
      <w:bookmarkEnd w:id="588"/>
    </w:p>
    <w:p>
      <w:pPr>
        <w:pStyle w:val="BookText"/>
        <w:rPr/>
      </w:pPr>
      <w:r>
        <w:rPr>
          <w:rFonts w:ascii="Amiri" w:hAnsi="Amiri" w:eastAsia="Amiri" w:cs="Amiri"/>
          <w:color w:val="111111"/>
          <w:sz w:val="28"/>
          <w:sz w:val="28"/>
          <w:szCs w:val="28"/>
          <w:rtl w:val="true"/>
          <w:lang w:bidi="ar-SA"/>
        </w:rPr>
        <w:t>لقد جاءَت خصوصیاتُ هذا المصلِحِ العالَمیّ فی الرّوایات الإسلامیة نَقَلها الفریقان، وهی علی النحو التالی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من أهل بیت النبی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من أولاد الإمام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من أولاد فاطمة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تاسع وُلد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من أولاد الإمام 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ابن الإمام الحسن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الثانی عشر من أئِمة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تتحدّث عن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الرّوایات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یعمّر طویلًا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غیبته ستکون طویلة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سیصیر عالمیاً عند ظهوره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الرّوایات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ستُملأُ عَدلًا وقِسطاً عند ظهوره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وجود مثل هذا المصلح العالمی فی مستقبل البَشَریة أمر مقطوعٌ به ومسلَّمٌ من حیث الرّوایات والأحادیث الإسلامیة بحیث لا یمکن الشکّ أو التشکیک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وَقَعَ الخلافُ فیه فهو ولادته، وأنّه هل وُلِدَ هذا الرَّجُل ولا یزال منذُ ولادَته حَیّاً، أم أنّه سیولد فی المستقبل؟</w:t>
      </w:r>
    </w:p>
    <w:p>
      <w:pPr>
        <w:pStyle w:val="BookText"/>
        <w:rPr/>
      </w:pPr>
      <w:r>
        <w:rPr>
          <w:rFonts w:ascii="Amiri" w:hAnsi="Amiri" w:eastAsia="Amiri" w:cs="Amiri"/>
          <w:color w:val="111111"/>
          <w:sz w:val="28"/>
          <w:sz w:val="28"/>
          <w:szCs w:val="28"/>
          <w:rtl w:val="true"/>
          <w:lang w:bidi="ar-SA"/>
        </w:rPr>
        <w:t xml:space="preserve">یذهب الشیعة وفریقٌ من أهل التحقیق من أهل السُّنّة إلی الرأی الأوّل، فیعتقدون بأنّ الإمامَ المهدیّ وُلدِ من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لا یزال حَیّاً إلی 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فریقٌ من أهلِ السنّة إلی أنّه سیُولَد فیما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والشیعة الإمامیة تعتقدُ بأنّ الإمامَ المهدیَّ علیه السلام وُلِدَ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سامراء فی بیت والده الإمام العسکری علیه السلام، وهو لا یزال حیّاً إلی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یبعثنا إلی أن نذکر شیئاً حول أُمور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w:t>
      </w:r>
      <w:bookmarkStart w:id="589" w:name="pg1680_13119"/>
    </w:p>
    <w:p>
      <w:pPr>
        <w:pStyle w:val="BookText"/>
        <w:rPr/>
      </w:pPr>
      <w:bookmarkEnd w:id="5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ظهوره، علی وجه الإیجاز</w:t>
      </w:r>
      <w:r>
        <w:rPr>
          <w:rFonts w:eastAsia="IRNazanin" w:cs="IRNazanin"/>
          <w:color w:val="111111"/>
          <w:sz w:val="28"/>
          <w:szCs w:val="28"/>
          <w:rtl w:val="true"/>
          <w:lang w:bidi="fa-IR"/>
        </w:rPr>
        <w:t>.</w:t>
      </w:r>
    </w:p>
    <w:p>
      <w:pPr>
        <w:pStyle w:val="Heading4"/>
        <w:numPr>
          <w:ilvl w:val="3"/>
          <w:numId w:val="1"/>
        </w:numPr>
        <w:rPr/>
      </w:pPr>
      <w:bookmarkStart w:id="590" w:name="__RefHeading___Toc1401178_3650668749"/>
      <w:bookmarkStart w:id="591" w:name="_Toc227"/>
      <w:bookmarkEnd w:id="590"/>
      <w:r>
        <w:rPr/>
        <w:t>3</w:t>
      </w:r>
      <w:r>
        <w:rPr>
          <w:rtl w:val="true"/>
        </w:rPr>
        <w:t xml:space="preserve">. </w:t>
      </w:r>
      <w:r>
        <w:rPr>
          <w:rtl w:val="true"/>
        </w:rPr>
        <w:t>ولادة الإمام المهدی المنتظر علیه السلام‌</w:t>
      </w:r>
      <w:bookmarkEnd w:id="591"/>
    </w:p>
    <w:p>
      <w:pPr>
        <w:pStyle w:val="BookText"/>
        <w:rPr/>
      </w:pPr>
      <w:r>
        <w:rPr>
          <w:rFonts w:ascii="IRNazanin" w:hAnsi="IRNazanin" w:eastAsia="IRNazanin"/>
          <w:color w:val="111111"/>
          <w:sz w:val="28"/>
          <w:sz w:val="28"/>
          <w:szCs w:val="28"/>
          <w:rtl w:val="true"/>
          <w:lang w:bidi="fa-IR"/>
        </w:rPr>
        <w:t>ربّما تکفل بعض الروایات لبیان جوانب مختلفة من ولادته وحیاته وسماته، فلذلک تجاوز عدد الأحادیث عمّا سردناه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اتّفقت الشیعة الإمامیة علی أنّ المهدی المنتظر علیه السلام قد ولد فی سامراء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دار أبیه، وتربّی فی حضنه إلی العام الّذی توفّی فیه أبوه،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النصوص من قدماء 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علی بن حمزة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 ولیّ اللَّه وحجته علی عباده وخلیفتی من بعدی مختوناً لیلة النصف من شعبان سنة خمس وخمسین ومائتین عند طلوع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الصاحب للنصف من شعبان سنة خمس وخمسین ومائتین ثم نقل قولًا آخر انّه ولد سنة ست وخمسین ومائتین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نطیل الکلام بنقل کلمات محدّثی الشیعة ومؤرّخیهم فی المقام،</w:t>
      </w:r>
    </w:p>
    <w:p>
      <w:pPr>
        <w:pStyle w:val="BookText"/>
        <w:rPr/>
      </w:pPr>
      <w:r>
        <w:rPr>
          <w:rFonts w:ascii="IRNazanin" w:hAnsi="IRNazanin" w:eastAsia="IRNazanin"/>
          <w:color w:val="111111"/>
          <w:sz w:val="28"/>
          <w:sz w:val="28"/>
          <w:szCs w:val="28"/>
          <w:rtl w:val="true"/>
          <w:lang w:bidi="fa-IR"/>
        </w:rPr>
        <w:t xml:space="preserve">وقد وافق الشیعة فی ولادة المهدی فی نفس العام جمع من أعلام السنّة ربّما یبلغ عددهم إلی ستةٍ وسبعین، وقد جمعت کلماتهم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 فی الإمام الثانی عشر</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ولنقتصر ببعض الکلمات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العلّامة علی بن محمد المشتهر بابن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الثانی عشر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أبی القاسم محمد الحجة الخلف الصالح ابن أبی محمد الحسن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الإمام الثانی عشر وتاریخ ولادته ودلائل إمامته وذکر طرف من أخباره وغیبته ومدة قیام دولته وذکر کیفیته ونسبه وغیر ذلک ممّا 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فی ذکر هذه المواضیع</w:t>
      </w:r>
      <w:r>
        <w:rPr>
          <w:rFonts w:eastAsia="IRNazanin" w:cs="IRNazanin"/>
          <w:color w:val="111111"/>
          <w:sz w:val="28"/>
          <w:szCs w:val="28"/>
          <w:rtl w:val="true"/>
          <w:lang w:bidi="fa-IR"/>
        </w:rPr>
        <w:t>.</w:t>
      </w:r>
      <w:r>
        <w:rPr>
          <w:rStyle w:val="FootnoteAnchor"/>
        </w:rPr>
        <w:footnoteReference w:id="32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الثالث المختص ببیان أهل البیت فبعدما ذکر أسماء أئمة أهل البیت علیهم السلام وبلغ إلی ذکر الإمام الحسن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الحجة وعمره عند وفاة أبیه خمس سنین، لکن آتاه اللَّه فیها الحکمة ویسمّی القائم المنتظر قیل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ستر بالمدینة وغاب فلم یعرف أین ذهب</w:t>
      </w:r>
      <w:r>
        <w:rPr>
          <w:rFonts w:eastAsia="IRNazanin" w:cs="IRNazanin"/>
          <w:color w:val="111111"/>
          <w:sz w:val="28"/>
          <w:szCs w:val="28"/>
          <w:rtl w:val="true"/>
          <w:lang w:bidi="fa-IR"/>
        </w:rPr>
        <w:t>.</w:t>
      </w:r>
      <w:r>
        <w:rPr>
          <w:rStyle w:val="FootnoteAnchor"/>
        </w:rPr>
        <w:footnoteReference w:id="32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خصّص الحافظ أبو عبد اللَّه النوفلی القریشی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جواز بقاء</w:t>
      </w:r>
    </w:p>
    <w:p>
      <w:pPr>
        <w:pStyle w:val="BookText"/>
        <w:rPr/>
      </w:pPr>
      <w:r>
        <w:rPr>
          <w:rFonts w:ascii="IRNazanin" w:hAnsi="IRNazanin" w:eastAsia="IRNazanin"/>
          <w:color w:val="111111"/>
          <w:sz w:val="28"/>
          <w:sz w:val="28"/>
          <w:szCs w:val="28"/>
          <w:rtl w:val="true"/>
          <w:lang w:bidi="fa-IR"/>
        </w:rPr>
        <w:t>المهدی علیه السلام حیاً باقیاً منذ غیبته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مستدلًا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امتناع فی بقائه بدلیل بقاء عیسی والیاس والخضر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Pr>
        <w:footnoteReference w:id="32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الحسن العسکری بن علی الهادی بن محمد الجواد المذکور قبله ثانی عشر الأئمة الاثنی عشر علی اعتقاد الإمامیة، کانت ولادته یوم الجمعة منتصف شعبان سنة خمس وخمسین ومائتین، ولمّا توفّی أبوه کان عمره خمس سنین، واسم أُمّه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السرداب فی دار أبیه وأُمُّهُ تنظر إلیه، فلم یعد یخرج إلیها، وذلک فی سنة خمس وستین ومائتین، وعمره یومئذ تسع سنین</w:t>
      </w:r>
      <w:r>
        <w:rPr>
          <w:rFonts w:eastAsia="IRNazanin" w:cs="IRNazanin"/>
          <w:color w:val="111111"/>
          <w:sz w:val="28"/>
          <w:szCs w:val="28"/>
          <w:rtl w:val="true"/>
          <w:lang w:bidi="fa-IR"/>
        </w:rPr>
        <w:t>.</w:t>
      </w:r>
      <w:r>
        <w:rPr>
          <w:rStyle w:val="FootnoteAnchor"/>
        </w:rPr>
        <w:footnoteReference w:id="32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 الفضل بن روزبهان فی کتابه حول أئمة أهل البیت علیهم السلام رداً علی العلّامة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فضائل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 أبیها وعلیها وعلی سائر آل محمد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ینکر، فإنّ الإنکار علی البحر برحمته، وعلی البر بسعته، وعلی الشمس بنورها، وعلی الأنوار بظهورها، وعلی السحاب بجوده، وعلی الملک بسجوده، إنکار لا یزید المنکر إلّاالاستهزاء به، ومَن هو قادر علی أن ینکر علی جماعة هم أهل السداد، وخزّان معدن النبوّة، وحفّاظ آداب الفتوة صلوات اللَّه وسلامه علیهم، ونعم ما قلت فیهم منظوماً</w:t>
      </w:r>
      <w:r>
        <w:rPr>
          <w:rFonts w:eastAsia="IRNazanin" w:cs="IRNazanin"/>
          <w:color w:val="111111"/>
          <w:sz w:val="28"/>
          <w:szCs w:val="28"/>
          <w:rtl w:val="true"/>
          <w:lang w:bidi="fa-IR"/>
        </w:rPr>
        <w:t>:</w:t>
      </w:r>
      <w:bookmarkStart w:id="592" w:name="pg1680_13122"/>
    </w:p>
    <w:p>
      <w:pPr>
        <w:pStyle w:val="BookText"/>
        <w:rPr/>
      </w:pPr>
      <w:bookmarkEnd w:id="592"/>
      <w:r>
        <w:rPr>
          <w:rFonts w:ascii="IRNazanin" w:hAnsi="IRNazanin" w:eastAsia="IRNazanin"/>
          <w:color w:val="111111"/>
          <w:sz w:val="28"/>
          <w:sz w:val="28"/>
          <w:szCs w:val="28"/>
          <w:rtl w:val="true"/>
          <w:lang w:bidi="fa-IR"/>
        </w:rPr>
        <w:t>سلام علی المصطفی المجتبی‌سلام علی السید المرتضی</w:t>
      </w:r>
    </w:p>
    <w:p>
      <w:pPr>
        <w:pStyle w:val="BookText"/>
        <w:rPr/>
      </w:pPr>
      <w:r>
        <w:rPr>
          <w:rFonts w:ascii="IRNazanin" w:hAnsi="IRNazanin" w:eastAsia="IRNazanin"/>
          <w:color w:val="111111"/>
          <w:sz w:val="28"/>
          <w:sz w:val="28"/>
          <w:szCs w:val="28"/>
          <w:rtl w:val="true"/>
          <w:lang w:bidi="fa-IR"/>
        </w:rPr>
        <w:t>سلام علی بنته فاطمةمن اختارها اللَّه خیر النساء</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القائم المنتظرأبی القاسم القرم نور الهدی</w:t>
      </w:r>
    </w:p>
    <w:p>
      <w:pPr>
        <w:pStyle w:val="BookText"/>
        <w:rPr/>
      </w:pPr>
      <w:r>
        <w:rPr>
          <w:rFonts w:ascii="IRNazanin" w:hAnsi="IRNazanin" w:eastAsia="IRNazanin"/>
          <w:color w:val="111111"/>
          <w:sz w:val="28"/>
          <w:sz w:val="28"/>
          <w:szCs w:val="28"/>
          <w:rtl w:val="true"/>
          <w:lang w:bidi="fa-IR"/>
        </w:rPr>
        <w:t>سیطلع کالشمس فی غاسق‌ینجّیه من سیفه المنتضی</w:t>
      </w:r>
    </w:p>
    <w:p>
      <w:pPr>
        <w:pStyle w:val="BookText"/>
        <w:rPr/>
      </w:pPr>
      <w:r>
        <w:rPr>
          <w:rFonts w:ascii="IRNazanin" w:hAnsi="IRNazanin" w:eastAsia="IRNazanin"/>
          <w:color w:val="111111"/>
          <w:sz w:val="28"/>
          <w:sz w:val="28"/>
          <w:szCs w:val="28"/>
          <w:rtl w:val="true"/>
          <w:lang w:bidi="fa-IR"/>
        </w:rPr>
        <w:t>تری یملأ الأرض من عدله‌کما ملئت جور أهل الهوی‌</w:t>
      </w:r>
      <w:r>
        <w:rPr>
          <w:rStyle w:val="FootnoteAnchor"/>
          <w:rtl w:val="true"/>
        </w:rPr>
        <w:footnoteReference w:id="324"/>
      </w:r>
    </w:p>
    <w:p>
      <w:pPr>
        <w:pStyle w:val="Heading4"/>
        <w:numPr>
          <w:ilvl w:val="3"/>
          <w:numId w:val="1"/>
        </w:numPr>
        <w:rPr/>
      </w:pPr>
      <w:bookmarkStart w:id="593" w:name="__RefHeading___Toc1401180_3650668749"/>
      <w:bookmarkStart w:id="594" w:name="_Toc228"/>
      <w:bookmarkEnd w:id="593"/>
      <w:r>
        <w:rPr/>
        <w:t>4</w:t>
      </w:r>
      <w:r>
        <w:rPr>
          <w:rtl w:val="true"/>
        </w:rPr>
        <w:t xml:space="preserve">. </w:t>
      </w:r>
      <w:r>
        <w:rPr>
          <w:rtl w:val="true"/>
        </w:rPr>
        <w:t>تقسیم أولیاء اللَّه إلی ظاهر مشهود، وغائب غیر مشهود</w:t>
      </w:r>
      <w:bookmarkEnd w:id="594"/>
    </w:p>
    <w:p>
      <w:pPr>
        <w:pStyle w:val="BookText"/>
        <w:rPr/>
      </w:pPr>
      <w:r>
        <w:rPr>
          <w:rFonts w:ascii="Amiri" w:hAnsi="Amiri" w:eastAsia="Amiri" w:cs="Amiri"/>
          <w:color w:val="111111"/>
          <w:sz w:val="28"/>
          <w:sz w:val="28"/>
          <w:szCs w:val="28"/>
          <w:rtl w:val="true"/>
          <w:lang w:bidi="ar-SA"/>
        </w:rPr>
        <w:t>إنّ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نَظَر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نوعین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ظاهرٌ یعرفُه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ووَلیٌّ غائَبٌ عن أنظارِ الناس لا یعرفُه أحدٌ منهم، وإن کان یعیشُ بینَهم، ویعرفُ هو أحوالَهُمْ وأخبارهم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ذُکر فی سورة الکَهف کلا النوعین منَ الأولیاء فی مکانٍ واحدٍ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مصاحبُهُ ورفیقهُ المؤقّت، الذی صحِبَه فی سَفَره البرّی والبَحْری، ویُعْرَف بالخِضر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الولیّ الإلهیَّ کانَ بِحَیْث لم یعرفُه مصاحِبهُ ومرافِقُه النبیُّ موسی وإنّما صاحَبَه ورافقه بتعلیمٍ وأَمرٍ من اللَّه، واستفاد من عِلمه خلال مرافَقَته إیّاه کما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ءاتَیْناهُ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القرآنَ الکریم یُقَدّم شرحاً مفصّلًا عمّا فَعَله هذا الولیُّ الإلهیّ من أعمال مفیدة، ذلک الذی لم یکن أحدٌ حتی النبی موسی علیه السلام یَعرفهُ، ولکن کانوا یَستفیدون من آثار وجوده المبارک ومن أفعاله المفیدة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المهدیّ عَجَّل اللَّه فَرَجَه الشَّریفَ علی غرارِ مرافق موسی علیه السلام، ولیٌّ غیرُ معروف للنّاس مع أنّه فی نفس الوقت منشأ لآثار طیبة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یعرفهُ أحَدٌ منهم مع أنّهم یَستَفیدون مِن برکات وجودهِ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تکونُ غیبةُ الإمام المهَدیّ عجّل اللَّه فرجَه الشریفَ بمعنی الانفصال عن المجتمع،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فی روایات المعصومین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خَلفَ السحاب لا تُری عینُها، ولکنها تبعَث الدف‌ءَ والنورَ إلی الأرض وساکِنِیها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595" w:name="pg1680_13124"/>
    </w:p>
    <w:p>
      <w:pPr>
        <w:pStyle w:val="BookText"/>
        <w:rPr/>
      </w:pPr>
      <w:bookmarkEnd w:id="595"/>
      <w:r>
        <w:rPr>
          <w:rFonts w:ascii="IRNazanin" w:hAnsi="IRNazanin" w:eastAsia="IRNazanin"/>
          <w:color w:val="111111"/>
          <w:sz w:val="28"/>
          <w:sz w:val="28"/>
          <w:szCs w:val="28"/>
          <w:rtl w:val="true"/>
          <w:lang w:bidi="fa-IR"/>
        </w:rPr>
        <w:t>هذا مضافاً إلی أنّ فریقاً من الأبرار والطیّبین الأتقیاء الذین کانوا یَتمتّعون باللیاقة والأهلیّة للتشرّف بِلقاءِ الإمام المهدیّ قد رأوه وَالتَقَوْا به واستفادوا مِن إرشاداته، وعُلُومِه، واسْتفادَ الآخرون من هذا الطریق، من آثارهِ المبارکة وبرکات وجوده الشریف</w:t>
      </w:r>
      <w:r>
        <w:rPr>
          <w:rFonts w:eastAsia="IRNazanin" w:cs="IRNazanin"/>
          <w:color w:val="111111"/>
          <w:sz w:val="28"/>
          <w:szCs w:val="28"/>
          <w:rtl w:val="true"/>
          <w:lang w:bidi="fa-IR"/>
        </w:rPr>
        <w:t>.</w:t>
      </w:r>
    </w:p>
    <w:p>
      <w:pPr>
        <w:pStyle w:val="Heading4"/>
        <w:numPr>
          <w:ilvl w:val="3"/>
          <w:numId w:val="1"/>
        </w:numPr>
        <w:rPr/>
      </w:pPr>
      <w:bookmarkStart w:id="596" w:name="__RefHeading___Toc1401182_3650668749"/>
      <w:bookmarkStart w:id="597" w:name="_Toc229"/>
      <w:bookmarkEnd w:id="596"/>
      <w:r>
        <w:rPr/>
        <w:t>5</w:t>
      </w:r>
      <w:r>
        <w:rPr>
          <w:rtl w:val="true"/>
        </w:rPr>
        <w:t xml:space="preserve">. </w:t>
      </w:r>
      <w:r>
        <w:rPr>
          <w:rtl w:val="true"/>
        </w:rPr>
        <w:t>غیبة بعض الأنبیاء علیهم السلام فی الأُمم السابقة</w:t>
      </w:r>
      <w:bookmarkEnd w:id="597"/>
    </w:p>
    <w:p>
      <w:pPr>
        <w:pStyle w:val="BookText"/>
        <w:rPr/>
      </w:pPr>
      <w:r>
        <w:rPr>
          <w:rFonts w:ascii="Amiri" w:hAnsi="Amiri" w:eastAsia="Amiri" w:cs="Amiri"/>
          <w:color w:val="111111"/>
          <w:sz w:val="28"/>
          <w:sz w:val="28"/>
          <w:szCs w:val="28"/>
          <w:rtl w:val="true"/>
          <w:lang w:bidi="ar-SA"/>
        </w:rPr>
        <w:t>إنّ علّة غَیبة الإمام المَهدیّ عَجّل اللَّه فرجَه الشریفُ هی من الأسرار الإلهیّة التی لا نستطِیع الوقوف علی حقیقتها وکنهها، کما أنّ لهذه الغَیبة المؤقتة نظائر فی حیاة أولیاء اللَّه السابقین والُّامم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غابَ النبیُّ موسی الکلیمُ علیه السلام عن أُمّته أربعین یوماً، وقضی کلَّ هذه المدة فی المیقات‌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وغاب السیدُ المسیح علیه السلام بمشیئة اللَّه عن أنظار أُمّته، فلم یقدر أعداؤُه علی قَتْله، والقضاء علیه‌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وغاب النبیُّ یونس علیه السلام عن قومه مدّةً من الزَمان‌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فلیست غیبةُ الإمام المهَدی علیه السلام عن أنظار الناس بدعاً من الأَمر کما لا یصحّ أن تَقَعَ هذه الغَیبة مهما طالت ذریعةً لإنکار أصل وجودِ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وأساساً إنّ کلَّ ما یثبُتُ عن طریق النقل المتواتر، ولکن لا یقدر الإنسان علی التحقّق منه، ومشاهدته لا یجوز له أن ینکره أو یتردّد فی القبول به مادام رُوِیَ ونُقِلَ بالتّواتر الموجب للاطمئنان، لأنّ قِسماً من الأحکام الإلهیّة التی هی من مسلّمات الدین الإسلامیّ وضروریّاته سیتعرَّض للتردِید والإنکار إذا تجاهَلْنا هذه القاعدةَ العقلائیةَ الصائبةَ، وهذا الأمر العرفی معقول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وغیبةُ الإمام المهدیّ عجل اللَّه فرجَه الشریف لیس بمستثنیً من هذه القاعدة، وعَدَم الاطّلاع علی سِرّها أو أسرارها الحقیقیة لا یجوزُ التردیدُ فیها، وإنکارُها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ذلک فإنّنا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الممکن إدراک سرّ الغیبة هذه فی حدود فکرِنا البشریَّ وهذا السِّر هو ما یلی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إنّ آخرَ حُجَّةٍ من حَجَج اللَّه وآخر إمامٍ من أئِمة أهلِ البیت قد أرادَ اللَّهُ تعالی أن یُحقّق به الأُمنیةَ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بسط العدل والقسط ورفع رایة التوحید علی کل ربوع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الأُمنیة الکبری‌وهذا الهدف العظیم لا یمکن أن یَتحقق إلّابعد مرور ردح من الزمان، وإلّا بعد تکاملِ العقلِ البَشَریّ وتهیّؤهِ الروحیِّ والنفسِیّ لذلک، حتی یستقبلَ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ورغبةٍ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موکبَ الإمام والمصلح العالمیّ، موکبَ العَدلِ والحریّةِ والسلامِ، لهذا فإنّ منَ الطبیعیّ أنّ هذا الإمام لو ظَهَرَ بین النّاس، وعاشَ بین ظهرانیِّهم قبلَ نُضُوج الأمر، وحصولِ المقدّمات اللازِمة، والأرضیّة المناسبة، کان مَصیرُه ومآلهُ، مصیرَ من سَبَقه من آبائِه من الأئمِةِ</w:t>
      </w:r>
      <w:bookmarkStart w:id="598" w:name="pg1680_13126"/>
    </w:p>
    <w:p>
      <w:pPr>
        <w:pStyle w:val="BookText"/>
        <w:rPr/>
      </w:pPr>
      <w:bookmarkEnd w:id="598"/>
      <w:r>
        <w:rPr>
          <w:rFonts w:ascii="Amiri" w:hAnsi="Amiri" w:eastAsia="Amiri" w:cs="Amiri"/>
          <w:color w:val="111111"/>
          <w:sz w:val="28"/>
          <w:sz w:val="28"/>
          <w:szCs w:val="28"/>
          <w:rtl w:val="true"/>
          <w:lang w:bidi="ar-SA"/>
        </w:rPr>
        <w:t xml:space="preserve">الکرامِ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ولَقُتل علیه السلام قبل أن یتحقّق ذلک الهدفُ العظیم، وتلک الأُمنِیّة الکبری علی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أُشیر إلی هذه الحکمة فی بعض الرّوایات الصادِرةِ عن أهل البَیْت علیهم السلام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غَیْبَةً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فقالَ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القتل</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منعاً من أن یُقتَل قبل تحقّق الهدفِ المنتظَرَ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ذُکِرَ وجهٌ آخر لغیبته فی بعض الرّوایات وهی اختبارُ النّاس وتمحیصُهم، وامتحانهم، یعنی أنّ الناس یُختَبَرون فی عَصر الغَیبة، ویمرُّون بالامتحان الإلهیّ، ویُعرَفُ مدی ثباتهِم علی طریق الإیمان، ومدی استقامَتهِم فی طریق الإیمان والعقیدة</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599" w:name="__RefHeading___Toc1401184_3650668749"/>
      <w:bookmarkStart w:id="600" w:name="_Toc230"/>
      <w:bookmarkEnd w:id="599"/>
      <w:r>
        <w:rPr/>
        <w:t>6</w:t>
      </w:r>
      <w:r>
        <w:rPr>
          <w:rtl w:val="true"/>
        </w:rPr>
        <w:t xml:space="preserve">. </w:t>
      </w:r>
      <w:r>
        <w:rPr>
          <w:rtl w:val="true"/>
        </w:rPr>
        <w:t>الإمام المهدی وطول العمر</w:t>
      </w:r>
      <w:bookmarkEnd w:id="6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وُلِدَ الإمامُ المهدیّ عجّل اللَّه فرجَه الشَریف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هجریة، وعلی هذا الأساس یکونُ عُمرُه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أحَدَ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الإذعان بهذا العُمُر الطَویل جداً، مع أخذ القُدرة الإلهیّة المطلقة بعین الاعتبار لیس أمراً مشکلًا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الحقیقة إنّ الذین یَعتَبرون طولَ عُمُر الإمام المهَدیّ علیه السلام مشکلةً فی طریق الإیمان بوجوده، ومانعاً من القول بولادته، یَغْفَلُون عن قدرة اللَّه اللّامتناهیة فهم کمن قالَ عنهم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إلی أنّ فی الأُمَم السالِفة معمَّرین کثیرین عاشوا طویلًا ذکرهم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ذکَر أن نوحاً عاشَ فی قومه ألفَ سنة إلّاخمسین عاماً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کما أنّ العِلم البشریّ الحدیث یسعی فی عَصرِنا إلی أنْ یُحِلّ مشکلة طولِ العُمُرِ، بالأسالیبِ العلمیّة، والصِّحیة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یُفید أنَّ الإنسان یمکن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نظر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یَعیشَ طویلًا بعد رَفْع الموانِعِ الّتی تحول دونَ العُمُر الطویل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قادرٌ علی إطالة عُمُر من یُرید إلی یوم القیامة إذا شاء، ألیسَ هو القائل بأنّ یونس لو لم یکن من المسبّحین لَلَبِث فی بَطن الحوتِ إلی یَومِ الدِّین‌</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یَستَطیع هذا الإلهُ الخالقُ القادر أن یُطیلَ عُمُرَ حُجَّته البالِغَة،</w:t>
      </w:r>
      <w:bookmarkStart w:id="601" w:name="pg1680_13128"/>
    </w:p>
    <w:p>
      <w:pPr>
        <w:pStyle w:val="BookText"/>
        <w:rPr/>
      </w:pPr>
      <w:bookmarkEnd w:id="601"/>
      <w:r>
        <w:rPr>
          <w:rFonts w:ascii="Amiri" w:hAnsi="Amiri" w:eastAsia="Amiri" w:cs="Amiri"/>
          <w:color w:val="111111"/>
          <w:sz w:val="28"/>
          <w:sz w:val="28"/>
          <w:szCs w:val="28"/>
          <w:rtl w:val="true"/>
          <w:lang w:bidi="ar-SA"/>
        </w:rPr>
        <w:t>وخَلِیفَتِهِ الحقّ بِلُطْفِهِ وعِنایَتِهِ؟</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602" w:name="__RefHeading___Toc1401186_3650668749"/>
      <w:bookmarkStart w:id="603" w:name="_Toc231"/>
      <w:bookmarkEnd w:id="602"/>
      <w:r>
        <w:rPr/>
        <w:t>7</w:t>
      </w:r>
      <w:r>
        <w:rPr>
          <w:rtl w:val="true"/>
        </w:rPr>
        <w:t xml:space="preserve">. </w:t>
      </w:r>
      <w:r>
        <w:rPr>
          <w:rtl w:val="true"/>
        </w:rPr>
        <w:t>علائم ظهور الإمام المنتظر علیه السلام‌</w:t>
      </w:r>
      <w:bookmarkEnd w:id="603"/>
    </w:p>
    <w:p>
      <w:pPr>
        <w:pStyle w:val="BookText"/>
        <w:rPr/>
      </w:pPr>
      <w:r>
        <w:rPr>
          <w:rFonts w:ascii="Amiri" w:hAnsi="Amiri" w:eastAsia="Amiri" w:cs="Amiri"/>
          <w:color w:val="111111"/>
          <w:sz w:val="28"/>
          <w:sz w:val="28"/>
          <w:szCs w:val="28"/>
          <w:rtl w:val="true"/>
          <w:lang w:bidi="ar-SA"/>
        </w:rPr>
        <w:t>لا یعرف أحدٌ بوَقت ظهور الإمام المهدی قط، فهذه الحقیقة من الأسرارِ الإلهیّة، مثل مَوعد یومِ القیامة، الذی لا یَعرفُ بِهِ أحدٌ إلّااللَّه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یجب أن لا یُصدَّقُ زعمُ من یَدّعی أنّه یَعْلَمُ بوقتِ ظهورِ الإمام المهدیّ، أو یعیّنَ وَقتاً، ویضرب أجلًا معیّناً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أنّنا تجاوَزْنا مَسألة توقیت ظهور الإمام المهدیّ علیه السلام، وَجَبَ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ذَکَرَتْ علائمَ کُلیَّةً لِظهورِ الإمامِ المهدیّ وهی تَنْقَسِمُ إلی نَوعین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العلائم الحَتمیة القَطعیّة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العلائم غیر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ویُطلب التفصیل ممّا کتب حول الإمام المهدی من الموسوعات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وأخصّ بالذکر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 فی الإمام الثانی عشر</w:t>
      </w:r>
      <w:r>
        <w:rPr>
          <w:rFonts w:eastAsia="IRNazanin" w:cs="IRNazanin"/>
          <w:color w:val="111111"/>
          <w:sz w:val="28"/>
          <w:szCs w:val="28"/>
          <w:rtl w:val="true"/>
          <w:lang w:bidi="fa-IR"/>
        </w:rPr>
        <w:t>».</w:t>
      </w:r>
      <w:r>
        <w:rPr>
          <w:rStyle w:val="FootnoteAnchor"/>
          <w:rtl w:val="true"/>
        </w:rPr>
        <w:footnoteReference w:id="337"/>
      </w:r>
      <w:bookmarkStart w:id="604" w:name="pg1680_13129"/>
    </w:p>
    <w:p>
      <w:pPr>
        <w:pStyle w:val="Heading4"/>
        <w:numPr>
          <w:ilvl w:val="3"/>
          <w:numId w:val="1"/>
        </w:numPr>
        <w:rPr/>
      </w:pPr>
      <w:bookmarkStart w:id="605" w:name="__RefHeading___Toc1401188_3650668749"/>
      <w:bookmarkStart w:id="606" w:name="_Toc232"/>
      <w:bookmarkEnd w:id="604"/>
      <w:bookmarkEnd w:id="605"/>
      <w:r>
        <w:rPr/>
        <w:t>8</w:t>
      </w:r>
      <w:r>
        <w:rPr>
          <w:rtl w:val="true"/>
        </w:rPr>
        <w:t xml:space="preserve">. </w:t>
      </w:r>
      <w:r>
        <w:rPr>
          <w:rtl w:val="true"/>
        </w:rPr>
        <w:t>الآثار البنّاءة لوجود الإمام المنتظر علیه السلام‌</w:t>
      </w:r>
      <w:bookmarkEnd w:id="606"/>
    </w:p>
    <w:p>
      <w:pPr>
        <w:pStyle w:val="BookText"/>
        <w:rPr/>
      </w:pPr>
      <w:r>
        <w:rPr>
          <w:rFonts w:ascii="Amiri" w:hAnsi="Amiri" w:eastAsia="Amiri" w:cs="Amiri"/>
          <w:color w:val="111111"/>
          <w:sz w:val="28"/>
          <w:sz w:val="28"/>
          <w:szCs w:val="28"/>
          <w:rtl w:val="true"/>
          <w:lang w:bidi="ar-SA"/>
        </w:rPr>
        <w:t>إنّ البراهینَ الکلامیَّة تری أنّ وجودَ الإمام المعصوم فی المجتمع، وحضورَه بین الناس لُطفٌ من ألطاف اللَّه الکبری لکونه سبباً لِهدایة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البدیهیّ أنّ النّاسَ إذا رَحَّبوا بهذا المظهر البارِزِ مِن مظاهر اللُطفِ الإلهیّ واستقبلوه، والتفّوا حولَه، انتفَعوا بآثار وجوده المبارکة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حُرِموا من الاستفادة الکامِلَة والانتفاع التامّ من نعمة وجوده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لا یکونُ السبب فی هذا الحِرمان إلّاالناس أنفسُهم، لا اللَّه ولا الإمام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ومع ذلک فإنّ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أثاراً بنّاءة نشیر إلی بعض الجوانب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الغیبة لا تلازم عدم التصرف فی الأُمور، وعدم الاستفادة من وجوده، فهذا مصاحب موسی کان ولیاً، لجأ إلیه، أکبر أنبیاء اللَّه فی عصره، فقد خرق السفینة التی یمتلکها المستضعفون، لیصونها من غصب الملک، ولم یعلم أصحاب السفینة بتصرفه، وإلّا لصدّوه عن الخرق، جهلًا منهم بغایة عمله؛ کما أنّه بنی الجدار، لیصون کنز الیتیمین، فأی مانع، حینئذٍ من</w:t>
      </w:r>
    </w:p>
    <w:p>
      <w:pPr>
        <w:pStyle w:val="BookText"/>
        <w:rPr/>
      </w:pPr>
      <w:r>
        <w:rPr>
          <w:rFonts w:ascii="IRNazanin" w:hAnsi="IRNazanin" w:eastAsia="IRNazanin"/>
          <w:color w:val="111111"/>
          <w:sz w:val="28"/>
          <w:sz w:val="28"/>
          <w:szCs w:val="28"/>
          <w:rtl w:val="true"/>
          <w:lang w:bidi="fa-IR"/>
        </w:rPr>
        <w:t>أن یکون للإمام الغائب فی کلّ یوم ولیلة تصرّفاً من هذا النمط من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دلّت علیه الروایات من أنّه یحضر الموسم فی أشهر الحج، ویحجّ ویصاحب الناس، ویحضر المجالس، کما دلّت علی أنّه یغیث المضطرین، ویعود المرضی، وربّما یتکفّل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حوائجهم، وإن کان الناس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هو عدم إمکان وصول عموم الناس إلیه فی غیبته، وأمّا عدم وصول الخواص إلیه، فلیس بأمر مسلّم، بل الذی دلّت علیه الروایات خلافه، فالصلحاء من الأُمّة، الذین یستدرّ بهم الغمام، لهم التشرّف بلقائه، والاستفادة من نور وجوده، وبالتالی تستفید الأُمّة بواسطتهم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المحاسبات العقلیة والتجارب الاجتماعیة بوضوح أنّ الاعتقاد بوجود قائد حی له أثر عمیق فی حفظ النظام وبقاء الرسالة، إن کان الوصول إلی هذا القائد سهلًا أو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 فإنّ للاعتقاد بوجود قائد له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جدال بالنسبة لوجود القائد فی داخل المجتمع ویتحمّل عب‌ء القیادة بصورةٍ مباشرة، والمهم أن یکون القائد لأسباب بعیداً عن المجتمع، ولکن هذا المجتمع یعتقد ویؤمن بحیاة القائد وعودته مرة أُخری، فی هذه الحالة فإن الاعتقاد بوجود مثل هذا القائد له أثر عظیم نشیر فیما یلی إلیه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التاریخ شعوب وأُمم کانت لها انتفاضات وثورات، وهناک أمثلة</w:t>
      </w:r>
    </w:p>
    <w:p>
      <w:pPr>
        <w:pStyle w:val="BookText"/>
        <w:rPr/>
      </w:pPr>
      <w:r>
        <w:rPr>
          <w:rFonts w:ascii="IRNazanin" w:hAnsi="IRNazanin" w:eastAsia="IRNazanin"/>
          <w:color w:val="111111"/>
          <w:sz w:val="28"/>
          <w:sz w:val="28"/>
          <w:szCs w:val="28"/>
          <w:rtl w:val="true"/>
          <w:lang w:bidi="fa-IR"/>
        </w:rPr>
        <w:t>کثیرة تدلّ علی أنّ القائد عندما یکون علی قید الحیاة حتی وإن لم یتسلم القیادة، ولکنّ التشکیلات والتنظیمات تبقی ظاهرة، ولکن ما أن یودع الحیاة حتی تتفرق التنظیمات وتتشتّت وتصیبها الفوضی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مثال علی أنّ وجود القائد هو حافظ الرسالة وسبب لتنظیم الأتباع، قصة معرکة أُحد، حیث ارتفع أثناء المعرکة نداءٌ، إمّا عن خطأ أو لغرضٍ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ارتفع هذا النداء فی وقت کان المسلمون مشغولین بمواجهة عدوان المهاجمین، وعندما انتشر النبأ بین المسلمین بأنّ القائد قد مات حتی تشتّت النظام لدرجة بحیث فرَّ کلُّ واحد إلی جهة، تارکین المعرکة، حتی أنّ البعض فکّر فی الالتحاق بالأعداء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کُذّب نبأ مقتل النبی صلی الله علیه و آله و سلم، وأیقن المسلمون بسلامة قائدهم، ورأی بعضهم النبی صلی الله علیه و آله و سلم بأنفسهم، اجتمع أفراد الجیش المشتت مرة أُخری خارجین من نقاط مختلفة من جبل أحد والتفوا حول الرسول صلی الله علیه و آله و سلم وبدأوا القتال والدفاع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القرآن الکریم هذه الحقیقة بهذه الصورة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میادین القتال یترکز جهد مجموعة من الجنود المضحّین علی</w:t>
      </w:r>
    </w:p>
    <w:p>
      <w:pPr>
        <w:pStyle w:val="BookText"/>
        <w:rPr/>
      </w:pPr>
      <w:r>
        <w:rPr>
          <w:rFonts w:ascii="IRNazanin" w:hAnsi="IRNazanin" w:eastAsia="IRNazanin"/>
          <w:color w:val="111111"/>
          <w:sz w:val="28"/>
          <w:sz w:val="28"/>
          <w:szCs w:val="28"/>
          <w:rtl w:val="true"/>
          <w:lang w:bidi="fa-IR"/>
        </w:rPr>
        <w:t>بقاء العلم خفّاقاً أمام هجمات الأعداء، بینما یسعی جنود العدو دائماً إلی إسقاط علم الطرف الآخر، لأنّ بقاء العلم یبعث الأمل فی قلوب الجنود ویحثّهم علی بذل مساعیهم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أنّ وجود قائد الجیش فی مقر القیادة، حتی ولو کان ساکتاً ساکناً، فإنّه یجعل الدم یجری فی عروق الجنود ویدفعهم لبذل جهود أکثر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قائدنا حی ورایتنا خفاقة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عندما ینتشر نبأ مقتل القائد بین أفراد الجیش فإنّ هذا الجیش وإن کان عظیماً فإنّه یتلاشی مرةً واحدة، وکأنّ الروح قد فارقت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رئیس جمعیة أو بلد، ما دام علی قید الحیاة، إن کان فی سفرٍ أو طریح الفراش، فإنّه سببٌ للحیاة والحرکة والنظام والهدوء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سماع نبأ وفاته یبعث علی الیأس والقنوط بالنسبة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والشیعة، طبقاً لعقیدتهم بوجود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رغم انهم لا یرونه بینهم، لا یرون أنفسهم وحیدین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إنّهم دائماً ینتظرون عودة هذا العزیز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ترف له قوافل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انتظاره المؤثر والمفید یُعطی کل یوم أملًا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الأثر النفسی لمثل فکرة إحیاء الأمل فی القلوب ودفع الناس لإعداد أنفسهم لتلک الثورة الکبری، مفهوم ویمکن إدارکه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لم یکن لهذا القائد وجود مطلقاً، وکان الناسُ ینتظرون ولادته فی المستقبل، فإن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کثیراً عن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أضفنا إلی هذا الموضوع شیئاً آخر، فإنّ الجواب یتّخذ له شکلًا جدیاً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طبقاً لعقیدة عموم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الکثیر من الروایات من المصادر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علیه السلام بشکل دائم وأثناء مرحلة الغیبة یراقب أوضاع أتباعه، وانه وفق إلهام إلهی یطّلع علی أوضاع جمیعهم، أو بتعبیر الروایات إنّه یطّلع اسبوعیاً علی جدول أعمالهم وتصرفاتهم وأحادیثهم‌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الفکرة تؤدّی إلی أن یکون جمیع أتباعها علی استعداد تام ودائمی، ویتوجّهون فی أعمالهم إلی أنّ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التربوی لمثل هذا النوع من التفکیر لا یمکن إنکاره</w:t>
      </w:r>
      <w:r>
        <w:rPr>
          <w:rFonts w:eastAsia="IRNazanin" w:cs="IRNazanin"/>
          <w:color w:val="111111"/>
          <w:sz w:val="28"/>
          <w:szCs w:val="28"/>
          <w:rtl w:val="true"/>
          <w:lang w:bidi="fa-IR"/>
        </w:rPr>
        <w:t>.</w:t>
      </w:r>
      <w:bookmarkStart w:id="607" w:name="pg1680_13134"/>
    </w:p>
    <w:p>
      <w:pPr>
        <w:pStyle w:val="Heading2"/>
        <w:numPr>
          <w:ilvl w:val="1"/>
          <w:numId w:val="1"/>
        </w:numPr>
        <w:rPr/>
      </w:pPr>
      <w:bookmarkStart w:id="608" w:name="__RefHeading___Toc1401190_3650668749"/>
      <w:bookmarkStart w:id="609" w:name="_Toc233"/>
      <w:bookmarkEnd w:id="607"/>
      <w:bookmarkEnd w:id="608"/>
      <w:r>
        <w:rPr>
          <w:rtl w:val="true"/>
        </w:rPr>
        <w:t>الفصل الثامن</w:t>
      </w:r>
      <w:r>
        <w:rPr>
          <w:rtl w:val="true"/>
        </w:rPr>
        <w:t xml:space="preserve">: </w:t>
      </w:r>
      <w:r>
        <w:rPr>
          <w:rtl w:val="true"/>
        </w:rPr>
        <w:t>البدعة فی الکتاب والسنّة</w:t>
      </w:r>
      <w:bookmarkEnd w:id="609"/>
    </w:p>
    <w:p>
      <w:pPr>
        <w:pStyle w:val="Heading3"/>
        <w:numPr>
          <w:ilvl w:val="2"/>
          <w:numId w:val="1"/>
        </w:numPr>
        <w:rPr/>
      </w:pPr>
      <w:bookmarkStart w:id="610" w:name="__RefHeading___Toc1401192_3650668749"/>
      <w:bookmarkStart w:id="611" w:name="_Toc234"/>
      <w:bookmarkEnd w:id="610"/>
      <w:r>
        <w:rPr>
          <w:rtl w:val="true"/>
        </w:rPr>
        <w:t>اشارة</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لغة واصطلاحاً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الابتداع فی تعریف البدعة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نشوء البدعة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البدعة إلی حسنة وسیئة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الأُمور التالیة من البدع؟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التقیة عند الخوف علی النفس والنفیس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 المؤقت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البداء وتغییر المصیر بالأعمال الصالحة والطالحة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الخمس فی الکتاب والسنّة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الرجعة فی الکتاب العزیز</w:t>
      </w:r>
      <w:bookmarkStart w:id="612" w:name="pg1680_13136"/>
    </w:p>
    <w:p>
      <w:pPr>
        <w:pStyle w:val="Heading3"/>
        <w:numPr>
          <w:ilvl w:val="2"/>
          <w:numId w:val="1"/>
        </w:numPr>
        <w:rPr/>
      </w:pPr>
      <w:bookmarkStart w:id="613" w:name="__RefHeading___Toc1401194_3650668749"/>
      <w:bookmarkStart w:id="614" w:name="_Toc235"/>
      <w:bookmarkEnd w:id="612"/>
      <w:bookmarkEnd w:id="613"/>
      <w:r>
        <w:rPr>
          <w:rtl w:val="true"/>
        </w:rPr>
        <w:t>البدعة فی الکتاب والسنّة</w:t>
      </w:r>
      <w:bookmarkEnd w:id="614"/>
    </w:p>
    <w:p>
      <w:pPr>
        <w:pStyle w:val="Heading4"/>
        <w:numPr>
          <w:ilvl w:val="3"/>
          <w:numId w:val="1"/>
        </w:numPr>
        <w:rPr/>
      </w:pPr>
      <w:bookmarkStart w:id="615" w:name="__RefHeading___Toc1401196_3650668749"/>
      <w:bookmarkStart w:id="616" w:name="_Toc236"/>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اتّفق المسلمون علی حرمة البدعة لورودها فی الکتاب والسنّة وهی من المحرمات الموبقة الّتی أوعد اللَّه علیها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 من أفحش الکذب، لأنّها افتراء علی اللَّه ورسوله،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وتحقیق المقام رهن دراسة البدعة لغة واصطلاحاً</w:t>
      </w:r>
      <w:r>
        <w:rPr>
          <w:rFonts w:eastAsia="IRNazanin" w:cs="IRNazanin"/>
          <w:color w:val="111111"/>
          <w:sz w:val="28"/>
          <w:szCs w:val="28"/>
          <w:rtl w:val="true"/>
          <w:lang w:bidi="fa-IR"/>
        </w:rPr>
        <w:t>.</w:t>
      </w:r>
    </w:p>
    <w:p>
      <w:pPr>
        <w:pStyle w:val="Heading4"/>
        <w:numPr>
          <w:ilvl w:val="3"/>
          <w:numId w:val="1"/>
        </w:numPr>
        <w:rPr/>
      </w:pPr>
      <w:bookmarkStart w:id="617" w:name="__RefHeading___Toc1401198_3650668749"/>
      <w:bookmarkStart w:id="618" w:name="_Toc237"/>
      <w:bookmarkEnd w:id="617"/>
      <w:r>
        <w:rPr/>
        <w:t>1</w:t>
      </w:r>
      <w:r>
        <w:rPr>
          <w:rtl w:val="true"/>
        </w:rPr>
        <w:t xml:space="preserve">. </w:t>
      </w:r>
      <w:r>
        <w:rPr>
          <w:rtl w:val="true"/>
        </w:rPr>
        <w:t>البدعة لغة واصطلاحاً</w:t>
      </w:r>
      <w:bookmarkEnd w:id="618"/>
    </w:p>
    <w:p>
      <w:pPr>
        <w:pStyle w:val="BookText"/>
        <w:rPr/>
      </w:pPr>
      <w:r>
        <w:rPr>
          <w:rFonts w:ascii="IRNazanin" w:hAnsi="IRNazanin" w:eastAsia="IRNazanin"/>
          <w:color w:val="111111"/>
          <w:sz w:val="28"/>
          <w:sz w:val="28"/>
          <w:szCs w:val="28"/>
          <w:rtl w:val="true"/>
          <w:lang w:bidi="fa-IR"/>
        </w:rPr>
        <w:t>أمّا اللغة؛ فقد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له 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ابتداع الشی‌ء وصنعه لا عن مثال، والآخر الانقطاع والکلال</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والمقصود فی المقام هو المعنی الأوّل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اصطلاحاً فقد عُرفت بتعاریف بین دقیق یحدّدها بالدقة ولایتسامح فیه، وبین ما یتسامح فی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بعض التعاریف المتقنة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البدعة ما أُحدث ممّا لا أصل له فی الشریعة یدلّ علیه، أمّا ما کان له أصل من الشرع یدلّ علیه فلیس ببدعة شرعاً وإن کان بدعة لغة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أصلها ما أحدث علی غیر مثال سابق وتطلق فی الشرع فی مقابل السنّة فتکون مذمومة، ویقول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المحدثات جمع محدثة، والمراد بها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فی أمرنا هذا ما لیس منه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 ولیس له أصل فی الشرع، ویسمّی فی عرف الشرع بدعة، وما کان له أصل یدلّ علیه الشرع فلیس ببدعة</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ولعلّ هذا المقدار کاف فی الوقوف علی معنی البدعة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وإجمال الکلام انّ البدعة فی نظر الشرع تتمتع بقیود ثلاثة،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التدخّل فی الدین عقیدة وحکماً، بزیادة أو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إشاعة ودعوة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دلیل فی الشرع یدلّ علی کونها من الدین لا بصورة الخصوص ولا بصورة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والإمعان فی هذه القیود یوقفنا علی حقیقة البدعة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التدخل بالدین بزیادة شی‌ء أو نقصه منه فهو افتراء علی اللَّه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ءاللهُ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رَهْبَانِیَّةً ابْتَدَعُوهَا مَا کَتَبْنَاهَا عَلَیْهِمْ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فلو أبدع إنسان شیئاً من غیر مثال من دون أن یکون عمله تدخّلًا فی الدین کالعادات والصناعات فهو بدعة لغة، لأنّه إحداث أمرمن غیر مثال ولا یطلق علیه البدعة شرعاً، لأنّ المبدع لم یدّع أنّه من صمیم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فالاحتفالات الرسمیة لدی الدول المختلفة لغایة من الغایات دون نسبتها إلی الدین فهو لیس بدعة، لأنّهم لا یحتفلون بها، لأنّ الشرع أمر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کونها حلالًا أو حراماً فهو تابع للموازین الّتی قررها الشرع، فلو کان الاحتفال خالیاً عن المحرمات فهو حلال، وأمّا إذا اقترن بها کاختلاط الرجال والنساء فهو حرام وإن لم یکن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الإشاعة ودعوة الناس إلیه، فلا تتحقّق البدعة بقیام شخص بالتدخّل بالدین وحده فی البیت کأن یزید فی صلاته أو ینقص منها، وإن کان عمله محرم وصلاته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تتحقّق بإشاعة تلک الفکرة والعمل الحدیث فی المجتمع ودعوتهم إلیه بعنوان أنّه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فی صحیحه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إلی هدی کان له من الأجر مثل أُجور من تبعه لا ینقص من ذلک</w:t>
      </w:r>
      <w:bookmarkStart w:id="619" w:name="pg1680_13139"/>
    </w:p>
    <w:p>
      <w:pPr>
        <w:pStyle w:val="BookText"/>
        <w:rPr/>
      </w:pPr>
      <w:bookmarkEnd w:id="619"/>
      <w:r>
        <w:rPr>
          <w:rFonts w:ascii="IRNazanin" w:hAnsi="IRNazanin" w:eastAsia="IRNazanin"/>
          <w:color w:val="111111"/>
          <w:sz w:val="28"/>
          <w:sz w:val="28"/>
          <w:szCs w:val="28"/>
          <w:rtl w:val="true"/>
          <w:lang w:bidi="fa-IR"/>
        </w:rPr>
        <w:t>من أُجورهم شیئاً، ومن دعا إلی ضلالة کان علیه من الإثم مثل آثام من یتبعه لا ینقص ذلک من آثامهم شیئاً</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وجود أصل له فی الدین فهذا هو العنصر الثالث المقوّم لمفهوم البدعة، ومعناه فقدان الدلیل علی کونه من الدین لا فی الکتاب ولا فی السنّة، إذ لو کان هناک دعم من الشارع للعمل لما کان أمراً جدیداً فی الدین ولا تدخلًا فی الشرع، وقد صرح بذلک ابن رجب الحنبلی وابن حجر العسقلانی فی تعریفهما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فی الشرع ما حدث بعد الرسول صلی الله علیه و آله و سلم ولم یرد فیه نص علی الخصوص، ولا یکون داخلًا فی بعض العمومات وإن کان بدعة لغة</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620" w:name="__RefHeading___Toc1401200_3650668749"/>
      <w:bookmarkStart w:id="621" w:name="_Toc238"/>
      <w:bookmarkEnd w:id="620"/>
      <w:r>
        <w:rPr/>
        <w:t>2</w:t>
      </w:r>
      <w:r>
        <w:rPr>
          <w:rtl w:val="true"/>
        </w:rPr>
        <w:t xml:space="preserve">. </w:t>
      </w:r>
      <w:r>
        <w:rPr>
          <w:rtl w:val="true"/>
        </w:rPr>
        <w:t>الابتداع فی تعریف البدعة</w:t>
      </w:r>
      <w:bookmarkEnd w:id="621"/>
    </w:p>
    <w:p>
      <w:pPr>
        <w:pStyle w:val="BookText"/>
        <w:rPr/>
      </w:pPr>
      <w:r>
        <w:rPr>
          <w:rFonts w:ascii="IRNazanin" w:hAnsi="IRNazanin" w:eastAsia="IRNazanin"/>
          <w:color w:val="111111"/>
          <w:sz w:val="28"/>
          <w:sz w:val="28"/>
          <w:szCs w:val="28"/>
          <w:rtl w:val="true"/>
          <w:lang w:bidi="fa-IR"/>
        </w:rPr>
        <w:t>قد تعرفت علی البدعة تعریفاً ومفهوماً وانّ حقیقتها ترجع إلی التدخّل فی الدین بما لیس فی الکتاب والسنّة فقط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البدعة جعل سیرة السلف معیاراً للحق والباطل حیث نری أنّ کثیراً ممّن ینتمون إلی السلفیة یصفون کثیراً من الأُمور بالبدعة بحجّة أنّها لم تکن فی عصر الصحابة والتابعین، فهذا ابن تیمیة یصف الاحتفال بمولد النبی بأنّه بدعة بحجة أنّه لم یفعله السلف مع قیام المقتضی له وعدم المانع</w:t>
      </w:r>
    </w:p>
    <w:p>
      <w:pPr>
        <w:pStyle w:val="BookText"/>
        <w:rPr/>
      </w:pPr>
      <w:r>
        <w:rPr>
          <w:rFonts w:ascii="Amiri" w:hAnsi="Amiri" w:eastAsia="Amiri" w:cs="Amiri"/>
          <w:color w:val="111111"/>
          <w:sz w:val="28"/>
          <w:sz w:val="28"/>
          <w:szCs w:val="28"/>
          <w:rtl w:val="true"/>
          <w:lang w:bidi="ar-SA"/>
        </w:rPr>
        <w:t>منه، ولو کان هذا خیراً محضاً أو راجحاً، لکان السلف أحقّ منّا، فإنّهم کانوا أشدّ محبّة لرسول اللَّه وتعظیماً له منّا، وهم علی الخیر أحرص</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ویقول فی حقّ القیام للمصحف وتقبیله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 فیه شیئاً مأثوراً عن السلف</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المقیاس فی تمییز البدعة عن السنّة هو الرجوع إلی الثقلین، سواء أفسّر بالکتاب والعترة کما هو المتضافر، أم بالکتاب والسنّة کما رواه الإمام مالک بالموطأ بسند مرسل</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فإذا دلّ شی‌ء من الکتاب والسنّة علی کونه من الدین فهو لیس ببدعة، وأمّا إذا لم یدلّ علیه بالخصوص أو بالعموم علی أنّه من الدین فإشاعته بین المسلمین بما أنّه جزء من الشریعة فهو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السلف فهم کالخلف أُمروا باتّباع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والعترة أو الکتاب والسنّة، فلیس موافقتهم أو مخالفتهم معیاراً للحق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سلف صالح، بل أنّ فیهم الصالح والطالح والعادل والظالم، کما أنّه لیس کل خلف طالح ففیهم مثل ما فی السلف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محمد سعید رمضان البوطی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السلف لم یتّخذوا من معنی هذه الکلمة بحدّ ذاتها مظهراً لأی‌شخصیة متمیزة، أو أیّ وجود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فکری أو اجتماعی خاص بهم، یمیّزهم عمّن سواهم من المسلمین، ولم یضعوا شیئاً من یقینهم الاعتقادی أو التزاماتهم السلوکیة والأخلاقیة فی إطاعة جماعة إسلامیة ذات فلسفة وشخصیة فکریة مستقلة، بل کان بینهم وبین من نسمّیهم الیوم بالخلف منتهی التفاعل وتبادل الفهم والأخذ والعطاء تحت سلطان ذلک المنهج الّذی تمّ الاتّفاق علیه، والاحتکام إلیه، ولم یکن یخطر فی بال السابقین منهم ولا اللاحقین بهم أنّ حاجزاً سیختلق لیرتفع ما بینهما، بصنیع طائفة من المسلمین فیما بعد، ولیقسم سلسلة الأجیال الإسلامیة إلی فریقین، یصبغ کلًا منهما بلون مستقل من الأفکار والتصوّرات والاتجاهات، بل کانت کلمتا السلف والخلف فی تصوّراتهم لا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الانضباط بالمنهج الّذی ألمحنا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ترتیب زمانی کالذی تدلّ علیه کلمتا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وبذلک یظهر أنّ الاحتفال بمیلاد النبی صلی الله علیه و آله و سلم أو القیام للمصحف وتقبیله إذا قام بهذا العمل المسلم بما أنّه من صمیم الدین، فذلک کله لیس بدعة، لأنّ هذا النوع من التکریم لنبی اللَّه وکتابه وإن لم یرد فی الشریعة الإسلامیة، ولکن فی ذلک الأُصول العامة الداعیة إلی تکریم النبی وتعزیره،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فاللَّه سبحانه تبارک وتعالی یصف المؤمنین بأوصاف ثلاثة</w:t>
      </w:r>
      <w:r>
        <w:rPr>
          <w:rFonts w:eastAsia="IRNazanin" w:cs="IRNazanin"/>
          <w:color w:val="111111"/>
          <w:sz w:val="28"/>
          <w:szCs w:val="28"/>
          <w:rtl w:val="true"/>
          <w:lang w:bidi="fa-IR"/>
        </w:rPr>
        <w:t>:</w:t>
      </w:r>
      <w:bookmarkStart w:id="622" w:name="pg1680_13142"/>
    </w:p>
    <w:p>
      <w:pPr>
        <w:pStyle w:val="BookText"/>
        <w:rPr/>
      </w:pPr>
      <w:bookmarkEnd w:id="6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الإیمان بالنبی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التعزیر هو تکریمه وتعظیمه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سبحانه تبارک وتعالی یقول مخاطباً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فیذکر رفع ذکر النبی صلی الله علیه و آله و سلم ومن المعلوم أنّ الاحتفال به ترفیع لذکره الّذی أخبر به سبحانه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النبی والآل ممّا دعا إلیه القرآن والسنّة والاحتفال به إظهار للحب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حال القیام للقرآن وتقبیله، فإن الکتب السماویة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صُحُفٍ 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وتکریم کتاب اللَّه سبحانه تکریم لأنبیائه ورسله وملائکته وأوامره، ولذلک ذکرت للقرآن الکریم أحکاماً خاصة فی الکتب الفقهیة تدعو المسلمین إلی حفظه وصیانته والاجتناب عن إهانته والإساءة إلیه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401202_3650668749"/>
      <w:bookmarkStart w:id="624" w:name="_Toc239"/>
      <w:bookmarkEnd w:id="623"/>
      <w:r>
        <w:rPr/>
        <w:t>3</w:t>
      </w:r>
      <w:r>
        <w:rPr>
          <w:rtl w:val="true"/>
        </w:rPr>
        <w:t xml:space="preserve">. </w:t>
      </w:r>
      <w:r>
        <w:rPr>
          <w:rtl w:val="true"/>
        </w:rPr>
        <w:t>أسباب نشوء البدعة</w:t>
      </w:r>
      <w:bookmarkEnd w:id="624"/>
    </w:p>
    <w:p>
      <w:pPr>
        <w:pStyle w:val="BookText"/>
        <w:rPr/>
      </w:pPr>
      <w:r>
        <w:rPr>
          <w:rFonts w:ascii="IRNazanin" w:hAnsi="IRNazanin" w:eastAsia="IRNazanin"/>
          <w:color w:val="111111"/>
          <w:sz w:val="28"/>
          <w:sz w:val="28"/>
          <w:szCs w:val="28"/>
          <w:rtl w:val="true"/>
          <w:lang w:bidi="fa-IR"/>
        </w:rPr>
        <w:t>إنّ لنشوء البدعة وانتشارها فی المجتمع أسباباً مختلفة أعظمها اتّباع الهوی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استعراض تاریخ المتنبّئین الذین ادّعوا النبوّة عن کذب ودجل،</w:t>
      </w:r>
    </w:p>
    <w:p>
      <w:pPr>
        <w:pStyle w:val="BookText"/>
        <w:rPr/>
      </w:pPr>
      <w:r>
        <w:rPr>
          <w:rFonts w:ascii="IRNazanin" w:hAnsi="IRNazanin" w:eastAsia="IRNazanin"/>
          <w:color w:val="111111"/>
          <w:sz w:val="28"/>
          <w:sz w:val="28"/>
          <w:szCs w:val="28"/>
          <w:rtl w:val="true"/>
          <w:lang w:bidi="fa-IR"/>
        </w:rPr>
        <w:t>یثبت بأنّ الأهواء وحبّ الظهور والصدارة کان له دور کبیر فی نشوء هذه الفکرة وظهورها علی صعید الحیاة، والمبتدع وإن لم یکن متنبّئاً إلّاأنّ عمله شعبة من شعب التنبّؤ، وفی الروایات إشارات وتصریحات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الإمام أمیر المؤمنین علیه السلام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إنّما بدءُ وقوع الفتن أهواء تُتَّبع، وأحکام تبتدع، یخالف فیها کتاب اللَّه، یتولّی فیها رجال رجالًا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لحبّ الظهور دوراً کبیراً فی الحیاة الإنسانیة، فلو کانت هذه الغریزة جامحة لأدّت بالإنسان إلی ادّعاء مقامات ومناصب تختصّ بالأنبیاء، ولعلّ بعض المذاهب الظاهرة بین المسلمین فی القرون الأُولی کانت ناشئة عن تلک الغریزة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مرّ بقتلی الخوارج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لکم لقد ضرّکم من غرّکم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المضلّ، والنفس الأمّارة بالسوء، غرّهم بالأمانی وفسحت لهم فی المعاصی، ووعدتهم الإظهار فاقتحمت بهم النار</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نعم لحب الاستطلاع إلی ما هو دونه والتعصب الممقوت والتسلیم لغیر المعصوم أسباب ثلاثة لها دور فی نشوء البدعة وإشاعة ما لیس من الدین فی الدین، وقد فصّلنا الکلام فی هذه الأسباب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625" w:name="pg1680_13144"/>
    </w:p>
    <w:p>
      <w:pPr>
        <w:pStyle w:val="Heading4"/>
        <w:numPr>
          <w:ilvl w:val="3"/>
          <w:numId w:val="1"/>
        </w:numPr>
        <w:rPr/>
      </w:pPr>
      <w:bookmarkStart w:id="626" w:name="__RefHeading___Toc1401204_3650668749"/>
      <w:bookmarkStart w:id="627" w:name="_Toc240"/>
      <w:bookmarkEnd w:id="625"/>
      <w:bookmarkEnd w:id="626"/>
      <w:r>
        <w:rPr/>
        <w:t>4</w:t>
      </w:r>
      <w:r>
        <w:rPr>
          <w:rtl w:val="true"/>
        </w:rPr>
        <w:t xml:space="preserve">. </w:t>
      </w:r>
      <w:r>
        <w:rPr>
          <w:rtl w:val="true"/>
        </w:rPr>
        <w:t>تقسیم البدعة إلی حسنة وسیئة</w:t>
      </w:r>
      <w:bookmarkEnd w:id="627"/>
    </w:p>
    <w:p>
      <w:pPr>
        <w:pStyle w:val="BookText"/>
        <w:rPr/>
      </w:pPr>
      <w:r>
        <w:rPr>
          <w:rFonts w:ascii="IRNazanin" w:hAnsi="IRNazanin" w:eastAsia="IRNazanin"/>
          <w:color w:val="111111"/>
          <w:sz w:val="28"/>
          <w:sz w:val="28"/>
          <w:szCs w:val="28"/>
          <w:rtl w:val="true"/>
          <w:lang w:bidi="fa-IR"/>
        </w:rPr>
        <w:t xml:space="preserve">إذا کانت البدعة بمعنی التدخل فی أمر الشرع بزیادة أو نقیصة فی مجالی العقیدة والشریعة من غیر فرق بین العبادات والمعاملات والإیقاعات والسیاسات، فلیس لها إلّاقسم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قسم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یُثنّی ولا یتکثّر ولکن ربّما یقسم البدعة إلی حسنة وسیئة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هذا التقسیم فی کلمات الإمام الشافعی وابن حزم والغزالی والدهلوی وابن أثیر، والأصل فی ذلک قول الخلیفة عمر بن الخطاب وقد ظهر علی لسانه فی السنة الرابعة عشر من الهجرة بعدما جمع الناس للصلاة بإمامة أُبی بن کعب فی شهر رمضان، وصف إقامة نوافل شهر رمضان جماعة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صلاة التراویح جماعة لا یخلو من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أصل فی الکتاب والسنّة، فعندئد یکون عمل الخلیفة إحیاء لسنّة متروکة سواء أراد إقامتها جماعة أو جمعهم علی قارئ واحد، فلا یصحّ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عمله تدخّلًا فی الشریعة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أصل فی المصدرین الرئیسیین، لا لإقامتها جماعة أو لجمعهم علی قارئ واحد، وإنّما کره الخلیفة تفرّق الناس، ولأجل ذلک أمرهم بإقامتها جماعة، أو بقارئ واحد، وعندئذ تکون هذه بدعة قبیحة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البدعة التی تحدّث عنها الکتاب والسنّة هی التدخل فی أمر الدین بزیادة أو نقیصة والتصرف فی التشریع الإسلامی، وهی بهذا المعنی لا یمکن أن تکون إلّاأمراً محرّماً ومذموماً، ولا یصحّ تقسیمها إلی حسنة وقبیحة، وهذا شی‌ء واضح ولا یحتاج إلی استدلال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البدعة بالمعنی اللغوی التی تعمّ الدین وغیره تنقسم إلی قسمین، فکلّ شی‌ء محدث مفید فی حیاة المجتمعات من العادات والرسوم، إذا أُتی به من دون الاسناد إلی الدین، ولم یکن محرّماً بالذات شرعاً، کان بدعة حسنة، أی‌أمراً جدیداً مفیداً للمجتمع، کما إذا احتفل الشعب بیوم استقلاله فی کلّ عام، أو اجتمع للبراءة من أعدائه أو أقام الأفراح لمولد بطل من أبطاله، وبالجملة ما هو حلال بالذات لا مانع من أن تتّفق علیه الأُمّة وتتّخذه عادة ومتّبعاً فی المناسبات، ویکون بدعة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کان محرماً بالذات، فلو اتّخذ أمراً مرسوماً ورائجاً مثل دخول النساء سافرات متبرّجات فی مجالس الرجال فی الاستقبالات والضیافات، فهذا أمر حرام بالذات أوّلًا، ولیس بمحرم من باب البدعة الشرعیة بمعنی التدخل فی أمر الدین والتسنین فیه والتشریع علی خلاف ما شرّعه الشارع، وإنّما هو عمل محرم اتّخذ رائجاً لا باسم الدین ولا باسم الشریعة وأقصی ما یعتذر بأنّه مقتضی الحضارة العصریة مع الاعتراف بکونه مخالفاً للشرع،</w:t>
      </w:r>
      <w:bookmarkStart w:id="628" w:name="pg1680_13146"/>
    </w:p>
    <w:p>
      <w:pPr>
        <w:pStyle w:val="BookText"/>
        <w:rPr/>
      </w:pPr>
      <w:bookmarkEnd w:id="628"/>
      <w:r>
        <w:rPr>
          <w:rFonts w:ascii="IRNazanin" w:hAnsi="IRNazanin" w:eastAsia="IRNazanin"/>
          <w:color w:val="111111"/>
          <w:sz w:val="28"/>
          <w:sz w:val="28"/>
          <w:szCs w:val="28"/>
          <w:rtl w:val="true"/>
          <w:lang w:bidi="fa-IR"/>
        </w:rPr>
        <w:t>ولو قیل إنّه بدعة قبیحة أو مذمومة، فإنّما هو بحسب معناها اللغوی</w:t>
      </w:r>
      <w:r>
        <w:rPr>
          <w:rFonts w:eastAsia="IRNazanin" w:cs="IRNazanin"/>
          <w:color w:val="111111"/>
          <w:sz w:val="28"/>
          <w:szCs w:val="28"/>
          <w:rtl w:val="true"/>
          <w:lang w:bidi="fa-IR"/>
        </w:rPr>
        <w:t>.</w:t>
      </w:r>
    </w:p>
    <w:p>
      <w:pPr>
        <w:pStyle w:val="Heading4"/>
        <w:numPr>
          <w:ilvl w:val="3"/>
          <w:numId w:val="1"/>
        </w:numPr>
        <w:rPr/>
      </w:pPr>
      <w:bookmarkStart w:id="629" w:name="__RefHeading___Toc1401206_3650668749"/>
      <w:bookmarkStart w:id="630" w:name="_Toc241"/>
      <w:bookmarkEnd w:id="629"/>
      <w:r>
        <w:rPr/>
        <w:t>5</w:t>
      </w:r>
      <w:r>
        <w:rPr>
          <w:rtl w:val="true"/>
        </w:rPr>
        <w:t xml:space="preserve">. </w:t>
      </w:r>
      <w:r>
        <w:rPr>
          <w:rtl w:val="true"/>
        </w:rPr>
        <w:t>هل الأُمور التالیة من البدع؟</w:t>
      </w:r>
      <w:bookmarkEnd w:id="630"/>
    </w:p>
    <w:p>
      <w:pPr>
        <w:pStyle w:val="Heading5"/>
        <w:numPr>
          <w:ilvl w:val="4"/>
          <w:numId w:val="1"/>
        </w:numPr>
        <w:rPr/>
      </w:pPr>
      <w:bookmarkStart w:id="631" w:name="__RefHeading___Toc1401208_3650668749"/>
      <w:bookmarkStart w:id="632" w:name="_Toc242"/>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إذا عرفت ما هو الملاک للبدعة المحرمة الّتی هی من أکبر الکبائر، فأعلم أنّ هناک أُموراً عقائدیة أو أحکاماً عملیة رمیت بالبدعة مع أنّ لها أصلًا فی الکتاب والسنّة بالخصوص أو بالعموم، ولأجل إیقاف القارئ علی حقیقة الحال نذکر هذه الأُمور علی وجه الإیجاز مع البرهنة علی جذورها فی الشریعة</w:t>
      </w:r>
      <w:r>
        <w:rPr>
          <w:rFonts w:eastAsia="IRNazanin" w:cs="IRNazanin"/>
          <w:color w:val="111111"/>
          <w:sz w:val="28"/>
          <w:szCs w:val="28"/>
          <w:rtl w:val="true"/>
          <w:lang w:bidi="fa-IR"/>
        </w:rPr>
        <w:t>.</w:t>
      </w:r>
    </w:p>
    <w:p>
      <w:pPr>
        <w:pStyle w:val="Heading5"/>
        <w:numPr>
          <w:ilvl w:val="4"/>
          <w:numId w:val="1"/>
        </w:numPr>
        <w:rPr/>
      </w:pPr>
      <w:bookmarkStart w:id="633" w:name="__RefHeading___Toc1401210_3650668749"/>
      <w:bookmarkStart w:id="634" w:name="_Toc243"/>
      <w:bookmarkEnd w:id="633"/>
      <w:r>
        <w:rPr/>
        <w:t>1</w:t>
      </w:r>
      <w:r>
        <w:rPr>
          <w:rtl w:val="true"/>
        </w:rPr>
        <w:t xml:space="preserve">- </w:t>
      </w:r>
      <w:r>
        <w:rPr>
          <w:rtl w:val="true"/>
        </w:rPr>
        <w:t>التقیة عند الخوف علی النفس والنفیس‌</w:t>
      </w:r>
      <w:bookmarkEnd w:id="634"/>
    </w:p>
    <w:p>
      <w:pPr>
        <w:pStyle w:val="BookText"/>
        <w:rPr/>
      </w:pPr>
      <w:r>
        <w:rPr>
          <w:rFonts w:ascii="IRNazanin" w:hAnsi="IRNazanin" w:eastAsia="IRNazanin"/>
          <w:color w:val="111111"/>
          <w:sz w:val="28"/>
          <w:sz w:val="28"/>
          <w:szCs w:val="28"/>
          <w:rtl w:val="true"/>
          <w:lang w:bidi="fa-IR"/>
        </w:rPr>
        <w:t>التقیة عبارة عن کتمان المسلم عقیدته إذا خاف التعرض علی نفسه أو عرضه أو ماله، وهذا ممّا اتّفق علیه المسلمون انطلاقاً من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أحَدَ التعالیم القرآنیّة هو أن یکتم الإنسانُ المسلمُ عقیدتَه إذا تعرَّضَ فی نفسه، أو عِرضِه أو مالِه لِخطرٍ لو أظهرها، ویُسمّی هذا العَمل فی لسانِ الشرع والمصطلَح الشرعیّ بالتقیّة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یحظی بالدَّلیل النقلیّ فحسب، بل إنّ العقلَ یحکم أیضاً بصحّته ولزومه، لأنّ حفظ النَّفس، والمالِ، والعِرض، واجبٌ، ولازمٌ</w:t>
      </w:r>
    </w:p>
    <w:p>
      <w:pPr>
        <w:pStyle w:val="BookText"/>
        <w:rPr/>
      </w:pPr>
      <w:r>
        <w:rPr>
          <w:rFonts w:ascii="Amiri" w:hAnsi="Amiri" w:eastAsia="Amiri" w:cs="Amiri"/>
          <w:color w:val="111111"/>
          <w:sz w:val="28"/>
          <w:sz w:val="28"/>
          <w:szCs w:val="28"/>
          <w:rtl w:val="true"/>
          <w:lang w:bidi="ar-SA"/>
        </w:rPr>
        <w:t>من جهة، وإظهارَ العقیدة والعمل وفقَ تلک العقیدة وظیفةٌ دینیّةٌ من جانبٍ آخر، ولکن إذا جرَّ إظهارُ العقیدةِ إلی الخطر علی النّفس والمال، والعرض، وتعارضت هاتان الوظیفتان عَملیّاً، حکم العقلُ السلیمُ بأن یُقدّم الإنسانُ الوظیفةَ الأهمّ علی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الضُّعفاء فی مقابل الأقویاء القُساة، ومن الجَلیّ أنّه إذا لم یکن خطرٌ ولا تهدیدٌ لم یکتم الإنسانُ عقیدَتَه، کما لم یَعَمل علی خلافِ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 القرآنُ الکریمُ فی شأن عَمّارِ بن یاسر علی عدم البأس عمّن یَقعُ فی أیدی الکفّار، ویُظهرُ کلمة الکفر علی لِسانِه للخلاص والنجاة، وقلبُه عامرٌ بالإیمان مشحونٌ بالاعتقاد الصحیح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وَقَلْبُهُ مُطْمَئنٌّ بِالإِیمانِ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فی آیة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المفَسّرِین المسلمین یَتّفقون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ذِکرِ وتفسیرِ هاتین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علی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فی التفسیر والفقه الإسلامیّ فی هذا المجال عَرفَ بوضوحٍ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الإسلامیّة، ولا یمکن تجاهلُ الآیتین المذکورَتین أعلاه، ولا عَمَل مؤمنِ آل فرعَون فی کتمان إیمانِه‌</w:t>
      </w:r>
      <w:r>
        <w:rPr>
          <w:rStyle w:val="FootnoteAnchor"/>
          <w:rtl w:val="true"/>
        </w:rPr>
        <w:footnoteReference w:id="358"/>
      </w:r>
      <w:r>
        <w:rPr>
          <w:rFonts w:ascii="Amiri" w:hAnsi="Amiri" w:eastAsia="Amiri" w:cs="Amiri"/>
          <w:color w:val="111111"/>
          <w:sz w:val="28"/>
          <w:sz w:val="28"/>
          <w:szCs w:val="28"/>
          <w:rtl w:val="true"/>
          <w:lang w:bidi="ar-SA"/>
        </w:rPr>
        <w:t xml:space="preserve">، وإنکار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والجَدیر بالذّکر أنّ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فی مجال التَقیّة من الکافر إلّاأنّ الملاکَ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حِفظ نفسِ المسلم ومالهِ وعرضهِ فی الظروف الحسّاسة والخطیرة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یختصُّ بالکفار، فَلَو استوجَبَ إظهار الشخص لعقیدته، أو العَمَل وفقها عندَ المسلمین، خوفَ ذلک الشخص علی نفسهِ أو مالهِ أو عرضهِ أی احتَملَ بقوة تعرّضها للخَطَر من جانبِ المسلمین، جری فی المقام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جاز له التقیّة من المسلمین کما جاز له التقیّة من الکفّار، وذلِکَ لوحدة العلّة والمِلاک، وتحقّق الأمر الموجب للتقیّة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صَرَّحَ الآخرون به أیضاً فهذا هو الفخر الرازی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الشافعی رضی الله عنه انّ الحالةَ بَین المسلمین إذا شاکَلتْ الحالةَ بَین المسلمِین والمشرکین حَلَّتْ التقیّةُ محاماةً علی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جائزةٌ لصونِ النَّفسِ، وهل هی جائزةٌ لصونِ المال؟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یُحتَمل أنْ یُحْکَمَ فیها بالجواز لقولهِ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کَحُرمةِ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صلی الله علیه و آله و سلم وِعائَین، أمّا أحَدُهما فَبَثَثْتُهُ فی النّاس، وأمّا الآخرَ فَلَوْ بَثَثْتُهُ لقُطِعَ هذا البَلعُومُ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إنّ تاریخَ الخُلَفاء الأُمویّین والعَباسییّن زاخرٌ بالظلمِ والعَسْفِ، والحیْفِ والجَور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تلکَ الأیّام لم یکنِ الشیعةُ وحدَهم هُمُ المطرودُون، والمحجور علیهم بسببِ إظهار عقائِدِهم، بل سَلَکَ أغلَبُ محدّثیِ أهلِ السُّنّة فی عَصرِ المأمون أیضاً مَسْلَکَ التقیّة فی 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یخالف المأمونَ فی خَلْق القرآنِ وحُدُوثهِ بعدَ صُدُور المرسُوم الخلیفی العامّ، سوی شخصٍ واحدٍ، وقصَّتُهُ معروفةٌ فی التاریخ وعامّة المحدّثین تظاهروا بالوفاق تقیّةً</w:t>
      </w:r>
      <w:r>
        <w:rPr>
          <w:rFonts w:eastAsia="Amiri" w:cs="Amiri" w:ascii="Amiri" w:hAnsi="Amiri"/>
          <w:color w:val="111111"/>
          <w:sz w:val="28"/>
          <w:szCs w:val="28"/>
          <w:rtl w:val="true"/>
          <w:lang w:bidi="ar-SA"/>
        </w:rPr>
        <w:t>.</w:t>
      </w:r>
      <w:r>
        <w:rPr>
          <w:rStyle w:val="FootnoteAnchor"/>
          <w:rtl w:val="true"/>
        </w:rPr>
        <w:footnoteReference w:id="361"/>
      </w:r>
      <w:bookmarkStart w:id="635" w:name="pg1680_13150"/>
    </w:p>
    <w:p>
      <w:pPr>
        <w:pStyle w:val="Heading5"/>
        <w:numPr>
          <w:ilvl w:val="4"/>
          <w:numId w:val="1"/>
        </w:numPr>
        <w:rPr/>
      </w:pPr>
      <w:bookmarkStart w:id="636" w:name="__RefHeading___Toc1401212_3650668749"/>
      <w:bookmarkStart w:id="637" w:name="_Toc244"/>
      <w:bookmarkEnd w:id="635"/>
      <w:bookmarkEnd w:id="636"/>
      <w:r>
        <w:rPr/>
        <w:t>2</w:t>
      </w:r>
      <w:r>
        <w:rPr>
          <w:rtl w:val="true"/>
        </w:rPr>
        <w:t xml:space="preserve">- </w:t>
      </w:r>
      <w:r>
        <w:rPr>
          <w:rtl w:val="true"/>
        </w:rPr>
        <w:t>الزواج المؤقّت‌</w:t>
      </w:r>
      <w:bookmarkEnd w:id="637"/>
    </w:p>
    <w:p>
      <w:pPr>
        <w:pStyle w:val="BookText"/>
        <w:rPr/>
      </w:pPr>
      <w:r>
        <w:rPr>
          <w:rFonts w:ascii="Amiri" w:hAnsi="Amiri" w:eastAsia="Amiri" w:cs="Amiri"/>
          <w:color w:val="111111"/>
          <w:sz w:val="28"/>
          <w:sz w:val="28"/>
          <w:szCs w:val="28"/>
          <w:rtl w:val="true"/>
          <w:lang w:bidi="ar-SA"/>
        </w:rPr>
        <w:t>إنّ الفقه الشیعیّ تَبَعاً للکتاب والسُّنة یُصَحّحُ نوعَینِ من الزَّواج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یحتاج إلی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المتعة وکیفیتها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للرجل والمرأة بأن یقیما علاقة زوجیّة بینهما لمدّة معینة شریطة أن لا یکون هناک مانعٌ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 أو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زواجهما، وذلک بَعد أن یُعیّنا مبلغاً من المال، ثم إنّهما بعد انقضاء المدة ینفصلان من دون إجراء صیغة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نشأ من هذا 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کان ولدُهما شرعاً وورثهما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شرعیّةً، ولو کانت حاملًا وَجَبَ الاعتدادُ إلی أن یولَد الطفلُ، ولا تتزوَّج فی حالِ کونها فی حبالة الرَّجُل، وکذا فی حالِ عدَّتها، برجل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الزواج المؤقَّت مثل الزَّواج الدائم ماهیةً وحقیقةً، وأکثر الأحکام الثابتة للزواج الدائم، ثابتة کذلک للنکاح المؤقَّت، وغایة ما هناک من تفاوت مهّم بین هذین الزواجین هو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المدة فی النکاح المؤقت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النفقة فی هذا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أنّنا تجاوزنا هذین المطلبین البارزین تکون الفوارق الأُخری فوارق جزئیة لا توجب افتراقاً کبیراً بین النکاحین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وحیث إنّ الإسلام دینٌ خاتم وشریعة جامعة فجوّز هذه الأطروحة لحلّ المشکلة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أنّنا أخذنا وضع الشاب الّذی یدرس أو یعمل خارج البلاد، ویفتقد القُدرة علی الزواج الدائم فماذا یفعل فی هذه الحالة؟ وما هی وظیفته فی هذه الصورة؟ فإنَّ الشابّ لا یجد أمامه إلّاثلاثة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کبح الرغبة الجنسیّة وأن یحرم النفس من التلذّذ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العلاقة الجنسیة غیر الشرعیة مع النساء الفاسدات أو المریضات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الزواج المؤقّت مع امرأةٍ طاهرةٍ ضمن شروطٍ خاصّةٍ، من دون تحمّل مشکلة النفقة والتی توجدُها رابطة الزوجیة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الواضح انّه لیس هناک طریقٌ رابعٌ یستفید منه الشابُ المذکورُ، علی أنّه لا یعنی هذا أنّ الزواج المؤقَّت خاصٌّ بمثل هذه الشروط ولکن فی نفس الوَقت تستطیع ملاحظة مثل هذه الموارد أن تکشف عن حکمة تشریع هذا النمط من الزواج</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فقهاءَ الإسلام قد أیّدوا نوعاً من الزَّواج الدائم الذی هو فی حقیقته الزواج المؤقّت وهو ان یتزوجَ رجلٌ</w:t>
      </w:r>
    </w:p>
    <w:p>
      <w:pPr>
        <w:pStyle w:val="BookText"/>
        <w:rPr/>
      </w:pPr>
      <w:r>
        <w:rPr>
          <w:rFonts w:ascii="IRNazanin" w:hAnsi="IRNazanin" w:eastAsia="IRNazanin"/>
          <w:color w:val="111111"/>
          <w:sz w:val="28"/>
          <w:sz w:val="28"/>
          <w:szCs w:val="28"/>
          <w:rtl w:val="true"/>
          <w:lang w:bidi="fa-IR"/>
        </w:rPr>
        <w:t>وامرأة زواجاً دائمیاً ولکنّهما أو أحدهما یعلمان بأنهما سینفصلان، بعد مدة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تجویز هذا النوع من الزواج یشبه تماماً تجویز الزواج المؤقّت فهما متشابهان جوهراً وإن اختلفا اسماً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الکتاب والسُّنَّة النبویّة حاکیان عن مشروعیة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الکریم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الأغلبیّة الساحقة من المفسّرین یعتبرون هذه الآیة مرتبطةً بالزواج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لا مجال للتردید فی تشریع مثل هذا النکاح فی الإسلام، إنّما الخلاف لو کان هو فی نسخ هذا الزواج أو عدم نسخه، أی بقاءه علی مشروعیته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وروایات الفریقین حاکیة عن أنّ هذا الحکم لم یُنسَخ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عن العمل بهذا الحکم فی عصر الخلیفة الثانی، والجدیر بالذکر أنّ هناک کلاماً للخلیفة فی هذا المجال یکشف أیضاً عن أنّ هذا النمط من النکاح کان جائزاً بل رائجاً فی عصر النبیّ الأکرم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ویفید أنّ هذا المنع لم یکن ناشئاً إلّامن رأی شخصیٍ لیس إلّا،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ثلاثٌ کنَّ علی عَهد رسولِ اللَّه أنا أنهی عنهنّ وأُحَرمهنَّ وأُعاقب علیهنّ،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وحیّ علی خَیر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والعجیب أنّ نهیَ الخلیفة عن الشق الأوّل والشق الأخیر من هذه الشقوق بقی إلی الآن ولکن متعة الحج بقیت معمولًا بها عند جمیع المسلمین خلافاً لرأی الخلیفة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من متعة الحج هو أنّ الحاج بعد أن انتهی من عمرة الحج یخرج من حالة الإحرام، وتحلّ له محرماته، وهذه نهی عنها عمر وأمر بعدم الخروج من الإحرام وبقاء محرمات الإحرام حتی حلول موعد الحج</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الواضح علی أنّ النبی صلی الله علیه و آله و سلم لم یمنع عن المتعة ما رواه البخاری عن عِمران بن حصین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ففعلناها مع رسول اللَّه ولم ینزل قرآن یحرّمُهُ ولم یَنهَ عنها حتی مات، قالَ رجلٌ برَأْیه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هو تحریم الخلیفة الثانی لنکاح المتعة</w:t>
      </w:r>
      <w:r>
        <w:rPr>
          <w:rFonts w:eastAsia="IRNazanin" w:cs="IRNazanin"/>
          <w:color w:val="111111"/>
          <w:sz w:val="28"/>
          <w:szCs w:val="28"/>
          <w:rtl w:val="true"/>
          <w:lang w:bidi="fa-IR"/>
        </w:rPr>
        <w:t>).</w:t>
      </w:r>
      <w:r>
        <w:rPr>
          <w:rStyle w:val="FootnoteAnchor"/>
          <w:rtl w:val="true"/>
        </w:rPr>
        <w:footnoteReference w:id="363"/>
      </w:r>
      <w:bookmarkStart w:id="638" w:name="pg1680_13154"/>
    </w:p>
    <w:p>
      <w:pPr>
        <w:pStyle w:val="Heading5"/>
        <w:numPr>
          <w:ilvl w:val="4"/>
          <w:numId w:val="1"/>
        </w:numPr>
        <w:rPr/>
      </w:pPr>
      <w:bookmarkStart w:id="639" w:name="__RefHeading___Toc1401214_3650668749"/>
      <w:bookmarkStart w:id="640" w:name="_Toc245"/>
      <w:bookmarkEnd w:id="638"/>
      <w:bookmarkEnd w:id="639"/>
      <w:r>
        <w:rPr/>
        <w:t>3</w:t>
      </w:r>
      <w:r>
        <w:rPr>
          <w:rtl w:val="true"/>
        </w:rPr>
        <w:t xml:space="preserve">- </w:t>
      </w:r>
      <w:r>
        <w:rPr>
          <w:rtl w:val="true"/>
        </w:rPr>
        <w:t>البداء وتغییر المصیر بالأعمال الصالحة والطالحة</w:t>
      </w:r>
      <w:bookmarkEnd w:id="640"/>
    </w:p>
    <w:p>
      <w:pPr>
        <w:pStyle w:val="BookText"/>
        <w:rPr/>
      </w:pPr>
      <w:r>
        <w:rPr>
          <w:rFonts w:ascii="Amiri" w:hAnsi="Amiri" w:eastAsia="Amiri" w:cs="Amiri"/>
          <w:color w:val="111111"/>
          <w:sz w:val="28"/>
          <w:sz w:val="28"/>
          <w:szCs w:val="28"/>
          <w:rtl w:val="true"/>
          <w:lang w:bidi="ar-SA"/>
        </w:rPr>
        <w:t>إنّ للَّه‌تعالی فی شأنِ الإنسان نوعین من التقدیر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تقدیر محتومٌ وقطعیٌّ لا یقبل التغییرَ والتبدیلَ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تقدیرٌ معلَّقٌ ومشروطٌ وهو یتغیَّر ویَتَبَدّلُ مع فقدان بعضِ الشرائطِ، ویحلُّ محلَّه تقدیرٌ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إلی هذا الأصْلِ نُذَکّرُ بأنّ الاعتقاد بالبَداء هو أحَدُ الأُصول الاعتقادیّة الإسلامیّة الأصِیْلَة التی اتَّفَقَتْ جمیعُ الفِرَقِ الإسلامیّة علی الاعتقادِ بها إجمالًا، وإنْ أحجَمَ البعضُ عن استخدام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الاستیحاش من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بالقَضِیّة أیضاً، إذ أنّ المقصود هو بَیان محتوی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لا لفظه واسمه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فی الحقیقة علی أصلین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للَّه‌تعالی قدرةً وسلطةً مُطلقةً، فهو قادرٌ علی تغییر أیّ تقدیرٍ، وإحلالِ تقدیرٍ آخر محلَّه متی شاءَ، فی حین یعلم سلفاً بکلا التقدیرین، ولا سبیل لأیّ تغییر إلی عِلمه قط أیضاً، لأنّ التقدیرَ الأوّل لم یکن بحیث یحدُّ من قدرةِ اللَّه أو یَسلُبَ منه القدرةَ، فإنّ قدرة اللَّه تعالی علی خلاف ما تعتقِدُهُ الیهود من کَونها محدودةً،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w:t>
      </w:r>
    </w:p>
    <w:p>
      <w:pPr>
        <w:pStyle w:val="BookText"/>
        <w:rPr/>
      </w:pP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قدرةٌ مطلقةٌ، أو کما قال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خلّاقیة اللَّه وإعمال السُّلطة والقُدرة من جانبهِ تعالی مستمرٌ، وبحکم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فاللَّه تعالی لم یفرغ سبحانه عن أمر الخلقِ، بل عملیّة الخَلق لا تزال متواصِلة ومستمرة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الصدوق باسناده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یعنوا أنّه هکذا، ولکنّهم قالوا قد فرَغَ من الأمر فلا یزیدُ ولا ینقص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العمر والرّزق وغیرهما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جلّ جلالُه 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دلیل المرشدین إلی الحق الیقین ؛ ؛ ص</w:t>
      </w:r>
      <w:r>
        <w:rPr>
          <w:rFonts w:eastAsia="IRNazanin" w:cs="IRNazanin"/>
          <w:color w:val="111111"/>
          <w:sz w:val="28"/>
          <w:szCs w:val="28"/>
          <w:lang w:bidi="fa-IR"/>
        </w:rPr>
        <w:t>290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لعقیدة الإسلامیّة تقومُ علی أساس الاعتراف بقدرة اللَّه المطلقة وسلطتهِ التی لا تُحدُّ، وبدوام خلّاقیته واستمرارها، وبأنّ اللَّه تعالی قادر کلّما شاءَ ومتی شاء أن یُغیّر المقدَّرات المرتبطة بالإنسان فی مجال العُمرِ والرِزقِ وغیرهما، ویُحلَّ مَحَلَّ ذلک مقدراتٍ أُخری، وکلا التقدیرین</w:t>
      </w:r>
    </w:p>
    <w:p>
      <w:pPr>
        <w:pStyle w:val="BookText"/>
        <w:rPr/>
      </w:pPr>
      <w:r>
        <w:rPr>
          <w:rFonts w:ascii="Amiri" w:hAnsi="Amiri" w:eastAsia="Amiri" w:cs="Amiri"/>
          <w:color w:val="111111"/>
          <w:sz w:val="28"/>
          <w:sz w:val="28"/>
          <w:szCs w:val="28"/>
          <w:rtl w:val="true"/>
          <w:lang w:bidi="ar-SA"/>
        </w:rPr>
        <w:t xml:space="preserve">موجودان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علم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القُدرةِ والسُّلطَة من جانبِ اللَّه تعالی، وإقدامَه علی إحلال تقدیرٍ مکان تقدیرٍ آخر لا یتمُّ من دون حکمةٍ ومصلَحةٍ، وان قسماً من هذا التغییر یرتبط فی الحقیقة بِعَمل الإنسان وسلوکه، وانتخابه، واختیاره، وبنمط حیاته الصالح أو السّی‌ء، فهو بهذه الأُمور یهیِّئ أرضیّة التغییر فی مصیره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وَلْنفترض أنَّ إنساناً لم یراع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والدَیه، فإن منَ الطبیعیّ أنّ هذا العَمل غیر الصالح سیکونُ له تأثیرٌ غیر مرغوب فی مصیره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غیَّر من سُلُوکِهِ هذا فی النصفِ الآخر من حیاتهِ، واهتمَّ بِرعایة حقوقِ والدَیْهِ فانَّه فی هذه الحالة یکون قد هَیَّأ الأرْضیّة لتغییر مصیرِهِ، وصار مشمولًا لقولِهِ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وینعکس هذا الّذی ذکرناه إذا انعکسَ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الآیات والرّوایات فی هذا المجال کثیرةٌ نذکرُ بعضها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w:t>
      </w:r>
    </w:p>
    <w:p>
      <w:pPr>
        <w:pStyle w:val="BookText"/>
        <w:rPr/>
      </w:pPr>
      <w:r>
        <w:rPr>
          <w:rFonts w:ascii="Amiri" w:hAnsi="Amiri" w:eastAsia="Amiri" w:cs="Amiri"/>
          <w:color w:val="111111"/>
          <w:sz w:val="28"/>
          <w:sz w:val="28"/>
          <w:szCs w:val="28"/>
          <w:rtl w:val="true"/>
          <w:lang w:bidi="ar-SA"/>
        </w:rPr>
        <w:t>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السیوطیُ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أمیر المؤمنین علیاً علیه السلام سأل رسول اللَّه صلی الله علیه و آله و سلم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عَیْنَک بِتفسیرها ولأُقِرَنَّ عَین أُمّتی بَعدی بتفسیرها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علی وَجهها، وبِرُّ الوالِدَین وَاصطِناعُ المعروف، یُحوّلُ الشقاءَ سعادةً، ویزیدُ فی العُمُر، ویقی مصارَع السُّوء</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وقالَ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تُزَکّی الأعْمالَ، وتُنمّی الأموالَ، وَتَدْفَعُ البَلوی، وتُیَسِّرُ الحِساب، وتُنْسِئُ فی الأَجَل</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وبالنَظر إلی هذین الأَصلین یتَّضح أنّ الاعتقاد بالبداء عقیدة إسلامیّة قطعیّة، وأنّ جمیع الفرق الإسلامیة تعتقد به بغضِّ النظر عن التعبیر والتسمِیة، واستخدام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نُذَکّرُ بُنقطتین لنعرف لماذا أُطلقت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المسألة فی الرّوایات فجاء التعبیر عن هذه العقیدة الإسلامیة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استخدامَ هذه اللَّفَظة فی هذه المسألة جاء تبعاً للنَبیّ الأکرم صلی الله علیه و آله و سلم، فقد روی البخاریُ فی صحیحه أنّ النبیّ قال فی شأن ثلاثة</w:t>
      </w:r>
    </w:p>
    <w:p>
      <w:pPr>
        <w:pStyle w:val="BookText"/>
        <w:rPr/>
      </w:pPr>
      <w:r>
        <w:rPr>
          <w:rFonts w:ascii="Amiri" w:hAnsi="Amiri" w:eastAsia="Amiri" w:cs="Amiri"/>
          <w:color w:val="111111"/>
          <w:sz w:val="28"/>
          <w:sz w:val="28"/>
          <w:szCs w:val="28"/>
          <w:rtl w:val="true"/>
          <w:lang w:bidi="ar-SA"/>
        </w:rPr>
        <w:t>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 وأقرع وأعمی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للَّه‌عزَّ وجلّ أن یَبْتَلِیهُمْ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بعد ذلک قصّتهم بصورةٍ مفصَّلةٍ وبیَّن‌کیف أن اثنین منهم سُلبَت منهما سلامتُهما بسبب کفران النعمة، وأصابَهما ما أصیب به أسلافُهم من الأمراض‌</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الاستعمال من باب المشاکلة، والتحدّث بلسان القوم حتی یفقهوا، ویفهموا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تعارَفَ فی العرف الاجتماعی أنَّه إذا غیَّرَ أحد قراراً قد اتخذه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تَحدَّث أئمةُ الدین بلسان القوم لیمکنهم تفهیم مخاطبِیهم، وقد استعملوا مثلَ هذه اللفظة فی حق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والجدیر بالذِکر أنّ القرآنَ الکریمَ استخدمَ فی شأن اللَّه تعالی ألفاظاً وصفات مثل المکر والکید، والخُداع والنسیان، فی حین أنّنا نعلم أنّ اللَّه تعالی منزَّهٌ عن مثل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بِمعانیها ومفاهیمها الرائجة بین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ویقیناً، ومع ذلک کرّرَ القرآنُ الکریمُ هذه الصِفات واستعمل الألفاظ فی حق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وَأَکِیدُ کَیْداً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مَکْراً وَمَکَرْنَا مَکْراً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لمحقّقی الشیعة حول استعمال لفظ البداء، بالنظر إلی امتناع حصول التغیّر، والتبدّل فی علم اللَّه تعالی دراساتٍ وتحقیقاتٍ قَویّةً وشیِّقةً لامجال لذکرها هنا، ونحن نحیل من یحب الاطّلاعَ علیها إلی الکتب والمؤلّفات التی تتضمن هذه الأبحاث‌</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641" w:name="pg1680_13160"/>
    </w:p>
    <w:p>
      <w:pPr>
        <w:pStyle w:val="Heading5"/>
        <w:numPr>
          <w:ilvl w:val="4"/>
          <w:numId w:val="1"/>
        </w:numPr>
        <w:rPr/>
      </w:pPr>
      <w:bookmarkStart w:id="642" w:name="__RefHeading___Toc1401216_3650668749"/>
      <w:bookmarkStart w:id="643" w:name="_Toc246"/>
      <w:bookmarkEnd w:id="641"/>
      <w:bookmarkEnd w:id="642"/>
      <w:r>
        <w:rPr/>
        <w:t>4</w:t>
      </w:r>
      <w:r>
        <w:rPr>
          <w:rtl w:val="true"/>
        </w:rPr>
        <w:t xml:space="preserve">- </w:t>
      </w:r>
      <w:r>
        <w:rPr>
          <w:rtl w:val="true"/>
        </w:rPr>
        <w:t>الخمس فی الکتاب والسنّة</w:t>
      </w:r>
      <w:bookmarkEnd w:id="643"/>
    </w:p>
    <w:p>
      <w:pPr>
        <w:pStyle w:val="Heading6"/>
        <w:numPr>
          <w:ilvl w:val="5"/>
          <w:numId w:val="1"/>
        </w:numPr>
        <w:rPr/>
      </w:pPr>
      <w:bookmarkStart w:id="644" w:name="__RefHeading___Toc1401218_3650668749"/>
      <w:bookmarkStart w:id="645" w:name="_Toc247"/>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الأصل فی ضریبة الخمس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لا شک أنّ الآیة نزلت فی مورد خاص،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الفرقان، یوم التقی الجمعان وهو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لکن الکلام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عام لکلّ ما یفوز به الإنسان فی حیاته، أو خاص بما یظفر به فی الحرب من السلب والنهب؟</w:t>
      </w:r>
    </w:p>
    <w:p>
      <w:pPr>
        <w:pStyle w:val="BookText"/>
        <w:rPr/>
      </w:pPr>
      <w:r>
        <w:rPr>
          <w:rFonts w:ascii="IRNazanin" w:hAnsi="IRNazanin" w:eastAsia="IRNazanin"/>
          <w:color w:val="111111"/>
          <w:sz w:val="28"/>
          <w:sz w:val="28"/>
          <w:szCs w:val="28"/>
          <w:rtl w:val="true"/>
          <w:lang w:bidi="fa-IR"/>
        </w:rPr>
        <w:t>وعلی فرض کونه عامّاً فهل المورد مخصّص أو لا؟</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Heading6"/>
        <w:numPr>
          <w:ilvl w:val="5"/>
          <w:numId w:val="1"/>
        </w:numPr>
        <w:rPr/>
      </w:pPr>
      <w:bookmarkStart w:id="646" w:name="__RefHeading___Toc1401220_3650668749"/>
      <w:bookmarkStart w:id="647" w:name="_Toc248"/>
      <w:bookmarkEnd w:id="646"/>
      <w:r>
        <w:rPr>
          <w:rtl w:val="true"/>
        </w:rPr>
        <w:t>الأوّل</w:t>
      </w:r>
      <w:r>
        <w:rPr>
          <w:rtl w:val="true"/>
        </w:rPr>
        <w:t xml:space="preserve">: </w:t>
      </w:r>
      <w:r>
        <w:rPr>
          <w:rtl w:val="true"/>
        </w:rPr>
        <w:t>الغنیمة مطلق ما یفوز به الإنسان‌</w:t>
      </w:r>
      <w:bookmarkEnd w:id="64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 أئمّة اللغة أنّه فی الأصل أعم ممّا یظفر به الإنسان فی ساحات الحرب، بل هو لغة لکلّ ما یفوز به الإنسان، وإلیک بعض کلماتهم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فی غیر مشقة، والاغتنام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الغنم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والاغتنام انتهاز الغنم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إصابته والظفر به، ثم استعمل فی کل مظفور به من جهة العِدَی وغیرهم،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غنمتم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یُغنم وجمعه مغانم،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واحد یدلّ علی إفادة شی‌ء لم یملک من قبل ثمّ یختص بما أُخذ من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من غیر مشقّة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لمن رهنه، له غُنمه وعلیه غُرمه، 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زیادته ونماؤه وفاضل قیمته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لا بمشقّة، وأغنمه کذا</w:t>
      </w:r>
    </w:p>
    <w:p>
      <w:pPr>
        <w:pStyle w:val="BookText"/>
        <w:rPr/>
      </w:pPr>
      <w:r>
        <w:rPr>
          <w:rFonts w:ascii="IRNazanin" w:hAnsi="IRNazanin" w:eastAsia="IRNazanin"/>
          <w:color w:val="111111"/>
          <w:sz w:val="28"/>
          <w:sz w:val="28"/>
          <w:szCs w:val="28"/>
          <w:rtl w:val="true"/>
          <w:lang w:bidi="fa-IR"/>
        </w:rPr>
        <w:t>تغنیماً نفله إیّاه، واغتنمه وتغنّمه، عدّه غنیمة</w:t>
      </w:r>
      <w:r>
        <w:rPr>
          <w:rFonts w:eastAsia="IRNazanin" w:cs="IRNazanin"/>
          <w:color w:val="111111"/>
          <w:sz w:val="28"/>
          <w:szCs w:val="28"/>
          <w:rtl w:val="true"/>
          <w:lang w:bidi="fa-IR"/>
        </w:rPr>
        <w:t>.</w:t>
      </w:r>
      <w:r>
        <w:rPr>
          <w:rStyle w:val="FootnoteAnchor"/>
        </w:rPr>
        <w:footnoteReference w:id="37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والغنم بالضم،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الرهن لمن رهنه، له غُنْمه وعلیه 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غنمه أی‌زیادته ونماؤه وفاضل قیمته، والغنم الفوز بالشی‌ء بلا مشقة</w:t>
      </w:r>
      <w:r>
        <w:rPr>
          <w:rFonts w:eastAsia="IRNazanin" w:cs="IRNazanin"/>
          <w:color w:val="111111"/>
          <w:sz w:val="28"/>
          <w:szCs w:val="28"/>
          <w:rtl w:val="true"/>
          <w:lang w:bidi="fa-IR"/>
        </w:rPr>
        <w:t>.</w:t>
      </w:r>
      <w:r>
        <w:rPr>
          <w:rStyle w:val="FootnoteAnchor"/>
        </w:rPr>
        <w:footnoteReference w:id="37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غنیمة فی الحرب أو غیرها</w:t>
      </w:r>
      <w:r>
        <w:rPr>
          <w:rFonts w:eastAsia="IRNazanin" w:cs="IRNazanin"/>
          <w:color w:val="111111"/>
          <w:sz w:val="28"/>
          <w:szCs w:val="28"/>
          <w:rtl w:val="true"/>
          <w:lang w:bidi="fa-IR"/>
        </w:rPr>
        <w:t>.</w:t>
      </w:r>
      <w:r>
        <w:rPr>
          <w:rStyle w:val="FootnoteAnchor"/>
        </w:rPr>
        <w:footnoteReference w:id="38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الغُنم یستعمل مقابل الغرم وهو الضرر، فیکون معناه بمقتضی المقابلة هو النفع، ومن القواعد الفقهیة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بالغرم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 من ینال نفع شی‌ء یتحمّل ضرره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ودلیل هذه القاعدة هو 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یغلق الرهن من صاحبه الذی رهنه، له غنمه وعلیه غرمه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غنمه زیادته، وغرمه هلاکه ونقصه</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وهذه النصوص تعرب عن أنّ المادّة لم توضع لما یفوز به الإنسان فی الحروب، بل معناها أوسع من ذلک وإن کان یغلب استعمالها فی العصور المتأخّرة عن نزول القرآن فی ما یظفر به فی ساحة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نجد أنّ المادة استعملت فی مطلق ما یفوز به الإنسان فی الذکر الحکیم والسنّة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استعمل القرآن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یفوز به الإنسان وإن لم یکن عن طریق القتال، بل کان عن طریق العمل العادی الدنیوی أو الأُخروی، إذ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والمراد بالمغانم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أجر الآخرة، بدلیل مقابلته لعرض الحیاة الدنیا، فیدل علی أنّ لفظ المَغْنم لا یختصّ بالأُمور والأشیاء التی یحصل علیها الإنسان فی هذه الدنیا أو فی ساحات الحرب فقط، بل هو عام لکلّ مکسب وفائدة وإن کان أُخرویّاً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هذه اللفظة فی الأحادیث وأُرید منها مطلق الفائدة الحاصلة للمرء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ماجة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مغنماً ولا تجعلها مغرما</w:t>
      </w:r>
      <w:r>
        <w:rPr>
          <w:rFonts w:eastAsia="IRNazanin" w:cs="IRNazanin"/>
          <w:color w:val="111111"/>
          <w:sz w:val="28"/>
          <w:szCs w:val="28"/>
          <w:rtl w:val="true"/>
          <w:lang w:bidi="fa-IR"/>
        </w:rPr>
        <w:t>».</w:t>
      </w:r>
      <w:r>
        <w:rPr>
          <w:rStyle w:val="FootnoteAnchor"/>
          <w:rtl w:val="true"/>
        </w:rPr>
        <w:footnoteReference w:id="383"/>
      </w:r>
      <w:bookmarkStart w:id="648" w:name="pg1680_13164"/>
    </w:p>
    <w:p>
      <w:pPr>
        <w:pStyle w:val="BookText"/>
        <w:rPr/>
      </w:pPr>
      <w:bookmarkEnd w:id="648"/>
      <w:r>
        <w:rPr>
          <w:rFonts w:ascii="IRNazanin" w:hAnsi="IRNazanin" w:eastAsia="IRNazanin"/>
          <w:color w:val="111111"/>
          <w:sz w:val="28"/>
          <w:sz w:val="28"/>
          <w:szCs w:val="28"/>
          <w:rtl w:val="true"/>
          <w:lang w:bidi="fa-IR"/>
        </w:rPr>
        <w:t>وفی مسند أحمد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غنیمة مجالس الذکر الجنّة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وفی وصف شهر رمضان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للمؤمن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الشتاء الغنیمة الباردة، سمّاه غنیمة لما فیه من الأجر والثواب</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فقد بان ممّا نقلناه من کلمات أئمّة اللغة وموارد استعمال تلک المادة فی الکتاب والسنّة، أنّ العرب تستعملها فی کل مورد یفوز به الإنسان، من جهة العدی وغیرهم، وإنّما صار حقیقة متشرعة فی الأعصار المتأخّرة فی خصوص ما یفوز به الإنسان فی ساحة الحرب، ونزلت الآیة فی أوّل حرب خاضها المسلمون تحت لواء رسول اللَّه، ولم یکن الاستعمال إلّاتطبیقاً للمعنی الکلّی علی مورد خاص</w:t>
      </w:r>
      <w:r>
        <w:rPr>
          <w:rFonts w:eastAsia="IRNazanin" w:cs="IRNazanin"/>
          <w:color w:val="111111"/>
          <w:sz w:val="28"/>
          <w:szCs w:val="28"/>
          <w:rtl w:val="true"/>
          <w:lang w:bidi="fa-IR"/>
        </w:rPr>
        <w:t>.</w:t>
      </w:r>
    </w:p>
    <w:p>
      <w:pPr>
        <w:pStyle w:val="Heading6"/>
        <w:numPr>
          <w:ilvl w:val="5"/>
          <w:numId w:val="1"/>
        </w:numPr>
        <w:rPr/>
      </w:pPr>
      <w:bookmarkStart w:id="649" w:name="__RefHeading___Toc1401222_3650668749"/>
      <w:bookmarkStart w:id="650" w:name="_Toc249"/>
      <w:bookmarkEnd w:id="649"/>
      <w:r>
        <w:rPr>
          <w:rtl w:val="true"/>
        </w:rPr>
        <w:t>الثانی</w:t>
      </w:r>
      <w:r>
        <w:rPr>
          <w:rtl w:val="true"/>
        </w:rPr>
        <w:t xml:space="preserve">: </w:t>
      </w:r>
      <w:r>
        <w:rPr>
          <w:rtl w:val="true"/>
        </w:rPr>
        <w:t>المورد غیر مخصّص‌</w:t>
      </w:r>
      <w:bookmarkEnd w:id="650"/>
    </w:p>
    <w:p>
      <w:pPr>
        <w:pStyle w:val="Heading6"/>
        <w:numPr>
          <w:ilvl w:val="5"/>
          <w:numId w:val="1"/>
        </w:numPr>
        <w:rPr/>
      </w:pPr>
      <w:bookmarkStart w:id="651" w:name="__RefHeading___Toc1401224_3650668749"/>
      <w:bookmarkStart w:id="652" w:name="_Toc250"/>
      <w:bookmarkEnd w:id="651"/>
      <w:r>
        <w:rPr>
          <w:rtl w:val="true"/>
        </w:rPr>
        <w:t>اشارة</w:t>
      </w:r>
      <w:bookmarkEnd w:id="6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مفهوم اللفظ عامّاً یشمل کافّة ما یفوز به الإنسان، فلا یکون وروده فی مورد خاص، مخصّصاً لمفهومه ومضیّقاً لعمومه، فإذا وقفنا علی أنّ التشریع الإسلامی فرض الخمس فی الرکاز والکنز والسیوب أوّلًا، وأرباح المکاسب ثانیاً، فیکون ذلک التشریع مؤکّداً لإطلاق الآیة، ولا یکون</w:t>
      </w:r>
      <w:bookmarkStart w:id="653" w:name="pg1680_13165"/>
    </w:p>
    <w:p>
      <w:pPr>
        <w:pStyle w:val="BookText"/>
        <w:rPr/>
      </w:pPr>
      <w:bookmarkEnd w:id="653"/>
      <w:r>
        <w:rPr>
          <w:rFonts w:ascii="IRNazanin" w:hAnsi="IRNazanin" w:eastAsia="IRNazanin"/>
          <w:color w:val="111111"/>
          <w:sz w:val="28"/>
          <w:sz w:val="28"/>
          <w:szCs w:val="28"/>
          <w:rtl w:val="true"/>
          <w:lang w:bidi="fa-IR"/>
        </w:rPr>
        <w:t>وروده فی الغنائم الحربیة رافعاً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ما ورد فی السنّة من الروایات فی الموردین</w:t>
      </w:r>
      <w:r>
        <w:rPr>
          <w:rFonts w:eastAsia="IRNazanin" w:cs="IRNazanin"/>
          <w:color w:val="111111"/>
          <w:sz w:val="28"/>
          <w:szCs w:val="28"/>
          <w:rtl w:val="true"/>
          <w:lang w:bidi="fa-IR"/>
        </w:rPr>
        <w:t>:</w:t>
      </w:r>
    </w:p>
    <w:p>
      <w:pPr>
        <w:pStyle w:val="Heading6"/>
        <w:numPr>
          <w:ilvl w:val="5"/>
          <w:numId w:val="1"/>
        </w:numPr>
        <w:rPr/>
      </w:pPr>
      <w:bookmarkStart w:id="654" w:name="__RefHeading___Toc1401226_3650668749"/>
      <w:bookmarkStart w:id="655" w:name="_Toc251"/>
      <w:bookmarkEnd w:id="654"/>
      <w:r>
        <w:rPr/>
        <w:t>1</w:t>
      </w:r>
      <w:r>
        <w:rPr>
          <w:rtl w:val="true"/>
        </w:rPr>
        <w:t xml:space="preserve">. </w:t>
      </w:r>
      <w:r>
        <w:rPr>
          <w:rtl w:val="true"/>
        </w:rPr>
        <w:t>وجوب الخمس فی الرکاز من باب الغنیمة</w:t>
      </w:r>
      <w:bookmarkEnd w:id="655"/>
    </w:p>
    <w:p>
      <w:pPr>
        <w:pStyle w:val="BookText"/>
        <w:rPr/>
      </w:pPr>
      <w:r>
        <w:rPr>
          <w:rFonts w:ascii="IRNazanin" w:hAnsi="IRNazanin" w:eastAsia="IRNazanin"/>
          <w:color w:val="111111"/>
          <w:sz w:val="28"/>
          <w:sz w:val="28"/>
          <w:szCs w:val="28"/>
          <w:rtl w:val="true"/>
          <w:lang w:bidi="fa-IR"/>
        </w:rPr>
        <w:t>اتّفقت السنّة علی أنّ فی الرکاز الخمس وإنّما اختلفوا فی المعادن، فالواجب هو الخمس لدی الحنفیة والمالکیة، وربع العشر عند الشافعیة والحنابلة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استدلّت الحنفیة علی وجوب الخمس فی المعادن بالکتاب والسنّة والقیاس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انّما غَنِمْتُمْ مِنْ شَی‌ءٍ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ویعدّ المعدن غنیمة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أی‌هدر لا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البئر جبار والمعدن جبار، وفی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والرکاز یشمل المعدن والکنز، لأنّه من الرکز أی‌المرکوز، سواء من الخالق أو المخلوق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قیاس المعدن علی الکنز الجاهلی، بجامع ثبوت معنی الغنیمة فی کلّ منهما، فیجب الخمس فیهما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تری أنّ الحنفیة تستدلّ علی وجوب الخمس فی المعادن بآیة</w:t>
      </w:r>
    </w:p>
    <w:p>
      <w:pPr>
        <w:pStyle w:val="BookText"/>
        <w:rPr/>
      </w:pPr>
      <w:r>
        <w:rPr>
          <w:rFonts w:ascii="IRNazanin" w:hAnsi="IRNazanin" w:eastAsia="IRNazanin"/>
          <w:color w:val="111111"/>
          <w:sz w:val="28"/>
          <w:sz w:val="28"/>
          <w:szCs w:val="28"/>
          <w:rtl w:val="true"/>
          <w:lang w:bidi="fa-IR"/>
        </w:rPr>
        <w:t>الغنیمة ولا تصلح للاستدلال إلّا أن یراد بها المعنی اللغوی لا المعنی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تضافرت الروایات عن طریق أهل السنّة علی وجوب الخمس فی الأُمور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لفیف من الصحابة کابن عباس وأبی هریرة وجابر وعبادة بن الصامت وأنس بن مالک، وجوب الخمس فی الرکاز والکنز والسیوب، وإلیک قسماً ممّا روی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مسند أحمد وسنن ابن ماجة 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رسول اللَّه صلی الله علیه و آله و سلم فی الرکاز، الخمس‌</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صحیحی مسلم والبخاری 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جرحها جبار، والمعدن جبار، وفی الرکاز الخمس</w:t>
      </w:r>
      <w:r>
        <w:rPr>
          <w:rFonts w:eastAsia="IRNazanin" w:cs="IRNazanin"/>
          <w:color w:val="111111"/>
          <w:sz w:val="28"/>
          <w:szCs w:val="28"/>
          <w:rtl w:val="true"/>
          <w:lang w:bidi="fa-IR"/>
        </w:rPr>
        <w:t>».</w:t>
      </w:r>
      <w:r>
        <w:rPr>
          <w:rStyle w:val="FootnoteAnchor"/>
          <w:rtl w:val="true"/>
        </w:rPr>
        <w:footnoteReference w:id="38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یوسف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 إذا عطبَ الرجل فی قُلَیبٍ جعلوا القلیب عَقله، وإذا قتلته دابة جعلوها عقله، وإذا قتله معدن جعلوه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سائل رسول اللَّه صلی الله علیه و آله و سلم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جبار، والمعدن جبار، والبئر جبار، وفی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الرکاز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والفضة الذی خلقه اللَّه فی الأرض یوم خلقت</w:t>
      </w:r>
      <w:r>
        <w:rPr>
          <w:rFonts w:eastAsia="IRNazanin" w:cs="IRNazanin"/>
          <w:color w:val="111111"/>
          <w:sz w:val="28"/>
          <w:szCs w:val="28"/>
          <w:rtl w:val="true"/>
          <w:lang w:bidi="fa-IR"/>
        </w:rPr>
        <w:t>».</w:t>
      </w:r>
      <w:r>
        <w:rPr>
          <w:rStyle w:val="FootnoteAnchor"/>
        </w:rPr>
        <w:footnoteReference w:id="3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السائمة جبار، والجُبّ جبار، والمعدن جبار، وفی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العادی</w:t>
      </w:r>
      <w:r>
        <w:rPr>
          <w:rFonts w:eastAsia="IRNazanin" w:cs="IRNazanin"/>
          <w:color w:val="111111"/>
          <w:sz w:val="28"/>
          <w:szCs w:val="28"/>
          <w:rtl w:val="true"/>
          <w:lang w:bidi="fa-IR"/>
        </w:rPr>
        <w:t>.</w:t>
      </w:r>
      <w:r>
        <w:rPr>
          <w:rStyle w:val="FootnoteAnchor"/>
        </w:rPr>
        <w:footnoteReference w:id="39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رسول اللَّه صلی الله علیه و آله و سلم أنّ المعدن جبار، والبئر جبار، والعجماء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البهیمة من الأنعام وغیرها، والجبار هو الهدر الذی لا یُغرم، وقضی فی الرکاز الخمس</w:t>
      </w:r>
      <w:r>
        <w:rPr>
          <w:rFonts w:eastAsia="IRNazanin" w:cs="IRNazanin"/>
          <w:color w:val="111111"/>
          <w:sz w:val="28"/>
          <w:szCs w:val="28"/>
          <w:rtl w:val="true"/>
          <w:lang w:bidi="fa-IR"/>
        </w:rPr>
        <w:t>.</w:t>
      </w:r>
      <w:r>
        <w:rPr>
          <w:rStyle w:val="FootnoteAnchor"/>
        </w:rPr>
        <w:footnoteReference w:id="39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و سلم إلی خیبر فدخل صاحب لنا إلی خربةٍ یقضی حاجته فتناول لبنة لیستطیب بها فانهارت علیه تبراً، فأخذها فأتی بها النبی صلی الله علیه و آله و سلم فأخبره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فوزنها فإذا مائتا درهم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رکاز وفیه الخمس</w:t>
      </w:r>
      <w:r>
        <w:rPr>
          <w:rFonts w:eastAsia="IRNazanin" w:cs="IRNazanin"/>
          <w:color w:val="111111"/>
          <w:sz w:val="28"/>
          <w:szCs w:val="28"/>
          <w:rtl w:val="true"/>
          <w:lang w:bidi="fa-IR"/>
        </w:rPr>
        <w:t>».</w:t>
      </w:r>
      <w:r>
        <w:rPr>
          <w:rStyle w:val="FootnoteAnchor"/>
        </w:rPr>
        <w:footnoteReference w:id="39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مزینة سأل رسول اللَّه مسائل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فالکنز نجده فی الخرب وفی الآرام؟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وفی الرکاز الخمس</w:t>
      </w:r>
      <w:r>
        <w:rPr>
          <w:rFonts w:eastAsia="IRNazanin" w:cs="IRNazanin"/>
          <w:color w:val="111111"/>
          <w:sz w:val="28"/>
          <w:szCs w:val="28"/>
          <w:rtl w:val="true"/>
          <w:lang w:bidi="fa-IR"/>
        </w:rPr>
        <w:t>».</w:t>
      </w:r>
      <w:r>
        <w:rPr>
          <w:rStyle w:val="FootnoteAnchor"/>
        </w:rPr>
        <w:footnoteReference w:id="39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نهایة اللغة ولسان العرب وتاج العروس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أی‌کتاب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لوائل 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السیوب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من الذهب والفضة تَسیب فی المعدن، أی‌تتکوّن فیه وتظهر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سیب، 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أی‌یرید النبی بالسیب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المدفون فی الجاهلیة، أو المعدن لأنّه من فضل اللَّه تعالی وعطائه لمن أصابه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تفسیر ألفاظ الأحادیث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المنفلتة من صاحبها، فما أصابت فی انفلاتها فلا غرم علی صاحبها، والمعدن جبار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احتفر الرجل معدناً فوقع فیه انسان فلا غرم علیه، وکذلک البئر إذا احتفرها الرجل للسبیل فوقع فیها إنسان فلا</w:t>
      </w:r>
      <w:bookmarkStart w:id="656" w:name="pg1680_13169"/>
    </w:p>
    <w:p>
      <w:pPr>
        <w:pStyle w:val="BookText"/>
        <w:rPr/>
      </w:pPr>
      <w:bookmarkEnd w:id="656"/>
      <w:r>
        <w:rPr>
          <w:rFonts w:ascii="IRNazanin" w:hAnsi="IRNazanin" w:eastAsia="IRNazanin"/>
          <w:color w:val="111111"/>
          <w:sz w:val="28"/>
          <w:sz w:val="28"/>
          <w:szCs w:val="28"/>
          <w:rtl w:val="true"/>
          <w:lang w:bidi="fa-IR"/>
        </w:rPr>
        <w:t>غرم علی صاحبها، وفی الرکاز الخمس، والرکاز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من دفن أهل الجاهلیة، فمن وجد رکازاً أدّی منه الخمس إلی السلطان وما بقی له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والآرام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وهی حجارة تجمع وتنصب فی المفازة یُهتدی بها، واحدها إرَم کعنب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عادة الجاهلیة أنّهم إذا وجدوا شیئاً فی طریقهم لا یمکنهم استصحابه، ترکوا علیه حجارة یعرفونه بها حتی إذا عادوا أخذوه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إنّ هذه الروایات تعرب عن وجود ضریبة غیر الزکاة، هی الخمس من باب الغنیمة</w:t>
      </w:r>
      <w:r>
        <w:rPr>
          <w:rFonts w:eastAsia="IRNazanin" w:cs="IRNazanin"/>
          <w:color w:val="111111"/>
          <w:sz w:val="28"/>
          <w:szCs w:val="28"/>
          <w:rtl w:val="true"/>
          <w:lang w:bidi="fa-IR"/>
        </w:rPr>
        <w:t>.</w:t>
      </w:r>
    </w:p>
    <w:p>
      <w:pPr>
        <w:pStyle w:val="Heading6"/>
        <w:numPr>
          <w:ilvl w:val="5"/>
          <w:numId w:val="1"/>
        </w:numPr>
        <w:rPr/>
      </w:pPr>
      <w:bookmarkStart w:id="657" w:name="__RefHeading___Toc1401228_3650668749"/>
      <w:bookmarkStart w:id="658" w:name="_Toc252"/>
      <w:bookmarkEnd w:id="657"/>
      <w:r>
        <w:rPr/>
        <w:t>2</w:t>
      </w:r>
      <w:r>
        <w:rPr>
          <w:rtl w:val="true"/>
        </w:rPr>
        <w:t xml:space="preserve">. </w:t>
      </w:r>
      <w:r>
        <w:rPr>
          <w:rtl w:val="true"/>
        </w:rPr>
        <w:t>الخمس فی أرباح المکاسب‌</w:t>
      </w:r>
      <w:bookmarkEnd w:id="658"/>
    </w:p>
    <w:p>
      <w:pPr>
        <w:pStyle w:val="BookText"/>
        <w:rPr/>
      </w:pPr>
      <w:r>
        <w:rPr>
          <w:rFonts w:ascii="IRNazanin" w:hAnsi="IRNazanin" w:eastAsia="IRNazanin"/>
          <w:color w:val="111111"/>
          <w:sz w:val="28"/>
          <w:sz w:val="28"/>
          <w:szCs w:val="28"/>
          <w:rtl w:val="true"/>
          <w:lang w:bidi="fa-IR"/>
        </w:rPr>
        <w:t>هذا هو بیت القصید فی المقام، والهدف من عنوان المسألة هو إثبات ذلک، حیث یظهر من غیر واحد من الروایات أنّ النبیّ الأکرم أمر بإخراج الخمس من مطلق ما یغنمه الإنسان من أرباح المکاسب وغیرها، وإلیک بعض ما ورد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وفد عبد القیس علی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وبینک المشرکین وإنّا لا نصل إلیک إلّافی أشهر حرم، فَمُرنا بأمرٍ فصلٍ، إنْ عملنا به دخلنا الجنة وندعو إلیه مَن وراءنا،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آمرکم بأربع وأنهاکم عن أربع؛ 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بالإیمان باللَّه، وهل تدرون ما الإیمان؟ شهادة أن لا إله إلّااللَّه،</w:t>
      </w:r>
    </w:p>
    <w:p>
      <w:pPr>
        <w:pStyle w:val="BookText"/>
        <w:rPr/>
      </w:pPr>
      <w:r>
        <w:rPr>
          <w:rFonts w:ascii="IRNazanin" w:hAnsi="IRNazanin" w:eastAsia="IRNazanin"/>
          <w:color w:val="111111"/>
          <w:sz w:val="28"/>
          <w:sz w:val="28"/>
          <w:szCs w:val="28"/>
          <w:rtl w:val="true"/>
          <w:lang w:bidi="fa-IR"/>
        </w:rPr>
        <w:t>وإقام الصلاة، وإیتاء الزکاة، وتعطوا الخمس من المغنم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ومن المعلوم أنّ النبی صلی الله علیه و آله و سلم لم یطلب من بنی عبد القیس أن یدفعوا غنائم الحرب کیف وهم لا یستطیعون الخروج من حیّهم فی غیر الأشهر الحرم، خوفاً من المشرکین، فیکون قد قصد المغنم بمعناه الحقیقی فی لغة العرب وهو ما یفوزون به، فعلیهم أن یعطوا خمس ما یربحون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کتب ومواثیق، کتبها النبیّ وفرض فیها الخمس علی أصحابها، وستتبیّن بعد الفراغ من نقلها دلالتها علی الخمس فی الأرباح وإن لم تکن غنیمة حربیة، فانتظر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لعمرو بن حزم حین بعثه إلی الیمن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النبی رسول اللَّه لعمرو بن حزم حین بعثه إلی الیمن، أمره بتقوی اللَّه فی أمره کلّه، وأن یأخذ من المغانم خمس اللَّه، وما کتب علی المؤمنین من الصدقة من العقار عُشر ما سقی البعل وسقت السماء، ونصف العُشر ممّا سقی الغرب</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والبعل ما سُقِیَ بعروقه،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إلی شرحبیل بن عبد کلال، و حارث بن عبد کلال، ونعیم بن عبد کلال قیل ذی رعین، ومعافر وهمدان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رجع رسولکم وأعطیتم من المغانم خمس اللَّه</w:t>
      </w:r>
      <w:r>
        <w:rPr>
          <w:rFonts w:eastAsia="IRNazanin" w:cs="IRNazanin"/>
          <w:color w:val="111111"/>
          <w:sz w:val="28"/>
          <w:szCs w:val="28"/>
          <w:rtl w:val="true"/>
          <w:lang w:bidi="fa-IR"/>
        </w:rPr>
        <w:t>».</w:t>
      </w:r>
      <w:r>
        <w:rPr>
          <w:rStyle w:val="FootnoteAnchor"/>
        </w:rPr>
        <w:footnoteReference w:id="40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سعد هُذیم من قضاعة، وإلی جذام کتاباً واحداً یعلّمهم فرائض الصدقة، ویأمرهم أن یدفعوا الصدقة والخمس إلی رسولیه أُبیّ وعنبسة أو من أرسلاه</w:t>
      </w:r>
      <w:r>
        <w:rPr>
          <w:rFonts w:eastAsia="IRNazanin" w:cs="IRNazanin"/>
          <w:color w:val="111111"/>
          <w:sz w:val="28"/>
          <w:szCs w:val="28"/>
          <w:rtl w:val="true"/>
          <w:lang w:bidi="fa-IR"/>
        </w:rPr>
        <w:t>».</w:t>
      </w:r>
      <w:r>
        <w:rPr>
          <w:rStyle w:val="FootnoteAnchor"/>
        </w:rPr>
        <w:footnoteReference w:id="40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للفُجَیع ومن 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النبیّ للفجیع، ومن تبعه وأسلمَ وأقام الصلاةَ وآتی الزکاة وأطاع اللَّه ورسوله وأعطی من المغانم خمس اللَّه </w:t>
      </w:r>
      <w:r>
        <w:rPr>
          <w:rFonts w:eastAsia="IRNazanin" w:cs="IRNazanin"/>
          <w:color w:val="111111"/>
          <w:sz w:val="28"/>
          <w:szCs w:val="28"/>
          <w:rtl w:val="true"/>
          <w:lang w:bidi="fa-IR"/>
        </w:rPr>
        <w:t>...».</w:t>
      </w:r>
      <w:r>
        <w:rPr>
          <w:rStyle w:val="FootnoteAnchor"/>
        </w:rPr>
        <w:footnoteReference w:id="40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لجنادة الأزدی وقومه ومن 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أقاموا الصلاة وآتوا الزکاة وأطاعوا اللَّه ورسوله وأعطوا من المغانم خمس اللَّه وسهم النبی وفارقوا المشرکین، فإنّ لهم ذمّة اللَّه وذمّة محمد بن عبد اللَّه</w:t>
      </w:r>
      <w:r>
        <w:rPr>
          <w:rFonts w:eastAsia="IRNazanin" w:cs="IRNazanin"/>
          <w:color w:val="111111"/>
          <w:sz w:val="28"/>
          <w:szCs w:val="28"/>
          <w:rtl w:val="true"/>
          <w:lang w:bidi="fa-IR"/>
        </w:rPr>
        <w:t>».</w:t>
      </w:r>
      <w:r>
        <w:rPr>
          <w:rStyle w:val="FootnoteAnchor"/>
        </w:rPr>
        <w:footnoteReference w:id="40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لجهینة بن زید فیما کتب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بطون الأرض وسهولها وتلاع الأودیة وظهورها، علی أن</w:t>
      </w:r>
      <w:bookmarkStart w:id="659" w:name="pg1680_13172"/>
    </w:p>
    <w:p>
      <w:pPr>
        <w:pStyle w:val="BookText"/>
        <w:rPr/>
      </w:pPr>
      <w:bookmarkEnd w:id="659"/>
      <w:r>
        <w:rPr>
          <w:rFonts w:ascii="IRNazanin" w:hAnsi="IRNazanin" w:eastAsia="IRNazanin"/>
          <w:color w:val="111111"/>
          <w:sz w:val="28"/>
          <w:sz w:val="28"/>
          <w:szCs w:val="28"/>
          <w:rtl w:val="true"/>
          <w:lang w:bidi="fa-IR"/>
        </w:rPr>
        <w:t>ترعوا نباتها وتشربوا ماءها، علی أن تؤدّوا الخمس</w:t>
      </w:r>
      <w:r>
        <w:rPr>
          <w:rFonts w:eastAsia="IRNazanin" w:cs="IRNazanin"/>
          <w:color w:val="111111"/>
          <w:sz w:val="28"/>
          <w:szCs w:val="28"/>
          <w:rtl w:val="true"/>
          <w:lang w:bidi="fa-IR"/>
        </w:rPr>
        <w:t>».</w:t>
      </w:r>
      <w:r>
        <w:rPr>
          <w:rStyle w:val="FootnoteAnchor"/>
        </w:rPr>
        <w:footnoteReference w:id="40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لملوک حمیر فیما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وآتیتم الزکاة، وأعطیتم من 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اللَّه، وسهم النبی وصفیّه، وما کتب اللَّه علی المؤمنین من الصدقة</w:t>
      </w:r>
      <w:r>
        <w:rPr>
          <w:rFonts w:eastAsia="IRNazanin" w:cs="IRNazanin"/>
          <w:color w:val="111111"/>
          <w:sz w:val="28"/>
          <w:szCs w:val="28"/>
          <w:rtl w:val="true"/>
          <w:lang w:bidi="fa-IR"/>
        </w:rPr>
        <w:t>».</w:t>
      </w:r>
      <w:r>
        <w:rPr>
          <w:rStyle w:val="FootnoteAnchor"/>
        </w:rPr>
        <w:footnoteReference w:id="40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لبنی ثعلبة بن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منهم وأقام الصلاة وآتی الزکاة وأعطی خمس المغنم وسهم النبی والصفی</w:t>
      </w:r>
      <w:r>
        <w:rPr>
          <w:rFonts w:eastAsia="IRNazanin" w:cs="IRNazanin"/>
          <w:color w:val="111111"/>
          <w:sz w:val="28"/>
          <w:szCs w:val="28"/>
          <w:rtl w:val="true"/>
          <w:lang w:bidi="fa-IR"/>
        </w:rPr>
        <w:t>».</w:t>
      </w:r>
      <w:r>
        <w:rPr>
          <w:rStyle w:val="FootnoteAnchor"/>
        </w:rPr>
        <w:footnoteReference w:id="40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بعض أفخاذ جهینة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منهم وأقام الصلاة وآتی الزکاة وأطاع اللَّه ورسوله وأعطی من الغنائم الخمس</w:t>
      </w:r>
      <w:r>
        <w:rPr>
          <w:rFonts w:eastAsia="IRNazanin" w:cs="IRNazanin"/>
          <w:color w:val="111111"/>
          <w:sz w:val="28"/>
          <w:szCs w:val="28"/>
          <w:rtl w:val="true"/>
          <w:lang w:bidi="fa-IR"/>
        </w:rPr>
        <w:t>».</w:t>
      </w:r>
      <w:r>
        <w:rPr>
          <w:rStyle w:val="FootnoteAnchor"/>
          <w:rtl w:val="true"/>
        </w:rPr>
        <w:footnoteReference w:id="407"/>
      </w:r>
    </w:p>
    <w:p>
      <w:pPr>
        <w:pStyle w:val="Heading6"/>
        <w:numPr>
          <w:ilvl w:val="5"/>
          <w:numId w:val="1"/>
        </w:numPr>
        <w:rPr/>
      </w:pPr>
      <w:bookmarkStart w:id="660" w:name="__RefHeading___Toc1401230_3650668749"/>
      <w:bookmarkStart w:id="661" w:name="_Toc253"/>
      <w:bookmarkEnd w:id="660"/>
      <w:r>
        <w:rPr>
          <w:rtl w:val="true"/>
        </w:rPr>
        <w:t>إیضاح الاستدلال بهذه المکاتیب‌</w:t>
      </w:r>
      <w:bookmarkEnd w:id="66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الرسائل أنّ النبی صلی الله علیه و آله و سلم لم یکن یطلب منهم أن یدفعوا خمس غنائم الحرب التی اشترکوا فیها، بل کان یطلب ما استحقّ فی أموالهم من خمس وصدقة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کان یطلب منهم الخمس دون أن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الحرب واکتساب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الحاکم الإسلامی أو نائبه هما اللّذان یلیان بعد الفتح قبض جمیع غنائم الحرب وتقسیمها بعد استخراج الخمس منها، ولا یَملِک أحد من الغزاة عدا سلب القتیل شیئاً ممّا سلب وإلّا کان سارقاً مغلّاً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إعلان الحرب وإخراج خمس الغنائم علی عهد النبیّ صلی الله علیه و آله و سلم من شؤون النبی صلی الله علیه و آله و سلم فماذا یعنی طلبه الخمس من الناس وتأکیده فی کتاب بعد کتاب، وفی عهد بعد عهد؟</w:t>
      </w:r>
    </w:p>
    <w:p>
      <w:pPr>
        <w:pStyle w:val="BookText"/>
        <w:rPr/>
      </w:pPr>
      <w:r>
        <w:rPr>
          <w:rFonts w:ascii="IRNazanin" w:hAnsi="IRNazanin" w:eastAsia="IRNazanin"/>
          <w:color w:val="111111"/>
          <w:sz w:val="28"/>
          <w:sz w:val="28"/>
          <w:szCs w:val="28"/>
          <w:rtl w:val="true"/>
          <w:lang w:bidi="fa-IR"/>
        </w:rPr>
        <w:t>فیتبیّن أنّ ما کان یطلبه لم یکن مرتبطاً بغنائم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لایمکن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بالغنیمة فی هذه الرسائل هو ما کان یحصل الناس علیه فی الجاهلیة عن طریق النهب، کیف وقد نهی النبیّ صلی الله علیه و آله و سلم عن النهب والنهبی بشدّة، ففی کتاب الفتن باب النهی عن النُّهبة عنه صلی الله علیه و آله و سلم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انتهب نهبة فلیس منّا</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وفی صحیح البخاری ومسند أحمد عن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النبیّ صلی الله علیه و آله و سلم أن لا ننهب</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وفی سنن أبی داود، باب النهی عن النهبی، عن رجل من الأنصار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و سلم فأصاب الناس حاجة شدیدة وجهدٌ، وأصابوا غنماً فانتهبوها، فإنّ قدورنا لتغلی، إذ جاء رسول اللَّه یمشی متّکئاً علی قوسه فأکفأ قدورنا بقوسه، ثمّ جعل یُرمِّل اللحم بالتراب،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النُّهبة لیست بأحلَّ من المیتة</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و سلم عن النهبی والمثلة</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إلی غیر ذلک من الأحادیث التی وردت فی 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النُّهبة والنهبی عند العرب تساوق الغنیمة والمغنم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مصطلح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 فی أخذ مال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النهب مسموحاً به فی الدین، وإذا لم تکن الحروب التی تُخاض بغیر إذن النبی صلی الله علیه و آله و سلم جائزة، لم تکن الغنیمة فی هذه الوثائق غیر ما یفوز به الناس من غیر طریق القتال بل من طریق الکسب وما شابهه، ولا محیص حینئذ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بالخمس الذی کان یطلبه النبیّ صلی الله علیه و آله و سلم هو خمس أرباح الکسب والفوائد الحاصلة للإنسان من غیر طریق القتال أو النهب الممنوع فی الدین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الغنائم المطلوب فی هذه الرسائل النبویّة أداء خمسها إمّا أن یراد بها ما یُستولی علیه من طریق النهب والإغارة، أو ما</w:t>
      </w:r>
    </w:p>
    <w:p>
      <w:pPr>
        <w:pStyle w:val="BookText"/>
        <w:rPr/>
      </w:pPr>
      <w:r>
        <w:rPr>
          <w:rFonts w:ascii="IRNazanin" w:hAnsi="IRNazanin" w:eastAsia="IRNazanin"/>
          <w:color w:val="111111"/>
          <w:sz w:val="28"/>
          <w:sz w:val="28"/>
          <w:szCs w:val="28"/>
          <w:rtl w:val="true"/>
          <w:lang w:bidi="fa-IR"/>
        </w:rPr>
        <w:t>یستولی علیه من طریق محاربة بصورة الجهاد، أو ما یستولی علیه من طریق الکسب والکد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ممنوع، بنصّ الأحادیث السابقة فلا معنی أن یطلب النبی صلی الله علیه و آله و سلم خمس النهبة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یکون أمر الغنائم بید النبی صلی الله علیه و آله و سلم مباشرة، فهو الذی یأخذ کل الغنائم ویضرب لکلّ من الفارس والراجل ما له من الأسهم بعد أن یستخرج الخمس بنفسه من تلک الغنائم، فلا معنی لأن یطلبه النبیّ صلی الله علیه و آله و سلم من الغزاة، فیکون الثالث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أئمّة أهل البیت علیهم السلام ما یدلّ علی ذلک، فقد کتب أحد الشیعة إلی الإمام الجواد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الخمس أعَلی جمیع ما یستفید الرجل من قلیل وکثیر من جمیع الضروب وعلی الصنّاع وکیف ذلک؟ فکتب علیه 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وفی هذه الإجابة القصیرة یظهر تأیید الإمام علیه السلام لما ذهب إلیه السائل، ویتضمّن ذکر الکیفیة التی یجب أن تراعی فی أداء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الخمس؟ فقال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وعن أبی علی ابن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وکلاء الإمام الجواد والإمام الهادی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بالقیام بأمرک، وأخذ حقّک، فأعلمت موالیک بذلک فقال لی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حقّه؟ فلم أدر ما أُجیبه؟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أی‌شی‌ء؟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أمتعتهم وصنائعهم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والتاجر علیه، والصانع بیده؟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أمکنهم بعد مؤونتهم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إلی غیر ذلک من الأحادیث والأخبار المرویّة عن النبیّ الأکرم صلی الله علیه و آله و سلم وأهل بیته الطاهرین علیهم السلام التی تدلّ علی شمول الخمس لکلّ مکسب</w:t>
      </w:r>
      <w:r>
        <w:rPr>
          <w:rFonts w:eastAsia="IRNazanin" w:cs="IRNazanin"/>
          <w:color w:val="111111"/>
          <w:sz w:val="28"/>
          <w:szCs w:val="28"/>
          <w:rtl w:val="true"/>
          <w:lang w:bidi="fa-IR"/>
        </w:rPr>
        <w:t>.</w:t>
      </w:r>
      <w:bookmarkStart w:id="662" w:name="pg1680_13177"/>
    </w:p>
    <w:p>
      <w:pPr>
        <w:pStyle w:val="Heading4"/>
        <w:numPr>
          <w:ilvl w:val="3"/>
          <w:numId w:val="1"/>
        </w:numPr>
        <w:rPr/>
      </w:pPr>
      <w:bookmarkStart w:id="663" w:name="__RefHeading___Toc1401232_3650668749"/>
      <w:bookmarkStart w:id="664" w:name="_Toc254"/>
      <w:bookmarkEnd w:id="662"/>
      <w:bookmarkEnd w:id="663"/>
      <w:r>
        <w:rPr/>
        <w:t>5</w:t>
      </w:r>
      <w:r>
        <w:rPr>
          <w:rtl w:val="true"/>
        </w:rPr>
        <w:t xml:space="preserve">- </w:t>
      </w:r>
      <w:r>
        <w:rPr>
          <w:rtl w:val="true"/>
        </w:rPr>
        <w:t>الرجعة فی الکتاب العزیز</w:t>
      </w:r>
      <w:bookmarkEnd w:id="664"/>
    </w:p>
    <w:p>
      <w:pPr>
        <w:pStyle w:val="Heading5"/>
        <w:numPr>
          <w:ilvl w:val="4"/>
          <w:numId w:val="1"/>
        </w:numPr>
        <w:rPr/>
      </w:pPr>
      <w:bookmarkStart w:id="665" w:name="__RefHeading___Toc1401234_3650668749"/>
      <w:bookmarkStart w:id="666" w:name="_Toc255"/>
      <w:bookmarkEnd w:id="665"/>
      <w:r>
        <w:rPr>
          <w:rtl w:val="true"/>
        </w:rPr>
        <w:t>الرجعة فی مصطلح العلماء</w:t>
      </w:r>
      <w:bookmarkEnd w:id="666"/>
    </w:p>
    <w:p>
      <w:pPr>
        <w:pStyle w:val="Heading6"/>
        <w:numPr>
          <w:ilvl w:val="5"/>
          <w:numId w:val="1"/>
        </w:numPr>
        <w:rPr/>
      </w:pPr>
      <w:bookmarkStart w:id="667" w:name="__RefHeading___Toc1401236_3650668749"/>
      <w:bookmarkStart w:id="668" w:name="_Toc256"/>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الرجعةُ ترادف العودة، و تطلق اصطلاحاً علی عودة الحیاة إلی مجموعة من الأموات بعد النهضة العالمیة للإمام المهدی علیه السلام و هذه العودة تتم بالطبع قبل حلول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لهذا المبدأ، فالحدیث عن العودة، یُعدّ من أشراط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فظهور الإمام المهدی علیه السلام شی‌ءٌ، و عودة الحیاة الی مجموعة من الأموات شی‌ء آخر، کما أنّ البعث یوم القیامة أمر ثالث، فیجب تمییزها و عدم الخلط بینها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یحشر قوماً من أُمة محمد صلی الله علیه و آله و سلم، بعد موتهم، قبل یوم القیامة، و هذا مذهب یختصّ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القرآن شاهد به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 قال المرتضی متحدّثاً عن الرجعة عند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الّذی تذهب الشیعة الإمامیة إلیه، أنّ اللّه تعالی یعید عند ظهور إمام الزمان،</w:t>
      </w:r>
    </w:p>
    <w:p>
      <w:pPr>
        <w:pStyle w:val="BookText"/>
        <w:rPr/>
      </w:pPr>
      <w:r>
        <w:rPr>
          <w:rFonts w:ascii="IRNazanin" w:hAnsi="IRNazanin" w:eastAsia="IRNazanin"/>
          <w:color w:val="111111"/>
          <w:sz w:val="28"/>
          <w:sz w:val="28"/>
          <w:szCs w:val="28"/>
          <w:rtl w:val="true"/>
          <w:lang w:bidi="fa-IR"/>
        </w:rPr>
        <w:t>المهدی علیه السلام، قوماً ممّن کان قد تقدّم موته من شیعته لیفوزوا بثواب نصرته و معونته، و مشاهدة دولته؛ ویعید أیضاً من أعدائه لینتقم منهم، فیلتذوا بما یشاهدون من ظهور الحق و علو کلمة أهله</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الرجعة إنّما هی لممحّضی الإیمان من أهل الملّة، و ممحضی النفاق منهم، دون من سلف من الأُمم الخالیة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فالاعتقاد بالرجعة من الأُمور القطعیة المسلّم بها، و الروایات الکثیرة الواردة عن الأئمة المعصومین لا تُبقی أی مجال للشک فی وقوعها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یشک مؤمن بحقیّة الأئمة الأطهار فیما تواتر عنهم فیما یقرب من مائتی حدیث صریح، رواها نیّف و ثلاثون من الثقات العظام، فی أزید من خمسین من مؤلفاتهم کثقة الإسلام الکلینی و الصدوق و </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 قد وصف الشیخ الحرّ العاملی الروایات المتعلّقة بالرجعة بأنّها أکثر من أن تعد و تحصی و أنّها متواترة معنی</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هذه بعض کلمات کبار علماء الشیعة ومحدّثیهم حول الرجعة، ویقع الکلام فی أُمور</w:t>
      </w:r>
      <w:r>
        <w:rPr>
          <w:rFonts w:eastAsia="IRNazanin" w:cs="IRNazanin"/>
          <w:color w:val="111111"/>
          <w:sz w:val="28"/>
          <w:szCs w:val="28"/>
          <w:rtl w:val="true"/>
          <w:lang w:bidi="fa-IR"/>
        </w:rPr>
        <w:t>:</w:t>
      </w:r>
      <w:bookmarkStart w:id="669" w:name="pg1680_13179"/>
    </w:p>
    <w:p>
      <w:pPr>
        <w:pStyle w:val="Heading6"/>
        <w:numPr>
          <w:ilvl w:val="5"/>
          <w:numId w:val="1"/>
        </w:numPr>
        <w:rPr/>
      </w:pPr>
      <w:bookmarkStart w:id="670" w:name="__RefHeading___Toc1401238_3650668749"/>
      <w:bookmarkStart w:id="671" w:name="_Toc257"/>
      <w:bookmarkEnd w:id="669"/>
      <w:bookmarkEnd w:id="670"/>
      <w:r>
        <w:rPr/>
        <w:t>1</w:t>
      </w:r>
      <w:r>
        <w:rPr>
          <w:rtl w:val="true"/>
        </w:rPr>
        <w:t xml:space="preserve">. </w:t>
      </w:r>
      <w:r>
        <w:rPr>
          <w:rtl w:val="true"/>
        </w:rPr>
        <w:t>إمکان الرجعة</w:t>
      </w:r>
      <w:bookmarkEnd w:id="671"/>
    </w:p>
    <w:p>
      <w:pPr>
        <w:pStyle w:val="BookText"/>
        <w:rPr/>
      </w:pPr>
      <w:r>
        <w:rPr>
          <w:rFonts w:ascii="IRNazanin" w:hAnsi="IRNazanin" w:eastAsia="IRNazanin"/>
          <w:color w:val="111111"/>
          <w:sz w:val="28"/>
          <w:sz w:val="28"/>
          <w:szCs w:val="28"/>
          <w:rtl w:val="true"/>
          <w:lang w:bidi="fa-IR"/>
        </w:rPr>
        <w:t>یکفی فی إمکان الرجعة، إمکان بعث الحیاة من جدید یوم القیامة، فإنّ الرجعة و المعاد، ظاهرتان متماثلتان و من نوع واحدٍ مع فارق أنّ الرجعة محدودة کیفاً و کمّاً، و تحدث قبل یوم القیامة، بینما یبعث جمیع الناس یوم القیامة لیبدأوا حیاتهم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فالاعتراف بإمکان بعث الحیاة من جدید یوم القیامة، ملازم للاعتراف بإمکان الرجعة فی حیاتنا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حدیثنا مع المسلمین الذین یعتبرون الإیمان بالمعاد من أُصول شریعتهم، فلابد لهؤلاء إذن من الاعتراف بإمکانیة الرجعة</w:t>
      </w:r>
      <w:r>
        <w:rPr>
          <w:rFonts w:eastAsia="IRNazanin" w:cs="IRNazanin"/>
          <w:color w:val="111111"/>
          <w:sz w:val="28"/>
          <w:szCs w:val="28"/>
          <w:rtl w:val="true"/>
          <w:lang w:bidi="fa-IR"/>
        </w:rPr>
        <w:t>.</w:t>
      </w:r>
    </w:p>
    <w:p>
      <w:pPr>
        <w:pStyle w:val="Heading6"/>
        <w:numPr>
          <w:ilvl w:val="5"/>
          <w:numId w:val="1"/>
        </w:numPr>
        <w:rPr/>
      </w:pPr>
      <w:bookmarkStart w:id="672" w:name="__RefHeading___Toc1401240_3650668749"/>
      <w:bookmarkStart w:id="673" w:name="_Toc258"/>
      <w:bookmarkEnd w:id="672"/>
      <w:r>
        <w:rPr/>
        <w:t>2</w:t>
      </w:r>
      <w:r>
        <w:rPr>
          <w:rtl w:val="true"/>
        </w:rPr>
        <w:t xml:space="preserve">. </w:t>
      </w:r>
      <w:r>
        <w:rPr>
          <w:rtl w:val="true"/>
        </w:rPr>
        <w:t>الرجعة فی الأُمم السالفة</w:t>
      </w:r>
      <w:bookmarkEnd w:id="673"/>
    </w:p>
    <w:p>
      <w:pPr>
        <w:pStyle w:val="BookText"/>
        <w:rPr/>
      </w:pPr>
      <w:r>
        <w:rPr>
          <w:rFonts w:ascii="IRNazanin" w:hAnsi="IRNazanin" w:eastAsia="IRNazanin"/>
          <w:color w:val="111111"/>
          <w:sz w:val="28"/>
          <w:sz w:val="28"/>
          <w:szCs w:val="28"/>
          <w:rtl w:val="true"/>
          <w:lang w:bidi="fa-IR"/>
        </w:rPr>
        <w:t>قد وقعت الرجعة فی الأُمم السالفة کثیراً،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جماعة من بنی إسرائیل‌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قتیل بنی إسرائیل‌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أُلوف من الناس و بعثهم من جدید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674" w:name="pg1680_13180"/>
    </w:p>
    <w:p>
      <w:pPr>
        <w:pStyle w:val="BookText"/>
        <w:rPr/>
      </w:pPr>
      <w:bookmarkEnd w:id="67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عُزَیر بعد مائة عام من موته‌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الموتی علی ید عیسی علیه السلام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بعد وقوع الرجعة فی الأُمم السالفة، هل یبقی مجال للشک فی إمکانها؟</w:t>
      </w:r>
    </w:p>
    <w:p>
      <w:pPr>
        <w:pStyle w:val="BookText"/>
        <w:rPr/>
      </w:pPr>
      <w:r>
        <w:rPr>
          <w:rFonts w:ascii="IRNazanin" w:hAnsi="IRNazanin" w:eastAsia="IRNazanin"/>
          <w:color w:val="111111"/>
          <w:sz w:val="28"/>
          <w:sz w:val="28"/>
          <w:szCs w:val="28"/>
          <w:rtl w:val="true"/>
          <w:lang w:bidi="fa-IR"/>
        </w:rPr>
        <w:t>و تصوّر أنّ الرجعة من قبیل التناسخ المحال عقلًا، تصوّر باطلٌ، لأنّ التناسخ عبارة عن رجوع الفعلیة إلی القوة، و رجوع الإنسان إلی الدنیا عن طریق النطفة، و المرور بمراحل التکوّن البشری من جدید، لیصیر إنساناً مرة أُخری، سواء أدَخَلَتْ روحُه فی جسم إنسان أم حیوان، و أین هذا من الرجعة و عود الروح إلی البدن المتکامل من جمیع الجهات، من دون أن یکون هناک رجوع إلی القوة بعد الفعلیة</w:t>
      </w:r>
      <w:r>
        <w:rPr>
          <w:rFonts w:eastAsia="IRNazanin" w:cs="IRNazanin"/>
          <w:color w:val="111111"/>
          <w:sz w:val="28"/>
          <w:szCs w:val="28"/>
          <w:rtl w:val="true"/>
          <w:lang w:bidi="fa-IR"/>
        </w:rPr>
        <w:t>.</w:t>
      </w:r>
    </w:p>
    <w:p>
      <w:pPr>
        <w:pStyle w:val="Heading5"/>
        <w:numPr>
          <w:ilvl w:val="4"/>
          <w:numId w:val="1"/>
        </w:numPr>
        <w:rPr/>
      </w:pPr>
      <w:bookmarkStart w:id="675" w:name="__RefHeading___Toc1401242_3650668749"/>
      <w:bookmarkStart w:id="676" w:name="_Toc259"/>
      <w:bookmarkEnd w:id="675"/>
      <w:r>
        <w:rPr>
          <w:rtl w:val="true"/>
        </w:rPr>
        <w:t xml:space="preserve">*** </w:t>
      </w:r>
      <w:r>
        <w:rPr>
          <w:rtl w:val="true"/>
        </w:rPr>
        <w:t>الرجعةُ فی الأُمة الإسلامیة</w:t>
      </w:r>
      <w:bookmarkEnd w:id="6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وقوع الرجعة فی هذه الأُمّة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یوجد بین المفسّرین من یشک بأنّ الآیة الأُولی تتعلّق بالحوادث التّی تقع قبل یوم القیامة، ویدلّ علیه ما روی عن النبی الأکرم من أنّ خروج دابة الأرض من علامات یوم القیامة، إلّاأنّ هناک خلافاً بین المفسرین حول المقصود من دابة الأرض، و کیفیّة خروجها، و کیف تتحدث؟ و غیر ذلک ممّا لا نری حاجة لطرحه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لا تکون حتی تکون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 خسف فی جزیرة العرب، والدخان، والدجّال، ودابّة الأرض، و یأجوج و مأجوج، و طلوع الشمس من مغربها، و نارٌ تخرج من قعر عدن ترحل الناس</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الکلام فی الآیة الثانیة، و الحق أنّها ظاهرة فی حوادث قبل یوم القیامة، و ذلک لأنّ الآیة ترکز علی حشر فوج من کل جماعة بمعنی عدم حشر الناس جمیعاً، و من المعلوم أنّ الحشر لیوم القیامة یتعلق بالجمیع، لا بالبعض،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أفَبَعْدَ هذا التصریح، یمکن تفسیر ظرف الآیة بیوم البعث و القیامة؟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قرینتان أُخریان، تحقّقان ظرفها لنا إن کنّا شاکین،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المتقدّمة علیها تذکر للناس علامة من علامات القیامة، و هی خروج دابة الأرض، و من الطبیعی، بعد ذلک أنّ حشر جماعة من الناس یرتبط بهذا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الحدیث فی تلک السورة عن القیامة فی الآیة السابعة و الثمانین، أی بعد ثلاث آیات،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یُنفَخُ فِی الصُّورِ فَفَزِعَ مَن فِی السَّموَاتِ وَمَن فِی الْأَرْضِ إِلَّا مَن شاءَ اللَّهُ وَکُلٌّ أَتَوْهُ دَاخِرِینَ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یعرب عن أنّ ظرف ما تقدّم علیها من الحوادث یتعلّق بما قبل هذا الیوم، و یحقّق أنّ حشر فوج من الذین یکذبون بآیات اللّه یحدث حتماً قبل یوم القیامة، و هو من أشراط هذا الیوم، و سیقع فی الوقت الّذی تخرج فیها دابة من الأرض تکلّم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قول الرازی بأنّ حشر فوج من کلّ أُمّة سیقع بعد قیام الساعة</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خاوٍ لا یستند إلی أیّ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الآیات وارتباطها ببعضها، ینفیه، و یؤکّد ما ذهب إلیه الشیعة من أنّ الآیة تشیر الی حدثٍ سیقع قبل یوم القیامة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انّ تخصیص الحشر ببعضٍ، لا یجتمع مع حشر جمیع الناس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الآیة قد تحدّثت عن حشر المکذبین، و أمّا رجعة جماعة أُخری من الصالحین فهو علی عاتق الروایات الواردة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وقوع الرجعة و خصوصیاتها فلم یتحدّث عنها القرآن، کما هو الحال فی تحدّثه عن البرزخ و الحیاة البرزخیة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وقوع الرجعة فی هذه الأُمّة وقوعها فی الأُمم السالفة کما عرفت، وقد روی أبو سعید الخدری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کان قبلکم، شبراً بشبر، و ذراعاً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دخلوا جحر ضبّ لتبعتموه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أبوهریرة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تُؤخذ أُمّتی بأخذ القرون قبلها، شبراً بشبر، و ذراعاً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کفارس و الروم؟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إلّاأُولئک؟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الصدوق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الأُمم السابقة فإنه یکون فی هذه الأُمة مثله، حذو النعل بالنعل، و القذّة بالقذّة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الرجعة من الحوادث المهمة فی الأُمم السالفة، فیجب أن</w:t>
      </w:r>
    </w:p>
    <w:p>
      <w:pPr>
        <w:pStyle w:val="BookText"/>
        <w:rPr/>
      </w:pPr>
      <w:r>
        <w:rPr>
          <w:rFonts w:ascii="IRNazanin" w:hAnsi="IRNazanin" w:eastAsia="IRNazanin"/>
          <w:color w:val="111111"/>
          <w:sz w:val="28"/>
          <w:sz w:val="28"/>
          <w:szCs w:val="28"/>
          <w:rtl w:val="true"/>
          <w:lang w:bidi="fa-IR"/>
        </w:rPr>
        <w:t>یقع نظیرها فی هذه الأُمة أخذاً بالمماثلة، و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سأل المأمون العباسی، الإمام الرضا علیه السلام عن الرجعة؟</w:t>
      </w:r>
    </w:p>
    <w:p>
      <w:pPr>
        <w:pStyle w:val="BookText"/>
        <w:rPr/>
      </w:pPr>
      <w:r>
        <w:rPr>
          <w:rFonts w:ascii="IRNazanin" w:hAnsi="IRNazanin" w:eastAsia="IRNazanin"/>
          <w:color w:val="111111"/>
          <w:sz w:val="28"/>
          <w:sz w:val="28"/>
          <w:szCs w:val="28"/>
          <w:rtl w:val="true"/>
          <w:lang w:bidi="fa-IR"/>
        </w:rPr>
        <w:t>فأجابه،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حق، قد کانت فی الأُمم السالفة، و نطق بها القرآن، وقد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الأُمة کلّ ما کان فی الأُمم السالفة حذو النعل بالنعل، و القذة بالقذة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هذه هی حقیقة الرجعة و دلائلها، و لا یدّعی المعتقدون بها أکثر من هذا، و حاصله عودة الحیاة إلی طائفتین من الصالحین و الطالحین، بعد ظهور الإمام المهدی علیه السلام، و قبل وقوع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ینکرها إلّامن لم یمعن النظر فی أدلّتها</w:t>
      </w:r>
      <w:r>
        <w:rPr>
          <w:rStyle w:val="FootnoteAnchor"/>
          <w:rtl w:val="true"/>
        </w:rPr>
        <w:footnoteReference w:id="4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الهدف من إحیائهم؟</w:t>
      </w:r>
    </w:p>
    <w:p>
      <w:pPr>
        <w:pStyle w:val="BookText"/>
        <w:rPr/>
      </w:pPr>
      <w:r>
        <w:rPr>
          <w:rFonts w:ascii="IRNazanin" w:hAnsi="IRNazanin" w:eastAsia="IRNazanin"/>
          <w:color w:val="111111"/>
          <w:sz w:val="28"/>
          <w:sz w:val="28"/>
          <w:szCs w:val="28"/>
          <w:rtl w:val="true"/>
          <w:lang w:bidi="fa-IR"/>
        </w:rPr>
        <w:t>وإجمال الجواب عن الأوّل أنّ الراجعین لفیف من المؤمنین و لفیف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وإجمال الجواب عن الثانی ما جاء فی کلام السید المرتضی المنقول آنفاً،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یعید عند ظهور إمام الزمان المهدی علیه السلام، قوماً ممّن کان تقدّم موته من شیعته لیفوزوا بثواب نصرته و معونته، و مشاهدة دولته، و یعید أیضاً قوماً من أعدائه لینتقم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تفصیل جمیع ذلک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والإیقاظ من الهجعة بالبرهان علی الرجعة، للشیخ الحر العاملی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680_13185"/>
    </w:p>
    <w:p>
      <w:pPr>
        <w:pStyle w:val="Heading5"/>
        <w:numPr>
          <w:ilvl w:val="4"/>
          <w:numId w:val="1"/>
        </w:numPr>
        <w:rPr/>
      </w:pPr>
      <w:bookmarkStart w:id="678" w:name="__RefHeading___Toc1401244_3650668749"/>
      <w:bookmarkStart w:id="679" w:name="_Toc260"/>
      <w:bookmarkEnd w:id="677"/>
      <w:bookmarkEnd w:id="678"/>
      <w:r>
        <w:rPr>
          <w:rtl w:val="true"/>
        </w:rPr>
        <w:t>أسئلة و أجوبتها</w:t>
      </w:r>
      <w:bookmarkEnd w:id="67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یجتمع إعادة الظالمین 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فإن هذه الآیة تنفی رجوعهم بتاتاً، و حشر لفیف من الظالمین یخالفها؟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مختصّة بالظالمین الذین أهلکوا فی هذه الدنیا و رأوا جزاء عملهم فیها، فهذه الطائفة لا ترجع؛ وأمّا الظالمون الذین رحلوا عن الدنیا بلا مؤاخذة، فیرجع لفیف منهم لیروا جزاء عملهم فیها، ثم یُردّون إلی أشد العذاب فی الآخرة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لا تمت إلی مسألة الرجعة بصلة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نفی الرجوع إلی الدنیا بعد مجی‌ء الموت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تحکی عن قانون کلّی قابل للتخصیص فی مورد دون مورد، و الدلیل علی ذلک ما عرفت من إحیاء الموتی فی الأُمم</w:t>
      </w:r>
    </w:p>
    <w:p>
      <w:pPr>
        <w:pStyle w:val="BookText"/>
        <w:rPr/>
      </w:pPr>
      <w:r>
        <w:rPr>
          <w:rFonts w:ascii="IRNazanin" w:hAnsi="IRNazanin" w:eastAsia="IRNazanin"/>
          <w:color w:val="111111"/>
          <w:sz w:val="28"/>
          <w:sz w:val="28"/>
          <w:szCs w:val="28"/>
          <w:rtl w:val="true"/>
          <w:lang w:bidi="fa-IR"/>
        </w:rPr>
        <w:t>السالفة، فلو کان عدم الرجوع إلی هذه الدنیا سنة کلیةً لا تتبعّض و لا تتخصّص، لکان عودها إلی الدنیا مناقضاً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کسائر السنن الإلهیة الواردة فی حق الإنسان، فهی تفید أنّ الموت بطبعه لیس بعده رجوع، و هذا لا ینافی الرجوع فی مورد أو موارد لمصالح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علی الرجعة مبنی علی جعل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حاکیاً عن حادثة تقع قبل القیامة، و لکن من الممکن جعلها حاکیة عن الحادثة التّی تقع عند القیامة، غیر أنّها تقدّمت علی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یُنْفَخُ فی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طبع القضیة تأخیرها عنه، و المراد من الفوج من کلّ أُمّة هو الملأ من الظالمین و رؤسائهم؟</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تقدیم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نَحْشُرُ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فرض کونه حاکیاً عن ظاهرة تقع یوم القیامة،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إلّاإخلالًا فی الکلام، بلا مسوّغ</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الآیات أنّ هناک یومین، یومُ حشر فوج من کلّ أُمة، ویوم نفخ فی الصور، و جعل الأوّل من متمّمات القیامة، یستلزم وحدة الیومین، و هو علی خلاف الظاهر</w:t>
      </w:r>
      <w:r>
        <w:rPr>
          <w:rFonts w:eastAsia="IRNazanin" w:cs="IRNazanin"/>
          <w:color w:val="111111"/>
          <w:sz w:val="28"/>
          <w:szCs w:val="28"/>
          <w:rtl w:val="true"/>
          <w:lang w:bidi="fa-IR"/>
        </w:rPr>
        <w:t>.</w:t>
      </w:r>
      <w:r>
        <w:rPr>
          <w:rStyle w:val="FootnoteAnchor"/>
          <w:rtl w:val="true"/>
        </w:rPr>
        <w:footnoteReference w:id="438"/>
      </w:r>
      <w:bookmarkStart w:id="680" w:name="pg1680_13188"/>
    </w:p>
    <w:p>
      <w:pPr>
        <w:pStyle w:val="Heading2"/>
        <w:numPr>
          <w:ilvl w:val="1"/>
          <w:numId w:val="1"/>
        </w:numPr>
        <w:rPr/>
      </w:pPr>
      <w:bookmarkStart w:id="681" w:name="__RefHeading___Toc1401246_3650668749"/>
      <w:bookmarkStart w:id="682" w:name="_Toc261"/>
      <w:bookmarkEnd w:id="680"/>
      <w:bookmarkEnd w:id="681"/>
      <w:r>
        <w:rPr>
          <w:rtl w:val="true"/>
        </w:rPr>
        <w:t>الفصل التاسع</w:t>
      </w:r>
      <w:r>
        <w:rPr>
          <w:rtl w:val="true"/>
        </w:rPr>
        <w:t xml:space="preserve">: </w:t>
      </w:r>
      <w:r>
        <w:rPr>
          <w:rtl w:val="true"/>
        </w:rPr>
        <w:t>فی الصحابة والتابعین‌</w:t>
      </w:r>
      <w:bookmarkEnd w:id="682"/>
    </w:p>
    <w:p>
      <w:pPr>
        <w:pStyle w:val="Heading3"/>
        <w:numPr>
          <w:ilvl w:val="2"/>
          <w:numId w:val="1"/>
        </w:numPr>
        <w:rPr/>
      </w:pPr>
      <w:bookmarkStart w:id="683" w:name="__RefHeading___Toc1401248_3650668749"/>
      <w:bookmarkStart w:id="684" w:name="_Toc262"/>
      <w:bookmarkEnd w:id="683"/>
      <w:r>
        <w:rPr>
          <w:rtl w:val="true"/>
        </w:rPr>
        <w:t>اشارة</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الصحابی والتابعیّ والاختلاف فی تحدید الصحابی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الصحبة فی النفوس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ملکة تدریجیة الحصول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أصناف الصحابة فی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الصحابة أعرف بحالهم من غیرهم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وعدالة الصحابة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النبویة وعدالة الصحابة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النبی صلی الله علیه و آله و سلم ممّن لم تحسن صحبته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الصحابة فی مرآة التاریخ</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الغایة من دراسة عدالة الصحابة؟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قول الصحابی من مصادر التشریع؟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رؤیا الصحابی من مصادر التشریع؟</w:t>
      </w:r>
      <w:bookmarkStart w:id="685" w:name="pg1680_13190"/>
    </w:p>
    <w:p>
      <w:pPr>
        <w:pStyle w:val="Heading3"/>
        <w:numPr>
          <w:ilvl w:val="2"/>
          <w:numId w:val="1"/>
        </w:numPr>
        <w:rPr/>
      </w:pPr>
      <w:bookmarkStart w:id="686" w:name="__RefHeading___Toc1401250_3650668749"/>
      <w:bookmarkStart w:id="687" w:name="_Toc263"/>
      <w:bookmarkEnd w:id="685"/>
      <w:bookmarkEnd w:id="686"/>
      <w:r>
        <w:rPr>
          <w:rtl w:val="true"/>
        </w:rPr>
        <w:t>فی الصحابة والتابعین‌</w:t>
      </w:r>
      <w:bookmarkEnd w:id="687"/>
    </w:p>
    <w:p>
      <w:pPr>
        <w:pStyle w:val="Heading4"/>
        <w:numPr>
          <w:ilvl w:val="3"/>
          <w:numId w:val="1"/>
        </w:numPr>
        <w:rPr/>
      </w:pPr>
      <w:bookmarkStart w:id="688" w:name="__RefHeading___Toc1401252_3650668749"/>
      <w:bookmarkStart w:id="689" w:name="_Toc264"/>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إنّ الصحابة عند أهل السنّة کلّهم عدول لا یخضعون للجرح والتعدیل، فروایاتهم حجة بلا نقاش وبدون فحص وتحقیق عن أحوالهم وسلوکهم طیلة حیاتهم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نرید أن ندرس هذا الموضوع وانّه هل هی قضیة موجبة کلیة، أو موجبة جزئیة؟ وتتّضح حقیقة الحال ضمن أُمور</w:t>
      </w:r>
      <w:r>
        <w:rPr>
          <w:rFonts w:eastAsia="IRNazanin" w:cs="IRNazanin"/>
          <w:color w:val="111111"/>
          <w:sz w:val="28"/>
          <w:szCs w:val="28"/>
          <w:rtl w:val="true"/>
          <w:lang w:bidi="fa-IR"/>
        </w:rPr>
        <w:t>.</w:t>
      </w:r>
      <w:bookmarkStart w:id="690" w:name="pg1680_13191"/>
    </w:p>
    <w:p>
      <w:pPr>
        <w:pStyle w:val="Heading4"/>
        <w:numPr>
          <w:ilvl w:val="3"/>
          <w:numId w:val="1"/>
        </w:numPr>
        <w:rPr/>
      </w:pPr>
      <w:bookmarkStart w:id="691" w:name="__RefHeading___Toc1401254_3650668749"/>
      <w:bookmarkStart w:id="692" w:name="_Toc265"/>
      <w:bookmarkEnd w:id="690"/>
      <w:bookmarkEnd w:id="691"/>
      <w:r>
        <w:rPr/>
        <w:t>1</w:t>
      </w:r>
      <w:r>
        <w:rPr>
          <w:rtl w:val="true"/>
        </w:rPr>
        <w:t xml:space="preserve">- </w:t>
      </w:r>
      <w:r>
        <w:rPr>
          <w:rtl w:val="true"/>
        </w:rPr>
        <w:t>فی تعریف الصحابی والتابعی‌</w:t>
      </w:r>
      <w:bookmarkEnd w:id="692"/>
    </w:p>
    <w:p>
      <w:pPr>
        <w:pStyle w:val="BookText"/>
        <w:rPr/>
      </w:pPr>
      <w:r>
        <w:rPr>
          <w:rFonts w:ascii="IRNazanin" w:hAnsi="IRNazanin" w:eastAsia="IRNazanin"/>
          <w:color w:val="111111"/>
          <w:sz w:val="28"/>
          <w:sz w:val="28"/>
          <w:szCs w:val="28"/>
          <w:rtl w:val="true"/>
          <w:lang w:bidi="fa-IR"/>
        </w:rPr>
        <w:t>اختلفت کلمات علماء أهل السنّة فی تعریف الصحابی، إذ أنّهم لم یحدّدوها تحدیداً دقیقاً جامعاً ومانعاً، سعة وضیقاً، وإلیک بعض نصوصهم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 ولا نعدّه إلّامن أقام مع رسول اللَّه صلی الله علیه و آله و سلم سنة أو سنتین وغزا معه غزوة أو غزوتین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أهل العلم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رأی رسول اللَّه وقد أدرک فأسلم وعقل أمر الدین ورضیه فهو عندنا ممّن صحب رسول اللَّه، ولو ساعة من نهار، ولکن أصحابه علی طبقاتهم وتقدّمهم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رسول اللَّه کلّ مَن صحبه شهراً أو یوماً أو ساعة أو رآه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 رسول اللَّه أو رآه من المسلمین فهو من أصحابه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التابعی فیختلف مفهومهم فیه حسب اختلافهم فی مفهوم الصحابی، فهو مَن لم یر النبی ولکن یری مَن رآه من الصحابة، فیتحدد مفهومه حسب تحدید مفهوم الصحابة</w:t>
      </w:r>
      <w:r>
        <w:rPr>
          <w:rFonts w:eastAsia="IRNazanin" w:cs="IRNazanin"/>
          <w:color w:val="111111"/>
          <w:sz w:val="28"/>
          <w:szCs w:val="28"/>
          <w:rtl w:val="true"/>
          <w:lang w:bidi="fa-IR"/>
        </w:rPr>
        <w:t>.</w:t>
      </w:r>
      <w:bookmarkStart w:id="693" w:name="pg1680_13192"/>
    </w:p>
    <w:p>
      <w:pPr>
        <w:pStyle w:val="Heading4"/>
        <w:numPr>
          <w:ilvl w:val="3"/>
          <w:numId w:val="1"/>
        </w:numPr>
        <w:rPr/>
      </w:pPr>
      <w:bookmarkStart w:id="694" w:name="__RefHeading___Toc1401256_3650668749"/>
      <w:bookmarkStart w:id="695" w:name="_Toc266"/>
      <w:bookmarkEnd w:id="693"/>
      <w:bookmarkEnd w:id="694"/>
      <w:r>
        <w:rPr/>
        <w:t>2</w:t>
      </w:r>
      <w:r>
        <w:rPr>
          <w:rtl w:val="true"/>
        </w:rPr>
        <w:t xml:space="preserve">- </w:t>
      </w:r>
      <w:r>
        <w:rPr>
          <w:rtl w:val="true"/>
        </w:rPr>
        <w:t>تأثیر الصحبة فی النفوس‌</w:t>
      </w:r>
      <w:bookmarkEnd w:id="695"/>
    </w:p>
    <w:p>
      <w:pPr>
        <w:pStyle w:val="BookText"/>
        <w:rPr/>
      </w:pPr>
      <w:r>
        <w:rPr>
          <w:rFonts w:ascii="Amiri" w:hAnsi="Amiri" w:eastAsia="Amiri" w:cs="Amiri"/>
          <w:color w:val="111111"/>
          <w:sz w:val="28"/>
          <w:sz w:val="28"/>
          <w:szCs w:val="28"/>
          <w:rtl w:val="true"/>
          <w:lang w:bidi="ar-SA"/>
        </w:rPr>
        <w:t>لا شکّ انّ للصحبة تأثیراً فی النفوس من غیر فرق بین کون المصاحَب مصاحَب سوء أو غیره، فلذلک نری أنّ المجرم یوم القیامة یتمنّی عدم اتّخاذ فلان خلیلًا، یقول سبحانه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ویقول أیضاً حاکیاً عن الخلّة والصحبة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فإذا کان لصحبة السوء تأثیر فی تکوین شخصیة الإنسان، فلصحبة الأخیار تأثیر فی النفوس القابلة المستعدة، فربما ترفعه إلی منزلة عالیة، وهذا شی‌ء یلمسه کلّ إنسان فی واقعه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 لصحبة الأخیار أثراً تربویاً، ولکن مدی تأثیرها یختلف حسب اختلاف عناصر ثلاثة،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الصحبة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فلا شکّ انّ الإنسان الواقع فی إطار التربیة إذا کان إنساناً یافعاً أو فی عنفوان الشباب یکون قلبه وروحه کالأرض الخالیة تنبت ما أُلقی فیها، فربما تُکوّن الصحبةُ شخصیة کاملة تعدّ مثلًا للفضل والفضیلة، وهذا بخلاف ما إذا کان طاعناً فی السن، واکتملت شخصیّته الروحیة والفکریة، فإنّ النفوذ فی النفوس المکتملة الشخصیة والتأثیر علیها والثورة علی أفکارها وروحیاتها واتجاهاتها، أمر صعب، فیکون تأثیر الصحبة أقل بمراتب من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لا یحتاج إلی البیان، فکما أنّ البشر یختلفون فی تقبّل العلم، فهکذا هم یختلفون فی مقدار قبول الهدایة الإلهیة، ولهذا نری أنّ من تخرّجوا عن مدرسة الرسول یختلفون إیماناً وإیثاراً وأخلاقاً و سلوکاً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أی‌مقدار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مختلفین فیه، فبعضهم صحب النبی صلی الله علیه و آله و سلم من بدء البعثة إلی لحظة الرحلة، وبعضهم أسلم بعد البعثة وقبل الهجرة، وکثیر منهم أسلموا بعد الهجرة وربما أدرکوا من الصحبة سنة أو شهراً أو أیّاماً أو ساعة، فهل یصحّ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صحبة ما، قلعت ما فی نفوسهم جمیعاً، من جذور غیر صالحة وملکات ردیة، وکوّنت منهم شخصیات ممتازة أعلی وأجل من أن یقعوا فی إطار التعدیل والجرح؟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العوامل تدلّ علی أنّ تأثیر صحبة الرسول صلی الله علیه و آله و سلم لم یکن علی نحو یجعل الجمیع علی حدّ سواء من الإیمان والفضل والتقوی والإیثار</w:t>
      </w:r>
    </w:p>
    <w:p>
      <w:pPr>
        <w:pStyle w:val="BookText"/>
        <w:rPr/>
      </w:pPr>
      <w:r>
        <w:rPr>
          <w:rFonts w:ascii="IRNazanin" w:hAnsi="IRNazanin" w:eastAsia="IRNazanin"/>
          <w:color w:val="111111"/>
          <w:sz w:val="28"/>
          <w:sz w:val="28"/>
          <w:szCs w:val="28"/>
          <w:rtl w:val="true"/>
          <w:lang w:bidi="fa-IR"/>
        </w:rPr>
        <w:t>والزهد والخیر، ومادامت هذه الاختلافات سائدة علیهم فمن البعید أن نجعلهم علی غرار واحد ونزن الکل بصاع معیّن، ونحکم علی الکلّ بصفاء النفس، والتجافی عن زخارف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صحبة الصحابة لم تکن أشدّ ولا أقوی ولا أطول من صحبة امرأة نوح وامرأة لوط، فقد صحبتا زوجیهما الکریمین، ولبثتا معهما لیلًا ونهاراً ولکن هذه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أغنت عنهما من اللَّه شیئاً،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إنّ التشرّف بصحبة النبی لم یکن أکثر امتیازاً وتأثیراً من التشرّف بزوجیة النبی، وقد قال سبحانه فی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 وَکانَ ذلِکَ عَلی اللَّهِ یَسیراً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وأنت تری الکتاب العزیز یندّد بنساء النبی صلی الله علیه و آله و سلم لأجل کشف سره ویعاتبهنّ فی 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النبیّ إِلی بَعْضِ أَزْواجِهِ حدیثاً فَلَما نَبّأت بِهِ وَأَظهرهُ اللَّه عَلیهِ عَرّف بعضه وَأعرض عَنْ بَعض فَلَما نبّأها به قالَتْ مَنْ</w:t>
      </w:r>
    </w:p>
    <w:p>
      <w:pPr>
        <w:pStyle w:val="BookText"/>
        <w:rPr/>
      </w:pPr>
      <w:r>
        <w:rPr>
          <w:rFonts w:ascii="Amiri" w:hAnsi="Amiri" w:eastAsia="Amiri" w:cs="Amiri"/>
          <w:color w:val="111111"/>
          <w:sz w:val="28"/>
          <w:sz w:val="28"/>
          <w:szCs w:val="28"/>
          <w:rtl w:val="true"/>
          <w:lang w:bidi="ar-SA"/>
        </w:rPr>
        <w:t>أنْبأک هذا قال نبّأنی العَلیمُ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فأی عتاب أشدّ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أی‌مالت قلوبکما عن الحقّ،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تَظاهرا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عن وجود أرضیة فیهن للتظاهر ضدّ النبی صلی الله علیه و آله و سلم وخلافه، وهو سبحانه أخبر عن إخقاق أُمنیتهنّ، لأنّ اللَّه ناصر النبی وجبرئیل وصالح المؤمنین والملائکة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ینبئ عن أنّ الصحبة لیست علّة تامة لتحویل المصاحِب إلی إنسان عادل صالح خائف من اللَّه، ناءٍ عن اقتراف السیّئات، حقیرة کانت أو کبیرة، بل هی مقتضیة لصلاح الإنسان إذا کان فیه قابلیة للاستضاءة، وعزم للاستفاضة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هذا انّ للصحبة تأثیراً متفاوتاً ولیست علی وتیرة واحدة</w:t>
      </w:r>
      <w:r>
        <w:rPr>
          <w:rFonts w:eastAsia="IRNazanin" w:cs="IRNazanin"/>
          <w:color w:val="111111"/>
          <w:sz w:val="28"/>
          <w:szCs w:val="28"/>
          <w:rtl w:val="true"/>
          <w:lang w:bidi="fa-IR"/>
        </w:rPr>
        <w:t>.</w:t>
      </w:r>
      <w:bookmarkStart w:id="696" w:name="pg1680_13201"/>
    </w:p>
    <w:p>
      <w:pPr>
        <w:pStyle w:val="Heading4"/>
        <w:numPr>
          <w:ilvl w:val="3"/>
          <w:numId w:val="1"/>
        </w:numPr>
        <w:rPr/>
      </w:pPr>
      <w:bookmarkStart w:id="697" w:name="__RefHeading___Toc1401258_3650668749"/>
      <w:bookmarkStart w:id="698" w:name="_Toc267"/>
      <w:bookmarkEnd w:id="696"/>
      <w:bookmarkEnd w:id="697"/>
      <w:r>
        <w:rPr/>
        <w:t>3</w:t>
      </w:r>
      <w:r>
        <w:rPr>
          <w:rtl w:val="true"/>
        </w:rPr>
        <w:t xml:space="preserve">- </w:t>
      </w:r>
      <w:r>
        <w:rPr>
          <w:rtl w:val="true"/>
        </w:rPr>
        <w:t>العدالة ملکة تدریجیة الحصول‌</w:t>
      </w:r>
      <w:bookmarkEnd w:id="698"/>
    </w:p>
    <w:p>
      <w:pPr>
        <w:pStyle w:val="BookText"/>
        <w:rPr/>
      </w:pPr>
      <w:r>
        <w:rPr>
          <w:rFonts w:ascii="IRNazanin" w:hAnsi="IRNazanin" w:eastAsia="IRNazanin"/>
          <w:color w:val="111111"/>
          <w:sz w:val="28"/>
          <w:sz w:val="28"/>
          <w:szCs w:val="28"/>
          <w:rtl w:val="true"/>
          <w:lang w:bidi="fa-IR"/>
        </w:rPr>
        <w:t>إنّ العدالة ملکة کسائر الملکات والّتی منها ملکة الاجتهاد وسائر الشؤون العلمیة تتحقّق فی الإنسان غب ممارسات ومجاهدات تستغرق زمناً حتّی یبلغ الإنسان مستوی رفیعاً یستقر فی النفس طول عمره ولا یزول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النحوی إذا مارس المسائل النحویة مدة مدیدة تحصل له ملکة الإجابة عن کلّ ما یطرح من الأسئلة والأمثلة ویقوم بتحلیلها علی ضوء 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العدالة فهی ملکة نفسانیة أو خشیة إلهیة مستقرة فی النفس تصده عن ارتکاب المعاصی ومخالفة السنن والقوانین الإلهیة، حتّی ولو غلبت علیه القوی الحیوانیة مرة فأنّه یرجع نادماً مستغفراً ولا یعود إلی ذلک فی فترة قریبة، وبذلک فهو یفترق عن المعصوم حیث إنّه لا تغلبه القوی الحیوانیة ولا تتغلب علیه طیلة عمره مع بقاء قدرته علی الخلاف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هو واقع الملکة فکیف یمکن التصدیق بنظریة عدالة الصحابة بمجرد رؤیة أحدهم للنبی الأکرم صلی الله علیه و آله و سلم مرة واحدة أو یوماً أو شهراً أو أکثر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یبعثنا إلی القول بأنّ الصحابة کسائر الناس، أو کالتابعین فیهم عادل وغیر عادل، صالح وغیر صالح</w:t>
      </w:r>
      <w:r>
        <w:rPr>
          <w:rFonts w:eastAsia="IRNazanin" w:cs="IRNazanin"/>
          <w:color w:val="111111"/>
          <w:sz w:val="28"/>
          <w:szCs w:val="28"/>
          <w:rtl w:val="true"/>
          <w:lang w:bidi="fa-IR"/>
        </w:rPr>
        <w:t>.</w:t>
      </w:r>
      <w:bookmarkStart w:id="699" w:name="pg1680_13203"/>
    </w:p>
    <w:p>
      <w:pPr>
        <w:pStyle w:val="Heading4"/>
        <w:numPr>
          <w:ilvl w:val="3"/>
          <w:numId w:val="1"/>
        </w:numPr>
        <w:rPr/>
      </w:pPr>
      <w:bookmarkStart w:id="700" w:name="__RefHeading___Toc1401260_3650668749"/>
      <w:bookmarkStart w:id="701" w:name="_Toc268"/>
      <w:bookmarkEnd w:id="699"/>
      <w:bookmarkEnd w:id="700"/>
      <w:r>
        <w:rPr/>
        <w:t>4</w:t>
      </w:r>
      <w:r>
        <w:rPr>
          <w:rtl w:val="true"/>
        </w:rPr>
        <w:t xml:space="preserve">- </w:t>
      </w:r>
      <w:r>
        <w:rPr>
          <w:rtl w:val="true"/>
        </w:rPr>
        <w:t>أصناف الصحابة فی الکتاب‌</w:t>
      </w:r>
      <w:bookmarkEnd w:id="701"/>
    </w:p>
    <w:p>
      <w:pPr>
        <w:pStyle w:val="BookText"/>
        <w:rPr/>
      </w:pPr>
      <w:r>
        <w:rPr>
          <w:rFonts w:ascii="IRNazanin" w:hAnsi="IRNazanin" w:eastAsia="IRNazanin"/>
          <w:color w:val="111111"/>
          <w:sz w:val="28"/>
          <w:sz w:val="28"/>
          <w:szCs w:val="28"/>
          <w:rtl w:val="true"/>
          <w:lang w:bidi="fa-IR"/>
        </w:rPr>
        <w:t>أنّ القرآن الکریم یصنّف صحابة النبیّ صلی الله علیه و آله و سلم إلی أصناف مختلفة من غیر فرق بین البدری و غیره، ومِن غیر فرق بین من آمن قبل الحدیبیة أو بعده، التحق بالمسلمین قبل الفتح أو بعده، وإلیک رؤوس هذه الطوائف مع الإشارة إلی مواضعها فی القرآن الکریم،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المنافقون المعروفون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المندسّون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مخالطو العمل الصالح بغیره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المشرفون علی الارتداد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المسلمون غیر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المولّون أمام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الأصناف العشرة من صحابة النبیّ لا یمکن وصفها بالعدالة والتقوی کما لا یمکن القول بشمول الآیات المادحة لهؤلاء، وإلّا یلزم التناقض فی مدلول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القرآن الکریم یتنبّأ بارتداد لفیف من الصحابة بعد رحیل الرسول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والآیة وإن کانت قضیة شرطیة، والقضیة الشرطیة لا تدلّ علی وقوع طرفیها، ولکنّها تدلّ بمضمونها علی أنّ فی صحابة الرسول فی عصر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سیرته وأعماله تدلّ علی إمکان ارتداده بعد رحیل الرسول، وعند ذلک کیف یمکن أن نکیل جمیع الصحابة بمکیال واحد حتّی الأُحدیین؟ فکیف بمن آمن بعدهم ویعدّ دونهم؟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الآیات إذا انضمت إلی الآیات المادحة یخرج المفسر بنتیجة واحدة، وهی انّ مَن صحب النبی کان بین صالح وطالح، و بین من یُستدر به الغمام ومن لا یساوی إیمانه شیئاً</w:t>
      </w:r>
      <w:r>
        <w:rPr>
          <w:rFonts w:eastAsia="IRNazanin" w:cs="IRNazanin"/>
          <w:color w:val="111111"/>
          <w:sz w:val="28"/>
          <w:szCs w:val="28"/>
          <w:rtl w:val="true"/>
          <w:lang w:bidi="fa-IR"/>
        </w:rPr>
        <w:t>.</w:t>
      </w:r>
      <w:bookmarkStart w:id="702" w:name="pg1680_13207"/>
    </w:p>
    <w:p>
      <w:pPr>
        <w:pStyle w:val="Heading4"/>
        <w:numPr>
          <w:ilvl w:val="3"/>
          <w:numId w:val="1"/>
        </w:numPr>
        <w:rPr/>
      </w:pPr>
      <w:bookmarkStart w:id="703" w:name="__RefHeading___Toc1401262_3650668749"/>
      <w:bookmarkStart w:id="704" w:name="_Toc269"/>
      <w:bookmarkEnd w:id="702"/>
      <w:bookmarkEnd w:id="703"/>
      <w:r>
        <w:rPr/>
        <w:t>5</w:t>
      </w:r>
      <w:r>
        <w:rPr>
          <w:rtl w:val="true"/>
        </w:rPr>
        <w:t xml:space="preserve">- </w:t>
      </w:r>
      <w:r>
        <w:rPr>
          <w:rtl w:val="true"/>
        </w:rPr>
        <w:t>الصحابة أعرف بحالهم من غیرهم‌</w:t>
      </w:r>
      <w:bookmarkEnd w:id="704"/>
    </w:p>
    <w:p>
      <w:pPr>
        <w:pStyle w:val="BookText"/>
        <w:rPr/>
      </w:pPr>
      <w:r>
        <w:rPr>
          <w:rStyle w:val="FootnoteAnchor"/>
          <w:rtl w:val="true"/>
        </w:rPr>
        <w:footnoteReference w:id="445"/>
      </w:r>
      <w:r>
        <w:rPr>
          <w:rFonts w:ascii="IRNazanin" w:hAnsi="IRNazanin" w:eastAsia="IRNazanin"/>
          <w:color w:val="111111"/>
          <w:sz w:val="28"/>
          <w:sz w:val="28"/>
          <w:szCs w:val="28"/>
          <w:rtl w:val="true"/>
          <w:lang w:bidi="fa-IR"/>
        </w:rPr>
        <w:t>إنّ من سبر تاریخ الصحابة بعد رحیل رسول اللَّه صلی الله علیه و آله و سلم، یجد فیه صفحات ملیئة بألوان الصراع والنزاع بینهم، حافلة بتبادل التّهم والشتائم، بل تجاوز الأمر بهم إلی التقاتل وسفک الدماء، فکم من بدری وأُحدی انتُهکت حرمته، وصُبّ علیه العذاب صبّاً، أو أُریق دمه بید صحابی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یختلف فیه اثنان، بید أنّ الذی ینبغی التنبیه علیه، هو أنّ کلًا من المتصارعین، کان یعتقد أنّ خصمه متنکّبٌ عن جادة الصواب، وأنّه مستحقّ للعقاب أو القتل، وهذا الاعتقاد حتّی وإن کان نابعاً عن اجتهاد، فإنّه یکشف عن أنّ کلًا من الفئتین المختلفتین لم تکن تعتقد بعدالة الفئة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الصحابی یعتقد أنّ خصمه عادل عن الحق ومجانب لشریعة اللَّه ورسوله، وهو علی أساس ذلک یبیح سلّ السیف علیه وقتله، فکیف یجوز لنا نحن أن نحکم بعدالتهم ونزاهتهم جمیعاً، وأن نضفی علیهم ثوب القدسیّة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ونُبرّأهم من کل زیغ وانحراف؟</w:t>
      </w:r>
    </w:p>
    <w:p>
      <w:pPr>
        <w:pStyle w:val="BookText"/>
        <w:rPr/>
      </w:pPr>
      <w:r>
        <w:rPr>
          <w:rFonts w:ascii="IRNazanin" w:hAnsi="IRNazanin" w:eastAsia="IRNazanin"/>
          <w:color w:val="111111"/>
          <w:sz w:val="28"/>
          <w:sz w:val="28"/>
          <w:szCs w:val="28"/>
          <w:rtl w:val="true"/>
          <w:lang w:bidi="fa-IR"/>
        </w:rPr>
        <w:t>أو لیس الإنسان أعرف بحاله وأبصر بروحیّاته؟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 الصحابة أعرف منّا بنوازع أنفسهم، وبنفسیات أبناء جیلهم؟</w:t>
      </w:r>
    </w:p>
    <w:p>
      <w:pPr>
        <w:pStyle w:val="BookText"/>
        <w:rPr/>
      </w:pPr>
      <w:r>
        <w:rPr>
          <w:rFonts w:ascii="IRNazanin" w:hAnsi="IRNazanin" w:eastAsia="IRNazanin"/>
          <w:color w:val="111111"/>
          <w:sz w:val="28"/>
          <w:sz w:val="28"/>
          <w:szCs w:val="28"/>
          <w:rtl w:val="true"/>
          <w:lang w:bidi="fa-IR"/>
        </w:rPr>
        <w:t>ووراء هذا ما دار بینهم من کلمات تکشف عن اعتقاد بعضهم فی حق بعض، فالاتّهام بالکذب والنفاق والشتم والسب کان من أیسر الأُمور المتداولة بینهم، فهذا هو سعد بن عبادة سیّد الخزرج، یخاطب سعد بن معاذ، وهو سید الأوس وینسبه إلی الکذب کما حکاه البخاری فی صحیحه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سعد بن عبادة وهو سید الخزرج فقال 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أُسید بن حضیر وهو ابن عم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لعمر اللَّه لنقتلنّه فإنّک منافق تجادل عن المنافقین، فتثاور الحیّان حتّی همّوا أن یقتتلوا ورسول اللَّه قائم علی المنبر، فلم یزل رسول اللَّه یخفِّضهم حتّی سکتوا وسکت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ولیست هذه القضیة فریدة فی بابها فلها عشرات النظائر فی الصحاح والمسانید وفی غضون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ذکرته لیکون کنموذج لما لم أذکر، وسیوافیک فی البحوث التالیة نماذج من أفعالهم وأقوالهم التی یکشف عن اعتقادهم فی حقّ مخالفیهم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 من العجب العجاب، انّ الصحابی یصف صحابیاً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محضر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والآخر یصف خصمه بالنفاق، وکلا الرجلین من جبهة الأنصار وسنامهم؟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الذین جاءوا بعدهم یصفونهم بالعدل والتقوی، والزهد والتجافی عن الدنیا، وهل سمعت ظئراً أرحم بالطفل من أُمّه</w:t>
      </w:r>
      <w:r>
        <w:rPr>
          <w:rFonts w:eastAsia="IRNazanin" w:cs="IRNazanin"/>
          <w:color w:val="111111"/>
          <w:sz w:val="28"/>
          <w:szCs w:val="28"/>
          <w:rtl w:val="true"/>
          <w:lang w:bidi="fa-IR"/>
        </w:rPr>
        <w:t>.</w:t>
      </w:r>
      <w:r>
        <w:rPr>
          <w:rStyle w:val="FootnoteAnchor"/>
          <w:rtl w:val="true"/>
        </w:rPr>
        <w:footnoteReference w:id="447"/>
      </w:r>
      <w:bookmarkStart w:id="705" w:name="pg1680_13211"/>
    </w:p>
    <w:p>
      <w:pPr>
        <w:pStyle w:val="Heading4"/>
        <w:numPr>
          <w:ilvl w:val="3"/>
          <w:numId w:val="1"/>
        </w:numPr>
        <w:rPr/>
      </w:pPr>
      <w:bookmarkStart w:id="706" w:name="__RefHeading___Toc1401264_3650668749"/>
      <w:bookmarkStart w:id="707" w:name="_Toc270"/>
      <w:bookmarkEnd w:id="705"/>
      <w:bookmarkEnd w:id="706"/>
      <w:r>
        <w:rPr/>
        <w:t>6</w:t>
      </w:r>
      <w:r>
        <w:rPr>
          <w:rtl w:val="true"/>
        </w:rPr>
        <w:t xml:space="preserve">- </w:t>
      </w:r>
      <w:r>
        <w:rPr>
          <w:rtl w:val="true"/>
        </w:rPr>
        <w:t>القرآن الکریم وعدالة الصحابة</w:t>
      </w:r>
      <w:bookmarkEnd w:id="707"/>
    </w:p>
    <w:p>
      <w:pPr>
        <w:pStyle w:val="Heading5"/>
        <w:numPr>
          <w:ilvl w:val="4"/>
          <w:numId w:val="1"/>
        </w:numPr>
        <w:rPr/>
      </w:pPr>
      <w:bookmarkStart w:id="708" w:name="__RefHeading___Toc1401266_3650668749"/>
      <w:bookmarkStart w:id="709" w:name="_Toc271"/>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إنّ القرآن الکریم فی مختلف سوره وآیاته ینقد أقوال الصحابة وأفعالهم بوضوح کما أنّه فی بعض آیاته یثنی علی طائفة منهم، فمن الخطأ أن نرکّز علی طائفة دون طائفة، فها نحن ندرس فی هذا الفصل بعض الآیات التی تنقد أفعالهم وآراءهم</w:t>
      </w:r>
      <w:r>
        <w:rPr>
          <w:rFonts w:eastAsia="IRNazanin" w:cs="IRNazanin"/>
          <w:color w:val="111111"/>
          <w:sz w:val="28"/>
          <w:szCs w:val="28"/>
          <w:rtl w:val="true"/>
          <w:lang w:bidi="fa-IR"/>
        </w:rPr>
        <w:t>.</w:t>
      </w:r>
    </w:p>
    <w:p>
      <w:pPr>
        <w:pStyle w:val="Heading5"/>
        <w:numPr>
          <w:ilvl w:val="4"/>
          <w:numId w:val="1"/>
        </w:numPr>
        <w:rPr/>
      </w:pPr>
      <w:bookmarkStart w:id="710" w:name="__RefHeading___Toc1401268_3650668749"/>
      <w:bookmarkStart w:id="711" w:name="_Toc272"/>
      <w:bookmarkEnd w:id="710"/>
      <w:r>
        <w:rPr>
          <w:rtl w:val="true"/>
        </w:rPr>
        <w:t>أ</w:t>
      </w:r>
      <w:r>
        <w:rPr>
          <w:rtl w:val="true"/>
        </w:rPr>
        <w:t xml:space="preserve">. </w:t>
      </w:r>
      <w:r>
        <w:rPr>
          <w:rtl w:val="true"/>
        </w:rPr>
        <w:t>تنبّؤ القرآن بارتداد لفیف من الصحابة</w:t>
      </w:r>
      <w:bookmarkEnd w:id="711"/>
    </w:p>
    <w:p>
      <w:pPr>
        <w:pStyle w:val="BookText"/>
        <w:rPr/>
      </w:pPr>
      <w:r>
        <w:rPr>
          <w:rFonts w:ascii="IRNazanin" w:hAnsi="IRNazanin" w:eastAsia="IRNazanin"/>
          <w:color w:val="111111"/>
          <w:sz w:val="28"/>
          <w:sz w:val="28"/>
          <w:szCs w:val="28"/>
          <w:rtl w:val="true"/>
          <w:lang w:bidi="fa-IR"/>
        </w:rPr>
        <w:t>القرآن یتنبّأ بإمکان ارتداد بعض الصحابة بعد رحیل الرسول صلی الله علیه و آله و سلم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لمّا انهزم من انهزم من المسلمین یوم أُحد وقتل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الشیطان علی أنّ محمّداً صلی الله علیه و آله و سلم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ذلک فی قلوب کثیر من الناس واعتقدوا أنّ رسول اللَّه صلی الله علیه و آله و سلم قد قتل وجوّزوا علیه ذلک، فحصل ضعف ووهن وتأخّر عن القتال، روی ابن نجیح عن أبیه إنّ رجلًا من المهاجرین مرّ علی رجل من الأنصار وهو یتشحّط فی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أشعرت أنّ محمّداً صلی الله علیه و آله و سلم قتل؟ فقال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محمّد قد قتل فقد بلّغ، فقاتلوا عن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w:t>
      </w:r>
      <w:bookmarkStart w:id="712" w:name="pg1680_13213"/>
    </w:p>
    <w:p>
      <w:pPr>
        <w:pStyle w:val="BookText"/>
        <w:rPr/>
      </w:pPr>
      <w:bookmarkEnd w:id="712"/>
      <w:r>
        <w:rPr>
          <w:rFonts w:ascii="Amiri" w:hAnsi="Amiri" w:eastAsia="Amiri" w:cs="Amiri"/>
          <w:color w:val="111111"/>
          <w:sz w:val="28"/>
          <w:sz w:val="28"/>
          <w:szCs w:val="28"/>
          <w:rtl w:val="true"/>
          <w:lang w:bidi="ar-SA"/>
        </w:rPr>
        <w:t>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قال 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وقعة أُحد مقدّمة وإرهاصاً بین یدی محمّد صلی الله علیه و آله و سلم ونبّأهم ووبّخهم علی انقلابهم علی أعقابهم إن مات رسول اللَّه أو قتل</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والظاهر من الارتداد هو الأعمّ من الارتداد عن الدین الذی جاهر به بعض المنافقین والارتداد عن العمل کالجهاد ومکافحة الأعداء وتأیید الحقّ وإنساء ما أوصی به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الآیة تخبر عن إمکانیة الانقلاب علی الأعقاب بعد رحیل الرسول، فهل یمکن أن یوصف بالعدالة التامّة الّتی هی أُخت العصمة من کان یُحتمل فیه تلک الإمکانیة؟ ولذلک تری أنّهم لا یرضون بنقد آراء الصحابة وأقوالهم</w:t>
      </w:r>
      <w:r>
        <w:rPr>
          <w:rFonts w:eastAsia="IRNazanin" w:cs="IRNazanin"/>
          <w:color w:val="111111"/>
          <w:sz w:val="28"/>
          <w:szCs w:val="28"/>
          <w:rtl w:val="true"/>
          <w:lang w:bidi="fa-IR"/>
        </w:rPr>
        <w:t>.</w:t>
      </w:r>
    </w:p>
    <w:p>
      <w:pPr>
        <w:pStyle w:val="Heading5"/>
        <w:numPr>
          <w:ilvl w:val="4"/>
          <w:numId w:val="1"/>
        </w:numPr>
        <w:rPr/>
      </w:pPr>
      <w:bookmarkStart w:id="713" w:name="__RefHeading___Toc1401270_3650668749"/>
      <w:bookmarkStart w:id="714" w:name="_Toc273"/>
      <w:bookmarkEnd w:id="713"/>
      <w:r>
        <w:rPr>
          <w:rtl w:val="true"/>
        </w:rPr>
        <w:t>ب</w:t>
      </w:r>
      <w:r>
        <w:rPr>
          <w:rtl w:val="true"/>
        </w:rPr>
        <w:t xml:space="preserve">. </w:t>
      </w:r>
      <w:r>
        <w:rPr>
          <w:rtl w:val="true"/>
        </w:rPr>
        <w:t>ترک الرسول قائماً وهو یخطب‌</w:t>
      </w:r>
      <w:bookmarkEnd w:id="71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رسول اللَّه صلی الله علیه و آله و سلم یخطب الجمعة قدمت عیر المدینة فابتدرها أصحاب رسول اللَّه صلی الله علیه و آله و سلم حتّی لم یبق معه إلّااثنا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 تتابعتم حتّی لا یبقی منکم أحد سال لکم الوادی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انفضّوا إِلیها</w:t>
      </w:r>
    </w:p>
    <w:p>
      <w:pPr>
        <w:pStyle w:val="BookText"/>
        <w:rPr/>
      </w:pPr>
      <w:r>
        <w:rPr>
          <w:rFonts w:ascii="Amiri" w:hAnsi="Amiri" w:eastAsia="Amiri" w:cs="Amiri"/>
          <w:color w:val="111111"/>
          <w:sz w:val="28"/>
          <w:sz w:val="28"/>
          <w:szCs w:val="28"/>
          <w:rtl w:val="true"/>
          <w:lang w:bidi="ar-SA"/>
        </w:rPr>
        <w:t>وَتَرَکُوکَ قائِماً قُلْ ما عِنْدَ اللَّه خَیْرٌ مِنَ اللَّهو وَ مِنَ التِّجارَةِ وَاللَّهُ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یعاتب تبارک وتعالی علی ما کان وقع، من الانصراف عن الخطبة یوم الجمعة إلی التجارة التی قدمت المدینة یومئذ، فقال تعالی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رأوا تجارة أو لهواً انفضّوا إِلیها وترکوک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أی‌علی المنبر تخطب، هکذا ذکره غیر واحد من التابعین منهم أبو العالیة والحسن وزید بن أسلم وقتادة، وزعم ابن حبّان أنّ التجارة کانت لدحیة بن خلیفة قبل أن یسلم وکان معها طبل، فانصرفوا إلیها وترکوا رسول اللَّه صلی الله علیه و آله و سلم قائماً علی المنبر إلّا القلیل منهم، وقد صحّ بذلک الخبر، فقال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إدریس، عن حصین بن سالم بن أبی الجعد،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غیر مرّة المدینة ورسول اللَّه صلی الله علیه و آله و سلم یخطب فخرج الناس وبقی اثنا عشر رجلًا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رأوا تجارة أو لهواً انفضّوا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أخرجاه فی الصحیحین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أفمن یقدّم اللهو والتجارة علی ذکر اللَّه ویستخفّ بالنبیّ، یکون ذا ملکة نفسانیة تحجزه عن اقتراف المعاصی واجتراح الکبائر، ما لکم کیف تحکمون؟</w:t>
      </w:r>
      <w:r>
        <w:rPr>
          <w:rFonts w:eastAsia="IRNazanin" w:cs="IRNazanin"/>
          <w:color w:val="111111"/>
          <w:sz w:val="28"/>
          <w:szCs w:val="28"/>
          <w:rtl w:val="true"/>
          <w:lang w:bidi="fa-IR"/>
        </w:rPr>
        <w:t>!</w:t>
      </w:r>
      <w:bookmarkStart w:id="715" w:name="pg1680_13218"/>
    </w:p>
    <w:p>
      <w:pPr>
        <w:pStyle w:val="Heading5"/>
        <w:numPr>
          <w:ilvl w:val="4"/>
          <w:numId w:val="1"/>
        </w:numPr>
        <w:rPr/>
      </w:pPr>
      <w:bookmarkStart w:id="716" w:name="__RefHeading___Toc1401272_3650668749"/>
      <w:bookmarkStart w:id="717" w:name="_Toc274"/>
      <w:bookmarkEnd w:id="715"/>
      <w:bookmarkEnd w:id="716"/>
      <w:r>
        <w:rPr>
          <w:rtl w:val="true"/>
        </w:rPr>
        <w:t>ج</w:t>
      </w:r>
      <w:r>
        <w:rPr>
          <w:rtl w:val="true"/>
        </w:rPr>
        <w:t xml:space="preserve">. </w:t>
      </w:r>
      <w:r>
        <w:rPr>
          <w:rtl w:val="true"/>
        </w:rPr>
        <w:t>الخیانة بالنکاح سرّاً</w:t>
      </w:r>
      <w:bookmarkEnd w:id="717"/>
    </w:p>
    <w:p>
      <w:pPr>
        <w:pStyle w:val="BookText"/>
        <w:rPr/>
      </w:pPr>
      <w:r>
        <w:rPr>
          <w:rFonts w:ascii="IRNazanin" w:hAnsi="IRNazanin" w:eastAsia="IRNazanin"/>
          <w:color w:val="111111"/>
          <w:sz w:val="28"/>
          <w:sz w:val="28"/>
          <w:szCs w:val="28"/>
          <w:rtl w:val="true"/>
          <w:lang w:bidi="fa-IR"/>
        </w:rPr>
        <w:t>شرّع اللَّه سبحانه صوم شهر رمضان وحرّم علی الصائم إذا نام لیلًا مجامعة النساء، فکان جماعة من المسلمین ینکحون سرّاً وهو محرّم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فی ابتداء الإسلام، هو إذا أفطر أحدهم إنّما یحلّ له الأکل والشرب والجماع إلی صلاة العشاء أو نام قبل ذلک فمتی نام أو صلّی العشاء حرم علیه الطعام والشراب والجماع إلی اللیلة القادمة، ثمّ إنّ أُناساً من المسلمین أصابوا من النساء والطعام فی شهر رمضان بعد العشاء، منهم عمر بن الخطاب، فشکوا ذلک إلی رسول اللَّه صلی الله علیه و آله و سلم فأنزل اللَّه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لَکُمْ لَیلةَ الصّیامِ الرَّفثُ إِلی نِسَائِکُمْ هُنَّ لِباسٌ لَکُمْ وَأَنتُمْ لِباسٌ لَهُنَّ عَلِمَ اللَّهُ أَنکُمّ کُنْتُمْ تَختانُونَ أَنفسکُمْ فتابَ عَلَیْکُمْ وَعَفا عَنْکُمْ فالآن باشِرُوهنَّ وابتَغُوا ما کَتَبَ اللَّه لَکُمْ </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یصحّ لنا أن نصف من خانوا أنفسهم بارتکاب الحرام بأنّهم عدول ذوی ملکة رادعة عن اقتراف الکبائر والإصرار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أکثرهم لم یکونوا حائزین تلک الملکة، وإنّما کانوا علی درجة متوسطة من الإیمان والتقوی وقد یغلب علیهم حبّ الدنیا ولذّاتها</w:t>
      </w:r>
      <w:r>
        <w:rPr>
          <w:rFonts w:eastAsia="IRNazanin" w:cs="IRNazanin"/>
          <w:color w:val="111111"/>
          <w:sz w:val="28"/>
          <w:szCs w:val="28"/>
          <w:rtl w:val="true"/>
          <w:lang w:bidi="fa-IR"/>
        </w:rPr>
        <w:t>.</w:t>
      </w:r>
      <w:bookmarkStart w:id="718" w:name="pg1680_13220"/>
    </w:p>
    <w:p>
      <w:pPr>
        <w:pStyle w:val="Heading5"/>
        <w:numPr>
          <w:ilvl w:val="4"/>
          <w:numId w:val="1"/>
        </w:numPr>
        <w:rPr/>
      </w:pPr>
      <w:bookmarkStart w:id="719" w:name="__RefHeading___Toc1401274_3650668749"/>
      <w:bookmarkStart w:id="720" w:name="_Toc275"/>
      <w:bookmarkEnd w:id="718"/>
      <w:bookmarkEnd w:id="719"/>
      <w:r>
        <w:rPr>
          <w:rtl w:val="true"/>
        </w:rPr>
        <w:t>د</w:t>
      </w:r>
      <w:r>
        <w:rPr>
          <w:rtl w:val="true"/>
        </w:rPr>
        <w:t xml:space="preserve">. </w:t>
      </w:r>
      <w:r>
        <w:rPr>
          <w:rtl w:val="true"/>
        </w:rPr>
        <w:t>خیانة بعض البدریّین‌</w:t>
      </w:r>
      <w:bookmarkEnd w:id="720"/>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لِنَبیّ أن یغُلَّ وَمَنْ یَغْلُل یَأْتِ بِما غَلَّ یَوم القِیامَةِ ثُمّ توفّی کُلّ نَفسٍ ما کَسَبَتْ وَهُمْ لا یُظْلمُون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قال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قطیفة حمراء فقدت یوم بدر،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رسول اللَّه أخذها فأکثروا فی ذلک،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لِنَبیّ أن یغلّ وَمَنْ یَغْلل یَأْتِ بِما غلّ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تنزیه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جمیع وجوه الخیانة فی أداء الأمانة وقسم الغنیمة، ثمّ تبیّن أنّه قد غلّ بعض أصحابه</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والآیة تعرب عن مدی حسن ظنّهم واعتقادهم برسول اللَّه صلی الله علیه و آله و سلم حتّی اتّهموه بالخیانة فی الأمانة وتقسیم الأموال، ثمّ تبین أنّه قد غلّه بعض أصحابه، فهؤلاء الجاهلون بمکانة النبی، أو من مارس الخیانة فی أموال المسلمین لا یوصفون بالعدالة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حال البدریین، لا الأعراب ولا الطلقاء ولا أبنائهم ولا المنافقین، فکیف حال من أتی بعدهم؟ ولعمری أنّ من یقرأ هذه الآیات البیّنات وما ورد حولها من الأحادیث والکلمات ثمّ یصرّ علی عدالة الصحابة جمیعاً دون تحقیق فقد ظلم نفسه وظلم أُمّته</w:t>
      </w:r>
      <w:r>
        <w:rPr>
          <w:rFonts w:eastAsia="IRNazanin" w:cs="IRNazanin"/>
          <w:color w:val="111111"/>
          <w:sz w:val="28"/>
          <w:szCs w:val="28"/>
          <w:rtl w:val="true"/>
          <w:lang w:bidi="fa-IR"/>
        </w:rPr>
        <w:t>.</w:t>
      </w:r>
      <w:bookmarkStart w:id="721" w:name="pg1680_13222"/>
    </w:p>
    <w:p>
      <w:pPr>
        <w:pStyle w:val="Heading5"/>
        <w:numPr>
          <w:ilvl w:val="4"/>
          <w:numId w:val="1"/>
        </w:numPr>
        <w:rPr/>
      </w:pPr>
      <w:bookmarkStart w:id="722" w:name="__RefHeading___Toc1401276_3650668749"/>
      <w:bookmarkStart w:id="723" w:name="_Toc276"/>
      <w:bookmarkEnd w:id="721"/>
      <w:bookmarkEnd w:id="722"/>
      <w:r>
        <w:rPr>
          <w:rtl w:val="true"/>
        </w:rPr>
        <w:t>ه</w:t>
      </w:r>
      <w:r>
        <w:rPr>
          <w:rtl w:val="true"/>
        </w:rPr>
        <w:t xml:space="preserve">. </w:t>
      </w:r>
      <w:r>
        <w:rPr>
          <w:rtl w:val="true"/>
        </w:rPr>
        <w:t>فاسق یغرّ النبیّ وأصحابه‌</w:t>
      </w:r>
      <w:bookmarkEnd w:id="723"/>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اللَّه سبحانه بالتثبت فی خبر الفاسق لیحتاط له لئلّا یحکم بقوله فیکون فی نفس الأمر کاذباً أو مخطئاً، 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کثیر من المفسّرین أنّ الآیة نزلت فی الولید بن عقبة بن أبی معیط حین بعثه رسول اللَّه صلی الله علیه و آله و سلم علی صدقات بنی المصطلق إلی حارث بن ضرار وهو رئیسهم لیقبض ما کان عنده ممّا جمع من الزکاة، فلمّا أن سار الولید حتّی بلغ بعض الطریق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حتّی أتی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الحارث قد منعنی الزکاة وأراد قتلی، فغضب رسول اللَّه صلی الله علیه و آله و سلم وبعث البعث إلی الحارث رضی الله عنه و أقبل الحارث بأصحابه حتّی إذا استقبل البعث وفصل عن المدینة لقیهم الحارث،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غشیهم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بعثتم؟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بعث إلیک الولید بن عقبة فزعم أنّک منعته الزکاة وأردت قتله، قال رضی الله عنه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بعث محمّداً صلی الله علیه و آله و سلم بالحقّ ما رأیته بتة ولا أتانی، فلمّا دخل الحارث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الزکاة و أردتَ قتل رسولی؟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بعثک بالحقّ ما رأیته ولا أتانی، وما أقبلت إلّاحین احتبس علیّ رسول اللَّه صلی الله علیه و آله و سلم خشیت أن تکون سخطة من اللَّه تعالی ورسوله، قال</w:t>
      </w:r>
      <w:r>
        <w:rPr>
          <w:rFonts w:eastAsia="IRNazanin" w:cs="IRNazanin"/>
          <w:color w:val="111111"/>
          <w:sz w:val="28"/>
          <w:szCs w:val="28"/>
          <w:rtl w:val="true"/>
          <w:lang w:bidi="fa-IR"/>
        </w:rPr>
        <w:t>:</w:t>
      </w:r>
      <w:bookmarkStart w:id="724" w:name="pg1680_13224"/>
    </w:p>
    <w:p>
      <w:pPr>
        <w:pStyle w:val="BookText"/>
        <w:rPr/>
      </w:pPr>
      <w:bookmarkEnd w:id="724"/>
      <w:r>
        <w:rPr>
          <w:rFonts w:ascii="Amiri" w:hAnsi="Amiri" w:eastAsia="Amiri" w:cs="Amiri"/>
          <w:color w:val="111111"/>
          <w:sz w:val="28"/>
          <w:sz w:val="28"/>
          <w:szCs w:val="28"/>
          <w:rtl w:val="true"/>
          <w:lang w:bidi="ar-SA"/>
        </w:rPr>
        <w:t>فنزلت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725" w:name="__RefHeading___Toc1401278_3650668749"/>
      <w:bookmarkStart w:id="726" w:name="_Toc277"/>
      <w:bookmarkEnd w:id="725"/>
      <w:r>
        <w:rPr>
          <w:rtl w:val="true"/>
        </w:rPr>
        <w:t>و</w:t>
      </w:r>
      <w:r>
        <w:rPr>
          <w:rtl w:val="true"/>
        </w:rPr>
        <w:t xml:space="preserve">. </w:t>
      </w:r>
      <w:r>
        <w:rPr>
          <w:rtl w:val="true"/>
        </w:rPr>
        <w:t>تنازعهم فی الغنائم إلی حدّ التخاصم‌</w:t>
      </w:r>
      <w:bookmarkEnd w:id="726"/>
    </w:p>
    <w:p>
      <w:pPr>
        <w:pStyle w:val="BookText"/>
        <w:rPr/>
      </w:pPr>
      <w:r>
        <w:rPr>
          <w:rFonts w:ascii="IRNazanin" w:hAnsi="IRNazanin" w:eastAsia="IRNazanin"/>
          <w:color w:val="111111"/>
          <w:sz w:val="28"/>
          <w:sz w:val="28"/>
          <w:szCs w:val="28"/>
          <w:rtl w:val="true"/>
          <w:lang w:bidi="fa-IR"/>
        </w:rPr>
        <w:t>إنّ صحابة النبی بعد انتصارهم علی المشرکین فی غزوة بدر، استولوا علی أموالهم وتنازعوا فیها إلی حدّ التخاصم، قال الذین جمعوا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حویناها وجمعناها فلیس لأحد فیها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الذین خرجوا فی طلب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أحقّ بها منّا ونحن منعنا عنه العدوّ وهزمناهم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الذین أحدقوا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بأحقّ بها منّا نحن أحدقنا برسول اللَّه صلی الله علیه و آله و سلم وخفنا أن یصیب العدوّ منه غرّة واشتغلنا به فنزل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والرَّسُولِ فاتَّقُوا اللَّه وأصلحوا ذات بَیْنِکم وأَطیعوا اللَّه ورسوله إِنْ کُنْتُمْ مُؤمنین</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أمامة عبادة عن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أصحاب بدر نزلت حین اختلفنا فی النفل وساءت فیه أخلاقنا، فانتزعه اللَّه من أیدینا وجعله إلی رسول اللَّه، فقسّمه رسول اللَّه بین المسلمین عن سواء</w:t>
      </w:r>
      <w:r>
        <w:rPr>
          <w:rFonts w:eastAsia="IRNazanin" w:cs="IRNazanin"/>
          <w:color w:val="111111"/>
          <w:sz w:val="28"/>
          <w:szCs w:val="28"/>
          <w:rtl w:val="true"/>
          <w:lang w:bidi="fa-IR"/>
        </w:rPr>
        <w:t>.</w:t>
      </w:r>
      <w:r>
        <w:rPr>
          <w:rStyle w:val="FootnoteAnchor"/>
          <w:rtl w:val="true"/>
        </w:rPr>
        <w:footnoteReference w:id="457"/>
      </w:r>
      <w:bookmarkStart w:id="727" w:name="pg1680_13226"/>
    </w:p>
    <w:p>
      <w:pPr>
        <w:pStyle w:val="BookText"/>
        <w:rPr/>
      </w:pPr>
      <w:bookmarkEnd w:id="727"/>
      <w:r>
        <w:rPr>
          <w:rFonts w:ascii="IRNazanin" w:hAnsi="IRNazanin" w:eastAsia="IRNazanin"/>
          <w:color w:val="111111"/>
          <w:sz w:val="28"/>
          <w:sz w:val="28"/>
          <w:szCs w:val="28"/>
          <w:rtl w:val="true"/>
          <w:lang w:bidi="fa-IR"/>
        </w:rPr>
        <w:t>وفی الآیة إلماعات إلی سوء أخلاقهم حیث یعظ سبحانه هؤلاء السائلین ویأمرهم بأُمور ثلاثة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أُمورکم وأصلحوا فیما بینکم ولا تظالموا ولا تخاصموا ولا تشاجروا، فما آتاکم اللَّه من الهدی والعلم خیر ممّا تختصمون بسببه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أی‌لا تسبّوا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أی‌لا تخالفوه و لا تشاجروا</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فالإمعان فی الآیات النازلة حول هؤلاء المتنازعین والروایات الواردة فی تفسیر الآیة، لا تدع مجالًا للشکّ فی أنّ لفیفاً من الحاضرین فی غزوة بدر لم یبلغوا مرحلة عالیة تمیزهم عن غیرهم، بل کانوا کسائر الناس الذین یتنازعون علی حطام الدنیا وزبرجها دون أن یستشیروا النبی صلی الله علیه و آله و سلم فی أمرها، ویسألونه عن حکمها، أفهؤلاء الذین کانوا یتنازعون علی حطام الدنیا، یصبحون مُثُلًا للفضیلة وکرامة النفس والطهارة؟</w:t>
      </w:r>
      <w:r>
        <w:rPr>
          <w:rFonts w:eastAsia="IRNazanin" w:cs="IRNazanin"/>
          <w:color w:val="111111"/>
          <w:sz w:val="28"/>
          <w:szCs w:val="28"/>
          <w:rtl w:val="true"/>
          <w:lang w:bidi="fa-IR"/>
        </w:rPr>
        <w:t>!</w:t>
      </w:r>
    </w:p>
    <w:p>
      <w:pPr>
        <w:pStyle w:val="Heading5"/>
        <w:numPr>
          <w:ilvl w:val="4"/>
          <w:numId w:val="1"/>
        </w:numPr>
        <w:rPr/>
      </w:pPr>
      <w:bookmarkStart w:id="728" w:name="__RefHeading___Toc1401280_3650668749"/>
      <w:bookmarkStart w:id="729" w:name="_Toc278"/>
      <w:bookmarkEnd w:id="728"/>
      <w:r>
        <w:rPr>
          <w:rtl w:val="true"/>
        </w:rPr>
        <w:t>ز</w:t>
      </w:r>
      <w:r>
        <w:rPr>
          <w:rtl w:val="true"/>
        </w:rPr>
        <w:t xml:space="preserve">. </w:t>
      </w:r>
      <w:r>
        <w:rPr>
          <w:rtl w:val="true"/>
        </w:rPr>
        <w:t>استحقاقهم مسّ عذاب عظیم‌</w:t>
      </w:r>
      <w:bookmarkEnd w:id="72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السنّة الجاریة فی الأنبیاء الماضین انّهم إذا حاربوا أعداءهم وظفروا بهم ینکّلون بهم بالقتل لیعتبر به من وراءهم حتّی یکفّوا عن عدائهم للَّه ورسوله، وکانوا لا یأخذون أسری حتّی یثخنوا فی الأرض</w:t>
      </w:r>
    </w:p>
    <w:p>
      <w:pPr>
        <w:pStyle w:val="BookText"/>
        <w:rPr/>
      </w:pPr>
      <w:r>
        <w:rPr>
          <w:rFonts w:ascii="IRNazanin" w:hAnsi="IRNazanin" w:eastAsia="IRNazanin"/>
          <w:color w:val="111111"/>
          <w:sz w:val="28"/>
          <w:sz w:val="28"/>
          <w:szCs w:val="28"/>
          <w:rtl w:val="true"/>
          <w:lang w:bidi="fa-IR"/>
        </w:rPr>
        <w:t>ویستقر دینهم بین الناس، فعند ذلک لم یکن مانع من الأسر، ثمّ یعقبه المنّ أو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وإِمّا فِداء</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فأجاز أخذ الأسری، لکن بعد الإثخان فی الأرض واستتباب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لفیفاً من الصحابة کانوا یصرون علی النبی بالعفو عنهم وقبول الفداء منهم قبل الإثخان فی الأرض، وأخذوا الأسری، فنزلت الآیة فی ذم هؤلاء وعرّفهم بأنّهم استحقوا مسَّ عذاب عظیم لولا ما سبق کتاب من اللَّه،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کِتابٌ مِنَ اللَّه سَبق لَمَسَّکُم فیما أخذتُمْ عذابٌ عَظیم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والمستفاد من الآیتین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الحافز لأکثرهم أو لفئة منهم هو الاستیلاء علی عرض الدنیا دون الآخرة کما یشیر إلیه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تُریدُونَ عَرَض الدُّنیا وَاللَّهُ یُریدُ الآخرة</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عملهم من الشناعة درجة، بحیث استحقُّوا مسَ</w:t>
      </w:r>
      <w:bookmarkStart w:id="730" w:name="pg1680_13230"/>
    </w:p>
    <w:p>
      <w:pPr>
        <w:pStyle w:val="BookText"/>
        <w:rPr/>
      </w:pPr>
      <w:bookmarkEnd w:id="730"/>
      <w:r>
        <w:rPr>
          <w:rFonts w:ascii="Amiri" w:hAnsi="Amiri" w:eastAsia="Amiri" w:cs="Amiri"/>
          <w:color w:val="111111"/>
          <w:sz w:val="28"/>
          <w:sz w:val="28"/>
          <w:szCs w:val="28"/>
          <w:rtl w:val="true"/>
          <w:lang w:bidi="ar-SA"/>
        </w:rPr>
        <w:t>عذاب عظیم، غیر أنّه سبحانه دفع عنهم العذاب لما سبق منه فی الکتاب،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کِتابٌ مِنَ اللَّه سَبق لَمَسّکُمْ فیما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عن عظم المعصیة التی اقترفوها حتّی استحقوا بها العذاب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أفیمکن وصف من أراد عرض الدنیا مکان الآخرة واستحقّ مس عذاب عظیم بأنّه ذو ملکة نفسانیة تصده عن اقتراف الکبائر والإصرار علی الصغائر؟ کلّا، ولا</w:t>
      </w:r>
      <w:r>
        <w:rPr>
          <w:rFonts w:eastAsia="IRNazanin" w:cs="IRNazanin"/>
          <w:color w:val="111111"/>
          <w:sz w:val="28"/>
          <w:szCs w:val="28"/>
          <w:rtl w:val="true"/>
          <w:lang w:bidi="fa-IR"/>
        </w:rPr>
        <w:t>.</w:t>
      </w:r>
    </w:p>
    <w:p>
      <w:pPr>
        <w:pStyle w:val="Heading5"/>
        <w:numPr>
          <w:ilvl w:val="4"/>
          <w:numId w:val="1"/>
        </w:numPr>
        <w:rPr/>
      </w:pPr>
      <w:bookmarkStart w:id="731" w:name="__RefHeading___Toc1401282_3650668749"/>
      <w:bookmarkStart w:id="732" w:name="_Toc279"/>
      <w:bookmarkEnd w:id="731"/>
      <w:r>
        <w:rPr>
          <w:rtl w:val="true"/>
        </w:rPr>
        <w:t>ح</w:t>
      </w:r>
      <w:r>
        <w:rPr>
          <w:rtl w:val="true"/>
        </w:rPr>
        <w:t xml:space="preserve">. </w:t>
      </w:r>
      <w:r>
        <w:rPr>
          <w:rtl w:val="true"/>
        </w:rPr>
        <w:t>الفرار من الزحف‌</w:t>
      </w:r>
      <w:bookmarkEnd w:id="7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دارت الدوائر علی المسلمین یوم أُحد، لأنّهم عصوا أمر الرسول وترکوا مواقعهم علی الجبل طمعاً فی الغنائم فأصابهم ما أصابهم من الهزیمة التی ذکرتها کتب السیرة و التاریخ علی وجه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ترکوا النبیّ صلی الله علیه و آله و سلم فی ساحة الحرب ولیس معه إلّاعدد قلیل من الصحابة، ولم تنفع معهم دعواته صلی الله علیه و آله و سلم بالعودة إلی ساحة القتال ونصرته، فقد خذلوه فی تلک الساعات الرهیبة، وأخذوا یلتجئون إلی الجبال حذراً من العدو، ویتحدّث سبحانه تبارک وتعالی عن تلک الهزیمة النکراء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عَلی أَحَدٍ وَالرَّسُولُ یَدْعُوکُمْ فی أُخراکُمْ فَأَثابَکُمْ غَمّاً</w:t>
      </w:r>
    </w:p>
    <w:p>
      <w:pPr>
        <w:pStyle w:val="BookText"/>
        <w:rPr/>
      </w:pPr>
      <w:r>
        <w:rPr>
          <w:rFonts w:ascii="Amiri" w:hAnsi="Amiri" w:eastAsia="Amiri" w:cs="Amiri"/>
          <w:color w:val="111111"/>
          <w:sz w:val="28"/>
          <w:sz w:val="28"/>
          <w:szCs w:val="28"/>
          <w:rtl w:val="true"/>
          <w:lang w:bidi="ar-SA"/>
        </w:rPr>
        <w:t>بِغَمّ لِکَیْلا تَحْزَنُوا عَلی ما فاتَکُمْ وَلا ما أَصابَکُمْ وَاللَّه خَبیرٌ بِما تَعْمَلُون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فالخطاب موجّه للذین انهزموا یوم أُحد، وهو یصف خوفهم من المشرکین وفرارهم یوم الزحف، غیر ملتفتین إلی أحد، ولا مستجیبین لدعوة الرسول، حین کان ینادیهم من ورائهم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هلم إلیَّ عباد اللَّه أنا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لم یُجبه أحد من المولّین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تصف تفرقهم وتولّیهم علی طوائف أُولاهم بعیدة عنه، وأُخراهم قریبة، والرسول یدعوهم ولا یجیبه أحد لا أوّلهم ولا آخرهم، فترکوا النبیّ بین جموع المشرکین غیر مکترثین بما یصیبه من القتل أو الأسر أو من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هذا وصف طوائف منهم و کانت هناک طائفة أُخری، التفت حول النبی ودفعت عنه شرّ الأعداء، وهم الذین أُشیر إلیهم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وَسَیَجْزِی اللَّهُ الشّاکرین</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یصرح بتولّیهم وفرارهم عن الجهاد وینسب زلّتهم إلی الشیطان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وَلَقَدْ عَفا اللَّهُ عَنْهُمْ إِنَّ اللَّه غَفُورٌ رَحیم</w:t>
      </w:r>
      <w:r>
        <w:rPr>
          <w:rFonts w:eastAsia="Amiri" w:cs="Amiri" w:ascii="Amiri" w:hAnsi="Amiri"/>
          <w:color w:val="111111"/>
          <w:sz w:val="28"/>
          <w:szCs w:val="28"/>
          <w:rtl w:val="true"/>
          <w:lang w:bidi="ar-SA"/>
        </w:rPr>
        <w:t>».</w:t>
      </w:r>
      <w:r>
        <w:rPr>
          <w:rStyle w:val="FootnoteAnchor"/>
          <w:rtl w:val="true"/>
        </w:rPr>
        <w:footnoteReference w:id="464"/>
      </w:r>
      <w:bookmarkStart w:id="733" w:name="pg1680_13234"/>
    </w:p>
    <w:p>
      <w:pPr>
        <w:pStyle w:val="BookText"/>
        <w:rPr/>
      </w:pPr>
      <w:bookmarkEnd w:id="733"/>
      <w:r>
        <w:rPr>
          <w:rFonts w:ascii="IRNazanin" w:hAnsi="IRNazanin" w:eastAsia="IRNazanin"/>
          <w:color w:val="111111"/>
          <w:sz w:val="28"/>
          <w:sz w:val="28"/>
          <w:szCs w:val="28"/>
          <w:rtl w:val="true"/>
          <w:lang w:bidi="fa-IR"/>
        </w:rPr>
        <w:t xml:space="preserve">ولیس هؤلاء من أصحاب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المنافق لا یُغفر له ولا یعفی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الصحابة العدول</w:t>
      </w:r>
      <w:r>
        <w:rPr>
          <w:rFonts w:eastAsia="IRNazanin" w:cs="IRNazanin"/>
          <w:color w:val="111111"/>
          <w:sz w:val="28"/>
          <w:szCs w:val="28"/>
          <w:rtl w:val="true"/>
          <w:lang w:bidi="fa-IR"/>
        </w:rPr>
        <w:t>!</w:t>
      </w:r>
    </w:p>
    <w:p>
      <w:pPr>
        <w:pStyle w:val="Heading5"/>
        <w:numPr>
          <w:ilvl w:val="4"/>
          <w:numId w:val="1"/>
        </w:numPr>
        <w:rPr/>
      </w:pPr>
      <w:bookmarkStart w:id="734" w:name="__RefHeading___Toc1401284_3650668749"/>
      <w:bookmarkStart w:id="735" w:name="_Toc280"/>
      <w:bookmarkEnd w:id="734"/>
      <w:r>
        <w:rPr>
          <w:rtl w:val="true"/>
        </w:rPr>
        <w:t>ط</w:t>
      </w:r>
      <w:r>
        <w:rPr>
          <w:rtl w:val="true"/>
        </w:rPr>
        <w:t xml:space="preserve">. </w:t>
      </w:r>
      <w:r>
        <w:rPr>
          <w:rtl w:val="true"/>
        </w:rPr>
        <w:t>نسبة الغرور إلی اللَّه ورسوله‌</w:t>
      </w:r>
      <w:bookmarkEnd w:id="735"/>
    </w:p>
    <w:p>
      <w:pPr>
        <w:pStyle w:val="BookText"/>
        <w:rPr/>
      </w:pPr>
      <w:r>
        <w:rPr>
          <w:rFonts w:ascii="IRNazanin" w:hAnsi="IRNazanin" w:eastAsia="IRNazanin"/>
          <w:color w:val="111111"/>
          <w:sz w:val="28"/>
          <w:sz w:val="28"/>
          <w:szCs w:val="28"/>
          <w:rtl w:val="true"/>
          <w:lang w:bidi="fa-IR"/>
        </w:rPr>
        <w:t>إنّ غزوة الأحزاب من المغازی المعروفة فی الإسلام، حیث اتحد المشرکون والیهود للانقضاض علی الإسلام، فحاصروا المدینة وهم عشرة آلاف مدجّجین بالسلاح، وحفر المسلمون خندقاً حول المدینة لمنع العدو من اقتحامها وقد طال الحصار نحو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الغزوة امتحِن أصحابُ النبی صلی الله علیه و آله و سلم وزلزلوا زلزالًا عظیماً، وتبیّن الثابت من المستزلّ، وانقسم أصحابه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المؤمنون وشعارهم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ورسولُهُ وصدق اللَّهُ ورسولُهُ وما زادهم إلّا إیماناً وتسلیماً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المنافقون والذین فی قلوبهم مرض وشعارهم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ورسوله إلّا غروراً</w:t>
      </w:r>
      <w:r>
        <w:rPr>
          <w:rFonts w:eastAsia="IRNazanin" w:cs="IRNazanin"/>
          <w:color w:val="111111"/>
          <w:sz w:val="28"/>
          <w:szCs w:val="28"/>
          <w:rtl w:val="true"/>
          <w:lang w:bidi="fa-IR"/>
        </w:rPr>
        <w:t>».</w:t>
      </w:r>
      <w:r>
        <w:rPr>
          <w:rStyle w:val="FootnoteAnchor"/>
          <w:rtl w:val="true"/>
        </w:rPr>
        <w:footnoteReference w:id="46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فضعفاء الإیمان من المؤمنین کانوا یظنون باللَّه انّه وعدهم وعداً غروراً، فهل یصحّ وصف هؤلاء بالعدالة والتزکیة؟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المنافقین الذین یظهرون الإیمان ویبطنون الکفر، ویدلّ علی ذلک، عطف</w:t>
      </w:r>
      <w:bookmarkStart w:id="736" w:name="pg1680_13237"/>
    </w:p>
    <w:p>
      <w:pPr>
        <w:pStyle w:val="BookText"/>
        <w:rPr/>
      </w:pPr>
      <w:bookmarkEnd w:id="7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المنافقین،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یَقُولُ المُنافِقُونَ وَالّذِینَ فی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یمعن النظر فی الآیات الواردة حول غزوة الأحزاب یعرف مدی صمود کثیرمن الصحابة أمام ذلک السیل الجارف، فإنّ کثیراً منهم کانوا یستأذنون النبی صلی الله علیه و آله و سلم للرجوع إلی المدینة بحجة انّ بیوتهم عورة ویقول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بِعَورة ان یُریدون إِلّا فراراً ولقَد عاهدوا اللَّه من قَبل لا یولون الأَدبار وکانَ عَهْد اللَّه مسؤولًا</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737" w:name="__RefHeading___Toc1401286_3650668749"/>
      <w:bookmarkStart w:id="738" w:name="_Toc281"/>
      <w:bookmarkEnd w:id="737"/>
      <w:r>
        <w:rPr>
          <w:rtl w:val="true"/>
        </w:rPr>
        <w:t>ی</w:t>
      </w:r>
      <w:r>
        <w:rPr>
          <w:rtl w:val="true"/>
        </w:rPr>
        <w:t xml:space="preserve">. </w:t>
      </w:r>
      <w:r>
        <w:rPr>
          <w:rtl w:val="true"/>
        </w:rPr>
        <w:t>المنافقون المندسّون بین الصحابة</w:t>
      </w:r>
      <w:bookmarkEnd w:id="738"/>
    </w:p>
    <w:p>
      <w:pPr>
        <w:pStyle w:val="BookText"/>
        <w:rPr/>
      </w:pPr>
      <w:r>
        <w:rPr>
          <w:rFonts w:ascii="IRNazanin" w:hAnsi="IRNazanin" w:eastAsia="IRNazanin"/>
          <w:color w:val="111111"/>
          <w:sz w:val="28"/>
          <w:sz w:val="28"/>
          <w:szCs w:val="28"/>
          <w:rtl w:val="true"/>
          <w:lang w:bidi="fa-IR"/>
        </w:rPr>
        <w:t>لقد شاع النفاق بین الصحابة منذ نزول النبی، بالمدینة، وقد رکّز القرآن علی عصبة المنافقین وصفاتهم، وفضح نوایاهم، وندّد بهم فی السور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آل عمران، المائدة، التوبة، العنکبوت، الأحزاب، محمد، الفتح، الحدید، المجادلة، الحشر، والمنافقون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إن دلّ علی شی‌ء فإنّما یدلّ علی أنّ المنافقین کانوا جماعة هائلة فی المجتمع الإسلامی، بین معروف عرف بسمة النفاق ووصمة الکذب، وغیر معروف بذلک، ولأنّه مقنّع بقناع الإیمان والحب للنبی، فلو کان المنافقون جماعة قلیلة غیر مؤثرة لما رأیت هذه العنایة البالغة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ثلة من المحقّقین ألّفوا کتباً ورسائل حول النفاق والمنافقین، وقد قام بعضهم بإحصاء ما یرجع إلیهم فبلغ مقداراً یقرب من عشر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فهل یمکن عد جمیع من صحب النبی صلی الله علیه و آله و سلم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المنافقون لیسوا من الصحابة ولکنّهم کانوا مندسّین فیهم، وعند ذلک فکثیراً ما یشتبه الصحابی الصادق بالمنافق، ولا یتمیّز المنافق عن المؤمن، حتّی أنّ النبی صلی الله علیه و آله و سلم ربما کان لا یعرفهم، 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أَهل المَدینة مردوا عَلی النِّفاق لا تعلمهم نَحْنُ نعلَمهم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فهذا یجر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یرید الإفتاء علی ضوء ما قاله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للتفتیش عن حال الصحابی حتّی یعرف المنافق عن غیره، فلو اشتبه الحال فلا یکون قوله ولا روایته حجّة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قضاء القرآن فی حق الصحابة، ولسنا بصدد الاستقصاء، فإنّ أصناف الصحابة المجانبین للعدالة، أکثر</w:t>
      </w:r>
      <w:r>
        <w:rPr>
          <w:rStyle w:val="FootnoteAnchor"/>
          <w:rtl w:val="true"/>
        </w:rPr>
        <w:footnoteReference w:id="469"/>
      </w:r>
      <w:r>
        <w:rPr>
          <w:rFonts w:ascii="IRNazanin" w:hAnsi="IRNazanin" w:eastAsia="IRNazanin"/>
          <w:color w:val="111111"/>
          <w:sz w:val="28"/>
          <w:sz w:val="28"/>
          <w:szCs w:val="28"/>
          <w:rtl w:val="true"/>
          <w:lang w:bidi="fa-IR"/>
        </w:rPr>
        <w:t>ممّا ذکرنا والتفصیل لا یناسب وضع الکتاب</w:t>
      </w:r>
      <w:r>
        <w:rPr>
          <w:rFonts w:eastAsia="IRNazanin" w:cs="IRNazanin"/>
          <w:color w:val="111111"/>
          <w:sz w:val="28"/>
          <w:szCs w:val="28"/>
          <w:rtl w:val="true"/>
          <w:lang w:bidi="fa-IR"/>
        </w:rPr>
        <w:t>.</w:t>
      </w:r>
      <w:bookmarkStart w:id="739" w:name="pg1680_13240"/>
    </w:p>
    <w:p>
      <w:pPr>
        <w:pStyle w:val="Heading4"/>
        <w:numPr>
          <w:ilvl w:val="3"/>
          <w:numId w:val="1"/>
        </w:numPr>
        <w:rPr/>
      </w:pPr>
      <w:bookmarkStart w:id="740" w:name="__RefHeading___Toc1401288_3650668749"/>
      <w:bookmarkStart w:id="741" w:name="_Toc282"/>
      <w:bookmarkEnd w:id="739"/>
      <w:bookmarkEnd w:id="740"/>
      <w:r>
        <w:rPr/>
        <w:t>7</w:t>
      </w:r>
      <w:r>
        <w:rPr>
          <w:rtl w:val="true"/>
        </w:rPr>
        <w:t xml:space="preserve">- </w:t>
      </w:r>
      <w:r>
        <w:rPr>
          <w:rtl w:val="true"/>
        </w:rPr>
        <w:t>السنّة النبویة وعدالة الصحابة</w:t>
      </w:r>
      <w:bookmarkEnd w:id="741"/>
    </w:p>
    <w:p>
      <w:pPr>
        <w:pStyle w:val="Heading5"/>
        <w:numPr>
          <w:ilvl w:val="4"/>
          <w:numId w:val="1"/>
        </w:numPr>
        <w:rPr/>
      </w:pPr>
      <w:bookmarkStart w:id="742" w:name="__RefHeading___Toc1401290_3650668749"/>
      <w:bookmarkStart w:id="743" w:name="_Toc283"/>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درسنا عدالة الصحابة فی ضوء القرآن الکریم وخرجنا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 الصحابة کحال التابعین، ففیهم العادل والفاسق، والصالح والطالح، منهم من یُستدرّ به الغمام ومنهم من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الحظ انّ السنّة النبویة تدعم ذلک الموقف، فلنذکر منها نزراً قلیلًا حسب ما یقتضیه المقام</w:t>
      </w:r>
      <w:r>
        <w:rPr>
          <w:rFonts w:eastAsia="IRNazanin" w:cs="IRNazanin"/>
          <w:color w:val="111111"/>
          <w:sz w:val="28"/>
          <w:szCs w:val="28"/>
          <w:rtl w:val="true"/>
          <w:lang w:bidi="fa-IR"/>
        </w:rPr>
        <w:t>.</w:t>
      </w:r>
    </w:p>
    <w:p>
      <w:pPr>
        <w:pStyle w:val="Heading5"/>
        <w:numPr>
          <w:ilvl w:val="4"/>
          <w:numId w:val="1"/>
        </w:numPr>
        <w:rPr/>
      </w:pPr>
      <w:bookmarkStart w:id="744" w:name="__RefHeading___Toc1401292_3650668749"/>
      <w:bookmarkStart w:id="745" w:name="_Toc284"/>
      <w:bookmarkEnd w:id="744"/>
      <w:r>
        <w:rPr>
          <w:rtl w:val="true"/>
        </w:rPr>
        <w:t>أ</w:t>
      </w:r>
      <w:r>
        <w:rPr>
          <w:rtl w:val="true"/>
        </w:rPr>
        <w:t xml:space="preserve">. </w:t>
      </w:r>
      <w:r>
        <w:rPr>
          <w:rtl w:val="true"/>
        </w:rPr>
        <w:t>زعیم الفئة الباغیة</w:t>
      </w:r>
      <w:bookmarkEnd w:id="745"/>
    </w:p>
    <w:p>
      <w:pPr>
        <w:pStyle w:val="BookText"/>
        <w:rPr/>
      </w:pPr>
      <w:r>
        <w:rPr>
          <w:rFonts w:ascii="IRNazanin" w:hAnsi="IRNazanin" w:eastAsia="IRNazanin"/>
          <w:color w:val="111111"/>
          <w:sz w:val="28"/>
          <w:sz w:val="28"/>
          <w:szCs w:val="28"/>
          <w:rtl w:val="true"/>
          <w:lang w:bidi="fa-IR"/>
        </w:rPr>
        <w:t>روی مسلم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قال لعمّار حین جعل یحفر الخندق وجعل یمسح رأسه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 ابنُ سمیة تقتلک فئة باغیة</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وروی البخاری عن أبی سعید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نحمل لبنة لبنة وعمار لبنتین لبنتین، فرآه النبی صلی الله علیه و آله و سلم، فجعل النبی صلی الله علیه و آله و سلم ینفض التراب عنه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یدعوهم إلی الجنة ویدعونه إلی النار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زیادة مشهورة لم یذکرها البخاری</w:t>
      </w:r>
      <w:bookmarkStart w:id="746" w:name="pg1680_13243"/>
    </w:p>
    <w:p>
      <w:pPr>
        <w:pStyle w:val="BookText"/>
        <w:rPr/>
      </w:pPr>
      <w:bookmarkEnd w:id="746"/>
      <w:r>
        <w:rPr>
          <w:rFonts w:ascii="IRNazanin" w:hAnsi="IRNazanin" w:eastAsia="IRNazanin"/>
          <w:color w:val="111111"/>
          <w:sz w:val="28"/>
          <w:sz w:val="28"/>
          <w:szCs w:val="28"/>
          <w:rtl w:val="true"/>
          <w:lang w:bidi="fa-IR"/>
        </w:rPr>
        <w:t>أصلًا من طریق هذا الحدیث، ولعلّها لم تقع إلیه فیها، أو وقعت فحذفها لغرض قصده فی ذلک، وأخرجها أبو بکر البرقانی، وأبو بکر الإسماعیلی قبله، وفی هذا الحدیث عندهما انّ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تقلته الفئة الباغیة یدعوهم إلی الجنة، ویدعونه إلی النار</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وقد کشف الحُمیدی عن نوایا البخاری انّه ربّما یتلاعب بالحدیث فیحذف بعض أجزائه لغرض معیّن، وهو إنّما حذف هذه الجملة المشهورة،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تبرئة معاویة، وتبریر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نسأل القائلین بعدالة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الفئة الباغیة التی قتلت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فیها من صحابة النبی من یؤیّد موقف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انّ معاویة کان یترأس الفئة الباغیة وکان عمرو بن العاص وزیره فی الحرب، وکان انتصار معاویة فی حرب صفین رهن مکیدة عمرو بن العاص، وکان بین الفئة الباغیة من الصحابة النعمان بن بشیر الأنصاری، وعُقْبة بن عامر الجهنی، وأبو الغادیة یسار بن سبع الجهنی وغیرهم</w:t>
      </w:r>
      <w:r>
        <w:rPr>
          <w:rFonts w:eastAsia="IRNazanin" w:cs="IRNazanin"/>
          <w:color w:val="111111"/>
          <w:sz w:val="28"/>
          <w:szCs w:val="28"/>
          <w:rtl w:val="true"/>
          <w:lang w:bidi="fa-IR"/>
        </w:rPr>
        <w:t>.</w:t>
      </w:r>
    </w:p>
    <w:p>
      <w:pPr>
        <w:pStyle w:val="Heading5"/>
        <w:numPr>
          <w:ilvl w:val="4"/>
          <w:numId w:val="1"/>
        </w:numPr>
        <w:rPr/>
      </w:pPr>
      <w:bookmarkStart w:id="747" w:name="__RefHeading___Toc1401294_3650668749"/>
      <w:bookmarkStart w:id="748" w:name="_Toc285"/>
      <w:bookmarkEnd w:id="747"/>
      <w:r>
        <w:rPr>
          <w:rtl w:val="true"/>
        </w:rPr>
        <w:t>ب</w:t>
      </w:r>
      <w:r>
        <w:rPr>
          <w:rtl w:val="true"/>
        </w:rPr>
        <w:t xml:space="preserve">. </w:t>
      </w:r>
      <w:r>
        <w:rPr>
          <w:rtl w:val="true"/>
        </w:rPr>
        <w:t>عصیان أمر النبی صلی الله علیه و آله و سلم بإحضار القلم والدواة</w:t>
      </w:r>
      <w:bookmarkEnd w:id="74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أصحاب الصحاح انّ النبی صلی الله علیه و آله و سلم أمر بإحضار القلم والدواة لیکتب کتاباً لا یضلّوا بعده أبداً، وقد حال بعض الحاضرین بینه و بین ما یروم إلیه، وقد أخرجه البخاری فی غیر مورد من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العلم أخرج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صلی الله علیه و آله و سلم وجعه،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أکتب لکم کتاباً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غلبه الوجع، وعندنا کتاب اللَّه حسبنا، فاختلفوا وکثر اللغط،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ولا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 آله و سلم و بین کتابه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وأخرج أیضاً عن سعید بن جبیر،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وما یوم الخمیس، ثمّ بکی حتّی خَضَبَ دمعُه الحصباءَ،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اشتدّ برسول اللَّه صلی الله علیه و آله و سلم وجعه یوم الخمیس،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أکتب لکم کتاباً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ولا ینبغی عند نبی تنازع،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وهنا نکتة لابدّ من إلفات القارئ إلیها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فی الصورة الأُولی إلی غلبة الوجع وعند ذاک سمّی القائل به وهو عمر، وفی الصورة الثانیة نسب إلی الهجر والهذیان، ولم یذکر اسم القائل، وجاء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الصورة الأُولی أخف وطأة من الثانیة، جاء فیها ذکر القائل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 فی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ویذکره أیضاً بشکل آخر فی موضع ثالث،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اشتدّ برسول اللَّه وجعه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بکتف أکتب لکم کتاباً لا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أهجر؟ استفهموه،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 فالذی أنا فیه خیر ممّا تدعونی إلیه</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وفی صورة رابعة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غلبه الوجع وعندکم القرآن، حسبنا کتاب اللَّه، فاختلف أهل البیت واختصموا،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کتاباً لا تضلوا بعده، ومنهم من یقول غیر ذلک، فلمّا أکثروا اللغو والاختلاف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أُنشدک باللَّه انّ من یخالف أمر النبیّ صلی الله علیه و آله و سلم الذی تدلّ القرائن علی کونه إلزامیاً، ثمّ یصف أمره بأنّه نتیجة غلبة الوجع أو الهجر والهذیان هل یوصف هذا بأنّه صاحب ملکة رادعة عن اقتراف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أبعد ما بین وصف هؤلاء وبین وصفه سبحانه لنبیّه الکریم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وَماغَوی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یقول ذلک الصحابی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صحیحاً فلماذا ألّف المسلمون الصحاح والسنن والمسانید؟</w:t>
      </w:r>
      <w:r>
        <w:rPr>
          <w:rFonts w:eastAsia="IRNazanin" w:cs="IRNazanin"/>
          <w:color w:val="111111"/>
          <w:sz w:val="28"/>
          <w:szCs w:val="28"/>
          <w:rtl w:val="true"/>
          <w:lang w:bidi="fa-IR"/>
        </w:rPr>
        <w:t>!</w:t>
      </w:r>
      <w:bookmarkStart w:id="749" w:name="pg1680_13249"/>
    </w:p>
    <w:p>
      <w:pPr>
        <w:pStyle w:val="Heading5"/>
        <w:numPr>
          <w:ilvl w:val="4"/>
          <w:numId w:val="1"/>
        </w:numPr>
        <w:rPr/>
      </w:pPr>
      <w:bookmarkStart w:id="750" w:name="__RefHeading___Toc1401296_3650668749"/>
      <w:bookmarkStart w:id="751" w:name="_Toc286"/>
      <w:bookmarkEnd w:id="749"/>
      <w:bookmarkEnd w:id="750"/>
      <w:r>
        <w:rPr>
          <w:rtl w:val="true"/>
        </w:rPr>
        <w:t>ج</w:t>
      </w:r>
      <w:r>
        <w:rPr>
          <w:rtl w:val="true"/>
        </w:rPr>
        <w:t xml:space="preserve">. </w:t>
      </w:r>
      <w:r>
        <w:rPr>
          <w:rtl w:val="true"/>
        </w:rPr>
        <w:t>الانقلاب علی الأعقاب بعد رحیل النبی صلی الله علیه و آله و سلم‌</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وعن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سعد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من ورده شرب منه، ومن شرب منه لم یظمأ بعده أبداً، لیرد علیّ أقوام أعرفهم ویعرفوننی ثمّ یحال بینی و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فَسَمِعَنی النعمان بن أبی عیّاش وأنا أُحدِّثهم هذا،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سمعتَ سهلًا؟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علی أبی سعید الخدری لسمعتُه یزید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بدّلوا بعدک، فأقول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سُحقاً سحقاً لمن بدّل بعدی</w:t>
      </w:r>
      <w:r>
        <w:rPr>
          <w:rFonts w:eastAsia="Amiri" w:cs="Amiri" w:ascii="Amiri" w:hAnsi="Amiri"/>
          <w:color w:val="111111"/>
          <w:sz w:val="28"/>
          <w:szCs w:val="28"/>
          <w:rtl w:val="true"/>
          <w:lang w:bidi="ar-SA"/>
        </w:rPr>
        <w:t>.</w:t>
      </w:r>
      <w:r>
        <w:rPr>
          <w:rStyle w:val="FootnoteAnchor"/>
        </w:rPr>
        <w:footnoteReference w:id="4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عن المغیرة، قال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وائل، عن عبد اللَّه،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ولیرفعنّ رجال منکم ثمّ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Style w:val="FootnoteAnchor"/>
        </w:rPr>
        <w:footnoteReference w:id="4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عن أنس،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لیردَنَّ علیّ ناس من أصحابی الحوض حتّی إذا عرفتهم،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عن سهل بن سعد قال،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علی الحوض من مرّ علیّ شرب، ومن شرب لم یظمأ أبداً، لیردنّ علیّ أقوام أعرفهم ویعرفونی ثمّ یحال بینی و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عن أبی هریرة انّه کان یحدث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یوم القیامة رهط من أصحابی فیحلّؤن عن الحوض،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انّهم ارتدّوا علی أدبارهم القهقهری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عن أبی المسیب انّه کان یحدِّث عن أصحاب النبی صلی الله علیه و آله و سلم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رجال من أصحابی فیحلّؤن عنه،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إنّهم ارتدّوا علی أدبارهم القهقری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البخاری عن ابن عباس 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یؤخذ برجال من أصحابی ذات الیمین وذات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یزالوا مرتدّین علی أعقابهم منذ فارقتهم، فأقول کما قال العبد الصالح عیسی ابن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عن العلاء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البراء بن عازب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صحبت النبی صلی الله علیه و آله و سلم وبایعته تحت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انّک لا تدری ما أحدثنا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شیبة عن أبی بکرة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لیردنّ علی الحوض رجال ممّن صحبنی ورآنی حتّی إذا رفعوا إلیّ اختلجوا دونی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فلیُقالَنّ إنّک لا تدری ما أحدثوا بعدک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أسماء بنت أبی بکر،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الحوض حتّی أنظر من یرد علیّ منکم، وسیؤخذ أُناس دونی،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منّی ومن أُمتی،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شعرت ما عملوا بعدک، واللَّه ما برحوا بعدک یرجعون أعقابهم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أبی ملیکة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بک أن نرجع علی أعقابنا وأن نفتن عن دیننا</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وتنتهی أسانید هذه الروایات إلی شخصیات 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أبی وائل عن عبد اللَّه، أنس بن مالک، أبی هریرة، ابن المسیب، البراء بن عازب، أبی بکرة، وأسماء بنت أبی بکر واقتصرنا غالباً بما رواه البخاری وقد نقله مسلم وغیره أیضاً، وما ظنّک بحدیث یرویه الإمام البخاری وقد</w:t>
      </w:r>
    </w:p>
    <w:p>
      <w:pPr>
        <w:pStyle w:val="BookText"/>
        <w:rPr/>
      </w:pPr>
      <w:r>
        <w:rPr>
          <w:rFonts w:ascii="IRNazanin" w:hAnsi="IRNazanin" w:eastAsia="IRNazanin"/>
          <w:color w:val="111111"/>
          <w:sz w:val="28"/>
          <w:sz w:val="28"/>
          <w:szCs w:val="28"/>
          <w:rtl w:val="true"/>
          <w:lang w:bidi="fa-IR"/>
        </w:rPr>
        <w:t>نقل شیئاً منه فی الفتن، وقسماً أکثر فی باب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الذین أخبر النبی عن ارتدادهم بعد رحیله؟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ارتدادهم؟</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فالقرائن القطعیة تدلّ علی أنّ المراد، بعض أصحابه الذین عاشوا معه وکان یعرفهم وهم یعرفونه واجتمعوا معه فی فترة زمنیة، ولیس هؤلاء إلّالفیفاً من أصحابه، والدلیل علی ذلک ما جاء فی متونها من الکلمات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لیردنّ علی أقوام أعرفهم ویعرفوننی کما فی 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فرطکم علی الحوض ولیرفعن رجال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إذا عرفتهم اختلجوا 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تشبیه هؤلاء بأصحاب عیسی ابن مریم والاستشهاد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 عَلَیْهِمْ شَهِیداً مَا دُمْتُ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صریح فی أنّ المراد من عاصر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شهادة البراء بن عازب بأنّ الصحابة أحدثوا بعد رحیل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آله و سلم یصفهم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صحبنی ورآنی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استعاذة ابن أبی ملیکة من أن یرجع علی أعقابه الدالّ علی أنّ الصحابة هم المقصودون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من علائم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الرسول یعرفهم وهم یعرفونه، وانّهم من رجال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الأجیال المستقبلة، فهؤلاء أصحابه الذین عاشوا معه فی عصر الرسالة، حتّی استحقوا بأن یصفهم النبی عند الاستغاثة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أظن من یدرس هذه الروایات الواردة فی الصحیحین وغیرهما بتجرّد وموضوعیة أن یدور فی خلده، انّ المراد من الذین ارتدوا علی أدبارهم، أُمّته الذین أتوا بعده وعاشوا فی أحقاب بعیدة عن عصر الرسول، ولم یکن فیها من وجود الرسول عین ولا أثر، إذ لو کان هذا هو المراد، فمتی عاش معهم النبی، حتّی عرفهم وعرفوه؟ ومتی کانوا معه حتّی صحّ 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صحبوه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قصیرة أو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أصحابه؟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التجنّی علی الحقیقة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جمیع الأُمّة أصحاب النبی، کما أنّ جمیع من یقلّدون الشافعی مثلًا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التفسیر فی المقیس علیه ممنوع فکیف المقیس؟ فأصحاب الشافعی هم الذین تربّوا علی یدیه والتفُّوا حوله وانتفعوا بعلمه، وأمّا الذین جاءوا بعده ولم یشاهدوه فهم</w:t>
      </w:r>
    </w:p>
    <w:p>
      <w:pPr>
        <w:pStyle w:val="BookText"/>
        <w:rPr/>
      </w:pPr>
      <w:r>
        <w:rPr>
          <w:rFonts w:ascii="IRNazanin" w:hAnsi="IRNazanin" w:eastAsia="IRNazanin"/>
          <w:color w:val="111111"/>
          <w:sz w:val="28"/>
          <w:sz w:val="28"/>
          <w:szCs w:val="28"/>
          <w:rtl w:val="true"/>
          <w:lang w:bidi="fa-IR"/>
        </w:rPr>
        <w:t>أتباعه، لا أصحابه، فلو صح إطلاق الأصحاب علیهم، فإنّما هو إطلاق مجازی لا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المقیس فالحال فیه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فالصحابة، فی الروایات والآثار، هم الذین أقاموا مع رسول اللَّه فترة من الزمن، أو رأوا رسول اللَّه و أدرکوه وأسلموا، إلی غیر ذلک من التعاریف التی ذکرها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ولیس هذا المورد إلّاکسائر الموارد التی وردت فیها کلمة الصحابة، مثلًا رووا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رووا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کالنجوم، إلی غیر ذلک من الموارد، فالمراد من الجمیع هو المعنی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غیر واحد من الرجالیین کتباً فی حیاة الصحابة، کالاستیعاب لابن عبد البرّ،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و إلی غیر ذلک من الموارد التی أُطلقت فیها کلمة الصحابة وأُرید بها، مَن کانوا وعاشوا معه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المتبادر من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علم لک بما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انّهم کانوا معک ولکن اقترفوا هذه الجریمة بعد رحیل الرسول، دون فاصل زمانی طویل، وقد کان المترقب من هؤلاء الذین رأوا شمس الرسالة</w:t>
      </w:r>
    </w:p>
    <w:p>
      <w:pPr>
        <w:pStyle w:val="BookText"/>
        <w:rPr/>
      </w:pPr>
      <w:r>
        <w:rPr>
          <w:rFonts w:ascii="IRNazanin" w:hAnsi="IRNazanin" w:eastAsia="IRNazanin"/>
          <w:color w:val="111111"/>
          <w:sz w:val="28"/>
          <w:sz w:val="28"/>
          <w:szCs w:val="28"/>
          <w:rtl w:val="true"/>
          <w:lang w:bidi="fa-IR"/>
        </w:rPr>
        <w:t>واستضاءوا بها، أن یتّبعوا دینه وشریعته و لا یعدلوا عنه قید شعرة، ولکنّهم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ارتدوا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الأمر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الستر عن هؤلاء الذین ارتدوا وبدلوا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الثانی، فهل المراد من الارتداد هو الخروج عن الدین، أوالمراد من الارتداد هو الأعم من الرجوع عن العقیدة، أو السلوک علی غیر ما أوصی به النبی فی غیر واحد من الأُمور؟ ولعل المراد هو الثانی حیث إنّ النبی صلی الله علیه و آله و سلم أوصی بالثقلین وأهل بیته، فخالفوا وصیة الرسول، کما أنّهم خالفوا فی کثیر من الأحکام، المذکورة فی محلّها، فقدّموا الاجتهاد علی النصّ، والمصلحة المزعومة علی أمره، وبذلک أحدثوا فی دینه بدعاً، لیس لها فی الکتاب والسنّة أصل</w:t>
      </w:r>
      <w:r>
        <w:rPr>
          <w:rFonts w:eastAsia="IRNazanin" w:cs="IRNazanin"/>
          <w:color w:val="111111"/>
          <w:sz w:val="28"/>
          <w:szCs w:val="28"/>
          <w:rtl w:val="true"/>
          <w:lang w:bidi="fa-IR"/>
        </w:rPr>
        <w:t>.</w:t>
      </w:r>
      <w:bookmarkStart w:id="752" w:name="pg1680_13263"/>
    </w:p>
    <w:p>
      <w:pPr>
        <w:pStyle w:val="Heading4"/>
        <w:numPr>
          <w:ilvl w:val="3"/>
          <w:numId w:val="1"/>
        </w:numPr>
        <w:rPr/>
      </w:pPr>
      <w:bookmarkStart w:id="753" w:name="__RefHeading___Toc1401298_3650668749"/>
      <w:bookmarkStart w:id="754" w:name="_Toc287"/>
      <w:bookmarkEnd w:id="752"/>
      <w:bookmarkEnd w:id="753"/>
      <w:r>
        <w:rPr/>
        <w:t>8</w:t>
      </w:r>
      <w:r>
        <w:rPr>
          <w:rtl w:val="true"/>
        </w:rPr>
        <w:t xml:space="preserve">- </w:t>
      </w:r>
      <w:r>
        <w:rPr>
          <w:rtl w:val="true"/>
        </w:rPr>
        <w:t>موقف النبی صلی الله علیه و آله و سلم ممّن لم تحسن صحبته‌</w:t>
      </w:r>
      <w:bookmarkEnd w:id="754"/>
    </w:p>
    <w:p>
      <w:pPr>
        <w:pStyle w:val="Heading5"/>
        <w:numPr>
          <w:ilvl w:val="4"/>
          <w:numId w:val="1"/>
        </w:numPr>
        <w:rPr/>
      </w:pPr>
      <w:bookmarkStart w:id="755" w:name="__RefHeading___Toc1401300_3650668749"/>
      <w:bookmarkStart w:id="756" w:name="_Toc288"/>
      <w:bookmarkEnd w:id="755"/>
      <w:r>
        <w:rPr>
          <w:rtl w:val="true"/>
        </w:rPr>
        <w:t>اشارة</w:t>
      </w:r>
      <w:bookmarkEnd w:id="756"/>
    </w:p>
    <w:p>
      <w:pPr>
        <w:pStyle w:val="BookText"/>
        <w:rPr/>
      </w:pPr>
      <w:r>
        <w:rPr>
          <w:rFonts w:ascii="IRNazanin" w:hAnsi="IRNazanin" w:eastAsia="IRNazanin"/>
          <w:color w:val="111111"/>
          <w:sz w:val="28"/>
          <w:sz w:val="28"/>
          <w:szCs w:val="28"/>
          <w:rtl w:val="true"/>
          <w:lang w:bidi="fa-IR"/>
        </w:rPr>
        <w:t>ما مرّ من الروایات لا تهدف شخصاً معیّناً بالذکر، وهناک روایات تخصّ بعض الصحابة بالذکر من الذین لم تحسن صحبتهم ویخبر عن سوء مصیرهم ویندد بسوء عملهم، وهی کثیرة، ونذکر منها النزر الیسیر</w:t>
      </w:r>
      <w:r>
        <w:rPr>
          <w:rFonts w:eastAsia="IRNazanin" w:cs="IRNazanin"/>
          <w:color w:val="111111"/>
          <w:sz w:val="28"/>
          <w:szCs w:val="28"/>
          <w:rtl w:val="true"/>
          <w:lang w:bidi="fa-IR"/>
        </w:rPr>
        <w:t>:</w:t>
      </w:r>
    </w:p>
    <w:p>
      <w:pPr>
        <w:pStyle w:val="Heading5"/>
        <w:numPr>
          <w:ilvl w:val="4"/>
          <w:numId w:val="1"/>
        </w:numPr>
        <w:rPr/>
      </w:pPr>
      <w:bookmarkStart w:id="757" w:name="__RefHeading___Toc1401302_3650668749"/>
      <w:bookmarkStart w:id="758" w:name="_Toc289"/>
      <w:bookmarkEnd w:id="757"/>
      <w:r>
        <w:rPr>
          <w:rtl w:val="true"/>
        </w:rPr>
        <w:t>أ</w:t>
      </w:r>
      <w:r>
        <w:rPr>
          <w:rtl w:val="true"/>
        </w:rPr>
        <w:t xml:space="preserve">. </w:t>
      </w:r>
      <w:r>
        <w:rPr>
          <w:rtl w:val="true"/>
        </w:rPr>
        <w:t>کلّهم مغفور له إلّا</w:t>
      </w:r>
      <w:bookmarkEnd w:id="758"/>
    </w:p>
    <w:p>
      <w:pPr>
        <w:pStyle w:val="BookText"/>
        <w:rPr/>
      </w:pPr>
      <w:r>
        <w:rPr>
          <w:rFonts w:ascii="IRNazanin" w:hAnsi="IRNazanin" w:eastAsia="IRNazanin"/>
          <w:color w:val="111111"/>
          <w:sz w:val="28"/>
          <w:sz w:val="28"/>
          <w:szCs w:val="28"/>
          <w:rtl w:val="true"/>
          <w:lang w:bidi="fa-IR"/>
        </w:rPr>
        <w:t>أخرج مسلم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یصعد الثنیّة، ثنیّة المُرار فإنّه یحطّ عنه، ما حطّ عن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صعدها، خیلَنا خیلَ بنی الخزرج ثمّ تتامّ الناس،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وکلّکم مغفور له إلّاصاحب الجمل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فقلنا 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 یستغفر لک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أجد ضالّتی أحبّ إلیّ من أن یستغفر لی صاحبکم، وکان رجل ینشد ضالّة له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إنّ مسلماً وان ذکره فی کتاب صفات المنافقین، لکنّه لا دلیل علی أنّه کان منهم، بل کان من ضعفاء الإیمان، أو مرضی القلوب، أو السمّاعین، إلی غیر ذلک من الأصناف المتوفرة فی صحابة النبی صلی الله علیه و آله و سلم، وقد ذکر الشراح انّه کان الجدّ بن قیس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المرشدین إلی الحق الیقین ؛ ؛ ص</w:t>
      </w:r>
      <w:r>
        <w:rPr>
          <w:rFonts w:eastAsia="IRNazanin" w:cs="IRNazanin"/>
          <w:color w:val="111111"/>
          <w:sz w:val="28"/>
          <w:szCs w:val="28"/>
          <w:lang w:bidi="fa-IR"/>
        </w:rPr>
        <w:t>361</w:t>
      </w:r>
      <w:bookmarkStart w:id="759" w:name="pg1680_13265"/>
    </w:p>
    <w:p>
      <w:pPr>
        <w:pStyle w:val="BookText"/>
        <w:rPr/>
      </w:pPr>
      <w:bookmarkEnd w:id="759"/>
      <w:r>
        <w:rPr>
          <w:rFonts w:ascii="IRNazanin" w:hAnsi="IRNazanin" w:eastAsia="IRNazanin"/>
          <w:color w:val="111111"/>
          <w:sz w:val="28"/>
          <w:sz w:val="28"/>
          <w:szCs w:val="28"/>
          <w:rtl w:val="true"/>
          <w:lang w:bidi="fa-IR"/>
        </w:rPr>
        <w:t>وروی مسلم بعد هذا الحدیث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رجل من بنی النجّار قد قرأ البقرة وآل عمران، وکان یکتُب لرسول اللَّه صلی الله علیه و آله و سلم، فانطلق هارباً حتّی لحق بأهل الکتاب قال فرفعوه،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یکتب لمحمد، فأُعجبوا به </w:t>
      </w:r>
      <w:r>
        <w:rPr>
          <w:rFonts w:eastAsia="IRNazanin" w:cs="IRNazanin"/>
          <w:color w:val="111111"/>
          <w:sz w:val="28"/>
          <w:szCs w:val="28"/>
          <w:rtl w:val="true"/>
          <w:lang w:bidi="fa-IR"/>
        </w:rPr>
        <w:t>....</w:t>
      </w:r>
    </w:p>
    <w:p>
      <w:pPr>
        <w:pStyle w:val="Heading5"/>
        <w:numPr>
          <w:ilvl w:val="4"/>
          <w:numId w:val="1"/>
        </w:numPr>
        <w:rPr/>
      </w:pPr>
      <w:bookmarkStart w:id="760" w:name="__RefHeading___Toc1401304_3650668749"/>
      <w:bookmarkStart w:id="761" w:name="_Toc290"/>
      <w:bookmarkEnd w:id="760"/>
      <w:r>
        <w:rPr>
          <w:rtl w:val="true"/>
        </w:rPr>
        <w:t>ب</w:t>
      </w:r>
      <w:r>
        <w:rPr>
          <w:rtl w:val="true"/>
        </w:rPr>
        <w:t xml:space="preserve">. </w:t>
      </w:r>
      <w:r>
        <w:rPr>
          <w:rtl w:val="true"/>
        </w:rPr>
        <w:t>اللّهم إنّی أبرأ إلیک ممّا صنع خالد</w:t>
      </w:r>
      <w:bookmarkEnd w:id="76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البخاری 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خالد بن الولید إلی بنی جذیمة، فدعاهم إلی الإسلام فلم یُحسِنُوا أن یقولوا أسلمنا،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صبأنا صبأنا، فجعل خالد یقتل منهم ویأسر، ودفع إلی کلّ رجل منّا أسیره، حتّی إذا کان یوم، أمر خالد أن یقتل کلّ رجل منّا أسیره،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أقتل أسیری، ولا یَقْتُل رجل من أصحابی أسیره حتّی قدمنا علی النبی فذکرناه، فرفع النبی صلی الله علیه و آله و سلم 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هذا هو سیف الإسلام، وبطله یقتل الأبریاء واحداً بعد الآخر، ویتبرأ النبی الأعظم من جریمته، ولکنّه یُصبح بعد رحیل الرسول صلی الله علیه و آله و سلم رجلًا بارّاً و سیفاً مسلولًا سلّه رسول اللَّه ولا یُغمد، وإن زنی بزوجة مالک بن نویرة وقتله، فما حال غیره</w:t>
      </w:r>
      <w:r>
        <w:rPr>
          <w:rFonts w:eastAsia="IRNazanin" w:cs="IRNazanin"/>
          <w:color w:val="111111"/>
          <w:sz w:val="28"/>
          <w:szCs w:val="28"/>
          <w:rtl w:val="true"/>
          <w:lang w:bidi="fa-IR"/>
        </w:rPr>
        <w:t>!</w:t>
      </w:r>
      <w:bookmarkStart w:id="762" w:name="pg1680_13267"/>
    </w:p>
    <w:p>
      <w:pPr>
        <w:pStyle w:val="Heading5"/>
        <w:numPr>
          <w:ilvl w:val="4"/>
          <w:numId w:val="1"/>
        </w:numPr>
        <w:rPr/>
      </w:pPr>
      <w:bookmarkStart w:id="763" w:name="__RefHeading___Toc1401306_3650668749"/>
      <w:bookmarkStart w:id="764" w:name="_Toc291"/>
      <w:bookmarkEnd w:id="762"/>
      <w:bookmarkEnd w:id="763"/>
      <w:r>
        <w:rPr>
          <w:rtl w:val="true"/>
        </w:rPr>
        <w:t>ج</w:t>
      </w:r>
      <w:r>
        <w:rPr>
          <w:rtl w:val="true"/>
        </w:rPr>
        <w:t xml:space="preserve">. </w:t>
      </w:r>
      <w:r>
        <w:rPr>
          <w:rtl w:val="true"/>
        </w:rPr>
        <w:t>تنبّؤه بمصیر ذی الخویصرة</w:t>
      </w:r>
      <w:bookmarkEnd w:id="764"/>
    </w:p>
    <w:p>
      <w:pPr>
        <w:pStyle w:val="BookText"/>
        <w:rPr/>
      </w:pPr>
      <w:r>
        <w:rPr>
          <w:rFonts w:ascii="IRNazanin" w:hAnsi="IRNazanin" w:eastAsia="IRNazanin"/>
          <w:color w:val="111111"/>
          <w:sz w:val="28"/>
          <w:sz w:val="28"/>
          <w:szCs w:val="28"/>
          <w:rtl w:val="true"/>
          <w:lang w:bidi="fa-IR"/>
        </w:rPr>
        <w:t>أخرج البخاری عن أبی سعید الخدری رضی الله عنه بینما نحن عند رسول اللَّه وهو یقسم قسماً، أتاه ذو الخویصرة، وهو رجلٌ من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ومن یعدل إذا لم أعدل، قد خِبتُ وخسرتُ إن لم أکن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 فأضرِبَ عُنقَهُ؟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یحقِّرُ أحدکم صلاتَه مع صلاتهم، وصیامَه مع صیامهم، یقرأون القرآن لا یُجاوز تراقیهم، یمرقون من الدِّین کما یمرقُ السَّهم من الرّمیَّة</w:t>
      </w:r>
      <w:r>
        <w:rPr>
          <w:rFonts w:eastAsia="Amiri" w:cs="Amiri" w:ascii="Amiri" w:hAnsi="Amiri"/>
          <w:color w:val="111111"/>
          <w:sz w:val="28"/>
          <w:szCs w:val="28"/>
          <w:rtl w:val="true"/>
          <w:lang w:bidi="ar-SA"/>
        </w:rPr>
        <w:t>».</w:t>
      </w:r>
      <w:r>
        <w:rPr>
          <w:rStyle w:val="FootnoteAnchor"/>
          <w:rtl w:val="true"/>
        </w:rPr>
        <w:footnoteReference w:id="483"/>
      </w:r>
    </w:p>
    <w:p>
      <w:pPr>
        <w:pStyle w:val="Heading5"/>
        <w:numPr>
          <w:ilvl w:val="4"/>
          <w:numId w:val="1"/>
        </w:numPr>
        <w:rPr/>
      </w:pPr>
      <w:bookmarkStart w:id="765" w:name="__RefHeading___Toc1401308_3650668749"/>
      <w:bookmarkStart w:id="766" w:name="_Toc292"/>
      <w:bookmarkEnd w:id="765"/>
      <w:r>
        <w:rPr>
          <w:rtl w:val="true"/>
        </w:rPr>
        <w:t>د</w:t>
      </w:r>
      <w:r>
        <w:rPr>
          <w:rtl w:val="true"/>
        </w:rPr>
        <w:t xml:space="preserve">. </w:t>
      </w:r>
      <w:r>
        <w:rPr>
          <w:rtl w:val="true"/>
        </w:rPr>
        <w:t>انّ فیک شعبة من الکفر</w:t>
      </w:r>
      <w:bookmarkEnd w:id="766"/>
    </w:p>
    <w:p>
      <w:pPr>
        <w:pStyle w:val="BookText"/>
        <w:rPr/>
      </w:pPr>
      <w:r>
        <w:rPr>
          <w:rFonts w:ascii="IRNazanin" w:hAnsi="IRNazanin" w:eastAsia="IRNazanin"/>
          <w:color w:val="111111"/>
          <w:sz w:val="28"/>
          <w:sz w:val="28"/>
          <w:szCs w:val="28"/>
          <w:rtl w:val="true"/>
          <w:lang w:bidi="fa-IR"/>
        </w:rPr>
        <w:t>قد سبّ أبو هریرة رجلًا بأُمّ له فی الجاهلیة فاستعدی رسول اللَّه علی أبی هریرة، 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شعبة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أبو هریرة أن لا یسب بعده مسلماً</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767" w:name="__RefHeading___Toc1401310_3650668749"/>
      <w:bookmarkStart w:id="768" w:name="_Toc293"/>
      <w:bookmarkEnd w:id="767"/>
      <w:r>
        <w:rPr>
          <w:rtl w:val="true"/>
        </w:rPr>
        <w:t>ه</w:t>
      </w:r>
      <w:r>
        <w:rPr>
          <w:rtl w:val="true"/>
        </w:rPr>
        <w:t xml:space="preserve">. </w:t>
      </w:r>
      <w:r>
        <w:rPr>
          <w:rtl w:val="true"/>
        </w:rPr>
        <w:t>امتناع الرسول من الصلاةعلی أحد أصحابه‌</w:t>
      </w:r>
      <w:bookmarkEnd w:id="76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الحاکم فی مستدرکه عن زید بن خالد الجهنی رضی الله عنه انّ رجلًا من أصحاب رسول اللَّه توفّی یوم حنین أو خیبر، فامتنع رضی الله عنه من الصلاة</w:t>
      </w:r>
      <w:bookmarkStart w:id="769" w:name="pg1680_13269"/>
    </w:p>
    <w:p>
      <w:pPr>
        <w:pStyle w:val="BookText"/>
        <w:rPr/>
      </w:pPr>
      <w:bookmarkEnd w:id="769"/>
      <w:r>
        <w:rPr>
          <w:rFonts w:ascii="IRNazanin" w:hAnsi="IRNazanin" w:eastAsia="IRNazanin"/>
          <w:color w:val="111111"/>
          <w:sz w:val="28"/>
          <w:sz w:val="28"/>
          <w:szCs w:val="28"/>
          <w:rtl w:val="true"/>
          <w:lang w:bidi="fa-IR"/>
        </w:rPr>
        <w:t>علیه، لأنّه غلّ فی سبیل اللَّه ففتّشوا متاعه فوجدوا خِرزاً من خرز الیهود لا یساوی درهمین</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770" w:name="__RefHeading___Toc1401312_3650668749"/>
      <w:bookmarkStart w:id="771" w:name="_Toc294"/>
      <w:bookmarkEnd w:id="770"/>
      <w:r>
        <w:rPr>
          <w:rtl w:val="true"/>
        </w:rPr>
        <w:t>و</w:t>
      </w:r>
      <w:r>
        <w:rPr>
          <w:rtl w:val="true"/>
        </w:rPr>
        <w:t xml:space="preserve">. </w:t>
      </w:r>
      <w:r>
        <w:rPr>
          <w:rtl w:val="true"/>
        </w:rPr>
        <w:t>تنبّؤ النبی صلی الله علیه و آله و سلم بالمصیر الأسود لبعض أصحابه‌</w:t>
      </w:r>
      <w:bookmarkEnd w:id="771"/>
    </w:p>
    <w:p>
      <w:pPr>
        <w:pStyle w:val="BookText"/>
        <w:rPr/>
      </w:pPr>
      <w:r>
        <w:rPr>
          <w:rFonts w:ascii="Amiri" w:hAnsi="Amiri" w:eastAsia="Amiri" w:cs="Amiri"/>
          <w:color w:val="111111"/>
          <w:sz w:val="28"/>
          <w:sz w:val="28"/>
          <w:szCs w:val="28"/>
          <w:rtl w:val="true"/>
          <w:lang w:bidi="ar-SA"/>
        </w:rPr>
        <w:t>أخرج البخاری عن أبی هریرة قال شهدنا خیبر، فقال رسول اللَّه صلی الله علیه و آله و سلم لرجل ممّن معه یدّعی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القتال قاتل الرجل أشدّ القتال حتّی کثُرت به الجِراحَة، فکادَ بعض الناس یرتاب، فوجد الرّجل ألمَ الجِراحَة، فأهوی بیده إلی کنانته، فاستخرج منها أسهماً فنَحَر بها نفسه، فاشتدّ رجال من المسلمین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صدّق اللَّه حدیثک، انتحَر فلانٌ فقتل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یا فلانُ، فأذِّن أنّه لا یدخلُ الجَنّة إلّا مؤمنٌ، إنّ اللَّه یُؤیِّد الدّین بالرَّجلِ الفاجر</w:t>
      </w:r>
      <w:r>
        <w:rPr>
          <w:rFonts w:eastAsia="Amiri" w:cs="Amiri" w:ascii="Amiri" w:hAnsi="Amiri"/>
          <w:color w:val="111111"/>
          <w:sz w:val="28"/>
          <w:szCs w:val="28"/>
          <w:rtl w:val="true"/>
          <w:lang w:bidi="ar-SA"/>
        </w:rPr>
        <w:t>».</w:t>
      </w:r>
      <w:r>
        <w:rPr>
          <w:rStyle w:val="FootnoteAnchor"/>
          <w:rtl w:val="true"/>
        </w:rPr>
        <w:footnoteReference w:id="486"/>
      </w:r>
    </w:p>
    <w:p>
      <w:pPr>
        <w:pStyle w:val="Heading5"/>
        <w:numPr>
          <w:ilvl w:val="4"/>
          <w:numId w:val="1"/>
        </w:numPr>
        <w:rPr/>
      </w:pPr>
      <w:bookmarkStart w:id="772" w:name="__RefHeading___Toc1401314_3650668749"/>
      <w:bookmarkStart w:id="773" w:name="_Toc295"/>
      <w:bookmarkEnd w:id="772"/>
      <w:r>
        <w:rPr>
          <w:rtl w:val="true"/>
        </w:rPr>
        <w:t>ز</w:t>
      </w:r>
      <w:r>
        <w:rPr>
          <w:rtl w:val="true"/>
        </w:rPr>
        <w:t xml:space="preserve">. </w:t>
      </w:r>
      <w:r>
        <w:rPr>
          <w:rtl w:val="true"/>
        </w:rPr>
        <w:t>صحابی یخلو بامرأة</w:t>
      </w:r>
      <w:bookmarkEnd w:id="77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کثیر فی تفسیر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الإمام أبو جعفر بسنده عن أبی الیسر کعب بن عمرو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أتتنی امرأة تبتاع منّی بدرهم تمراً،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تمراً أجود من هذا، فدخلت فأهویت إلیها فقبّلتها، فأتیت عمر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واستر علی نفسک ولا تخبرن أحداً، فلم أصبر حتّی أتیت أبا بکر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واستر علی نفسک ولا تخبرن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أصبر حتّی أتیت</w:t>
      </w:r>
      <w:bookmarkStart w:id="774" w:name="pg1680_13271"/>
    </w:p>
    <w:p>
      <w:pPr>
        <w:pStyle w:val="BookText"/>
        <w:rPr/>
      </w:pPr>
      <w:bookmarkEnd w:id="774"/>
      <w:r>
        <w:rPr>
          <w:rFonts w:ascii="Amiri" w:hAnsi="Amiri" w:eastAsia="Amiri" w:cs="Amiri"/>
          <w:color w:val="111111"/>
          <w:sz w:val="28"/>
          <w:sz w:val="28"/>
          <w:szCs w:val="28"/>
          <w:rtl w:val="true"/>
          <w:lang w:bidi="ar-SA"/>
        </w:rPr>
        <w:t>النبی صلی الله علیه و آله و سلم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أخلفت رجلًا غازیاً فی سبیل اللَّه فی أهله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ظننت انّی من أهل النار حتّی تمنیتُ أنّی أسلمت ساعتئذ، فأطرق رسول اللَّه ساعة فنزل جبریل، فقال أبو 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فقرأ علیّ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له خاصة أم للناس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عامة</w:t>
      </w:r>
      <w:r>
        <w:rPr>
          <w:rFonts w:eastAsia="Amiri" w:cs="Amiri" w:ascii="Amiri" w:hAnsi="Amiri"/>
          <w:color w:val="111111"/>
          <w:sz w:val="28"/>
          <w:szCs w:val="28"/>
          <w:rtl w:val="true"/>
          <w:lang w:bidi="ar-SA"/>
        </w:rPr>
        <w:t>».</w:t>
      </w:r>
      <w:r>
        <w:rPr>
          <w:rStyle w:val="FootnoteAnchor"/>
          <w:rtl w:val="true"/>
        </w:rPr>
        <w:footnoteReference w:id="487"/>
      </w:r>
    </w:p>
    <w:p>
      <w:pPr>
        <w:pStyle w:val="Heading5"/>
        <w:numPr>
          <w:ilvl w:val="4"/>
          <w:numId w:val="1"/>
        </w:numPr>
        <w:rPr/>
      </w:pPr>
      <w:bookmarkStart w:id="775" w:name="__RefHeading___Toc1401316_3650668749"/>
      <w:bookmarkStart w:id="776" w:name="_Toc296"/>
      <w:bookmarkEnd w:id="775"/>
      <w:r>
        <w:rPr>
          <w:rtl w:val="true"/>
        </w:rPr>
        <w:t>ح</w:t>
      </w:r>
      <w:r>
        <w:rPr>
          <w:rtl w:val="true"/>
        </w:rPr>
        <w:t xml:space="preserve">. </w:t>
      </w:r>
      <w:r>
        <w:rPr>
          <w:rtl w:val="true"/>
        </w:rPr>
        <w:t>صحابی یجلس بین رجلی امرأة</w:t>
      </w:r>
      <w:bookmarkEnd w:id="776"/>
    </w:p>
    <w:p>
      <w:pPr>
        <w:pStyle w:val="BookText"/>
        <w:rPr/>
      </w:pPr>
      <w:r>
        <w:rPr>
          <w:rFonts w:ascii="IRNazanin" w:hAnsi="IRNazanin" w:eastAsia="IRNazanin"/>
          <w:color w:val="111111"/>
          <w:sz w:val="28"/>
          <w:sz w:val="28"/>
          <w:szCs w:val="28"/>
          <w:rtl w:val="true"/>
          <w:lang w:bidi="fa-IR"/>
        </w:rPr>
        <w:t>أخرج عبد الرزاق عن یحیی بن جعدة انّ رجلًا من أصحاب النبیّ صلی الله علیه و آله و سلم ذکر امرأة وهو جالس مع رسول اللَّه صلی الله علیه و آله و سلم فاستأذنه لحاجة، فأذن له، فذهب یطلبها فلم یجدها، فأقبل الرجل یرید أن یبشر النبی صلی الله علیه و آله و سلم بالمطر، فوجد المرأة جالسة علی غدیر فدفع فی صدرها وجلس بین رجلیها فصار ذکره مثل الهدبة، فقام نادماً حتّی أتی النبیّ صلی الله علیه و آله و سلم فأخبره بما صنع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ربّک وصلّ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طَرفی النّهار وزُلفاً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777" w:name="__RefHeading___Toc1401318_3650668749"/>
      <w:bookmarkStart w:id="778" w:name="_Toc297"/>
      <w:bookmarkEnd w:id="777"/>
      <w:r>
        <w:rPr>
          <w:rtl w:val="true"/>
        </w:rPr>
        <w:t>ط</w:t>
      </w:r>
      <w:r>
        <w:rPr>
          <w:rtl w:val="true"/>
        </w:rPr>
        <w:t xml:space="preserve">. </w:t>
      </w:r>
      <w:r>
        <w:rPr>
          <w:rtl w:val="true"/>
        </w:rPr>
        <w:t>صحابی یُقتصّ منه‌</w:t>
      </w:r>
      <w:bookmarkEnd w:id="77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حارث بن سوید بن الصامت شهد بدراً لکنّه قتل المِجذَر بن</w:t>
      </w:r>
      <w:bookmarkStart w:id="779" w:name="pg1680_13273"/>
    </w:p>
    <w:p>
      <w:pPr>
        <w:pStyle w:val="BookText"/>
        <w:rPr/>
      </w:pPr>
      <w:bookmarkEnd w:id="779"/>
      <w:r>
        <w:rPr>
          <w:rFonts w:ascii="IRNazanin" w:hAnsi="IRNazanin" w:eastAsia="IRNazanin"/>
          <w:color w:val="111111"/>
          <w:sz w:val="28"/>
          <w:sz w:val="28"/>
          <w:szCs w:val="28"/>
          <w:rtl w:val="true"/>
          <w:lang w:bidi="fa-IR"/>
        </w:rPr>
        <w:t>زیاد یوم أُحد لثأر جاهلی فقُتِل بأمر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أهل الأثر انّ هذا قتله النبی بالمجذر بن زیاد، لأنّه قتل المجذر یوم أُحد غیلة</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780" w:name="__RefHeading___Toc1401320_3650668749"/>
      <w:bookmarkStart w:id="781" w:name="_Toc298"/>
      <w:bookmarkEnd w:id="780"/>
      <w:r>
        <w:rPr>
          <w:rtl w:val="true"/>
        </w:rPr>
        <w:t>ی</w:t>
      </w:r>
      <w:r>
        <w:rPr>
          <w:rtl w:val="true"/>
        </w:rPr>
        <w:t xml:space="preserve">. </w:t>
      </w:r>
      <w:r>
        <w:rPr>
          <w:rtl w:val="true"/>
        </w:rPr>
        <w:t>دعاء النبی علی مُحلم بن جثامة</w:t>
      </w:r>
      <w:bookmarkEnd w:id="78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هو ومعه نفر من المسلمین فیهم أبو قتادة حتّی إذا کانوا ببطن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بهم عامر بن الاضبط الأشجعی علی بعیر له، وسلم علیهم بتحیة الإسلام، وحمل علیه محلم بن جثامة فقتله لشی‌ء کان بینه وبینه وأخذ بعیره ومتاعه، فلمّا قدموا علی رسول اللَّه وأخبروه الخبر، فنزل فیهم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وفی تفسیر ابن کثیر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هذه نماذج من أصحاب النبی الذین اقترفوا المعاصی فی حیاة النبی وتنبّأ النبی بسوء مصیرهم، أو ندد بعملهم، وإلّا فالمجروحون من أصحابه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فی نقض الموجبة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الجزئیة</w:t>
      </w:r>
      <w:r>
        <w:rPr>
          <w:rFonts w:eastAsia="IRNazanin" w:cs="IRNazanin"/>
          <w:color w:val="111111"/>
          <w:sz w:val="28"/>
          <w:szCs w:val="28"/>
          <w:rtl w:val="true"/>
          <w:lang w:bidi="fa-IR"/>
        </w:rPr>
        <w:t>.</w:t>
      </w:r>
      <w:bookmarkStart w:id="782" w:name="pg1680_13275"/>
    </w:p>
    <w:p>
      <w:pPr>
        <w:pStyle w:val="Heading4"/>
        <w:numPr>
          <w:ilvl w:val="3"/>
          <w:numId w:val="1"/>
        </w:numPr>
        <w:rPr/>
      </w:pPr>
      <w:bookmarkStart w:id="783" w:name="__RefHeading___Toc1401322_3650668749"/>
      <w:bookmarkStart w:id="784" w:name="_Toc299"/>
      <w:bookmarkEnd w:id="782"/>
      <w:bookmarkEnd w:id="783"/>
      <w:r>
        <w:rPr/>
        <w:t>9</w:t>
      </w:r>
      <w:r>
        <w:rPr>
          <w:rtl w:val="true"/>
        </w:rPr>
        <w:t xml:space="preserve">- </w:t>
      </w:r>
      <w:r>
        <w:rPr>
          <w:rtl w:val="true"/>
        </w:rPr>
        <w:t>الصحابة فی مرآة التاریخ‌</w:t>
      </w:r>
      <w:bookmarkEnd w:id="784"/>
    </w:p>
    <w:p>
      <w:pPr>
        <w:pStyle w:val="BookText"/>
        <w:rPr/>
      </w:pPr>
      <w:r>
        <w:rPr>
          <w:rFonts w:ascii="IRNazanin" w:hAnsi="IRNazanin" w:eastAsia="IRNazanin"/>
          <w:color w:val="111111"/>
          <w:sz w:val="28"/>
          <w:sz w:val="28"/>
          <w:szCs w:val="28"/>
          <w:rtl w:val="true"/>
          <w:lang w:bidi="fa-IR"/>
        </w:rPr>
        <w:t>إنّ التاریخ سجّل أسماء جماعة من صحابة النبی لم یحسنوا الصحبة، ونحن نأتی بأسماء لفیف منهم، وهم لیسوا من المنافقین قطعاً إلّاواحد منهم ومع ذلک ساءت سیرتهم ولا یمکن غض النظر عن هذا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 بن قیس الأنصاری، الذی قال النبیُّ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مغفور له إلّا صاحب الجمل الأحمر</w:t>
      </w:r>
      <w:r>
        <w:rPr>
          <w:rFonts w:eastAsia="IRNazanin" w:cs="IRNazanin"/>
          <w:color w:val="111111"/>
          <w:sz w:val="28"/>
          <w:szCs w:val="28"/>
          <w:rtl w:val="true"/>
          <w:lang w:bidi="fa-IR"/>
        </w:rPr>
        <w:t>.</w:t>
      </w:r>
      <w:r>
        <w:rPr>
          <w:rStyle w:val="FootnoteAnchor"/>
        </w:rPr>
        <w:footnoteReference w:id="49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أُبیّ بن سلّول، کان من المبایعین تحت الشجرة فی 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منافقاً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الحرقوص بن زهیر السعدی، شهد بیعة الرضوان وصار رأس الخوارج، وهو الذی قال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یا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سوید بن الصامت، شهد بدراً لکنّه قتل المجذر بن زیاد یوم أُحد لثأر جاهلی، فأمر النبیّ بقتل الحارث بالمجذر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العرنیون، الذین قتلهم النبی صلی الله علیه و آله و سلم جزاءً علی فعلهم بقتل بعض الرعاة وسرقة الإبل، کانوا قد صحبوا قبل الحدیبیة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محلم بن جثامة، قال فیه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تغفر لمحلم بن جثامة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صحابیاً متعمداً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مقیس بن صبابة، قتل نفساً مؤمنة فأهدر النبیّ دمه، فقتل فی فتح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خطل، کان صحابیاً ثمّ ارتد ولحق بمکة وقتل یوم فتحها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المغیرة بن شعبة، ساءت سیرته بعد النبی کما هو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مدعم، مولی النبی صلی الله علیه و آله و سلم الذی غلّ من غنائم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کرکرة، مولی النبی غلّ من غنائم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سمرة بن جندب، أساء السیرة بعد النبی فکان یبیع الخمر ویقتل البشر ویُرضی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جحش الأسدی، کان من السابقین إلی الإسلام ومن مهاجرة الحبشة لکنّه تنصّر بالحبشة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ربیعة بن الأسود القرشی، افتتن وارتد بمکة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قیس بن الولید بن المغیرة، افتتن بمکة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أُمیة بن خلف افتتن بمکة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العاص بن منبه بن الحجاج، افتتن بمکة وقتل ببدر مع المشرکین</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یمکن للذکر الحکیم أن یُثنی علی الأفراد التالیة أسماؤهم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بنصّ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بن أبی أرطأة،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الأعور السلمی وغیرهم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حاربوا علیّاً وعماراً وعشرات البدریّین ومئات الرضوانیین الذین کانوا مع علی فی خلافته، وشتموهم، فهؤلاء وأمثالهم خارجون عن الآیات المادحة علی فرض شمولها لهم</w:t>
      </w:r>
      <w:r>
        <w:rPr>
          <w:rFonts w:eastAsia="IRNazanin" w:cs="IRNazanin"/>
          <w:color w:val="111111"/>
          <w:sz w:val="28"/>
          <w:szCs w:val="28"/>
          <w:rtl w:val="true"/>
          <w:lang w:bidi="fa-IR"/>
        </w:rPr>
        <w:t>.</w:t>
      </w:r>
      <w:bookmarkStart w:id="785" w:name="pg1680_13281"/>
    </w:p>
    <w:p>
      <w:pPr>
        <w:pStyle w:val="Heading4"/>
        <w:numPr>
          <w:ilvl w:val="3"/>
          <w:numId w:val="1"/>
        </w:numPr>
        <w:rPr/>
      </w:pPr>
      <w:bookmarkStart w:id="786" w:name="__RefHeading___Toc1401324_3650668749"/>
      <w:bookmarkStart w:id="787" w:name="_Toc300"/>
      <w:bookmarkEnd w:id="785"/>
      <w:bookmarkEnd w:id="786"/>
      <w:r>
        <w:rPr/>
        <w:t>10</w:t>
      </w:r>
      <w:r>
        <w:rPr>
          <w:rtl w:val="true"/>
        </w:rPr>
        <w:t xml:space="preserve">- </w:t>
      </w:r>
      <w:r>
        <w:rPr>
          <w:rtl w:val="true"/>
        </w:rPr>
        <w:t>ما هی الغایة من دراسة عدالة الصحابة؟</w:t>
      </w:r>
      <w:bookmarkEnd w:id="787"/>
    </w:p>
    <w:p>
      <w:pPr>
        <w:pStyle w:val="BookText"/>
        <w:rPr/>
      </w:pPr>
      <w:r>
        <w:rPr>
          <w:rFonts w:ascii="IRNazanin" w:hAnsi="IRNazanin" w:eastAsia="IRNazanin"/>
          <w:color w:val="111111"/>
          <w:sz w:val="28"/>
          <w:sz w:val="28"/>
          <w:szCs w:val="28"/>
          <w:rtl w:val="true"/>
          <w:lang w:bidi="fa-IR"/>
        </w:rPr>
        <w:t>الغایة من دراسة عدالة الصحابة، نفس الغایة من دراسة عدالة التابعین ومن تلاهم من رواة القرون المتأخرة، والهدف فی الجمیع هی التعرف علی الصالحین والطالحین، حتّی یتسنّی للدارس أخذ الدین عن الصلحاء، والاجتناب عن الطالحین، فلو قام الرجل بدراسة أحوالهم لهذه الغایة، لما کان علیه 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یعلم ضعف ما رواه الخطیب بسنده عن أبی زرعة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الرجل ینتقص أحداً من أصحاب رسو ل اللَّه فاعلم أنّه زندیق، وذلک أنّ الرسول حقّ، والقرآن حقّ، وما جاء به حقّ، وإنّما أدّی إلینا ذلک کلّه الصحابة، وهؤلاء یریدون أن یجرحوا شهودنا لیبطلوا الکتاب والسنّة، والجرح بهم أولی وهم زنادقة</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الرازی عن سوء الظن بإخیه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 مکان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الرجل یتفحّص عن أحد من</w:t>
      </w:r>
    </w:p>
    <w:p>
      <w:pPr>
        <w:pStyle w:val="BookText"/>
        <w:rPr/>
      </w:pPr>
      <w:r>
        <w:rPr>
          <w:rFonts w:ascii="IRNazanin" w:hAnsi="IRNazanin" w:eastAsia="IRNazanin"/>
          <w:color w:val="111111"/>
          <w:sz w:val="28"/>
          <w:sz w:val="28"/>
          <w:szCs w:val="28"/>
          <w:rtl w:val="true"/>
          <w:lang w:bidi="fa-IR"/>
        </w:rPr>
        <w:t>أصحاب الرسول لغایة العلم بصدقه أو کذبه، أو خیره أو شره، حتی یأخذ دینه عن الخیرة الصادقین، ویحترز عن الآخرین، فاعلم أنّه من جملة المحقّقین فی الدین والمتحرین للحقیقة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 أحسن وأولی بل هو الحسن والمتعیّن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غیر الصحیح أن یتهم العالم أحداً، یرید التثبت فی أُمور الدین، والتحقیق فی مطالب الشریعة، بالزندقة وأنّه یرید جرح شهود المسلمین لإبطال الکتاب والسنّة، وما شهود المسلمین إلّاالآلاف المؤلّفة من أصحابه صلی الله علیه و آله و سلم فلا یضر بالکتاب والسنّة جرح لفیف منهم وتعدیل قسم منهم، ولیس الدین القیم قائماً بهذا الصنف من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تورد یا سعد الإبل</w:t>
      </w:r>
      <w:r>
        <w:rPr>
          <w:rFonts w:eastAsia="IRNazanin" w:cs="IRNazanin"/>
          <w:color w:val="111111"/>
          <w:sz w:val="28"/>
          <w:szCs w:val="28"/>
          <w:rtl w:val="true"/>
          <w:lang w:bidi="fa-IR"/>
        </w:rPr>
        <w:t>!!</w:t>
      </w:r>
      <w:bookmarkStart w:id="788" w:name="pg1680_13285"/>
    </w:p>
    <w:p>
      <w:pPr>
        <w:pStyle w:val="Heading4"/>
        <w:numPr>
          <w:ilvl w:val="3"/>
          <w:numId w:val="1"/>
        </w:numPr>
        <w:rPr/>
      </w:pPr>
      <w:bookmarkStart w:id="789" w:name="__RefHeading___Toc1401326_3650668749"/>
      <w:bookmarkStart w:id="790" w:name="_Toc301"/>
      <w:bookmarkEnd w:id="788"/>
      <w:bookmarkEnd w:id="789"/>
      <w:r>
        <w:rPr/>
        <w:t>11</w:t>
      </w:r>
      <w:r>
        <w:rPr>
          <w:rtl w:val="true"/>
        </w:rPr>
        <w:t xml:space="preserve">- </w:t>
      </w:r>
      <w:r>
        <w:rPr>
          <w:rtl w:val="true"/>
        </w:rPr>
        <w:t>هل قول الصحابی من مصادر التشریع؟</w:t>
      </w:r>
      <w:bookmarkEnd w:id="790"/>
    </w:p>
    <w:p>
      <w:pPr>
        <w:pStyle w:val="BookText"/>
        <w:rPr/>
      </w:pPr>
      <w:r>
        <w:rPr>
          <w:rFonts w:ascii="IRNazanin" w:hAnsi="IRNazanin" w:eastAsia="IRNazanin"/>
          <w:color w:val="111111"/>
          <w:sz w:val="28"/>
          <w:sz w:val="28"/>
          <w:szCs w:val="28"/>
          <w:rtl w:val="true"/>
          <w:lang w:bidi="fa-IR"/>
        </w:rPr>
        <w:t>یعدُّ الأئمّة الثلاثة غیر أبی حنیفة قولَ الصحابی من مصادر التشریع، وربّما ینقل عنه أیضاً خلافه، لکن المعروف انّه لا یعترف بحجیة 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المقام هو تحریر محل النزاع وتعیین موضوعه، فإنّه غیر منقّح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الصحابی من مصادر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مذهبه من مصادره، فی عرض الکتاب والسنّة والإجماع والعقل وغیرها وربما یعبّر عن مذهب الصحابی، بسنّته، الظاهرة فی أنّ له سنّة، عرض سنّة النبی، فلو أُرید هذا فهو محجوج بما ذکره الغزالی حیث 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یُجوَّز علیه الغلط والسهو، ولم تثبت عصمته عنه فلا حجّة فی قوله، فکیف یحتج بقولهم مع جواز الخطأ؟ وکیف تدّعی عصمتهم من غیر حجّة متواترة؟ وکیف یتصوّر قوم یجوز علیهم الاختلاف؟ وکیف یختلف المعصومان؟ کیف وقد اتّفقت الصحابة علی جواز مخالفة الصحابة؟ فلم ینکر أبو بکر وعمر علی من خالفهما بالاجتهاد، بل أوجبوا فی مسائل الاجتهاد علی کلّ مجتهد أن یتبع اجتهاد نفسه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وعلی ظاهر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الشوکانی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لیس بحجّة، فإنّ اللَّه سبحانه لم یبعث إلی هذه الأُمّة إلّانبیّنا محمّداً صلی الله علیه و آله و سلم، ولیس لنا إلّارسول واحد وکتاب واحد، وجمیع الأُمّة مأمورة باتّباع کتابه وسنّة نبیّه ولا فرق بین الصحابة ومن بعدهم فی ذلک، فکلّهم مکلّفون بالتکالیف الشرعیة، وباتّباع الکتاب والسنّة،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تقوم الحجّة فی دین اللَّه عزّ وجلّ بعد کتاب اللَّه تعالی وسنّة رسوله صلی الله علیه و آله و سلم وما یرجع إلیهما، فقد قال فی دین اللَّه بما لا یثبت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وعلی کل تقدیر فالحجة هو کتاب اللَّه العزیز وسنّة نبیه، وما اتّفق علیه المسلمون، أو ما دلّ علیه العقل الحصیف، وأمّا قول الصحابی غیر المستند إلی الرسول، فلیس بحجة قطعاً، وأمّا رأیه المستنبط من المصادر الشرعیة فهوحجة له ولمقلّدیه، ولیس حجة علی الآخرین،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المجتهدین وغیرالمقلدین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حقیقة مرّة، وهی انّ التأکید علی حجیة قول الصحابی لأجل انّ حذفه من الفقه السنّی یوجب انهیار صرح البناء الفقهی الذی أشادوه، وتغیّر القسم الأعظم من فتاواهم، وحلول فتاوی أُخر محلّها ربما استتبع فقهاً جدیداً لا أُنس لهم به</w:t>
      </w:r>
      <w:r>
        <w:rPr>
          <w:rFonts w:eastAsia="IRNazanin" w:cs="IRNazanin"/>
          <w:color w:val="111111"/>
          <w:sz w:val="28"/>
          <w:szCs w:val="28"/>
          <w:rtl w:val="true"/>
          <w:lang w:bidi="fa-IR"/>
        </w:rPr>
        <w:t>.</w:t>
      </w:r>
      <w:bookmarkStart w:id="791" w:name="pg1680_13289"/>
    </w:p>
    <w:p>
      <w:pPr>
        <w:pStyle w:val="Heading4"/>
        <w:numPr>
          <w:ilvl w:val="3"/>
          <w:numId w:val="1"/>
        </w:numPr>
        <w:rPr/>
      </w:pPr>
      <w:bookmarkStart w:id="792" w:name="__RefHeading___Toc1401328_3650668749"/>
      <w:bookmarkStart w:id="793" w:name="_Toc302"/>
      <w:bookmarkEnd w:id="791"/>
      <w:bookmarkEnd w:id="792"/>
      <w:r>
        <w:rPr/>
        <w:t>12</w:t>
      </w:r>
      <w:r>
        <w:rPr>
          <w:rtl w:val="true"/>
        </w:rPr>
        <w:t xml:space="preserve">- </w:t>
      </w:r>
      <w:r>
        <w:rPr>
          <w:rtl w:val="true"/>
        </w:rPr>
        <w:t>هل رؤیا الصحابی من مصادر التشریع؟</w:t>
      </w:r>
      <w:bookmarkEnd w:id="793"/>
    </w:p>
    <w:p>
      <w:pPr>
        <w:pStyle w:val="BookText"/>
        <w:rPr/>
      </w:pPr>
      <w:r>
        <w:rPr>
          <w:rFonts w:ascii="IRNazanin" w:hAnsi="IRNazanin" w:eastAsia="IRNazanin"/>
          <w:color w:val="111111"/>
          <w:sz w:val="28"/>
          <w:sz w:val="28"/>
          <w:szCs w:val="28"/>
          <w:rtl w:val="true"/>
          <w:lang w:bidi="fa-IR"/>
        </w:rPr>
        <w:t>قد تقدّم فی الفصل الثانی انّ من مراتب التوحید، هو التوحید فی التشریع وانّه لا تشریع سوی تشریعه سبحانه، وانّ النبی الأعظم هو المبیّن، وعلی ضوء ذلک فلیس قول الصحابی ولا سنّته ولا رأیه من مصادر التشریع مالم یکن مستنداً إلی قول الرسول وفعله 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وأسوأ من ذلک أن تکون رؤیا الصحابی مصدراً للتشریع، ومع الأسف أنّ فی الصحاح والسنن روایات تحکی عن کون رؤیا الصحابی من مصادره نذکر مورداً واحداً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النبی للصلاة کیف یجمع الناس لها؟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 رایة عند حضور الصلاة، فإذا رأوها آذن بعضهم بعضاً، فلم یعجبه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القبع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شبور الیهود، فلم یُعجبه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أمر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الناقوس،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أمر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عبد اللَّه بن زید بن عبد ربّه وهو مهتم لهمِّ رسول اللَّه صلی الله علیه و آله و سلم فأُری الأذان فی منامه،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علی رسول اللَّه صلی الله علیه و آله و سلم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لبین نائم ویقظان، إذ أتانی آت فأرانی الأذان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بن الخطاب قد رآه قبل ذلک، فکتمه عشرین یوماً، ثمّ</w:t>
      </w:r>
    </w:p>
    <w:p>
      <w:pPr>
        <w:pStyle w:val="BookText"/>
        <w:rPr/>
      </w:pPr>
      <w:r>
        <w:rPr>
          <w:rFonts w:ascii="IRNazanin" w:hAnsi="IRNazanin" w:eastAsia="IRNazanin"/>
          <w:color w:val="111111"/>
          <w:sz w:val="28"/>
          <w:sz w:val="28"/>
          <w:szCs w:val="28"/>
          <w:rtl w:val="true"/>
          <w:lang w:bidi="fa-IR"/>
        </w:rPr>
        <w:t>أخبر النبی به،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سبقنی عبد اللَّه بن زید، فاستحییت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قم فانظر ما یأمرک به عبد اللَّه بن زید فافعله،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بلال، قال أبو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أبو عمیر انّ‌الأنصار تزعم أنّ‌عبد اللَّه بن زید لولا انّه کان یومئذٍ مریضاً لجعله رسول اللَّه مؤذناً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إنّ هذه الروایة وما شاکلها لا تتفق مع مقام النبوة، لأنّه سبحانه بعث رسوله لإقامة الصلاة مع المؤمنین فی أوقات مختلفة، وطبیعة الحال تستدعی أن یعلّمه سبحانه کیفیة تحقّق هذه الأُمنیة، فلا معنی لتحیّر النبی أیاماً طویلة، وهو لا یدری کیف یحقّق المسؤولیة الملقاة 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الصلاة والصیام من الأُمور العبادیة ولیست من الأُمور الطبیعیة العادیة حتی یشاور النبی فیها أصحابه، أولیس من الوهن فی أمر الدین أن تکون رؤیا وأحلام أشخاص عادیّین مصدراً لأمر عبادی فی غایة الأهمیة کالأذان والإقامة؟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یدفعنا إلی القول بأنّ الرؤیا کانت مصدراً للأذان أمر مکذوب ومجعول علی الشریعة، وانّ الکذّابین المنتمین إلی بیت عبد اللَّه بن زید هم الذین أشاعوا هذه الأُکذوبة طلباً لعلو المنزلة والجاه</w:t>
      </w:r>
      <w:r>
        <w:rPr>
          <w:rFonts w:eastAsia="IRNazanin" w:cs="IRNazanin"/>
          <w:color w:val="111111"/>
          <w:sz w:val="28"/>
          <w:szCs w:val="28"/>
          <w:rtl w:val="true"/>
          <w:lang w:bidi="fa-IR"/>
        </w:rPr>
        <w:t>.</w:t>
      </w:r>
      <w:bookmarkStart w:id="794" w:name="pg1680_13294"/>
    </w:p>
    <w:p>
      <w:pPr>
        <w:pStyle w:val="Heading2"/>
        <w:numPr>
          <w:ilvl w:val="1"/>
          <w:numId w:val="1"/>
        </w:numPr>
        <w:rPr/>
      </w:pPr>
      <w:bookmarkStart w:id="795" w:name="__RefHeading___Toc1401330_3650668749"/>
      <w:bookmarkStart w:id="796" w:name="_Toc303"/>
      <w:bookmarkEnd w:id="794"/>
      <w:bookmarkEnd w:id="795"/>
      <w:r>
        <w:rPr>
          <w:rtl w:val="true"/>
        </w:rPr>
        <w:t>الفصل العاشر</w:t>
      </w:r>
      <w:bookmarkEnd w:id="796"/>
    </w:p>
    <w:p>
      <w:pPr>
        <w:pStyle w:val="Heading3"/>
        <w:numPr>
          <w:ilvl w:val="2"/>
          <w:numId w:val="1"/>
        </w:numPr>
        <w:rPr/>
      </w:pPr>
      <w:bookmarkStart w:id="797" w:name="__RefHeading___Toc1401332_3650668749"/>
      <w:bookmarkStart w:id="798" w:name="_Toc304"/>
      <w:bookmarkEnd w:id="797"/>
      <w:r>
        <w:rPr>
          <w:rtl w:val="true"/>
        </w:rPr>
        <w:t>اشارة</w:t>
      </w:r>
      <w:bookmarkEnd w:id="7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الوضوء وکیفیة غسل الأیدی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الأذان والإقامة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الید الیسری بالیمنی بین البدعة والسنّة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جزئیة البسملة والجهر بها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التأمین بعد الفاتحة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القنوت فی الرکعة الثانیة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 علی الأرض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الجلوس بعد رفع الرأس من السجدة الثانیة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التشهد والتسلیم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بین الصلاتین فی الحضر اختیاراً</w:t>
      </w:r>
      <w:bookmarkStart w:id="799" w:name="pg1680_13298"/>
    </w:p>
    <w:p>
      <w:pPr>
        <w:pStyle w:val="Heading3"/>
        <w:numPr>
          <w:ilvl w:val="2"/>
          <w:numId w:val="1"/>
        </w:numPr>
        <w:rPr/>
      </w:pPr>
      <w:bookmarkStart w:id="800" w:name="__RefHeading___Toc1401334_3650668749"/>
      <w:bookmarkStart w:id="801" w:name="_Toc305"/>
      <w:bookmarkEnd w:id="799"/>
      <w:bookmarkEnd w:id="800"/>
      <w:r>
        <w:rPr/>
        <w:t>1</w:t>
      </w:r>
      <w:r>
        <w:rPr>
          <w:rtl w:val="true"/>
        </w:rPr>
        <w:t xml:space="preserve">- </w:t>
      </w:r>
      <w:r>
        <w:rPr>
          <w:rtl w:val="true"/>
        </w:rPr>
        <w:t>الوضوء وکیفیة غسل الأیدی‌</w:t>
      </w:r>
      <w:bookmarkEnd w:id="801"/>
    </w:p>
    <w:p>
      <w:pPr>
        <w:pStyle w:val="Heading4"/>
        <w:numPr>
          <w:ilvl w:val="3"/>
          <w:numId w:val="1"/>
        </w:numPr>
        <w:rPr/>
      </w:pPr>
      <w:bookmarkStart w:id="802" w:name="__RefHeading___Toc1401336_3650668749"/>
      <w:bookmarkStart w:id="803" w:name="_Toc306"/>
      <w:bookmarkEnd w:id="802"/>
      <w:r>
        <w:rPr>
          <w:rtl w:val="true"/>
        </w:rPr>
        <w:t>اشارة</w:t>
      </w:r>
      <w:bookmarkEnd w:id="803"/>
    </w:p>
    <w:p>
      <w:pPr>
        <w:pStyle w:val="BookText"/>
        <w:rPr/>
      </w:pPr>
      <w:r>
        <w:rPr>
          <w:rFonts w:ascii="IRNazanin" w:hAnsi="IRNazanin" w:eastAsia="IRNazanin"/>
          <w:color w:val="111111"/>
          <w:sz w:val="28"/>
          <w:sz w:val="28"/>
          <w:szCs w:val="28"/>
          <w:rtl w:val="true"/>
          <w:lang w:bidi="fa-IR"/>
        </w:rPr>
        <w:t>إنّ آیة الوضوء نزلت لتعلیم الأُمّة کیفیة الوضوء والتیمّم، والمخاطب بها جمیع المسلمین عبْر القرون إلی یوم القیامة، ومثلها یجب أن تکون واضحة المعالم مبیّنة المراد، حتّی ینتفع بها القریب والبعید والصحابی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جدیرة بالبحث من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کیفیة غسل الیدین، وأنّه هل یجب الغسل من أعلی إلی أسفل أو بالعکس؟</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الأرجل من حیث المسح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فلنعطف عنان القلم إلی البحث فی الجانب الأوّل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اختلف الفقهاء فی کیفیة غسل الیدین، فأئمّة أهل البیت وشیعتهم، علی أنّ الابتداء بالمرفقین إلی أطراف الأصابع وانّ هذه هی السنّة، وحجتهم علی ذلک هو ظاهر الآیة المتبادر عند العرف، فإنّ المتبادر فی نظائر هذه التراکیب هو الابتداء من أعلی إلی أسفل، فمثلًا إذا قال الطبیب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رجلک بالماء الفاتر إلی الرکبة، یتبع المریض ما هو المتداول فی غسل الرجل عند العرف، وهو الغسل من أعلی إلی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قال صاحب الدار للصبّاغ، أصبغ جدران هذه الغرفة إلی السقف، فیتبع الصبّاغ ما هو المألوف فی صبغ الجدران من الأعلی إلی الأسفل ولا یدور بخلده، أو بخلد المریض من أنّ مالک الدار أو الطبیب استخدم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انتهاء غایة الصبغ والغسل عند السقف و الرجل بل یفهم بوضوح ان الغایة من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تحدید المقدار اللازم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هذا هو المفهوم فی المثالین المذکورین فلیکن الأمر کذلک فی آیة الوضوء حول غسل الأیدی، فإنّ الغایة من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حد المغسول لا کیفیة الغسل، لأنّها متروکة إلی ما هو المتّبع والمتداول فی العرف،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الأسهل فالأسهل، وهو الابتداء من فوق إلی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أساس الاختلاف فی الابتداء بالمرفقین إلی أُصول الأصابع أو بالعکس عندهم إنّما هو فی تعیین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فهل هو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أی‌المغسول، أو قید للفعل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تکون الآیة 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الأیدی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غسلها، وإنّما جاء بالقید لأنّ الید مشترک تطلق علی أُصول الأصابع والزند والمرفق إلی المنکب، ولما کان المغسول محدداً إلی المرافق قُیّدت الید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لیفهم أنّ المغسول هو هذا المقدار المحدد من الید ولولا اشتراک الید بین المراتب المختلفة وانّ المغسول بعض المراتب لما جی‌ء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فالإتیان بها لأجل تحدید المقدار المغسول من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أی‌إذا قلنا بکونه قیداً للأمر بالاغتسال، فربّما یوحی إلی ضرورة الابتداء من أُصول الأصابع إلی المرفقین، فکأنّه سبحانه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اغسلوها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هذا الإیحاء من غموض، لما عرفت من أنّ المتّبع فی نظائر هذه الأمثلة ما هو المتعارف وهو الابتداء من الأعلی إلی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أنّ حرف الجر قید للفعل، لا نسلم أنّه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لانتهاء الغایة، بل یحتمل أن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الأیدی اغسلوها مع المرافق، ولیس هذا بعزیز فی القرآن والأدب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حاکیاً عن المسیح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عِیسی مِنْهُمُ الکُفْرَ قالَ مَنْ أَنْصاری إِلی اللَّه</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أی‌مع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وَیَزِدْکُمْ قُوَّةً إِلی قُوَّتِکُمْ</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أی‌مع قوتکم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فلان الکوفة إلی البصرة، أی‌مع البصرة، ولیس فی هذه الموارد من الغایة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النابغة الذبیانی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تترکنی بالوعید کأنّنی إلی‌الناس مطلیّ به القار أجرب</w:t>
      </w:r>
    </w:p>
    <w:p>
      <w:pPr>
        <w:pStyle w:val="BookText"/>
        <w:rPr/>
      </w:pPr>
      <w:r>
        <w:rPr>
          <w:rFonts w:ascii="IRNazanin" w:hAnsi="IRNazanin" w:eastAsia="IRNazanin"/>
          <w:color w:val="111111"/>
          <w:sz w:val="28"/>
          <w:sz w:val="28"/>
          <w:szCs w:val="28"/>
          <w:rtl w:val="true"/>
          <w:lang w:bidi="fa-IR"/>
        </w:rPr>
        <w:t>أراد مع الناس أو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 کلّ خوار إلی کل صولةورفعی المدا عار الترائب</w:t>
      </w:r>
    </w:p>
    <w:p>
      <w:pPr>
        <w:pStyle w:val="BookText"/>
        <w:rPr/>
      </w:pPr>
      <w:r>
        <w:rPr>
          <w:rFonts w:ascii="IRNazanin" w:hAnsi="IRNazanin" w:eastAsia="IRNazanin"/>
          <w:color w:val="111111"/>
          <w:sz w:val="28"/>
          <w:sz w:val="28"/>
          <w:szCs w:val="28"/>
          <w:rtl w:val="true"/>
          <w:lang w:bidi="fa-IR"/>
        </w:rPr>
        <w:t>وقال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کفل کالدعص لبّده الندی‌إلی حارک مثل الغبیط المذأبِ</w:t>
      </w:r>
    </w:p>
    <w:p>
      <w:pPr>
        <w:pStyle w:val="BookText"/>
        <w:rPr/>
      </w:pPr>
      <w:r>
        <w:rPr>
          <w:rFonts w:ascii="IRNazanin" w:hAnsi="IRNazanin" w:eastAsia="IRNazanin"/>
          <w:color w:val="111111"/>
          <w:sz w:val="28"/>
          <w:sz w:val="28"/>
          <w:szCs w:val="28"/>
          <w:rtl w:val="true"/>
          <w:lang w:bidi="fa-IR"/>
        </w:rPr>
        <w:t>أراد مع حارک</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وعلی ضوء ذلک فلیست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الغایة، بل لبیان الجزء الواجب من المغسول سواء أکان الغسل من الأعلی أو من الأسفل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والدلیل القاطع علی لزوم الابتداء من الأعلی إلی الأسفل هو لزوم اتّباع ما هو المألوف فی أمثال المورد کما سلف</w:t>
      </w:r>
      <w:r>
        <w:rPr>
          <w:rFonts w:eastAsia="IRNazanin" w:cs="IRNazanin"/>
          <w:color w:val="111111"/>
          <w:sz w:val="28"/>
          <w:szCs w:val="28"/>
          <w:rtl w:val="true"/>
          <w:lang w:bidi="fa-IR"/>
        </w:rPr>
        <w:t>.</w:t>
      </w:r>
      <w:bookmarkStart w:id="804" w:name="pg1680_13306"/>
    </w:p>
    <w:p>
      <w:pPr>
        <w:pStyle w:val="BookText"/>
        <w:rPr/>
      </w:pPr>
      <w:bookmarkEnd w:id="804"/>
      <w:r>
        <w:rPr>
          <w:rFonts w:ascii="IRNazanin" w:hAnsi="IRNazanin" w:eastAsia="IRNazanin"/>
          <w:color w:val="111111"/>
          <w:sz w:val="28"/>
          <w:sz w:val="28"/>
          <w:szCs w:val="28"/>
          <w:rtl w:val="true"/>
          <w:lang w:bidi="fa-IR"/>
        </w:rPr>
        <w:t>وقد نقل أئمّة أهل البیت علیهم السلام وضوء رسول اللَّه صلی الله علیه و آله و سلم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الشیخ الطوسی بسنده عن بکیر و زرارة بن أعین، أنّهما سألا أبا جعفر عن وضوء رسول اللَّه صلی الله علیه و آله و سلم فدعا بطست أو بتَوْر</w:t>
      </w:r>
      <w:r>
        <w:rPr>
          <w:rStyle w:val="FootnoteAnchor"/>
          <w:rtl w:val="true"/>
        </w:rPr>
        <w:footnoteReference w:id="503"/>
      </w:r>
      <w:r>
        <w:rPr>
          <w:rFonts w:ascii="IRNazanin" w:hAnsi="IRNazanin" w:eastAsia="IRNazanin"/>
          <w:color w:val="111111"/>
          <w:sz w:val="28"/>
          <w:sz w:val="28"/>
          <w:szCs w:val="28"/>
          <w:rtl w:val="true"/>
          <w:lang w:bidi="fa-IR"/>
        </w:rPr>
        <w:t>فیه ماء، فغسل کفّیه، ثمّ غمس کفّه الیمنی فی التور فغسل وجهه بها، واستعان بیده الیسری بکفّه علی غسل وجهه، ثمّ غمس کفّه الیسری فی الماء فاغترف بها من الماء فغسل یده الیمنی من المرفق إلی الأصابع لا یردّ الماء إلی المرفقین، ثمّ غمس کفّه الیمنی فی الماء فاغترف بها من الماء فأفرغه علی یده الیسری من المرفق إلی الکفّ لا یردُّ الماء إلی المرفق کما صنع بالیمنی، ثمّ مسح رأسه وقدمیه إلی الکعبین بفضل کفّیه ولم یجدد ماء</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805" w:name="__RefHeading___Toc1401338_3650668749"/>
      <w:bookmarkStart w:id="806" w:name="_Toc307"/>
      <w:bookmarkEnd w:id="805"/>
      <w:r>
        <w:rPr>
          <w:rtl w:val="true"/>
        </w:rPr>
        <w:t>الوضوء ومسح الأرجل أو غسلها</w:t>
      </w:r>
      <w:bookmarkEnd w:id="806"/>
    </w:p>
    <w:p>
      <w:pPr>
        <w:pStyle w:val="BookText"/>
        <w:rPr/>
      </w:pPr>
      <w:r>
        <w:rPr>
          <w:rFonts w:ascii="IRNazanin" w:hAnsi="IRNazanin" w:eastAsia="IRNazanin"/>
          <w:color w:val="111111"/>
          <w:sz w:val="28"/>
          <w:sz w:val="28"/>
          <w:szCs w:val="28"/>
          <w:rtl w:val="true"/>
          <w:lang w:bidi="fa-IR"/>
        </w:rPr>
        <w:t>قد تقدّم أنّ آیة الوضوء جدیرة بالبحث من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الأیدی، والآخر حکم الأرجل من حیث المسح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البحث عن الجانب الأوّل، وإلیک البحث عن الجانب الثانی فنقول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جاءَأَحدٌ مِنْکُمْ مِنَ الْغائِطِ أَوْ لامَسْتُمُ النِّساءَ فَلَمْ تَجِدُوا ماءً فَتَیَمَّمُوا صَعِیداً</w:t>
      </w:r>
    </w:p>
    <w:p>
      <w:pPr>
        <w:pStyle w:val="BookText"/>
        <w:rPr/>
      </w:pPr>
      <w:r>
        <w:rPr>
          <w:rFonts w:ascii="Amiri" w:hAnsi="Amiri" w:eastAsia="Amiri" w:cs="Amiri"/>
          <w:color w:val="111111"/>
          <w:sz w:val="28"/>
          <w:sz w:val="28"/>
          <w:szCs w:val="28"/>
          <w:rtl w:val="true"/>
          <w:lang w:bidi="ar-SA"/>
        </w:rPr>
        <w:t>طَیِّباً فَامْسَحُوا بِوُجوهکُمْ وَأَیدیکُمْ مِنْهُ ما یُریدُ اللَّهُ لِیَجْعَلَ عَلَیْکُمْ مِنْ حَرَجٍ وَلکِنْ یُریدُ لِیُطَهِّرکُمْ وَلِیُتِمَّ نِعْمَتهُ عَلَیْکُمْ لَعَلَّکُمْ تَشْکُرُون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الآیة تشکِّل إحدی آیات الأحکام التی تُستنبط منها الأحکام الشرعیة العملیة الراجعة إلی تنظیم أفعال المکلّفین فیما یرتبط بشؤون حیاتهم الدینیة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من الآیات یتمتع بوضوح التعبیر، ونصوع الدلالة، فإنّ المخاطب فیها هو الجماهیر المؤمنة التی ترغب فی تطبیق سلوکها العملی علیها، وبذلک تفترق عن الآیات المتعلّقة بدقائق التوحید ورقائق المعارف العقلیة التی تُشدّ إلیها أنظار المفکّرین المتضلِّعین، خاصة فیما یرتبط بمسائل المبدأ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إذا تأمّل فی هذه الآیات ونظائرها من الآیات التی تتکفَّل بیان وظیفة المسلم، کالقیام إلی الصلاة فی أوقات خمسة، یجدها محکمةَ التعبیر، ناصعةَ البیان، واضحةَ الدلالة، تخاطب المؤمنین کافّة لتُرسم لهم وظیفتهم عند القیام إلی الصلاة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بعیداً عن الغموض والتعقید، وعن التقدیم والتأخیر، وعن تقدیر جملة أو کلمة حتّی یقف علی مضمونها عامة المسلمین علی اختلاف مستویاتهم من غیر فرق بین عالم بدقائق القواعد العربیة وغیر عالم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حاول تفسیر الآیة علی غیر هذا النمط فقد غفل عن مکانة الآیة ومنزلتها، کما أنّ من حاول تفسیرها علی ضوء الفتاوی الفقهیة لأئمّة الفقه فقد دخل من غیر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الروح الأمین بهذه الآیة علی قلب سیّد المرسلین، فتلاها علی المؤمنین وفهموا واجبَهم تجاهها بوضوح، دون تردد، ودون أن یشوبها أیّ إبهام أو غموض، وإنّما دبّ الغموضُ فیها فی عصرِ تضارب الآراء وظهور الاجتهادات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قرأ الآیة المبارکة بإمعان یقول فی قلبه ولسانه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ما أبلغ کلامَک وأفصح بیانَک، قد أوضحت الفریضةَ وبیّنت الوظیفةَ فیما یجب علی المسلم فعلهُ قبل الصلاة، 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مبیّناً لکیفیة الوظیفة وانّها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سبحانک ما أبقیت إجمالًا فی کلامک، ولا إبهاماً فی بیانک، فأوصدتَ باب الخلاف، وسددتَ باب الاعتساف بتوضیح الفریضة وبیانها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اللّهم إن کان کتابک العزیز هو المهیمن علی الکتب السماویة 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الْکِتابَ بِالْحَقِّ مُصَدِّقاً لِما بَیْنَ یَدیه مِنَ</w:t>
      </w:r>
      <w:bookmarkStart w:id="807" w:name="pg1680_13312"/>
    </w:p>
    <w:p>
      <w:pPr>
        <w:pStyle w:val="BookText"/>
        <w:rPr/>
      </w:pPr>
      <w:bookmarkEnd w:id="807"/>
      <w:r>
        <w:rPr>
          <w:rFonts w:ascii="Amiri" w:hAnsi="Amiri" w:eastAsia="Amiri" w:cs="Amiri"/>
          <w:color w:val="111111"/>
          <w:sz w:val="28"/>
          <w:sz w:val="28"/>
          <w:szCs w:val="28"/>
          <w:rtl w:val="true"/>
          <w:lang w:bidi="ar-SA"/>
        </w:rPr>
        <w:t>الکِتابِ وَمُهَیْمِناً عَلَیْهِ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فهو 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المأثورات المرویّة عن النبی صلی الله علیه و آله و سلم وهی بین آمرة بغسل الأرجل و آمرة بمسحها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نفعل مع هذه المأثورات المتناقضة المرویة عمّن لا ینطق إلّا عن الوحی، ولا یناقض نفسه فی کلامه؟</w:t>
      </w:r>
    </w:p>
    <w:p>
      <w:pPr>
        <w:pStyle w:val="BookText"/>
        <w:rPr/>
      </w:pPr>
      <w:r>
        <w:rPr>
          <w:rFonts w:ascii="Amiri" w:hAnsi="Amiri" w:eastAsia="Amiri" w:cs="Amiri"/>
          <w:color w:val="111111"/>
          <w:sz w:val="28"/>
          <w:sz w:val="28"/>
          <w:szCs w:val="28"/>
          <w:rtl w:val="true"/>
          <w:lang w:bidi="ar-SA"/>
        </w:rPr>
        <w:t>سبحانک لا محیص لنا إلّاالأخذ بما نادی به کتابک العزیز وقرآنک المجید وقد بیّنه فی جملتین تعربان عن واقع الفریضة وأنّها تتألّف من غسلتین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تتألّف من مسحتین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بِرُءُوسِکُمْ وَأَرجُلَکُمْ إِلی الْکَعْبَین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اللَّهِ أَبْتَغِی حَکَماً وَهُوَ الَّذِی أَنْزلَ إِلَیْکُمُ الْکِتابَ مُفَصَّلًا</w:t>
      </w:r>
      <w:r>
        <w:rPr>
          <w:rFonts w:eastAsia="Amiri" w:cs="Amiri" w:ascii="Amiri" w:hAnsi="Amiri"/>
          <w:color w:val="111111"/>
          <w:sz w:val="28"/>
          <w:szCs w:val="28"/>
          <w:rtl w:val="true"/>
          <w:lang w:bidi="ar-SA"/>
        </w:rPr>
        <w:t>».</w:t>
      </w:r>
      <w:r>
        <w:rPr>
          <w:rStyle w:val="FootnoteAnchor"/>
          <w:rtl w:val="true"/>
        </w:rPr>
        <w:footnoteReference w:id="507"/>
      </w:r>
    </w:p>
    <w:p>
      <w:pPr>
        <w:pStyle w:val="Heading4"/>
        <w:numPr>
          <w:ilvl w:val="3"/>
          <w:numId w:val="1"/>
        </w:numPr>
        <w:rPr/>
      </w:pPr>
      <w:bookmarkStart w:id="808" w:name="__RefHeading___Toc1401340_3650668749"/>
      <w:bookmarkStart w:id="809" w:name="_Toc308"/>
      <w:bookmarkEnd w:id="808"/>
      <w:r>
        <w:rPr>
          <w:rtl w:val="true"/>
        </w:rPr>
        <w:t>سبب الاختلاف‌</w:t>
      </w:r>
      <w:bookmarkEnd w:id="809"/>
    </w:p>
    <w:p>
      <w:pPr>
        <w:pStyle w:val="Heading5"/>
        <w:numPr>
          <w:ilvl w:val="4"/>
          <w:numId w:val="1"/>
        </w:numPr>
        <w:rPr/>
      </w:pPr>
      <w:bookmarkStart w:id="810" w:name="__RefHeading___Toc1401342_3650668749"/>
      <w:bookmarkStart w:id="811" w:name="_Toc309"/>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فإذا کانت بدایة الاختلاف فی عهد الخلیفة الثالث، فهناک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الاختلاف فی أمر الوضوء بعد ما مضت قرابة عشرین سنة من رحیل الرسول صلی الله علیه و آله و 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وجوه واحتمالات</w:t>
      </w:r>
      <w:r>
        <w:rPr>
          <w:rFonts w:eastAsia="IRNazanin" w:cs="IRNazanin"/>
          <w:color w:val="111111"/>
          <w:sz w:val="28"/>
          <w:szCs w:val="28"/>
          <w:rtl w:val="true"/>
          <w:lang w:bidi="fa-IR"/>
        </w:rPr>
        <w:t>:</w:t>
      </w:r>
    </w:p>
    <w:p>
      <w:pPr>
        <w:pStyle w:val="Heading5"/>
        <w:numPr>
          <w:ilvl w:val="4"/>
          <w:numId w:val="1"/>
        </w:numPr>
        <w:rPr/>
      </w:pPr>
      <w:bookmarkStart w:id="812" w:name="__RefHeading___Toc1401344_3650668749"/>
      <w:bookmarkStart w:id="813" w:name="_Toc310"/>
      <w:bookmarkEnd w:id="812"/>
      <w:r>
        <w:rPr/>
        <w:t>1</w:t>
      </w:r>
      <w:r>
        <w:rPr>
          <w:rtl w:val="true"/>
        </w:rPr>
        <w:t xml:space="preserve">. </w:t>
      </w:r>
      <w:r>
        <w:rPr>
          <w:rtl w:val="true"/>
        </w:rPr>
        <w:t>اختلاف القراءة</w:t>
      </w:r>
      <w:bookmarkEnd w:id="81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یتصوّر انّ مصدر الخلاف فی ذلک العصر هو اختلاف القراءة</w:t>
      </w:r>
    </w:p>
    <w:p>
      <w:pPr>
        <w:pStyle w:val="BookText"/>
        <w:rPr/>
      </w:pPr>
      <w:r>
        <w:rPr>
          <w:rFonts w:ascii="IRNazanin" w:hAnsi="IRNazanin" w:eastAsia="IRNazanin"/>
          <w:color w:val="111111"/>
          <w:sz w:val="28"/>
          <w:sz w:val="28"/>
          <w:szCs w:val="28"/>
          <w:rtl w:val="true"/>
          <w:lang w:bidi="fa-IR"/>
        </w:rPr>
        <w:t xml:space="preserve">حیث إنّ القرّاء اختلفوا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بِرُءُوسکم 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فمنهم من قرأ بالجرِّ عطفاً علی الرؤوس الذی یستلزم وجوب المسح علی الأرجل، ومنهم من قرأ بالفتح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یستلزم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الوجه باطل جداً، فانّ العربی الصمیم إذا قرأ الآیة مجرّداً عن أی رأی مسبق لا یرضی بغیر عطف الأرجل علی الرؤوس، سواء أقرأ بالنصب أم بالجر، وأمّا عطفه علی وجوهکم فلا یخطر بباله حتّی یکون مصدراً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 یبتغی تفسیر الآیة وفهم مدلولها، أن یجعل نفسه کأنّه الحاضر فی عصر نزول الآیة ویسمع کلام اللَّه من فم الرسول صلی الله علیه و آله و سلم أو أصحابه، فما یفهمه عند ذاک حجة بینه و بین ربه، ولیس له عند ذاک، الرکون إلی الاحتمالات والوجوه المختلفة التی ظهرت بعد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عرضنا الآیة علی عربی بعید عن الأجواء الفقهیة، وعن اختلاف المسلمین فی کیفیة الوضوء وطلبنا منه تبیین ما فهمه لقال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الوضوء غسلتان و مسحتان دون أن یفکّر فی أنّ الأرجل هل هی معطوفة علی الرؤوس أو معطوفة علی وجوهکم؟ فهو یدرک بأنّها تتضمّن جملتین صُرّح فیهما بحکمین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بدئ فی الجملة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w:t>
      </w:r>
      <w:bookmarkStart w:id="814" w:name="pg1680_13316"/>
    </w:p>
    <w:p>
      <w:pPr>
        <w:pStyle w:val="BookText"/>
        <w:rPr/>
      </w:pPr>
      <w:bookmarkEnd w:id="814"/>
      <w:r>
        <w:rPr>
          <w:rFonts w:ascii="IRNazanin" w:hAnsi="IRNazanin" w:eastAsia="IRNazanin"/>
          <w:color w:val="111111"/>
          <w:sz w:val="28"/>
          <w:sz w:val="28"/>
          <w:szCs w:val="28"/>
          <w:rtl w:val="true"/>
          <w:lang w:bidi="fa-IR"/>
        </w:rPr>
        <w:t>بغَسْل الوجوه ثمّ عطفت الأیدی علیها، فوجب لها من الحکم مثل حکم الوجوه لأجل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بدئ فی الجملة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بمسح الرؤوس ثمّ عطفت الأرجل علیها، فوجب أن یکون لها من الحکم مثل حکم الرؤوس لأجل العطف، والواو تدلّ‌علی مشارکة مابعدها لما قبلها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والتفکیک بین حکم الرؤوس وحکم الأرجل لا یحتمله عربی صمیم، بل یراه مخالفاً لظهور الآیة</w:t>
      </w:r>
      <w:r>
        <w:rPr>
          <w:rFonts w:eastAsia="IRNazanin" w:cs="IRNazanin"/>
          <w:color w:val="111111"/>
          <w:sz w:val="28"/>
          <w:szCs w:val="28"/>
          <w:rtl w:val="true"/>
          <w:lang w:bidi="fa-IR"/>
        </w:rPr>
        <w:t>.</w:t>
      </w:r>
    </w:p>
    <w:p>
      <w:pPr>
        <w:pStyle w:val="Heading5"/>
        <w:numPr>
          <w:ilvl w:val="4"/>
          <w:numId w:val="1"/>
        </w:numPr>
        <w:rPr/>
      </w:pPr>
      <w:bookmarkStart w:id="815" w:name="__RefHeading___Toc1401346_3650668749"/>
      <w:bookmarkStart w:id="816" w:name="_Toc311"/>
      <w:bookmarkEnd w:id="815"/>
      <w:r>
        <w:rPr/>
        <w:t>2</w:t>
      </w:r>
      <w:r>
        <w:rPr>
          <w:rtl w:val="true"/>
        </w:rPr>
        <w:t xml:space="preserve">. </w:t>
      </w:r>
      <w:r>
        <w:rPr>
          <w:rtl w:val="true"/>
        </w:rPr>
        <w:t>التمسّک بروایات الغسل المنسوخة</w:t>
      </w:r>
      <w:bookmarkEnd w:id="816"/>
    </w:p>
    <w:p>
      <w:pPr>
        <w:pStyle w:val="BookText"/>
        <w:rPr/>
      </w:pPr>
      <w:r>
        <w:rPr>
          <w:rFonts w:ascii="IRNazanin" w:hAnsi="IRNazanin" w:eastAsia="IRNazanin"/>
          <w:color w:val="111111"/>
          <w:sz w:val="28"/>
          <w:sz w:val="28"/>
          <w:szCs w:val="28"/>
          <w:rtl w:val="true"/>
          <w:lang w:bidi="fa-IR"/>
        </w:rPr>
        <w:t>یظهر من غیر واحد من الروایات أنّ غسل الرجلین کان سنّة أمر بها النبی صلی الله علیه و آله و سلم فی فترة من عمره، ولمّا نزلت سورة المائدة وفیها آیة الوضوء والأمر بمسح الأرجل مکان الغسل،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الناسخ والمنسوخ بالسنّة المنسوخة، وأثار الخلاف غافلًا عن أنّ الواجب علیه الأخذ بالقرآن الناسخ للسنّة وفیه سورة المائدة التی هی آخر سورة نزلت علی النبی صلی الله علیه و آله و سلم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جریر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والسنّة بالغسل</w:t>
      </w:r>
      <w:r>
        <w:rPr>
          <w:rFonts w:eastAsia="IRNazanin" w:cs="IRNazanin"/>
          <w:color w:val="111111"/>
          <w:sz w:val="28"/>
          <w:szCs w:val="28"/>
          <w:rtl w:val="true"/>
          <w:lang w:bidi="fa-IR"/>
        </w:rPr>
        <w:t>.</w:t>
      </w:r>
      <w:r>
        <w:rPr>
          <w:rStyle w:val="FootnoteAnchor"/>
          <w:rtl w:val="true"/>
        </w:rPr>
        <w:footnoteReference w:id="508"/>
      </w:r>
      <w:bookmarkStart w:id="817" w:name="pg1680_13318"/>
    </w:p>
    <w:p>
      <w:pPr>
        <w:pStyle w:val="BookText"/>
        <w:rPr/>
      </w:pPr>
      <w:bookmarkEnd w:id="817"/>
      <w:r>
        <w:rPr>
          <w:rFonts w:ascii="IRNazanin" w:hAnsi="IRNazanin" w:eastAsia="IRNazanin"/>
          <w:color w:val="111111"/>
          <w:sz w:val="28"/>
          <w:sz w:val="28"/>
          <w:szCs w:val="28"/>
          <w:rtl w:val="true"/>
          <w:lang w:bidi="fa-IR"/>
        </w:rPr>
        <w:t>ویرید من السنّة عمل النبی صلی الله علیه و آله و سلم قبل نزول القرآن، ومن المعلوم أنّ القرآن حاکم وناسخ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الناس إلّاالغسل،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وبهذا یمکن الجمع بین ما حکی من عمل النبی صلی الله علیه و آله و سلم من الغسل وبین ظهور الآیة فی المسح، وانّ الغسل کان قبل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نظیر ذلک فی المسح علی الخفّین، فقد روی حاتم بن إسماعیل، عن جعفر بن محمد، عن أبیه، عن علی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وروی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انّه لو صدر عن النبی صلی الله علیه و آله و سلم فی فترة من عمره، المسح علی الخفّین، فقد جاء الکتاب علی خلافه ناسخاً 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أی‌امسحوا علی البشرة لا علی النعل ولا علی الخفّ ولا الجورب</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818" w:name="__RefHeading___Toc1401348_3650668749"/>
      <w:bookmarkStart w:id="819" w:name="_Toc312"/>
      <w:bookmarkEnd w:id="818"/>
      <w:r>
        <w:rPr/>
        <w:t>3</w:t>
      </w:r>
      <w:r>
        <w:rPr>
          <w:rtl w:val="true"/>
        </w:rPr>
        <w:t xml:space="preserve">. </w:t>
      </w:r>
      <w:r>
        <w:rPr>
          <w:rtl w:val="true"/>
        </w:rPr>
        <w:t>إشاعة الغسل من قبل السلطة</w:t>
      </w:r>
      <w:bookmarkEnd w:id="81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الحکام مصرّین علی غسل الأرجل مکان المسح ویُلزمون</w:t>
      </w:r>
    </w:p>
    <w:p>
      <w:pPr>
        <w:pStyle w:val="BookText"/>
        <w:rPr/>
      </w:pPr>
      <w:r>
        <w:rPr>
          <w:rFonts w:ascii="IRNazanin" w:hAnsi="IRNazanin" w:eastAsia="IRNazanin"/>
          <w:color w:val="111111"/>
          <w:sz w:val="28"/>
          <w:sz w:val="28"/>
          <w:szCs w:val="28"/>
          <w:rtl w:val="true"/>
          <w:lang w:bidi="fa-IR"/>
        </w:rPr>
        <w:t>الناس علی ذلک بدل المسح لخبث باطن القدمین، وبما انّ قسماً کثیراً منهم کانوا حفاة، فراق فی أنفسهم تبدیل المسح بالغسل، ویدلّ علی ذلک بعض ما ورد فی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جریر عن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أنس ونحن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حمزة انّ الحجاج خطبنا بالأهواز ونحن معه وذکر الطهور،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اغسلوا وجوهکم وأیدیکم وامسحوا برؤوسکم وأرجلکم، وانّه لیس شی‌ء من ابن آدم أقرب من خبثه من قدمیه، فاغسلوا بطونهما وظهورهما وعراقیبهما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وکذب الحجاج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أنس إذا مسح قدمیه بلّهما</w:t>
      </w:r>
      <w:r>
        <w:rPr>
          <w:rFonts w:eastAsia="IRNazanin" w:cs="IRNazanin"/>
          <w:color w:val="111111"/>
          <w:sz w:val="28"/>
          <w:szCs w:val="28"/>
          <w:rtl w:val="true"/>
          <w:lang w:bidi="fa-IR"/>
        </w:rPr>
        <w:t>.</w:t>
      </w:r>
      <w:r>
        <w:rPr>
          <w:rStyle w:val="FootnoteAnchor"/>
        </w:rPr>
        <w:footnoteReference w:id="51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یعرب عن أنّ الدعایة الرسمیة کانت تؤید الغسل، وتؤاخذ من یقول بالمسح، حتّی أنّ القائلین به کانوا علی حذر من إظهار عقیدتهم فلا یصرّحون بها إلّاخفیة، ما رواه أحمد بن حنبل بسنده عن أبی مالک الأشعری انّه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أُصلّی بکم صلاة رسول اللَّه صلی الله علیه و آله و سلم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إلّاابن أُخت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 القوم منهم، فدعا بجفنة فیها ماء، فتوضّأ ومضمض واستنشق وغسل وجهه ثلاثاً وذراعیه ثلاثاً ومسح برأسه وظهر قدمیه، ثمّ صلّی</w:t>
      </w:r>
      <w:r>
        <w:rPr>
          <w:rFonts w:eastAsia="IRNazanin" w:cs="IRNazanin"/>
          <w:color w:val="111111"/>
          <w:sz w:val="28"/>
          <w:szCs w:val="28"/>
          <w:rtl w:val="true"/>
          <w:lang w:bidi="fa-IR"/>
        </w:rPr>
        <w:t>.</w:t>
      </w:r>
      <w:r>
        <w:rPr>
          <w:rStyle w:val="FootnoteAnchor"/>
          <w:rtl w:val="true"/>
        </w:rPr>
        <w:footnoteReference w:id="513"/>
      </w:r>
      <w:bookmarkStart w:id="820" w:name="pg1680_13322"/>
    </w:p>
    <w:p>
      <w:pPr>
        <w:pStyle w:val="BookText"/>
        <w:rPr/>
      </w:pPr>
      <w:bookmarkEnd w:id="820"/>
      <w:r>
        <w:rPr>
          <w:rFonts w:ascii="IRNazanin" w:hAnsi="IRNazanin" w:eastAsia="IRNazanin"/>
          <w:color w:val="111111"/>
          <w:sz w:val="28"/>
          <w:sz w:val="28"/>
          <w:szCs w:val="28"/>
          <w:rtl w:val="true"/>
          <w:lang w:bidi="fa-IR"/>
        </w:rPr>
        <w:t>هذه وجوه ثلاثة یمکن أن یُبرّر بها الغَسْل مکان المسح مع دلالة الکتاب العزیز علی المسح، والأقرب هو الثانی ثمّ الثالث</w:t>
      </w:r>
      <w:r>
        <w:rPr>
          <w:rFonts w:eastAsia="IRNazanin" w:cs="IRNazanin"/>
          <w:color w:val="111111"/>
          <w:sz w:val="28"/>
          <w:szCs w:val="28"/>
          <w:rtl w:val="true"/>
          <w:lang w:bidi="fa-IR"/>
        </w:rPr>
        <w:t>.</w:t>
      </w:r>
    </w:p>
    <w:p>
      <w:pPr>
        <w:pStyle w:val="Heading4"/>
        <w:numPr>
          <w:ilvl w:val="3"/>
          <w:numId w:val="1"/>
        </w:numPr>
        <w:rPr/>
      </w:pPr>
      <w:bookmarkStart w:id="821" w:name="__RefHeading___Toc1401350_3650668749"/>
      <w:bookmarkStart w:id="822" w:name="_Toc313"/>
      <w:bookmarkEnd w:id="821"/>
      <w:r>
        <w:rPr>
          <w:rtl w:val="true"/>
        </w:rPr>
        <w:t>ما هو العامل فی قوله</w:t>
      </w:r>
      <w:r>
        <w:rPr>
          <w:rtl w:val="true"/>
        </w:rPr>
        <w:t>: «</w:t>
      </w:r>
      <w:r>
        <w:rPr>
          <w:rtl w:val="true"/>
        </w:rPr>
        <w:t>وأرجلکم</w:t>
      </w:r>
      <w:r>
        <w:rPr>
          <w:rtl w:val="true"/>
        </w:rPr>
        <w:t>»</w:t>
      </w:r>
      <w:r>
        <w:rPr>
          <w:rtl w:val="true"/>
        </w:rPr>
        <w:t>؟</w:t>
      </w:r>
      <w:bookmarkEnd w:id="822"/>
    </w:p>
    <w:p>
      <w:pPr>
        <w:pStyle w:val="BookText"/>
        <w:rPr/>
      </w:pPr>
      <w:r>
        <w:rPr>
          <w:rFonts w:ascii="IRNazanin" w:hAnsi="IRNazanin" w:eastAsia="IRNazanin"/>
          <w:color w:val="111111"/>
          <w:sz w:val="28"/>
          <w:sz w:val="28"/>
          <w:szCs w:val="28"/>
          <w:rtl w:val="true"/>
          <w:lang w:bidi="fa-IR"/>
        </w:rPr>
        <w:t>إنّ آیة الوضوء هی الدلیل المبرم علی وجوب الوضوء وکیفیته، وهی آیة واضحة نزلت لتبیین ما هو تکلیف المصلّی قبل الصلاة، وطبیعة الحال تقتضی أن تکون آیة واضحة المعالم، محکمة الدلالة، دون أن یکتنفها إجمال أو إبهام،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وتعیین أحد القولین من مسح الرجلین أو غسلهما رهن تشخیص العامل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الآیة المبارکة عاملین وفعلین کل یصلح فی بدء النظر لأن یکون عاملًا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تعیین ما هو العامل حسب ما یستسیغه الذوق العربی؟</w:t>
      </w:r>
    </w:p>
    <w:p>
      <w:pPr>
        <w:pStyle w:val="BookText"/>
        <w:rPr/>
      </w:pPr>
      <w:r>
        <w:rPr>
          <w:rFonts w:ascii="IRNazanin" w:hAnsi="IRNazanin" w:eastAsia="IRNazanin"/>
          <w:color w:val="111111"/>
          <w:sz w:val="28"/>
          <w:sz w:val="28"/>
          <w:szCs w:val="28"/>
          <w:rtl w:val="true"/>
          <w:lang w:bidi="fa-IR"/>
        </w:rPr>
        <w:t>والعاملان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العامل هو الأوّل یجب غسلهما، ولو قلنا بأنّ العامل هو الثانی یجب مسحهما، فملاک إیجاب واحد منهما رهن تعیین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انّ الإمعان فی الآیة، مع قطع النظر عن کلّ رأی مسبق وفعل رائج بین المسلمین، یُثبت انّ الثانی،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العامل دون الأوّل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معطوف علی القریب، أی‌الرؤوس لا علی البعید،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ونوضح ذلک بالمثال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سمعنا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زیداً وعمراً ومررت بخالد وبکر من دون أن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أو الجرّ، نحکم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العامل فیه هو الفعل الثانی ولیس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العامل فیه هو الفعل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علماء العربیة أنّ العطف من حقّه أن یکون علی الأقرب دون الأبعد، وهذا هو الأصل والعدول عنه یحتاج إلی قرینة موجودة فی الکلام، وإلّا ربما یوجب اللّبس واشتباه المراد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فلنفرض أنّ رئیساً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زیداً وعمراً واضرب بکراً وخالداً، فهو یمیز بین الجملتین ویری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یدور بخلده خلاف 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عامل النصب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العاملین إذا اجتمعا علی معمول واحد کان إعمال الأقرب أولی، فوجب أن یکون عامل النصب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اللام توجب المسح</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فإذا کانت الحال کذلک ولا یجوز الخروج عن القواعد فی الأمثلة العرفیة، فأولی أن یکون کلام ربّ العزة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المثال منحصراً بما ذکرنا، بل بإمکانک الإدلاء بأمثلة مختلفة شریطة أن تکون مشابهة لما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إنّک عرضت الآیة علی أیّ عربیّ صمیم یجرّد نفسه عن المذهب الذی یعتنقه، وسألته عن دلالة الآیة یجیبک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أعضاءً یجب غسلها، وهی الوجوه والأیدی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وأعضاءً یجب مسحها وهی الرؤوس والأرجل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أُلفت نظره إلی القواعد العربیة تجده انّه لا یتردد انّ العامل فی الرؤوس والأرجل شی‌ء واحد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یدور بخلده التفکیک بین الرؤوس والأرجل بأن یکون العامل فی الرؤوس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اتّضحت دلالة الآیة علی واحد من المسح والغسل فلا نحتاج</w:t>
      </w:r>
      <w:bookmarkStart w:id="823" w:name="pg1680_13328"/>
    </w:p>
    <w:p>
      <w:pPr>
        <w:pStyle w:val="BookText"/>
        <w:rPr/>
      </w:pPr>
      <w:bookmarkEnd w:id="823"/>
      <w:r>
        <w:rPr>
          <w:rFonts w:ascii="IRNazanin" w:hAnsi="IRNazanin" w:eastAsia="IRNazanin"/>
          <w:color w:val="111111"/>
          <w:sz w:val="28"/>
          <w:sz w:val="28"/>
          <w:szCs w:val="28"/>
          <w:rtl w:val="true"/>
          <w:lang w:bidi="fa-IR"/>
        </w:rPr>
        <w:t>إلی شی‌ء آخر، فالموافق منه یؤکّد مضمون الآیة، والمخالف یعالج بنحو من الطرق أفضلها انّها منسوخة بالکتاب</w:t>
      </w:r>
      <w:r>
        <w:rPr>
          <w:rFonts w:eastAsia="IRNazanin" w:cs="IRNazanin"/>
          <w:color w:val="111111"/>
          <w:sz w:val="28"/>
          <w:szCs w:val="28"/>
          <w:rtl w:val="true"/>
          <w:lang w:bidi="fa-IR"/>
        </w:rPr>
        <w:t>.</w:t>
      </w:r>
    </w:p>
    <w:p>
      <w:pPr>
        <w:pStyle w:val="Heading4"/>
        <w:numPr>
          <w:ilvl w:val="3"/>
          <w:numId w:val="1"/>
        </w:numPr>
        <w:rPr/>
      </w:pPr>
      <w:bookmarkStart w:id="824" w:name="__RefHeading___Toc1401352_3650668749"/>
      <w:bookmarkStart w:id="825" w:name="_Toc314"/>
      <w:bookmarkEnd w:id="824"/>
      <w:r>
        <w:rPr>
          <w:rtl w:val="true"/>
        </w:rPr>
        <w:t>القراءتان والمسح علی الأرجل‌</w:t>
      </w:r>
      <w:bookmarkEnd w:id="825"/>
    </w:p>
    <w:p>
      <w:pPr>
        <w:pStyle w:val="BookText"/>
        <w:rPr/>
      </w:pPr>
      <w:r>
        <w:rPr>
          <w:rFonts w:ascii="IRNazanin" w:hAnsi="IRNazanin" w:eastAsia="IRNazanin"/>
          <w:color w:val="111111"/>
          <w:sz w:val="28"/>
          <w:sz w:val="28"/>
          <w:szCs w:val="28"/>
          <w:rtl w:val="true"/>
          <w:lang w:bidi="fa-IR"/>
        </w:rPr>
        <w:t>إنّ اختلاف القرّاء فی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والجر لا یؤثر فی دلالة الآیة علی وجوب المسح، فالقراءتان تنطبقان علی ذلک القول بلا أی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قرأ نافع وابن عامر وعاصم فی روایة حفص عنه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وهذه هی القراءة المعروفة التی علیها المصاحف الرائجة فی کلّ عصر وجیل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ابن کثیر وحمزة وأبو عمرو وعاصم فی روایة أبی بکر عنه بالجرّ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القراءتین تنطبقان علی القول بالمسح بلا تریّث وتردد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أی‌قراءة الجر، فهو أقوی شاهد علی أنّه معطوف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لقراءة الجرِّ وجه سوی کونه معطوفاً علی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تکون الأرجل محکومة بالمسح بلا شک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قراءة النصب فالوجه فیه أنّه 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منصوب محلًا مفعول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تکون الأرجل أیضاً محکومة بالمسح فقط، والعطف علی المحل أمر شائع فی اللغة العربیة، وقد ورد أیضاً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القرآن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بَری‌ءٌ مِنَ الْمُشرِکین وَرَسُولُه</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فقراءة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هی القراءة المعروفة الرائجة و لا وجه لرفعه إلّا کونه معطوفاً علی محل اسم إنّ،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ملئت مسألةُ العطف علی المحل کتبَ الأعاریب، فقد عقد ابن هشام باباً خاصاً للعطف علی المحل وذکر شروطه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وأمّا فی الأدب العربی فحدِّث عنه ولا حرج،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انّنا بشر فاسجح‌فلسنا بالجبال ولا الحدیدا</w:t>
      </w:r>
    </w:p>
    <w:p>
      <w:pPr>
        <w:pStyle w:val="BookText"/>
        <w:rPr/>
      </w:pPr>
      <w:r>
        <w:rPr>
          <w:rFonts w:ascii="IRNazanin" w:hAnsi="IRNazanin" w:eastAsia="IRNazanin"/>
          <w:color w:val="111111"/>
          <w:sz w:val="28"/>
          <w:sz w:val="28"/>
          <w:szCs w:val="28"/>
          <w:rtl w:val="true"/>
          <w:lang w:bidi="fa-IR"/>
        </w:rPr>
        <w:t>فقول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خبر لیس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اختلاف القراءتین لا یؤثّر فی تعیّن القول بالمسح، وسوف یوافیک دراسة القراءتین علی القول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لفیفاً من أعلام السّنة صرحوا بدلالة الآیة علی المسح قائلین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الأقرب لا الأبعد، وانّ العامل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ونذکر بعض تلک الکلمات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قولنا فی الرجلین، فانّ القرآن نزل بالمسح،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وسواء قرئ بخفض اللام أو فتحها، فهی علی کلّ حال عطف علی الرؤوس امّا علی اللفظ و إمّا علی الموضع، ولا یجوز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القراءة بالجر فهی تقتضی کون الأرجل معطوفة علی الرؤوس، فکما وجب المسح فی الرأس فکذلک فی الأرجل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القراءة بالنصب،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توجب المسح، وذلک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النصب، ولکنّها مجرورة بالباء، فإذا عطف الأرجل علی الرؤوس جاز فی الأرجل النصب عطفاً علی محل الرؤوس، والجر عطفاً علی الظاهر، وهذا مذهب مشهور النحاة</w:t>
      </w:r>
      <w:r>
        <w:rPr>
          <w:rFonts w:eastAsia="IRNazanin" w:cs="IRNazanin"/>
          <w:color w:val="111111"/>
          <w:sz w:val="28"/>
          <w:szCs w:val="28"/>
          <w:rtl w:val="true"/>
          <w:lang w:bidi="fa-IR"/>
        </w:rPr>
        <w:t>.</w:t>
      </w:r>
      <w:r>
        <w:rPr>
          <w:rStyle w:val="FootnoteAnchor"/>
        </w:rPr>
        <w:footnoteReference w:id="51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السندی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جزم انّ ظاهر القرآن هو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المسح هو ظاهر القرآن، لأنّ قراءة الجر ظاهرة فیه، وقراءة النصب محمول علی جعل العطف علی المحل</w:t>
      </w:r>
      <w:r>
        <w:rPr>
          <w:rFonts w:eastAsia="IRNazanin" w:cs="IRNazanin"/>
          <w:color w:val="111111"/>
          <w:sz w:val="28"/>
          <w:szCs w:val="28"/>
          <w:rtl w:val="true"/>
          <w:lang w:bidi="fa-IR"/>
        </w:rPr>
        <w:t>.</w:t>
      </w:r>
      <w:r>
        <w:rPr>
          <w:rStyle w:val="FootnoteAnchor"/>
          <w:rtl w:val="true"/>
        </w:rPr>
        <w:footnoteReference w:id="518"/>
      </w:r>
      <w:bookmarkStart w:id="826" w:name="pg1680_13334"/>
    </w:p>
    <w:p>
      <w:pPr>
        <w:pStyle w:val="BookText"/>
        <w:rPr/>
      </w:pPr>
      <w:bookmarkEnd w:id="826"/>
      <w:r>
        <w:rPr>
          <w:rFonts w:ascii="IRNazanin" w:hAnsi="IRNazanin" w:eastAsia="IRNazanin"/>
          <w:color w:val="111111"/>
          <w:sz w:val="28"/>
          <w:sz w:val="28"/>
          <w:szCs w:val="28"/>
          <w:rtl w:val="true"/>
          <w:lang w:bidi="fa-IR"/>
        </w:rPr>
        <w:t>ولعلّ هذا المقدار من النقول یکفی فی تبیین انّ کلتا القراءتین تدعمان المسح فقط وتنطبقان علیه بلا إشکال</w:t>
      </w:r>
      <w:r>
        <w:rPr>
          <w:rFonts w:eastAsia="IRNazanin" w:cs="IRNazanin"/>
          <w:color w:val="111111"/>
          <w:sz w:val="28"/>
          <w:szCs w:val="28"/>
          <w:rtl w:val="true"/>
          <w:lang w:bidi="fa-IR"/>
        </w:rPr>
        <w:t>.</w:t>
      </w:r>
    </w:p>
    <w:p>
      <w:pPr>
        <w:pStyle w:val="Heading4"/>
        <w:numPr>
          <w:ilvl w:val="3"/>
          <w:numId w:val="1"/>
        </w:numPr>
        <w:rPr/>
      </w:pPr>
      <w:bookmarkStart w:id="827" w:name="__RefHeading___Toc1401354_3650668749"/>
      <w:bookmarkStart w:id="828" w:name="_Toc315"/>
      <w:bookmarkEnd w:id="827"/>
      <w:r>
        <w:rPr>
          <w:rtl w:val="true"/>
        </w:rPr>
        <w:t>القراءتان وغسل الأرجل‌</w:t>
      </w:r>
      <w:bookmarkEnd w:id="828"/>
    </w:p>
    <w:p>
      <w:pPr>
        <w:pStyle w:val="BookText"/>
        <w:rPr/>
      </w:pPr>
      <w:r>
        <w:rPr>
          <w:rFonts w:ascii="IRNazanin" w:hAnsi="IRNazanin" w:eastAsia="IRNazanin"/>
          <w:color w:val="111111"/>
          <w:sz w:val="28"/>
          <w:sz w:val="28"/>
          <w:szCs w:val="28"/>
          <w:rtl w:val="true"/>
          <w:lang w:bidi="fa-IR"/>
        </w:rPr>
        <w:t>قد عرفت أنّ اختلاف القراءة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 القول بمسح الرجلین، سواء أقرأنا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أم قرأناه بالجر، فکلتا القراءتین تدعمان المسح وبالتالی العامل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لفظاً أو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إمکانیة تطبیق القول بالغسل علی القراءتین المعروفتین ومقدار انسجامه معهما والقواعد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وسیتضح من خلاله انّ فرض الغسل علی الآیة خرق واضح للقواعد العربیة، وإلیک البیان</w:t>
      </w:r>
      <w:r>
        <w:rPr>
          <w:rFonts w:eastAsia="IRNazanin" w:cs="IRNazanin"/>
          <w:color w:val="111111"/>
          <w:sz w:val="28"/>
          <w:szCs w:val="28"/>
          <w:rtl w:val="true"/>
          <w:lang w:bidi="fa-IR"/>
        </w:rPr>
        <w:t>:</w:t>
      </w:r>
    </w:p>
    <w:p>
      <w:pPr>
        <w:pStyle w:val="Heading4"/>
        <w:numPr>
          <w:ilvl w:val="3"/>
          <w:numId w:val="1"/>
        </w:numPr>
        <w:rPr/>
      </w:pPr>
      <w:bookmarkStart w:id="829" w:name="__RefHeading___Toc1401356_3650668749"/>
      <w:bookmarkStart w:id="830" w:name="_Toc316"/>
      <w:bookmarkEnd w:id="829"/>
      <w:r>
        <w:rPr>
          <w:rtl w:val="true"/>
        </w:rPr>
        <w:t>الغَسْل وقراءة النصب‌</w:t>
      </w:r>
      <w:bookmarkEnd w:id="8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قلنا بدلالة الآیة علی غسل الأرجل، فلا محیص من أن یکون العامل هو قوله فی الجملة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معطوفاً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یستلزم الفصل بین المعطوف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بجملة أجنبیة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یفصل بین المعطوف والمعطوف علیه بمفرد فضلًا عن جملة أجنبیة، ولم یُسمع فی کلام العرب الفصیح قائل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ببکر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عطف أرجلکم علی وجوهکم، لأنّه لا یجوز أن یحال بین المعطوف والمعطوف علیه بقضیة مبتدئة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ذهب إلی أنّ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بینهما بهذه الجملة التی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بعید، لأنّ فیه الفصل بین المتعاطفین بجملة إنشائیة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الحلبی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المحل وجرها علی اللفظ، ولا یجوز أن یکون النصب للعطف علی وجوهکم، لامتناع العطف علی وجوهکم للفصل بین المعطوف والمعطوف علیه بجملة أجنبیة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أن لا یفصل بینهما بمفرد فضلًا عن الجملة، ولم یسمع فی الفصیح نحو ضربت زیداً ومررت ببکر وعمراً بعطف عمراً علی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قراءة النصب بالعطف علی المحل أقرب لاطّراد العطف علی المحل، وأیضاً فیه خلوص عن الفصل بالأجنبی بین المعطوف والمعطوف علیه، فصار ظاهر القرآن هو المسح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الکلمات التی تصرح بأنّ قراءة النصب واستفادة</w:t>
      </w:r>
      <w:bookmarkStart w:id="831" w:name="pg1680_13338"/>
    </w:p>
    <w:p>
      <w:pPr>
        <w:pStyle w:val="BookText"/>
        <w:rPr/>
      </w:pPr>
      <w:bookmarkEnd w:id="831"/>
      <w:r>
        <w:rPr>
          <w:rFonts w:ascii="IRNazanin" w:hAnsi="IRNazanin" w:eastAsia="IRNazanin"/>
          <w:color w:val="111111"/>
          <w:sz w:val="28"/>
          <w:sz w:val="28"/>
          <w:szCs w:val="28"/>
          <w:rtl w:val="true"/>
          <w:lang w:bidi="fa-IR"/>
        </w:rPr>
        <w:t>الغسل یتوقّف علی خرق قاعدة نحویة، وهی الفصل بین المعطوف و المعطوف علیه بجملة أجنبیة</w:t>
      </w:r>
      <w:r>
        <w:rPr>
          <w:rFonts w:eastAsia="IRNazanin" w:cs="IRNazanin"/>
          <w:color w:val="111111"/>
          <w:sz w:val="28"/>
          <w:szCs w:val="28"/>
          <w:rtl w:val="true"/>
          <w:lang w:bidi="fa-IR"/>
        </w:rPr>
        <w:t>.</w:t>
      </w:r>
    </w:p>
    <w:p>
      <w:pPr>
        <w:pStyle w:val="Heading4"/>
        <w:numPr>
          <w:ilvl w:val="3"/>
          <w:numId w:val="1"/>
        </w:numPr>
        <w:rPr/>
      </w:pPr>
      <w:bookmarkStart w:id="832" w:name="__RefHeading___Toc1401358_3650668749"/>
      <w:bookmarkStart w:id="833" w:name="_Toc317"/>
      <w:bookmarkEnd w:id="832"/>
      <w:r>
        <w:rPr>
          <w:rtl w:val="true"/>
        </w:rPr>
        <w:t>الغسل وقراءة الجر</w:t>
      </w:r>
      <w:bookmarkEnd w:id="833"/>
    </w:p>
    <w:p>
      <w:pPr>
        <w:pStyle w:val="BookText"/>
        <w:rPr/>
      </w:pPr>
      <w:r>
        <w:rPr>
          <w:rFonts w:ascii="IRNazanin" w:hAnsi="IRNazanin" w:eastAsia="IRNazanin"/>
          <w:color w:val="111111"/>
          <w:sz w:val="28"/>
          <w:sz w:val="28"/>
          <w:szCs w:val="28"/>
          <w:rtl w:val="true"/>
          <w:lang w:bidi="fa-IR"/>
        </w:rPr>
        <w:t xml:space="preserve">إنّ القائلین بغسل الأرجل برّروا قراءة النصب بوجه قد عرفت ضعفه وعدم انسجامه مع القواعد العربیة، ولکنّهم لمّا وقفوا علی قراءة الجرّ وانّها تدلّ علی المسح دون الغَسْل حاروا فی تبریرها وتوجیهها مع القول بالغسل، فانّ قراءة الجر صریحة فی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حکمها حکم الرؤوس، وعند ذلک مالوا یمیناً ویساراً حتّی یجدوا لقراءة الخفض مع القول بالغَسل مبرّراً، ولیس هو إلّاالقول بالجرّ بالجوار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حسب القواعد بالنصب لکونها معطوفة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اکتسب اعراب الجرّ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وقوعه فی جنب لفظ مجرور، وهذا ما یقال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ترک اللفظ إعرابه الطبیعی واکتساب إعراب اللفظ المجاور معه، وقد مثلوا له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قرأ بالجرّ لوقوعه فی جنب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مجرور باعتبار کونه مضافاً إلیه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انّ الجرّ بالجوار إمّا غیر واقع فی فصیح اللغة، وعلی فرض وقوعه فله شروط مفقودة فی المقام، نعقد لبیان الموضوع البحث التالی</w:t>
      </w:r>
      <w:r>
        <w:rPr>
          <w:rFonts w:eastAsia="IRNazanin" w:cs="IRNazanin"/>
          <w:color w:val="111111"/>
          <w:sz w:val="28"/>
          <w:szCs w:val="28"/>
          <w:rtl w:val="true"/>
          <w:lang w:bidi="fa-IR"/>
        </w:rPr>
        <w:t>.</w:t>
      </w:r>
      <w:bookmarkStart w:id="834" w:name="pg1680_13340"/>
    </w:p>
    <w:p>
      <w:pPr>
        <w:pStyle w:val="Heading4"/>
        <w:numPr>
          <w:ilvl w:val="3"/>
          <w:numId w:val="1"/>
        </w:numPr>
        <w:rPr/>
      </w:pPr>
      <w:bookmarkStart w:id="835" w:name="__RefHeading___Toc1401360_3650668749"/>
      <w:bookmarkStart w:id="836" w:name="_Toc318"/>
      <w:bookmarkEnd w:id="834"/>
      <w:bookmarkEnd w:id="835"/>
      <w:r>
        <w:rPr>
          <w:rtl w:val="true"/>
        </w:rPr>
        <w:t>الجر بالجوار صحة وشرطاً</w:t>
      </w:r>
      <w:bookmarkEnd w:id="836"/>
    </w:p>
    <w:p>
      <w:pPr>
        <w:pStyle w:val="BookText"/>
        <w:rPr/>
      </w:pPr>
      <w:r>
        <w:rPr>
          <w:rFonts w:ascii="IRNazanin" w:hAnsi="IRNazanin" w:eastAsia="IRNazanin"/>
          <w:color w:val="111111"/>
          <w:sz w:val="28"/>
          <w:sz w:val="28"/>
          <w:szCs w:val="28"/>
          <w:rtl w:val="true"/>
          <w:lang w:bidi="fa-IR"/>
        </w:rPr>
        <w:t>لما کان القائلون بغسل الأرجل یفسّرون قراءة الجرّ بالجوار، نذکر کلمات أعلام الأُدباء فی المقام لیُعلم مدی صحّة الجرّ بالجوار، و علی فرض صحّته ما هی شروطه؟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لأجل الجوار، أی لوقوعه فی جنب الرؤوس المجرورة، نظیر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جُحر ضب خرب،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مرفوعاً، لکنّه صار مجروراً لأجل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ردَّ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صحیح، لاتّفاق أهل العربیة علی أنّ الإعراب بالمجاورة شاذ نادر، وما هذا سبیله لا یجوز حمل القرآن علیه من غیر ضرورة یُلجأ إلیها</w:t>
      </w:r>
      <w:r>
        <w:rPr>
          <w:rFonts w:eastAsia="IRNazanin" w:cs="IRNazanin"/>
          <w:color w:val="111111"/>
          <w:sz w:val="28"/>
          <w:szCs w:val="28"/>
          <w:rtl w:val="true"/>
          <w:lang w:bidi="fa-IR"/>
        </w:rPr>
        <w:t>.</w:t>
      </w:r>
      <w:r>
        <w:rPr>
          <w:rStyle w:val="FootnoteAnchor"/>
        </w:rPr>
        <w:footnoteReference w:id="51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علاء الدین البغدادی فی تفسیره المسمّی بالخازن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جعل کسر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مجاورة اللفظ دون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الخرب نعت للجحر لا الضب، وإنّما أخذ إعراب الضب للمجاورة فلیس بجیّد لوجهین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الکسر علی المجاورة إنّما یحمل لأجل الضرورة فی الشعر، أو یصار إلیه حیث یحصل الأمن من الالتباس، لأنّ الخرب لا یکون نعتاً للضب بل للجحر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الکسر بالجوار إنّما یکون بدون واو العطف، امّا مع حرف العطف فلم تتکلم به العرب</w:t>
      </w:r>
      <w:r>
        <w:rPr>
          <w:rFonts w:eastAsia="IRNazanin" w:cs="IRNazanin"/>
          <w:color w:val="111111"/>
          <w:sz w:val="28"/>
          <w:szCs w:val="28"/>
          <w:rtl w:val="true"/>
          <w:lang w:bidi="fa-IR"/>
        </w:rPr>
        <w:t>.</w:t>
      </w:r>
      <w:r>
        <w:rPr>
          <w:rStyle w:val="FootnoteAnchor"/>
        </w:rPr>
        <w:footnoteReference w:id="52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السیرافی وابن جنّی الخفض علی الجوار وتأوّلا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علی أنّه صفة للضب، و من أراد التفصیل فلیرجع إلی المغنی</w:t>
      </w:r>
      <w:r>
        <w:rPr>
          <w:rFonts w:eastAsia="IRNazanin" w:cs="IRNazanin"/>
          <w:color w:val="111111"/>
          <w:sz w:val="28"/>
          <w:szCs w:val="28"/>
          <w:rtl w:val="true"/>
          <w:lang w:bidi="fa-IR"/>
        </w:rPr>
        <w:t>.</w:t>
      </w:r>
      <w:r>
        <w:rPr>
          <w:rStyle w:val="FootnoteAnchor"/>
        </w:rPr>
        <w:footnoteReference w:id="52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الجر بالجوار فی النسق، لأنّ العاطف یمنع التجاور</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ویتلخّص من هذه الکلمات التی نقلناها بالإیجاز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الخفض بالجوار لم یثبت فی الکلام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الخفض بالجوار علی فرض ثبوته إمّا لضرورة الشعر أو لأجل استحسان الطبع المماثلةَ بین اللفظین المتجاورین، وکلّ من الوجهین منتفیان فی المورد، فلیس هنا ضرورة شعریة ولا استحسان الطبع فی إخلاء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إعرابه الواقعی واکتسابه إعراب جاره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بالجوار إنّما یجوز فیما إذا یؤمن عن الاشتباه کما فی المثل المعروف،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للجحر لا للضبّ وان جرَّ، بخلاف المقام فانّ قراءة الجرّ تورث الاشتباه، فلو کان الأرجل فی الواقع محکومة</w:t>
      </w:r>
      <w:bookmarkStart w:id="837" w:name="pg1680_13344"/>
    </w:p>
    <w:p>
      <w:pPr>
        <w:pStyle w:val="BookText"/>
        <w:rPr/>
      </w:pPr>
      <w:bookmarkEnd w:id="837"/>
      <w:r>
        <w:rPr>
          <w:rFonts w:ascii="IRNazanin" w:hAnsi="IRNazanin" w:eastAsia="IRNazanin"/>
          <w:color w:val="111111"/>
          <w:sz w:val="28"/>
          <w:sz w:val="28"/>
          <w:szCs w:val="28"/>
          <w:rtl w:val="true"/>
          <w:lang w:bidi="fa-IR"/>
        </w:rPr>
        <w:t>بالغسل، فالجرّ بالجوار یوهم کون الأرجل محکومة بالمسح وانّها معطوفة علی الرؤوس من دون أن یلتفت المخاطبُ إلی أنّ الجرّ للجوار فلا داعی لارتکاب هذا النوع من الخفض الذی یضاد بظاهره مراد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الجر بالجوار إلّافی الوصف والبدل وأمثالهما لا فی المعطوف کما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من هذا البحث الضافی انّ القول بالمسح ینطبق علی کلتا القراءتین بلا أدنی تأویل وحرج، وهذا بخلاف القول بالغسل فانّه لا ینسجم لا مع قراءة النصب ولا مع قراءة الجرّ</w:t>
      </w:r>
      <w:r>
        <w:rPr>
          <w:rFonts w:eastAsia="IRNazanin" w:cs="IRNazanin"/>
          <w:color w:val="111111"/>
          <w:sz w:val="28"/>
          <w:szCs w:val="28"/>
          <w:rtl w:val="true"/>
          <w:lang w:bidi="fa-IR"/>
        </w:rPr>
        <w:t>.</w:t>
      </w:r>
    </w:p>
    <w:p>
      <w:pPr>
        <w:pStyle w:val="Heading4"/>
        <w:numPr>
          <w:ilvl w:val="3"/>
          <w:numId w:val="1"/>
        </w:numPr>
        <w:rPr/>
      </w:pPr>
      <w:bookmarkStart w:id="838" w:name="__RefHeading___Toc1401362_3650668749"/>
      <w:bookmarkStart w:id="839" w:name="_Toc319"/>
      <w:bookmarkEnd w:id="838"/>
      <w:r>
        <w:rPr>
          <w:rtl w:val="true"/>
        </w:rPr>
        <w:t>المسح علی الأرجل فی الأحادیث النبویة</w:t>
      </w:r>
      <w:bookmarkEnd w:id="839"/>
    </w:p>
    <w:p>
      <w:pPr>
        <w:pStyle w:val="BookText"/>
        <w:rPr/>
      </w:pPr>
      <w:r>
        <w:rPr>
          <w:rFonts w:ascii="IRNazanin" w:hAnsi="IRNazanin" w:eastAsia="IRNazanin"/>
          <w:color w:val="111111"/>
          <w:sz w:val="28"/>
          <w:sz w:val="28"/>
          <w:szCs w:val="28"/>
          <w:rtl w:val="true"/>
          <w:lang w:bidi="fa-IR"/>
        </w:rPr>
        <w:t>قد تعرّفت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الفرض فی مورد الأرجل هو المسح، وبما انّ الآیة نزلت فی أُخریات حیاة النبی ولم تنسخ بعد فهی بنفسها کافیة فی الدلالة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انّنا تعزیزاً للمطلب نذکر ما روی عن النبی صلی الله علیه و آله و سلم وأصحابه من لزوم المسح علی الأرجل، ونقتصر فی ذلک بالمتون مع تجرید الأسانید، لأنّ الکتاب لا یسع لذکرها</w:t>
      </w:r>
      <w:r>
        <w:rPr>
          <w:rFonts w:eastAsia="IRNazanin" w:cs="IRNazanin"/>
          <w:color w:val="111111"/>
          <w:sz w:val="28"/>
          <w:szCs w:val="28"/>
          <w:rtl w:val="true"/>
          <w:lang w:bidi="fa-IR"/>
        </w:rPr>
        <w:t>.</w:t>
      </w:r>
    </w:p>
    <w:p>
      <w:pPr>
        <w:pStyle w:val="Heading4"/>
        <w:numPr>
          <w:ilvl w:val="3"/>
          <w:numId w:val="1"/>
        </w:numPr>
        <w:rPr/>
      </w:pPr>
      <w:bookmarkStart w:id="840" w:name="__RefHeading___Toc1401364_3650668749"/>
      <w:bookmarkStart w:id="841" w:name="_Toc320"/>
      <w:bookmarkEnd w:id="840"/>
      <w:r>
        <w:rPr>
          <w:rtl w:val="true"/>
        </w:rPr>
        <w:t>ما روی عن رسول اللَّه صلی الله علیه و آله و سلم حول مسح الأرجل‌</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بسر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عثمان المقاعد فدعا بوضوء فتمضمض واستنشق ثمّ غسل وجهه ثلاثاً ویدیه ثلاثاً ثلاثاً ومسح برأسه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هکذا توضّأ، یا هؤلاء أکذلک؟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لنفر من أصحاب رسول اللَّه صلی الله علیه و آله و سلم عنده</w:t>
      </w:r>
      <w:r>
        <w:rPr>
          <w:rFonts w:eastAsia="IRNazanin" w:cs="IRNazanin"/>
          <w:color w:val="111111"/>
          <w:sz w:val="28"/>
          <w:szCs w:val="28"/>
          <w:rtl w:val="true"/>
          <w:lang w:bidi="fa-IR"/>
        </w:rPr>
        <w:t>.</w:t>
      </w:r>
      <w:r>
        <w:rPr>
          <w:rStyle w:val="FootnoteAnchor"/>
        </w:rPr>
        <w:footnoteReference w:id="5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عثمان بماء فتوضّأ ثمّ 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ممّ أضحک؟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أضحکک؟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کما توضّأت، فتمضمض واستنشق وغسل وجهه ثلاثاً ویدیه ثلاثاً ومسح برأسه وظهر قدمیه</w:t>
      </w:r>
      <w:r>
        <w:rPr>
          <w:rFonts w:eastAsia="IRNazanin" w:cs="IRNazanin"/>
          <w:color w:val="111111"/>
          <w:sz w:val="28"/>
          <w:szCs w:val="28"/>
          <w:rtl w:val="true"/>
          <w:lang w:bidi="fa-IR"/>
        </w:rPr>
        <w:t>.</w:t>
      </w:r>
      <w:r>
        <w:rPr>
          <w:rStyle w:val="FootnoteAnchor"/>
        </w:rPr>
        <w:footnoteReference w:id="5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عبداللَّه بن زید المازنی انّ النبی صلی الله علیه و آله و سلم توضّأ فغسل وجهه ثلاثاً ویدیه مرتین ومسح رأسه ورجلیه مرتین</w:t>
      </w:r>
      <w:r>
        <w:rPr>
          <w:rFonts w:eastAsia="IRNazanin" w:cs="IRNazanin"/>
          <w:color w:val="111111"/>
          <w:sz w:val="28"/>
          <w:szCs w:val="28"/>
          <w:rtl w:val="true"/>
          <w:lang w:bidi="fa-IR"/>
        </w:rPr>
        <w:t>.</w:t>
      </w:r>
      <w:r>
        <w:rPr>
          <w:rStyle w:val="FootnoteAnchor"/>
        </w:rPr>
        <w:footnoteReference w:id="52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مع علی فی المسجد، جاء رجل إلی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وضوء رسول اللَّه صلی الله علیه و آله و سلم فدعا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بکوز من ماء فغسل یدیه ووجهه ثلاثاً، فأدخل بعض أصابعه فی فیه واستنشق ثلاثاً، وغسل ذراعیه ثلاثاً ومسح رأسه واحدة ورجلیه إلی الکعبین ولحیته تهطل علی صدره ثمّ حسا حسوة بعد الوضوء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 عن وضوء رسول اللَّه صلی الله علیه و آله و سلم، کذا کان وضوء رسول اللَّه صلی الله علیه و آله و سلم</w:t>
      </w:r>
      <w:r>
        <w:rPr>
          <w:rFonts w:eastAsia="IRNazanin" w:cs="IRNazanin"/>
          <w:color w:val="111111"/>
          <w:sz w:val="28"/>
          <w:szCs w:val="28"/>
          <w:rtl w:val="true"/>
          <w:lang w:bidi="fa-IR"/>
        </w:rPr>
        <w:t>.</w:t>
      </w:r>
      <w:r>
        <w:rPr>
          <w:rStyle w:val="FootnoteAnchor"/>
        </w:rPr>
        <w:footnoteReference w:id="5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تمیم،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توضّأ ومسح بالماء علی لحیته ورجلیه</w:t>
      </w:r>
      <w:r>
        <w:rPr>
          <w:rFonts w:eastAsia="IRNazanin" w:cs="IRNazanin"/>
          <w:color w:val="111111"/>
          <w:sz w:val="28"/>
          <w:szCs w:val="28"/>
          <w:rtl w:val="true"/>
          <w:lang w:bidi="fa-IR"/>
        </w:rPr>
        <w:t>.</w:t>
      </w:r>
      <w:r>
        <w:rPr>
          <w:rStyle w:val="FootnoteAnchor"/>
        </w:rPr>
        <w:footnoteReference w:id="52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أنّ باطن القدمین أحق بالمسح من ظاهرهما حتی رأیت رسول اللَّه صلی الله علیه و آله و سلم یمسح ظاهرهما</w:t>
      </w:r>
      <w:r>
        <w:rPr>
          <w:rFonts w:eastAsia="IRNazanin" w:cs="IRNazanin"/>
          <w:color w:val="111111"/>
          <w:sz w:val="28"/>
          <w:szCs w:val="28"/>
          <w:rtl w:val="true"/>
          <w:lang w:bidi="fa-IR"/>
        </w:rPr>
        <w:t>.</w:t>
      </w:r>
      <w:r>
        <w:rPr>
          <w:rStyle w:val="FootnoteAnchor"/>
        </w:rPr>
        <w:footnoteReference w:id="52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رافع انّه سمع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یجوز صلاة أحدکم حتی یسبغ الوضوء کما أمره اللَّه عزّوجلّ، ثمّ یغسل وجهه ویدیه إلی المرفقین، ویمسح رأسه ورجلیه إلی الکعبین</w:t>
      </w:r>
      <w:r>
        <w:rPr>
          <w:rFonts w:eastAsia="IRNazanin" w:cs="IRNazanin"/>
          <w:color w:val="111111"/>
          <w:sz w:val="28"/>
          <w:szCs w:val="28"/>
          <w:rtl w:val="true"/>
          <w:lang w:bidi="fa-IR"/>
        </w:rPr>
        <w:t>».</w:t>
      </w:r>
      <w:r>
        <w:rPr>
          <w:rStyle w:val="FootnoteAnchor"/>
        </w:rPr>
        <w:footnoteReference w:id="52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رسول اللَّه صلی الله علیه و آله و سلم فی سفرة سافرناها، فأدرکنا وقد أرهقتنا الصلاة ونحن نتوضّأ فجعلنا نمسح علی أرجلنا، فنادی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أو ثلاثاً</w:t>
      </w:r>
      <w:r>
        <w:rPr>
          <w:rFonts w:eastAsia="IRNazanin" w:cs="IRNazanin"/>
          <w:color w:val="111111"/>
          <w:sz w:val="28"/>
          <w:szCs w:val="28"/>
          <w:rtl w:val="true"/>
          <w:lang w:bidi="fa-IR"/>
        </w:rPr>
        <w:t>.</w:t>
      </w:r>
      <w:r>
        <w:rPr>
          <w:rStyle w:val="FootnoteAnchor"/>
        </w:rPr>
        <w:footnoteReference w:id="53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مالک الأشعری انّه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أُصلّی بکم صلاة رسول اللَّه صلی الله علیه و آله و سلم،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إلّاابن أُخت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 القوم منهم، فدعا بجفنة فیها ماء، فتوضّأ ومضمض واستنشق، وغسل وجهه ثلاثاً وذراعیه ثلاثاً، ومسح برأسه وظهر قدمیه، ثمّ صلّی بهم فکبر بهم اثنتین وعشرین تکبیرة</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عباد بن تمیم المازنی،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ویمسح الماء علی رجلیه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أوس بن أبی أوس الثقفی انّه رأی النبی صلی الله علیه و آله و سلم أتی کظامة قوم بالطائف، فتوضّأ ومسح علی قدمیه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رسول اللَّه صلی الله علیه و آله و سلم إذ جاءه رجل فدخل المسجد، فصلّی فلمّا قضی الصلاة جاء فسلم علی رسول اللَّه صلی الله علیه و آله و سلم وعلی القوم،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فصلّ فانّک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الرجل یصلّی، وجعلنا نرمق صلاته لا ندری ما یعیب منها، فلمّا جاء فسلم علی النبی صلی الله علیه و آله و سلم وعلی القوم قال له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ارجع فصلِّ فانّک 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ندری أمره بذلک مرتین أو ثلاثاً،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ماعبت من صلاتی؟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تتم صلاة أحدکم حتّی یسبغ الوضوء کما أمره اللَّه، فیغسل وجهه ویدیه إلی المرفقین، ویمسح برأسه ورجلیه إلی الکعبین، ثمّ یکبر اللَّه تعالی ویثنی علیه، ثمّ یقرأ أُمّ القرآن وما أذن له فیه ویسر، ثمّ یکبر فیرکع فیضع کفیه علی رکبتیه حتّی تطمئن مفاصله، ویسترخی ثمّ یقول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اللَّه لمن حمده، ویستوی قائماً حتّی یقیم صلبه ویأخذ کلّ عظم مأخذه، ثمّ یکبر فیسجد فیمکن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 جبهته من الأرض حتّی تطمئن مفاصله ویسترخی، ثمّ یکبر فیستوی قاعداً علی مقعده ویقیم صلبه، فوصف الصلاة هکذا أربع رکعات حتّی فرغ،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صلاة أحدکم حتّی یفعل ذلک</w:t>
      </w:r>
      <w:r>
        <w:rPr>
          <w:rFonts w:eastAsia="IRNazanin" w:cs="IRNazanin"/>
          <w:color w:val="111111"/>
          <w:sz w:val="28"/>
          <w:szCs w:val="28"/>
          <w:rtl w:val="true"/>
          <w:lang w:bidi="fa-IR"/>
        </w:rPr>
        <w:t>.</w:t>
      </w:r>
      <w:r>
        <w:rPr>
          <w:rStyle w:val="FootnoteAnchor"/>
        </w:rPr>
        <w:footnoteReference w:id="532"/>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المسح علی القدمین عند عمر وسعد وعبد اللَّه بن عمر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أفقه منک،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انّا لا ننکر انّ رسول اللَّه صلی الله علیه و آله و سلم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أی‌علی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مسح منذ أنزلت سورة المائدة فانّها أحکمت کل شی‌ء وکانت آخر سورة من القرآن إلا براءة</w:t>
      </w:r>
      <w:r>
        <w:rPr>
          <w:rFonts w:eastAsia="IRNazanin" w:cs="IRNazanin"/>
          <w:color w:val="111111"/>
          <w:sz w:val="28"/>
          <w:szCs w:val="28"/>
          <w:rtl w:val="true"/>
          <w:lang w:bidi="fa-IR"/>
        </w:rPr>
        <w:t>.</w:t>
      </w:r>
      <w:r>
        <w:rPr>
          <w:rStyle w:val="FootnoteAnchor"/>
        </w:rPr>
        <w:footnoteReference w:id="533"/>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 انّ جبرئیل علیه السلام لمّا نزل علی النبی صلی الله علیه و آله و سلم فی أوّل البعثة فتح بالإعجاز عیناً من ماء فتوضأ ومحمد صلی الله علیه و آله و سلم ینظر إلیه فغسل وجهه ویدیه إلی المرفقین ومسح برأسه ورجلیه إلی الکعبین، ففعل النبی محمد صلی الله علیه و آله و سلم کما رأی جبرئیل یفعل</w:t>
      </w:r>
      <w:r>
        <w:rPr>
          <w:rFonts w:eastAsia="IRNazanin" w:cs="IRNazanin"/>
          <w:color w:val="111111"/>
          <w:sz w:val="28"/>
          <w:szCs w:val="28"/>
          <w:rtl w:val="true"/>
          <w:lang w:bidi="fa-IR"/>
        </w:rPr>
        <w:t>.</w:t>
      </w:r>
      <w:r>
        <w:rPr>
          <w:rStyle w:val="FootnoteAnchor"/>
        </w:rPr>
        <w:footnoteReference w:id="534"/>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جبیر بن نفیر، عن أبیه أنّ أبا جبیر قدم علی النبی صلی الله علیه و آله و سلم مع ابنته التی تزوّجها رسول اللَّه، فدعا رسول اللَّه بوضوء</w:t>
      </w:r>
      <w:bookmarkStart w:id="842" w:name="pg1680_13355"/>
    </w:p>
    <w:p>
      <w:pPr>
        <w:pStyle w:val="BookText"/>
        <w:rPr/>
      </w:pPr>
      <w:bookmarkEnd w:id="842"/>
      <w:r>
        <w:rPr>
          <w:rFonts w:ascii="IRNazanin" w:hAnsi="IRNazanin" w:eastAsia="IRNazanin"/>
          <w:color w:val="111111"/>
          <w:sz w:val="28"/>
          <w:sz w:val="28"/>
          <w:szCs w:val="28"/>
          <w:rtl w:val="true"/>
          <w:lang w:bidi="fa-IR"/>
        </w:rPr>
        <w:t>فغسل یدیه فأنقاهما، ثمّ مضمض فاه واستنشق بماء، ثمّ غسل وجهه ویدیه إلی المرفقین ثلاثاً، ثمّ مسح رأسه ورجلیه</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إلی هنا تمّ ما عثرنا علیه من الروایات عن النبی الأکرم صلی الله علیه و آله و سلم علی وجه عابر، وهی تدلّ علی أنّ قول النبی وفعله کان علی المسح لا الغسل</w:t>
      </w:r>
      <w:r>
        <w:rPr>
          <w:rFonts w:eastAsia="IRNazanin" w:cs="IRNazanin"/>
          <w:color w:val="111111"/>
          <w:sz w:val="28"/>
          <w:szCs w:val="28"/>
          <w:rtl w:val="true"/>
          <w:lang w:bidi="fa-IR"/>
        </w:rPr>
        <w:t>.</w:t>
      </w:r>
    </w:p>
    <w:p>
      <w:pPr>
        <w:pStyle w:val="Heading4"/>
        <w:numPr>
          <w:ilvl w:val="3"/>
          <w:numId w:val="1"/>
        </w:numPr>
        <w:rPr/>
      </w:pPr>
      <w:bookmarkStart w:id="843" w:name="__RefHeading___Toc1401366_3650668749"/>
      <w:bookmarkStart w:id="844" w:name="_Toc321"/>
      <w:bookmarkEnd w:id="843"/>
      <w:r>
        <w:rPr>
          <w:rtl w:val="true"/>
        </w:rPr>
        <w:t>ما حکی عن الصحابة والتابعین حول مسح الأرجل‌</w:t>
      </w:r>
      <w:bookmarkEnd w:id="84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توضّأ فمسح ظهورهما</w:t>
      </w:r>
      <w:r>
        <w:rPr>
          <w:rFonts w:eastAsia="IRNazanin" w:cs="IRNazanin"/>
          <w:color w:val="111111"/>
          <w:sz w:val="28"/>
          <w:szCs w:val="28"/>
          <w:rtl w:val="true"/>
          <w:lang w:bidi="fa-IR"/>
        </w:rPr>
        <w:t>.</w:t>
      </w:r>
      <w:r>
        <w:rPr>
          <w:rStyle w:val="FootnoteAnchor"/>
        </w:rPr>
        <w:footnoteReference w:id="536"/>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دعا بماء غسل، فغسل کفیه ثلاثاً ومضمض واستنشق وغسل وجهه ثلاثاً وذراعیه ثلاثاً ومسح برأسه وظهر قدمیه</w:t>
      </w:r>
      <w:r>
        <w:rPr>
          <w:rFonts w:eastAsia="IRNazanin" w:cs="IRNazanin"/>
          <w:color w:val="111111"/>
          <w:sz w:val="28"/>
          <w:szCs w:val="28"/>
          <w:rtl w:val="true"/>
          <w:lang w:bidi="fa-IR"/>
        </w:rPr>
        <w:t>.</w:t>
      </w:r>
      <w:r>
        <w:rPr>
          <w:rStyle w:val="FootnoteAnchor"/>
        </w:rPr>
        <w:footnoteReference w:id="537"/>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الأحول،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والسنّة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اسناد صحیح</w:t>
      </w:r>
      <w:r>
        <w:rPr>
          <w:rFonts w:eastAsia="IRNazanin" w:cs="IRNazanin"/>
          <w:color w:val="111111"/>
          <w:sz w:val="28"/>
          <w:szCs w:val="28"/>
          <w:rtl w:val="true"/>
          <w:lang w:bidi="fa-IR"/>
        </w:rPr>
        <w:t>.</w:t>
      </w:r>
      <w:r>
        <w:rPr>
          <w:rStyle w:val="FootnoteAnchor"/>
        </w:rPr>
        <w:footnoteReference w:id="538"/>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العتکی،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الرجلین غسل انّما نزل فیهما المسح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رأسک وقدمیک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علیة بن داود، عن عامر الشعبی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المسح علی الرجلین ألا تری أنّ ما کان علیه الغسل جُعِلَ علیه المسح وما کان علیه المسح أُهمِل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یمسح فی التیمّم ما أُمر أن یغسل فی الوضوء، وأبطل ما أمر أن یُمسح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والرجلان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یُمْسح بالصعید فی التیمّم، ما أمر أن یُغسل بالماء، وأهمل ما أمر أن یمسح بالماء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صحب عکرمة إلی 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غسل رجلیه، إنّما یمسح علیهما حتّی خرج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غسلتین ومسحتین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موسی بن أنس لأبی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خطبنا بالأهواز ونحن معه، فذکر الطهور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وجوهکم وأیدیکم وامسحوا برؤوسکم وأرجلکم، وأنّه لیس شی‌ء من ابن آدم أقرب من خبثه من قدمیه، فاغسلوا بطونهما وظهورهما وعراقیبهما،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وکذب الحجاج، قال اللَّه تعالی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أنس إذا مسح قدمیه 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صحیح إلیه</w:t>
      </w:r>
      <w:r>
        <w:rPr>
          <w:rFonts w:eastAsia="IRNazanin" w:cs="IRNazanin"/>
          <w:color w:val="111111"/>
          <w:sz w:val="28"/>
          <w:szCs w:val="28"/>
          <w:rtl w:val="true"/>
          <w:lang w:bidi="fa-IR"/>
        </w:rPr>
        <w:t>.</w:t>
      </w:r>
      <w:r>
        <w:rPr>
          <w:rStyle w:val="FootnoteAnchor"/>
        </w:rPr>
        <w:footnoteReference w:id="539"/>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بالمسح، ثمّ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التیمّم أن یمسح ما کان غسل ویلغی ما کان مسحاً</w:t>
      </w:r>
      <w:r>
        <w:rPr>
          <w:rFonts w:eastAsia="IRNazanin" w:cs="IRNazanin"/>
          <w:color w:val="111111"/>
          <w:sz w:val="28"/>
          <w:szCs w:val="28"/>
          <w:rtl w:val="true"/>
          <w:lang w:bidi="fa-IR"/>
        </w:rPr>
        <w:t>.</w:t>
      </w:r>
      <w:r>
        <w:rPr>
          <w:rStyle w:val="FootnoteAnchor"/>
        </w:rPr>
        <w:footnoteReference w:id="54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قلت لعامر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یقولون إنّ جبرئیل نزل بغسل الرجلین؟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بالمسح</w:t>
      </w:r>
      <w:r>
        <w:rPr>
          <w:rFonts w:eastAsia="IRNazanin" w:cs="IRNazanin"/>
          <w:color w:val="111111"/>
          <w:sz w:val="28"/>
          <w:szCs w:val="28"/>
          <w:rtl w:val="true"/>
          <w:lang w:bidi="fa-IR"/>
        </w:rPr>
        <w:t>.</w:t>
      </w:r>
      <w:r>
        <w:rPr>
          <w:rStyle w:val="FootnoteAnchor"/>
        </w:rPr>
        <w:footnoteReference w:id="54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النزال بن سبرة انّ علیاً دعا بماء فتوضأ ثمّ مسح علی نعلیه وقدمیه، ثمّ دخل المسجد فخلع نعلیه ثمّ صلّی</w:t>
      </w:r>
      <w:r>
        <w:rPr>
          <w:rFonts w:eastAsia="IRNazanin" w:cs="IRNazanin"/>
          <w:color w:val="111111"/>
          <w:sz w:val="28"/>
          <w:szCs w:val="28"/>
          <w:rtl w:val="true"/>
          <w:lang w:bidi="fa-IR"/>
        </w:rPr>
        <w:t>.</w:t>
      </w:r>
      <w:r>
        <w:rPr>
          <w:rStyle w:val="FootnoteAnchor"/>
        </w:rPr>
        <w:footnoteReference w:id="54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وعلیه إزار أصفر وخمیصة وفی یده عنزة أتی حائط السجن، ثم تنحی فتوضأ ومسح علی نعلیه وقدمیه ثمّ دخل المسجد، فخلع نعلیه ثمّ صلّی</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هذا غیض من فیض، وقلیل من کثیر، فمن تفحّص المسانید والصحاح ومجامع الآثار یقف علی أکثر ممّا وقفنا علیه علی وجه عابر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Style w:val="FootnoteAnchor"/>
          <w:rtl w:val="true"/>
        </w:rPr>
        <w:footnoteReference w:id="544"/>
      </w:r>
      <w:bookmarkStart w:id="845" w:name="pg1680_13360"/>
    </w:p>
    <w:p>
      <w:pPr>
        <w:pStyle w:val="Heading3"/>
        <w:numPr>
          <w:ilvl w:val="2"/>
          <w:numId w:val="1"/>
        </w:numPr>
        <w:rPr/>
      </w:pPr>
      <w:bookmarkStart w:id="846" w:name="__RefHeading___Toc1401368_3650668749"/>
      <w:bookmarkStart w:id="847" w:name="_Toc322"/>
      <w:bookmarkEnd w:id="845"/>
      <w:bookmarkEnd w:id="846"/>
      <w:r>
        <w:rPr/>
        <w:t>2</w:t>
      </w:r>
      <w:r>
        <w:rPr>
          <w:rtl w:val="true"/>
        </w:rPr>
        <w:t xml:space="preserve">- </w:t>
      </w:r>
      <w:r>
        <w:rPr>
          <w:rtl w:val="true"/>
        </w:rPr>
        <w:t>الأذان والإقامة</w:t>
      </w:r>
      <w:bookmarkEnd w:id="847"/>
    </w:p>
    <w:p>
      <w:pPr>
        <w:pStyle w:val="Heading4"/>
        <w:numPr>
          <w:ilvl w:val="3"/>
          <w:numId w:val="1"/>
        </w:numPr>
        <w:rPr/>
      </w:pPr>
      <w:bookmarkStart w:id="848" w:name="__RefHeading___Toc1401370_3650668749"/>
      <w:bookmarkStart w:id="849" w:name="_Toc323"/>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الأذان لغة الإعلام، وشرعاً الإعلام بأوقات الصلاة بألفاظ خاصة، وقد شُرّع فی السنة الأُولی من الهجرة النبویة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الشیعة الإمامیة مع أهل السنّة فی مسألة الأذان والإقامة فی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تشریع الأذان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الأذان والإقامة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جزئیة حی علی خیر العمل للأذان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التثویب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دراسة الجمیع واحداً بعد الآخر بشکل موجز</w:t>
      </w:r>
      <w:r>
        <w:rPr>
          <w:rFonts w:eastAsia="IRNazanin" w:cs="IRNazanin"/>
          <w:color w:val="111111"/>
          <w:sz w:val="28"/>
          <w:szCs w:val="28"/>
          <w:rtl w:val="true"/>
          <w:lang w:bidi="fa-IR"/>
        </w:rPr>
        <w:t>.</w:t>
      </w:r>
    </w:p>
    <w:p>
      <w:pPr>
        <w:pStyle w:val="Heading4"/>
        <w:numPr>
          <w:ilvl w:val="3"/>
          <w:numId w:val="1"/>
        </w:numPr>
        <w:rPr/>
      </w:pPr>
      <w:bookmarkStart w:id="850" w:name="__RefHeading___Toc1401372_3650668749"/>
      <w:bookmarkStart w:id="851" w:name="_Toc324"/>
      <w:bookmarkEnd w:id="850"/>
      <w:r>
        <w:rPr>
          <w:rtl w:val="true"/>
        </w:rPr>
        <w:t>الأوّل</w:t>
      </w:r>
      <w:r>
        <w:rPr>
          <w:rtl w:val="true"/>
        </w:rPr>
        <w:t xml:space="preserve">: </w:t>
      </w:r>
      <w:r>
        <w:rPr>
          <w:rtl w:val="true"/>
        </w:rPr>
        <w:t>کیفیة تشریع الأذان‌</w:t>
      </w:r>
      <w:bookmarkEnd w:id="85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للنصوص المتضافرة من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صمیم الدین ومن شعائره، أنزله اللَّه سبحانه علی قلب سیّد المرسلین، وأنّ اللَّه الذی فرض الصلاة، هو الذی</w:t>
      </w:r>
    </w:p>
    <w:p>
      <w:pPr>
        <w:pStyle w:val="BookText"/>
        <w:rPr/>
      </w:pPr>
      <w:r>
        <w:rPr>
          <w:rFonts w:ascii="IRNazanin" w:hAnsi="IRNazanin" w:eastAsia="IRNazanin"/>
          <w:color w:val="111111"/>
          <w:sz w:val="28"/>
          <w:sz w:val="28"/>
          <w:szCs w:val="28"/>
          <w:rtl w:val="true"/>
          <w:lang w:bidi="fa-IR"/>
        </w:rPr>
        <w:t>فرض الأذان، وأنّ منشئ الجمیع واحد، ولم یشارک فی تشریعه أیّ ابن أُنثی، لا فی الیقظة ولا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فصوله من التکبیر إلی التهلیل مسحة إلهیة، وعذوبة وإخلاص، وسموّ المعنی وفخامته، تثیر شعور الإنسان إلی مفاهیم أرقی، وأعلی وأنبل ممّا فی عقول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حاولت ید التشریع الانسانی أن تضیف فصلًا إلی فصوله أو تقحم جملة فی جُمله لأصبح المضاف کالحصی بین الدرر والدراری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الأول من فصوله یشهد علی أنّه سبحانه أکبر من کل شی‌ء وبالتالی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وأعظم، وأنّ غیره من الموجودات وإن بلغ من العظمة ما بلغ، ضئیل وصغیر عنده خاضع لمشیئته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الثانی یشهد علی أنّه سبحانه هو الإله فی صفحة الوجود وأنّ ما سواه سراب ما أنزل اللَّه به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الفصول، یشهد علی أنّ محمّداً صلی الله علیه و آله و سلم رسوله، الذی بعثه لإبلاغ رسالاته وإنجاز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نهایة ذلک الفصل یتبدّل إعلانه من الشهادة، إلی الدعوة إلی الصلاة التی فرضها والتی بها یتّصل الإنسان بعالم الغیب، وفیها یمتزج خشوعه، بعظمة الخالق، ثمّ الدعوة إلی الفلاح والنجاح، وخیر العمل‌</w:t>
      </w:r>
      <w:r>
        <w:rPr>
          <w:rStyle w:val="FootnoteAnchor"/>
          <w:rtl w:val="true"/>
        </w:rPr>
        <w:footnoteReference w:id="545"/>
      </w:r>
      <w:r>
        <w:rPr>
          <w:rFonts w:ascii="IRNazanin" w:hAnsi="IRNazanin" w:eastAsia="IRNazanin"/>
          <w:color w:val="111111"/>
          <w:sz w:val="28"/>
          <w:sz w:val="28"/>
          <w:szCs w:val="28"/>
          <w:rtl w:val="true"/>
          <w:lang w:bidi="fa-IR"/>
        </w:rPr>
        <w:t>التی تنطوی علیها الصلاة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الدعوة إلی الفلاح وخیر العمل، یعود ویذکر الحقیقة</w:t>
      </w:r>
    </w:p>
    <w:p>
      <w:pPr>
        <w:pStyle w:val="BookText"/>
        <w:rPr/>
      </w:pPr>
      <w:r>
        <w:rPr>
          <w:rFonts w:ascii="Amiri" w:hAnsi="Amiri" w:eastAsia="Amiri" w:cs="Amiri"/>
          <w:color w:val="111111"/>
          <w:sz w:val="28"/>
          <w:sz w:val="28"/>
          <w:szCs w:val="28"/>
          <w:rtl w:val="true"/>
          <w:lang w:bidi="ar-SA"/>
        </w:rPr>
        <w:t>الأبدیة التی صرّح بها فی أولیات فصوله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لا إله إلّا اللَّه، 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حقیقة الأذان وصورته، والجمیع سبیکة واحدة أفرغتها ید التشریع السماوی فی قالب جملٍ، تحکی عن حقائق أبدیة، تصدّ الإنسان عن الانکباب فی شواغل الدنیا وملاذّها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حقیقة الأذان فهو فی الحقیقة عرض لأُصول العقائد، فیتعیّن أن یکون مصدره هو الوحی الإلهی، ولذلک اتّفق أئمّة أهل البیت علیهم السلام علی أنّ اللَّه سبحانه هو المشرّع للأذان، وانّه هبط به جبرئیل وعلّمه رسول اللَّه وهو علّمه بلالًا، ولم یشارک فی تشریعه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عندهم من الا مور المسلّمة، ونذکر بعض ما أثر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الإسلام الکلینی بسند صحیح عن زرارة و الفضیل،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برسول اللَّه صلی الله علیه و آله و سلم إلی السماء فبلغ البیت المعمور، وحضرت الصلاة، فأذّن جبرئیل علیه السلام وأقام فتقدم رسول اللَّه صلی الله علیه و آله و سلم وصفَّت الملائکة والنبیون خلف محمّد صلی الله علیه و آله و سلم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أیضاً بسند صحیح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هبط جبرئیل بالأذان علی رسول اللَّه صلی الله علیه و آله و سلم کان رأسه فی حجر علی علیه السلام فأذّن جبرئیل وأقام‌</w:t>
      </w:r>
      <w:r>
        <w:rPr>
          <w:rStyle w:val="FootnoteAnchor"/>
          <w:rtl w:val="true"/>
        </w:rPr>
        <w:footnoteReference w:id="546"/>
      </w:r>
      <w:r>
        <w:rPr>
          <w:rFonts w:ascii="IRNazanin" w:hAnsi="IRNazanin" w:eastAsia="IRNazanin"/>
          <w:color w:val="111111"/>
          <w:sz w:val="28"/>
          <w:sz w:val="28"/>
          <w:szCs w:val="28"/>
          <w:rtl w:val="true"/>
          <w:lang w:bidi="fa-IR"/>
        </w:rPr>
        <w:t>، فلمّا انتبه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سمعت؟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5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بلالًا، فدعا علی علیه السلام بلالًا فعلّمه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أیضاً بسند صحیح أو حسن عن عمر بن أذینة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ماذا؟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أذانهم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إنّ أُبیّ بن کعب رآه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فإنّ دین اللَّه أعزّ من أن یری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سدیر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فأحدث لنا من ذلک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عرج بنبیه صلی الله علیه و آله و سلم إلی سماواته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مکی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فقیه الشیعة فی أوائل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عقیل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لعن قوماً زعموا أنّ النبیّ أخذ الأذان من عبد اللَّه بن زید</w:t>
      </w:r>
      <w:r>
        <w:rPr>
          <w:rStyle w:val="FootnoteAnchor"/>
          <w:rtl w:val="true"/>
        </w:rPr>
        <w:footnoteReference w:id="54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الوحی علی نبیکم فتزعمون أنّه أخذ الأذان من عبد اللَّه بن زید</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ولیست الشیعة متفردة فی هذا النقل عن أئمة أهل البیت، فقد روی الحاکم وغیره نفس النقل عنهم، وإلیک بعض ما أثر فی ذلک المجال عن طریق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عن سفیان بن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الحسن بن علی ما کان، قدمت علیه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عنده الأذان فقال 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بدء الأذان برؤیا عبد اللَّه بن زید، فقال له الحسن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شأن الأذان أعظم من ذلک، أذَّن جبرئیل فی السماء مثنی، وعلّمه رسول اللَّه وأقام مرة مرة</w:t>
      </w:r>
      <w:r>
        <w:rPr>
          <w:rStyle w:val="FootnoteAnchor"/>
          <w:rtl w:val="true"/>
        </w:rPr>
        <w:footnoteReference w:id="551"/>
      </w:r>
      <w:r>
        <w:rPr>
          <w:rFonts w:ascii="Amiri" w:hAnsi="Amiri" w:eastAsia="Amiri" w:cs="Amiri"/>
          <w:color w:val="111111"/>
          <w:sz w:val="28"/>
          <w:sz w:val="28"/>
          <w:szCs w:val="28"/>
          <w:rtl w:val="true"/>
          <w:lang w:bidi="ar-SA"/>
        </w:rPr>
        <w:t>فعلّمه رسول اللَّه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المتقی الهندی عن هارون بن سعد عن الشهید زید بن الإمام علی بن الحسین عن آبائه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عُلِّمَ الأذان لیلة أُسری به وفرضت علیه الصلاة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لنتحدّث أنّ بدء الأذان کان من رؤیا رآها رجل من الأنصار فی منامه، 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ففزع لذلک محمد بن الحنفیة فزعاً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إلی ما هو الأصل فی شرائع الإسلام، ومعالم دینکم، فزعمتم أنّه کان من رؤیا رآها رجل من الأنصار فی منامه، یحتمل الصدق والکذب وقد تکون أضغاث أحلام،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استفاض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الباطل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المتقی الهندی عن مسند رافع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برسول اللَّه إلی السماء أُوحی إلیه بالأذان فنزل به فعلّمه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فی الأوسط عن ابن عمر</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ممّا رواه عبد الرزاق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کان بوحی من اللَّه سبحانه‌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أحادیث تدل علی أنّ الأذان شرّع بمکة قبل الهجرة، فمن تلک الأحادیث ما فی الطبرانی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الروایة الثامنة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تاریخ الأذان وطریق تشریعه أخذته الشیعة من عین صافیة من أُناسٍ هم بطانة سنّة الرسول یروی صادق عن صادق حتی ینتهی إلی الرسول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لدی الإمامیة وأمّا غیرهم فیزعمون أنّ عبد اللَّه بن زید رأی فی منامه من علّمه الأذان فعرض رؤیاه علی النبی صلی الله علیه و آله و سلم فأقرّها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رووا فی ذلک روایات فی السنن، لا یصلح الاحتجاج بها من وجهین</w:t>
      </w:r>
      <w:r>
        <w:rPr>
          <w:rFonts w:eastAsia="IRNazanin" w:cs="IRNazanin"/>
          <w:color w:val="111111"/>
          <w:sz w:val="28"/>
          <w:szCs w:val="28"/>
          <w:rtl w:val="true"/>
          <w:lang w:bidi="fa-IR"/>
        </w:rPr>
        <w:t>:</w:t>
      </w:r>
      <w:bookmarkStart w:id="852" w:name="pg1680_13373"/>
    </w:p>
    <w:p>
      <w:pPr>
        <w:pStyle w:val="BookText"/>
        <w:rPr/>
      </w:pPr>
      <w:bookmarkEnd w:id="852"/>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وإسناداً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متعارضة جوهراً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أراد التفصیل فلیرجع إلی کتابنا الإنصاف فی مسائل دام فیها الخلاف</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853" w:name="__RefHeading___Toc1401374_3650668749"/>
      <w:bookmarkStart w:id="854" w:name="_Toc325"/>
      <w:bookmarkEnd w:id="853"/>
      <w:r>
        <w:rPr>
          <w:rtl w:val="true"/>
        </w:rPr>
        <w:t>الثانی</w:t>
      </w:r>
      <w:r>
        <w:rPr>
          <w:rtl w:val="true"/>
        </w:rPr>
        <w:t xml:space="preserve">: </w:t>
      </w:r>
      <w:r>
        <w:rPr>
          <w:rtl w:val="true"/>
        </w:rPr>
        <w:t>فصول الأذان والاقامة عدداً</w:t>
      </w:r>
      <w:bookmarkEnd w:id="854"/>
    </w:p>
    <w:p>
      <w:pPr>
        <w:pStyle w:val="Heading5"/>
        <w:numPr>
          <w:ilvl w:val="4"/>
          <w:numId w:val="1"/>
        </w:numPr>
        <w:rPr/>
      </w:pPr>
      <w:bookmarkStart w:id="855" w:name="__RefHeading___Toc1401376_3650668749"/>
      <w:bookmarkStart w:id="856" w:name="_Toc326"/>
      <w:bookmarkEnd w:id="855"/>
      <w:r>
        <w:rPr>
          <w:rtl w:val="true"/>
        </w:rPr>
        <w:t>اشارة</w:t>
      </w:r>
      <w:bookmarkEnd w:id="856"/>
    </w:p>
    <w:p>
      <w:pPr>
        <w:pStyle w:val="BookText"/>
        <w:rPr/>
      </w:pPr>
      <w:r>
        <w:rPr>
          <w:rFonts w:ascii="IRNazanin" w:hAnsi="IRNazanin" w:eastAsia="IRNazanin"/>
          <w:color w:val="111111"/>
          <w:sz w:val="28"/>
          <w:sz w:val="28"/>
          <w:szCs w:val="28"/>
          <w:rtl w:val="true"/>
          <w:lang w:bidi="fa-IR"/>
        </w:rPr>
        <w:t>فصول الأذان علی المذاهب الخمسة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عند الإمامیة وسائر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ومرة واحدة عند المذاهب الأربعة</w:t>
      </w:r>
      <w:r>
        <w:rPr>
          <w:rFonts w:eastAsia="IRNazanin" w:cs="IRNazanin"/>
          <w:color w:val="111111"/>
          <w:sz w:val="28"/>
          <w:szCs w:val="28"/>
          <w:rtl w:val="true"/>
          <w:lang w:bidi="fa-IR"/>
        </w:rPr>
        <w:t>.</w:t>
      </w:r>
      <w:bookmarkStart w:id="857" w:name="pg1680_13375"/>
    </w:p>
    <w:p>
      <w:pPr>
        <w:pStyle w:val="Heading5"/>
        <w:numPr>
          <w:ilvl w:val="4"/>
          <w:numId w:val="1"/>
        </w:numPr>
        <w:rPr/>
      </w:pPr>
      <w:bookmarkStart w:id="858" w:name="__RefHeading___Toc1401378_3650668749"/>
      <w:bookmarkStart w:id="859" w:name="_Toc327"/>
      <w:bookmarkEnd w:id="857"/>
      <w:bookmarkEnd w:id="858"/>
      <w:r>
        <w:rPr>
          <w:rtl w:val="true"/>
        </w:rPr>
        <w:t>فصول الإقامة</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والحنفیة وأربع مرات عند 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ألّا اللَّه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والحنفیة ومرة واحدة عند الشافعیة والمالکیة والحنابلة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والحنفیة ومرة واحدة عند الشافعیة والمالکیة والحنابلة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والحنفیة ومرة واحدة عند الشافعیة والمالکیة والحنابلة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والحنفیة ومرة واحدة عند الشافعیة والمالکیة والحنابلة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 إلّاالمالکیة فقد جعلوها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مرتان عند الإمامیة وسائر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عند الإمامیة وسائر المذاهب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ودراسة أدلّة کل مذهب موکولة إلی محلها، والهدف إیقاف القارئ علی آراء المذاهب فی عدد الفصول</w:t>
      </w:r>
      <w:r>
        <w:rPr>
          <w:rFonts w:eastAsia="IRNazanin" w:cs="IRNazanin"/>
          <w:color w:val="111111"/>
          <w:sz w:val="28"/>
          <w:szCs w:val="28"/>
          <w:rtl w:val="true"/>
          <w:lang w:bidi="fa-IR"/>
        </w:rPr>
        <w:t>.</w:t>
      </w:r>
      <w:bookmarkStart w:id="860" w:name="pg1680_13377"/>
    </w:p>
    <w:p>
      <w:pPr>
        <w:pStyle w:val="Heading4"/>
        <w:numPr>
          <w:ilvl w:val="3"/>
          <w:numId w:val="1"/>
        </w:numPr>
        <w:rPr/>
      </w:pPr>
      <w:bookmarkStart w:id="861" w:name="__RefHeading___Toc1401380_3650668749"/>
      <w:bookmarkStart w:id="862" w:name="_Toc328"/>
      <w:bookmarkEnd w:id="860"/>
      <w:bookmarkEnd w:id="861"/>
      <w:r>
        <w:rPr>
          <w:rtl w:val="true"/>
        </w:rPr>
        <w:t>الثالث</w:t>
      </w:r>
      <w:r>
        <w:rPr>
          <w:rtl w:val="true"/>
        </w:rPr>
        <w:t xml:space="preserve">: </w:t>
      </w:r>
      <w:r>
        <w:rPr>
          <w:rtl w:val="true"/>
        </w:rPr>
        <w:t xml:space="preserve">جزئیة </w:t>
      </w:r>
      <w:r>
        <w:rPr>
          <w:rtl w:val="true"/>
        </w:rPr>
        <w:t>«</w:t>
      </w:r>
      <w:r>
        <w:rPr>
          <w:rtl w:val="true"/>
        </w:rPr>
        <w:t>حی علی خیر العمل</w:t>
      </w:r>
      <w:r>
        <w:rPr>
          <w:rtl w:val="true"/>
        </w:rPr>
        <w:t xml:space="preserve">» </w:t>
      </w:r>
      <w:r>
        <w:rPr>
          <w:rtl w:val="true"/>
        </w:rPr>
        <w:t>للأذان‌</w:t>
      </w:r>
      <w:bookmarkEnd w:id="862"/>
    </w:p>
    <w:p>
      <w:pPr>
        <w:pStyle w:val="BookText"/>
        <w:rPr/>
      </w:pPr>
      <w:r>
        <w:rPr>
          <w:rFonts w:ascii="IRNazanin" w:hAnsi="IRNazanin" w:eastAsia="IRNazanin"/>
          <w:color w:val="111111"/>
          <w:sz w:val="28"/>
          <w:sz w:val="28"/>
          <w:szCs w:val="28"/>
          <w:rtl w:val="true"/>
          <w:lang w:bidi="fa-IR"/>
        </w:rPr>
        <w:t xml:space="preserve">اتفقت الإمامیة تبعاً لنصوص أئمتهم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الأذان، وأنّ بلالًا کان یؤذن بها فی الفجر، بل کان جمع غفیر من الصحابة یؤذنون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العامة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یقال بعض أیام النبی، وانّما ادّعی أن ذلک نسخ ورفع وعلی من ادّعی النسخ، الدلالة له، وما یجدها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من زاد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 فی زمان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أنّ ذلک دعی به فی غزوة الخندق، إذ کان الناس یحفرون فجاء وقت الصلاة وهی خیر موضوع کما ورد فی الحدیث فنادی المنادی أهل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أخطأ من جعلها فی الأذان بل اقتدی إن صحّ الخبر أو سنّ سنّة حسنة</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السنام ما هذا لفظه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أنّ الأذان شُرع بحی علی خیر العمل، لأنّه اتّفق علی الأذان به یوم الخندق، ولأنّه دعاء إلی الصلاة، وقد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أعمالکم الصلاة، کما</w:t>
      </w:r>
    </w:p>
    <w:p>
      <w:pPr>
        <w:pStyle w:val="BookText"/>
        <w:rPr/>
      </w:pPr>
      <w:r>
        <w:rPr>
          <w:rFonts w:ascii="IRNazanin" w:hAnsi="IRNazanin" w:eastAsia="IRNazanin"/>
          <w:color w:val="111111"/>
          <w:sz w:val="28"/>
          <w:sz w:val="28"/>
          <w:szCs w:val="28"/>
          <w:rtl w:val="true"/>
          <w:lang w:bidi="fa-IR"/>
        </w:rPr>
        <w:t>وردت أنّ مؤذّنی رسول اللَّه وغیرهم من الصحابة استمروا علی التأذین بها حتّی ماتوا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إلی غیر ذلک من النصوص الّتی تعرب عن 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فی عصر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الباحث السید علی الشهرستانی بجمع هذه النصوص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بین الأصالة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أُضیف إلی هذا ما أطبق علیه أئمة أهل البیت علیهم السلام وفقهاء الشیعة عبر القرون من استمرارهم علی ذکر هذا الفصل فی الأذان تصبح المسألة واضحة غیر قابلة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استتب الأمر لعمر بن الخطاب أمر بحذف هذا الفصل من الأذان، وهذا ممّا لا ینکره محقّقو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أقرّ به سعد التفتازانی فی حاشیته علی شرح العضدی وقال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ثلاث کنّ علی عهد رسول اللَّه صلی الله علیه و آله و سلم أنا أنهی عنهن وأُحرمهن وأُعاقب علیهن،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 وحی علی خیر العمل</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وأمّا ما هو السبب لحذفه عن الأذان فقد روی عن أبی جعفر</w:t>
      </w:r>
    </w:p>
    <w:p>
      <w:pPr>
        <w:pStyle w:val="BookText"/>
        <w:rPr/>
      </w:pPr>
      <w:r>
        <w:rPr>
          <w:rFonts w:ascii="IRNazanin" w:hAnsi="IRNazanin" w:eastAsia="IRNazanin"/>
          <w:color w:val="111111"/>
          <w:sz w:val="28"/>
          <w:sz w:val="28"/>
          <w:szCs w:val="28"/>
          <w:rtl w:val="true"/>
          <w:lang w:bidi="fa-IR"/>
        </w:rPr>
        <w:t>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الأذان بحیّ علی خیر العمل علی عهد رسول اللَّه، وبه أُمروا أیّام أبی بکر وصدراً من أیام عمر، ثمّ أمر عمر بقطعه وحذفه من الأذان والإقامة،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الناس أنّ الصلاة خیر العمل تهاونوا بالجهاد وتخلّفوا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وروینا مثل ذلک عن جعفر بن محمّد، والعامة تروی مثل هذا</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ولو صحّت الروایة فما تخیّله الرجل من خوف التهاون بالجهاد، غیرصحیح، وقد غزا النبی الأکرم صلی الله علیه و آله و سلم سبعاً وعشرین غزوة وأرسل قرابة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ولم یکن التأذین به فی عصره، سبباً للتهاون بالجهاد، والتخلّف عن القتال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النصوص التاریخیة علی أن شیعة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استولوا علی المدینة، وصعد عبد اللَّه بن الحسن الأفطس المنارة الّتی عن رأس النبی صلی الله علیه و آله و سلم عند موضع الجنائز، فقال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عمر وعن الإمام زین العابدین علیه السلام أنّهما کانا یقولان فی آذانیهما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565"/>
      </w:r>
      <w:bookmarkStart w:id="863" w:name="pg1680_13383"/>
    </w:p>
    <w:p>
      <w:pPr>
        <w:pStyle w:val="Heading4"/>
        <w:numPr>
          <w:ilvl w:val="3"/>
          <w:numId w:val="1"/>
        </w:numPr>
        <w:rPr/>
      </w:pPr>
      <w:bookmarkStart w:id="864" w:name="__RefHeading___Toc1401382_3650668749"/>
      <w:bookmarkStart w:id="865" w:name="_Toc329"/>
      <w:bookmarkEnd w:id="863"/>
      <w:bookmarkEnd w:id="864"/>
      <w:r>
        <w:rPr>
          <w:rtl w:val="true"/>
        </w:rPr>
        <w:t>الرابع</w:t>
      </w:r>
      <w:r>
        <w:rPr>
          <w:rtl w:val="true"/>
        </w:rPr>
        <w:t xml:space="preserve">: </w:t>
      </w:r>
      <w:r>
        <w:rPr>
          <w:rtl w:val="true"/>
        </w:rPr>
        <w:t>التثویب فی أذان صلاة الفجر</w:t>
      </w:r>
      <w:bookmarkEnd w:id="865"/>
    </w:p>
    <w:p>
      <w:pPr>
        <w:pStyle w:val="Heading5"/>
        <w:numPr>
          <w:ilvl w:val="4"/>
          <w:numId w:val="1"/>
        </w:numPr>
        <w:rPr/>
      </w:pPr>
      <w:bookmarkStart w:id="866" w:name="__RefHeading___Toc1401384_3650668749"/>
      <w:bookmarkStart w:id="867" w:name="_Toc330"/>
      <w:bookmarkEnd w:id="866"/>
      <w:r>
        <w:rPr>
          <w:rtl w:val="true"/>
        </w:rPr>
        <w:t>اشارة</w:t>
      </w:r>
      <w:bookmarkEnd w:id="867"/>
    </w:p>
    <w:p>
      <w:pPr>
        <w:pStyle w:val="BookText"/>
        <w:rPr/>
      </w:pPr>
      <w:r>
        <w:rPr>
          <w:rFonts w:ascii="IRNazanin" w:hAnsi="IRNazanin" w:eastAsia="IRNazanin"/>
          <w:color w:val="111111"/>
          <w:sz w:val="28"/>
          <w:sz w:val="28"/>
          <w:szCs w:val="28"/>
          <w:rtl w:val="true"/>
          <w:lang w:bidi="fa-IR"/>
        </w:rPr>
        <w:t>التثویب من ثاب یثوب إذا رجع فهو بمعنی الرجوع إلی الأمر بالمبادرة إلی الصلاة، فإن المؤذن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دعاهم إلیها،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رجع إلی کلام معناه المبادرة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 صاحب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إلی الصلاة، وتثنیة الدعاء، وأن یقول فی آذان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 هو قول المؤذن فی أذان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قامت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والظاهر أنّه غلب استعماله بین أئمة الحدیث فی القول المذکور أثناء الأذان، ربّما یطلق علی مطلق الدعوة بعد الدعوة، فیعمّ ما إذا نادی المؤذن بعد تمام الأذان بالقول المذکور أیضاً أو بغیره ممّا یفید الدعوة إلیها بأیّ لفظ شاء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السندی فی حاشیته علی 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التثویب هو العود إلی</w:t>
      </w:r>
    </w:p>
    <w:p>
      <w:pPr>
        <w:pStyle w:val="BookText"/>
        <w:rPr/>
      </w:pPr>
      <w:r>
        <w:rPr>
          <w:rFonts w:ascii="IRNazanin" w:hAnsi="IRNazanin" w:eastAsia="IRNazanin"/>
          <w:color w:val="111111"/>
          <w:sz w:val="28"/>
          <w:sz w:val="28"/>
          <w:szCs w:val="28"/>
          <w:rtl w:val="true"/>
          <w:lang w:bidi="fa-IR"/>
        </w:rPr>
        <w:t xml:space="preserve">الإعلام بعد الإعلام، وقول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ذلک، فسمّی تثویباً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فالمقصود فی المقام تبیین حکم قول المؤذن أثناء الأذان لصلاة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مشروع، أو بدعة حدثت بعد النبی لما استحسنه بعض الناس من إقراره فی الأذان، سواء أکان هو التثویب فقط أو عمّ مطلق الدعوة إلی الصلاة ولو بعد تمام الأذان بهذا اللفظ أو بغیره؟</w:t>
      </w:r>
    </w:p>
    <w:p>
      <w:pPr>
        <w:pStyle w:val="BookText"/>
        <w:rPr/>
      </w:pPr>
      <w:r>
        <w:rPr>
          <w:rFonts w:ascii="IRNazanin" w:hAnsi="IRNazanin" w:eastAsia="IRNazanin"/>
          <w:color w:val="111111"/>
          <w:sz w:val="28"/>
          <w:sz w:val="28"/>
          <w:szCs w:val="28"/>
          <w:rtl w:val="true"/>
          <w:lang w:bidi="fa-IR"/>
        </w:rPr>
        <w:t>وحصیلة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فی هذا الموضوع متعارضة جدّاً لا یمکن إرجاعها إلی معنی واحد، وإلیک أقسامها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 علی أنّ عبد اللَّه بن زید رآه فی رؤیاه وأنّه کان جزءاً من الأذان من أوّل الأمر، وعلی ذلک فتکون الرؤیا مصدراً لتشریعه کما هی مصدر لتشریع سائر فصول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التشریع الإلهی أرفع من أن یکون تابع لرؤیا 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بلالًا زاده فیه وقرره النبی صلی الله علیه و آله و سلم أن یجعله بلال جزءاً من الأذان، کما رواه الدارمی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عمر بن الخطاب أمر المؤذن أن یجعلها فی نداء الصبح، کما رواه الإمام مالک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المؤذن جاء إلی عمر بن الخطاب یؤذنه لصلاة الصبح فوجده نائماً،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w:t>
      </w:r>
      <w:bookmarkStart w:id="868" w:name="pg1680_13387"/>
    </w:p>
    <w:p>
      <w:pPr>
        <w:pStyle w:val="BookText"/>
        <w:rPr/>
      </w:pPr>
      <w:bookmarkEnd w:id="868"/>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عمر أن یجعلها فی نداء الصبح</w:t>
      </w:r>
      <w:r>
        <w:rPr>
          <w:rFonts w:eastAsia="IRNazanin" w:cs="IRNazanin"/>
          <w:color w:val="111111"/>
          <w:sz w:val="28"/>
          <w:szCs w:val="28"/>
          <w:rtl w:val="true"/>
          <w:lang w:bidi="fa-IR"/>
        </w:rPr>
        <w:t>.</w:t>
      </w:r>
      <w:r>
        <w:rPr>
          <w:rStyle w:val="FootnoteAnchor"/>
        </w:rPr>
        <w:footnoteReference w:id="56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رسول اللَّه صلی الله علیه و آله و سلم علّمها أبا محذورة، کما رواه البیهقی فی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البیهقی عن عبد الملک بن أبی محذورة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سنّة الأذان، وذکر الحدیث،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 فإن کان صلاة الصبح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w:t>
      </w:r>
      <w:r>
        <w:rPr>
          <w:rStyle w:val="FootnoteAnchor"/>
        </w:rPr>
        <w:footnoteReference w:id="56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أنّ بلالًا کان ینادی بالصبح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النبی صلی الله علیه و آله و سلم أن یجعل 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المتقی الهندی فی کنزه‌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التعارض الواضح، لا یمکن الرکون إلیها، وبما أنّ أمرها دائر بین السنّة والبدعة، فترکها متعیّن لعدم العقاب علی ترکها، بخلاف ما لو کانت بدعة</w:t>
      </w:r>
      <w:r>
        <w:rPr>
          <w:rFonts w:eastAsia="IRNazanin" w:cs="IRNazanin"/>
          <w:color w:val="111111"/>
          <w:sz w:val="28"/>
          <w:szCs w:val="28"/>
          <w:rtl w:val="true"/>
          <w:lang w:bidi="fa-IR"/>
        </w:rPr>
        <w:t>.</w:t>
      </w:r>
    </w:p>
    <w:p>
      <w:pPr>
        <w:pStyle w:val="Heading5"/>
        <w:numPr>
          <w:ilvl w:val="4"/>
          <w:numId w:val="1"/>
        </w:numPr>
        <w:rPr/>
      </w:pPr>
      <w:bookmarkStart w:id="869" w:name="__RefHeading___Toc1401386_3650668749"/>
      <w:bookmarkStart w:id="870" w:name="_Toc331"/>
      <w:bookmarkEnd w:id="869"/>
      <w:r>
        <w:rPr>
          <w:rtl w:val="true"/>
        </w:rPr>
        <w:t>کلمات الأعلام فی التثویب‌</w:t>
      </w:r>
      <w:bookmarkEnd w:id="87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بین الصحابة والتابعین من یراه بدعة وأنّه لم یأمر به النبی</w:t>
      </w:r>
    </w:p>
    <w:p>
      <w:pPr>
        <w:pStyle w:val="BookText"/>
        <w:rPr/>
      </w:pPr>
      <w:r>
        <w:rPr>
          <w:rFonts w:ascii="IRNazanin" w:hAnsi="IRNazanin" w:eastAsia="IRNazanin"/>
          <w:color w:val="111111"/>
          <w:sz w:val="28"/>
          <w:sz w:val="28"/>
          <w:szCs w:val="28"/>
          <w:rtl w:val="true"/>
          <w:lang w:bidi="fa-IR"/>
        </w:rPr>
        <w:t>الأکرم صلی الله علیه و آله و سلم وإنّما حدث بعده صلی الله علیه و آله و سلم، وإلیک نصوصهم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حفص أنّ سعداً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فی خلافة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ثمّ ترکه، وانّ بلالًا لم یؤذّن 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حسن بن مسلم أنّ رجلًا سأل طاووساً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قیل الصلاة خیر من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تقل علی عهد رسول اللَّه صلی الله علیه و آله و سلم، ولکنّ بلالًا سمعها فی زمان أبی بکر بعد وفاة رسول اللَّه صلی الله علیه و آله و سلم یقولها رجل غیر مؤذن، فأخذها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بها فلم یمکث أبو بکر إلّاقلیلًا حتی إذا کان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نهینا بلالًا عن هذا الذی أحدث، وکأنّه نسیه وأذّن بها الناس حتی الیوم</w:t>
      </w:r>
      <w:r>
        <w:rPr>
          <w:rFonts w:eastAsia="IRNazanin" w:cs="IRNazanin"/>
          <w:color w:val="111111"/>
          <w:sz w:val="28"/>
          <w:szCs w:val="28"/>
          <w:rtl w:val="true"/>
          <w:lang w:bidi="fa-IR"/>
        </w:rPr>
        <w:t>.</w:t>
      </w:r>
      <w:r>
        <w:rPr>
          <w:rStyle w:val="FootnoteAnchor"/>
        </w:rPr>
        <w:footnoteReference w:id="57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الرزاق الصنعانی عن ابن عیینة عن لیث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عمر فسمع رجلًا یثوب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المبتدع</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نعم یظهر ممّا رواه أبو داود فی سننه أنّ الرجل یثوب فی الظهر والعصر لا فی صلاة الفجر</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عن أبی حنیفة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حماد،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التثویب؟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أحدثه الناس، وهو حسن، ممّا أحدثوه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تثویبهم کان حین یفرغ المؤذّن من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الإمام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الآثار فرواه عن أبی حنیفة ثمّ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أبی حنیفة وبه نأخذ</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وهذه الروایة تدلّ علی أنّ التثویب فی عصر الرسول صلی الله علیه و آله و سلم أو فی عصر الخلفاء کان بعد الفراغ عن الأذان ولم یکن جزءاً منه، وانّما کان یذکره المؤذّن من عند نفسه إیقاظاً للناس من النوم، ثمّ إنّه أُدرج فی نفس الأذان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الشوکانی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عمر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علیه السلام حین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تزیدوا فی الأذان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لو کان لما أنکره علی وابن عمر وطاووس سلمنا فأُمرنا به إشعاراً فی حال، لا شرعاً جمعاً بین الآثار</w:t>
      </w:r>
      <w:r>
        <w:rPr>
          <w:rFonts w:eastAsia="IRNazanin" w:cs="IRNazanin"/>
          <w:color w:val="111111"/>
          <w:sz w:val="28"/>
          <w:szCs w:val="28"/>
          <w:rtl w:val="true"/>
          <w:lang w:bidi="fa-IR"/>
        </w:rPr>
        <w:t>.</w:t>
      </w:r>
      <w:r>
        <w:rPr>
          <w:rStyle w:val="FootnoteAnchor"/>
        </w:rPr>
        <w:footnoteReference w:id="57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الأمیر الیمنی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الأذان المشروع للدعاء إلی الصلاة والإخبار بدخول وقتها، بل هو من الألفاظ التی شرعت لإیقاظ</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النائم، فهو کألفاظ التسبیح الأخیر الذی اعتاده الناس فی هذه الأعصار المتأخّرة عوضاً عن الأذان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عرفت هذا، هان علیک ما اعتاده الفقهاء من الجدال فی التثویب هل هو من ألفاظ الأذان أو لا، وهل هو بدعة أو لا؟</w:t>
      </w:r>
      <w:r>
        <w:rPr>
          <w:rStyle w:val="FootnoteAnchor"/>
        </w:rPr>
        <w:footnoteReference w:id="57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قدامة عن إسحاق أنّه‌</w:t>
      </w:r>
      <w:r>
        <w:rPr>
          <w:rStyle w:val="FootnoteAnchor"/>
          <w:rtl w:val="true"/>
        </w:rPr>
        <w:footnoteReference w:id="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أحدثه الناس، وقال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التثویب الذی کرهه أهل العلم وهو الذی خرج منه ابن عمر من المسجد لما سمعه</w:t>
      </w:r>
      <w:r>
        <w:rPr>
          <w:rFonts w:eastAsia="IRNazanin" w:cs="IRNazanin"/>
          <w:color w:val="111111"/>
          <w:sz w:val="28"/>
          <w:szCs w:val="28"/>
          <w:rtl w:val="true"/>
          <w:lang w:bidi="fa-IR"/>
        </w:rPr>
        <w:t>.</w:t>
      </w:r>
      <w:r>
        <w:rPr>
          <w:rStyle w:val="FootnoteAnchor"/>
        </w:rPr>
        <w:footnoteReference w:id="57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من أئمّة أهل البیت من کونها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الطوسی بسند 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التثویب الذی یکون بین الأذان والإقامة؟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نعرفه</w:t>
      </w:r>
      <w:r>
        <w:rPr>
          <w:rFonts w:eastAsia="IRNazanin" w:cs="IRNazanin"/>
          <w:color w:val="111111"/>
          <w:sz w:val="28"/>
          <w:szCs w:val="28"/>
          <w:rtl w:val="true"/>
          <w:lang w:bidi="fa-IR"/>
        </w:rPr>
        <w:t>».</w:t>
      </w:r>
      <w:r>
        <w:rPr>
          <w:rStyle w:val="FootnoteAnchor"/>
        </w:rPr>
        <w:footnoteReference w:id="57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تبیّن لی من دراسة ما ورد حول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عائلتین استغلّتا ما روی عن جدّهم عبد اللَّه بن زید وأبی محذورة فعَمِدتا بنشر ما نُسِبَ إلی جدهما لما فیه من فضیلة للعائلة، ولولا ذلک لم یکن لهذین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الأذان بالرؤیا والتثویب فی أذان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بهذا النحو الواسع، ولأجل ذلک ربّما یرتاب الإنسان فیما نقل عن جدهما، وقد عرفت وجود رواةٍ فی أسانید الروایات یُنسَبون إلی هاتین العائلتین</w:t>
      </w:r>
      <w:r>
        <w:rPr>
          <w:rFonts w:eastAsia="IRNazanin" w:cs="IRNazanin"/>
          <w:color w:val="111111"/>
          <w:sz w:val="28"/>
          <w:szCs w:val="28"/>
          <w:rtl w:val="true"/>
          <w:lang w:bidi="fa-IR"/>
        </w:rPr>
        <w:t>.</w:t>
      </w:r>
      <w:bookmarkStart w:id="871" w:name="pg1680_13395"/>
    </w:p>
    <w:p>
      <w:pPr>
        <w:pStyle w:val="Heading3"/>
        <w:numPr>
          <w:ilvl w:val="2"/>
          <w:numId w:val="1"/>
        </w:numPr>
        <w:rPr/>
      </w:pPr>
      <w:bookmarkStart w:id="872" w:name="__RefHeading___Toc1401388_3650668749"/>
      <w:bookmarkStart w:id="873" w:name="_Toc332"/>
      <w:bookmarkEnd w:id="871"/>
      <w:bookmarkEnd w:id="872"/>
      <w:r>
        <w:rPr/>
        <w:t>3</w:t>
      </w:r>
      <w:r>
        <w:rPr>
          <w:rtl w:val="true"/>
        </w:rPr>
        <w:t xml:space="preserve">- </w:t>
      </w:r>
      <w:r>
        <w:rPr>
          <w:rtl w:val="true"/>
        </w:rPr>
        <w:t>قبض الید الیسری بالیمنی بین البدعة والسنّة</w:t>
      </w:r>
      <w:bookmarkEnd w:id="873"/>
    </w:p>
    <w:p>
      <w:pPr>
        <w:pStyle w:val="Heading4"/>
        <w:numPr>
          <w:ilvl w:val="3"/>
          <w:numId w:val="1"/>
        </w:numPr>
        <w:rPr/>
      </w:pPr>
      <w:bookmarkStart w:id="874" w:name="__RefHeading___Toc1401390_3650668749"/>
      <w:bookmarkStart w:id="875" w:name="_Toc333"/>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إنّ قبض الید الیسری بالیمنی ممّا اشتهر ندبه بین فقهاء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التکتّف مسنون ولیس بواجب، والأفضل للرجل أن یضع باطن کفّه الیمنی علی ظاهر کفّه الیسری تحت سرّته، وللمرأة أن تضع یدیها علی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یسنُّ للرجل والمرأة، والأفضل وضع باطن یمناه علی ظهر یسراه تحت الصدر وفوق السرّة ممّا یلی الجانب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سنّة، والأفضل أن یضع باطن یمناه علی ظاهر یسراه، ویجعلها تحت السرة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وشذّ عنهم المالکیة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یُندَب إسدالُ الیدین فی الصلاة الفرض، وقالت جماعة أیضاً قبلهم،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وسعید بن المسیب، وسعید بن جبیر، وعطاء، وابن جریج، والنخعی، والحسن البصری، وابن</w:t>
      </w:r>
    </w:p>
    <w:p>
      <w:pPr>
        <w:pStyle w:val="BookText"/>
        <w:rPr/>
      </w:pPr>
      <w:r>
        <w:rPr>
          <w:rFonts w:ascii="IRNazanin" w:hAnsi="IRNazanin" w:eastAsia="IRNazanin"/>
          <w:color w:val="111111"/>
          <w:sz w:val="28"/>
          <w:sz w:val="28"/>
          <w:szCs w:val="28"/>
          <w:rtl w:val="true"/>
          <w:lang w:bidi="fa-IR"/>
        </w:rPr>
        <w:t>سیرین، وجماعة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اللیث بن سعد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یطیل القیام فیعیا أی یتعب فله القبض</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والمنقول عن الإمام الأوزاعی التخییر بین القبض والسدل</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وذهب محمد عابد مفتی المالکیة بالدیار الحجازیة إلی أنّ السدل والقبض سنّتان من رسول اللّه وانّ المؤمن إذا طال علیه القیام وهو مسدل، قبض، وقال بأنّ السدل أصل والقبض فرع</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وأمّا الشیعة الإمامیة، فالمشهور أنّه حرام ومبطل، وشذّ منهم من قال بأنّه مکروه، کالحلبی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ومع أنّ غیر المالکیة من المذاهب الأربعة قد تصوبوا وتصعّدوا فی المسألة، لکن لیس لهم دلیل مقنع علی جوازه فی الصلاة، فضلًا عن کونه مندوباً،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خلافهم، والروایات البیانیة عن الفریقین التی تُبیّن صلاة الرسول خالیة عن القبض، ولا یمکن للنبی الأکرم أن یترک المندوب طیلة حیاته أو أکثرها، وإلیک نموذجین 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طریق أهل السنّة، والآخر عن طریق الشیعة الإمامیة، وکلاهما یُبیّنان کیفیة صلاة النبی ولیست فیهما أیّة إشارة إلی القبض فضلًا عن کیفیته</w:t>
      </w:r>
      <w:r>
        <w:rPr>
          <w:rFonts w:eastAsia="IRNazanin" w:cs="IRNazanin"/>
          <w:color w:val="111111"/>
          <w:sz w:val="28"/>
          <w:szCs w:val="28"/>
          <w:rtl w:val="true"/>
          <w:lang w:bidi="fa-IR"/>
        </w:rPr>
        <w:t>.</w:t>
      </w:r>
      <w:bookmarkStart w:id="876" w:name="pg1680_13399"/>
    </w:p>
    <w:p>
      <w:pPr>
        <w:pStyle w:val="Heading4"/>
        <w:numPr>
          <w:ilvl w:val="3"/>
          <w:numId w:val="1"/>
        </w:numPr>
        <w:rPr/>
      </w:pPr>
      <w:bookmarkStart w:id="877" w:name="__RefHeading___Toc1401392_3650668749"/>
      <w:bookmarkStart w:id="878" w:name="_Toc334"/>
      <w:bookmarkEnd w:id="876"/>
      <w:bookmarkEnd w:id="877"/>
      <w:r>
        <w:rPr/>
        <w:t>1</w:t>
      </w:r>
      <w:r>
        <w:rPr>
          <w:rtl w:val="true"/>
        </w:rPr>
        <w:t xml:space="preserve">. </w:t>
      </w:r>
      <w:r>
        <w:rPr>
          <w:rtl w:val="true"/>
        </w:rPr>
        <w:t>القبض بدعة محدثة</w:t>
      </w:r>
      <w:bookmarkEnd w:id="878"/>
    </w:p>
    <w:p>
      <w:pPr>
        <w:pStyle w:val="Heading5"/>
        <w:numPr>
          <w:ilvl w:val="4"/>
          <w:numId w:val="1"/>
        </w:numPr>
        <w:rPr/>
      </w:pPr>
      <w:bookmarkStart w:id="879" w:name="__RefHeading___Toc1401394_3650668749"/>
      <w:bookmarkStart w:id="880" w:name="_Toc335"/>
      <w:bookmarkEnd w:id="879"/>
      <w:r>
        <w:rPr>
          <w:rtl w:val="true"/>
        </w:rPr>
        <w:t>اشارة</w:t>
      </w:r>
      <w:bookmarkEnd w:id="880"/>
    </w:p>
    <w:p>
      <w:pPr>
        <w:pStyle w:val="BookText"/>
        <w:rPr/>
      </w:pPr>
      <w:r>
        <w:rPr>
          <w:rFonts w:ascii="IRNazanin" w:hAnsi="IRNazanin" w:eastAsia="IRNazanin"/>
          <w:color w:val="111111"/>
          <w:sz w:val="28"/>
          <w:sz w:val="28"/>
          <w:szCs w:val="28"/>
          <w:rtl w:val="true"/>
          <w:lang w:bidi="fa-IR"/>
        </w:rPr>
        <w:t>إنّ القبض بدعة محدثة ظهرت بعد رحیل الرسول الأکرم صلی الله علیه و آله و سلم، وعمادنا فی هذا السبیل حدیثان صحیحان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مروی عن طرق أهل السنّة، والآخر من طرق الإمامیة، والحدیثان دلیلان قاطعان علی أنّ سیرة النبی وأهل بیته علیهم السلام جرت علی السدل فی الصلاة، وانّ القبض ابتدع بعد رحیله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881" w:name="__RefHeading___Toc1401396_3650668749"/>
      <w:bookmarkStart w:id="882" w:name="_Toc336"/>
      <w:bookmarkEnd w:id="881"/>
      <w:r>
        <w:rPr>
          <w:rtl w:val="true"/>
        </w:rPr>
        <w:t>ألف</w:t>
      </w:r>
      <w:r>
        <w:rPr>
          <w:rtl w:val="true"/>
        </w:rPr>
        <w:t xml:space="preserve">: </w:t>
      </w:r>
      <w:r>
        <w:rPr>
          <w:rtl w:val="true"/>
        </w:rPr>
        <w:t>حدیث أبی حمید الساعدی‌</w:t>
      </w:r>
      <w:bookmarkEnd w:id="882"/>
    </w:p>
    <w:p>
      <w:pPr>
        <w:pStyle w:val="BookText"/>
        <w:rPr/>
      </w:pPr>
      <w:r>
        <w:rPr>
          <w:rFonts w:ascii="IRNazanin" w:hAnsi="IRNazanin" w:eastAsia="IRNazanin"/>
          <w:color w:val="111111"/>
          <w:sz w:val="28"/>
          <w:sz w:val="28"/>
          <w:szCs w:val="28"/>
          <w:rtl w:val="true"/>
          <w:lang w:bidi="fa-IR"/>
        </w:rPr>
        <w:t>روی حدیث أبی حمید الساعدی غیر واحد من المحدّثین، ونحن نذکره بنص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حمید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أعلمکم بصلاة رسول اللّه صلی الله علیه و آله و سلم،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ما کنت أکثرنا له تبعاً، ولا أقدمنا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قام إلی الصلاة رفع یدیه حتی یحاذی بهما مَنْکَبیه، ثم یکبّر حتّی یقرّ کلّ عضو منه فی موضعه معتدلًا، ثم یقرأ، ثم یکبّر ویرفع یدیه حتی یحاذی بهما منکبیه، ثم یرکع ویضع راحتیه علی رکبتیه، ثم یعتدل ولا ینصب رأسه ولا یقنع، ثم یرفع رأسه، فیقول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اللّه لمن حمده، ثم یرفع یدیه حتی یحاذی بهما منکبیه حتی یعود کل عظم منه إلی موضعه معتدلًا،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یهوی إلی الأرض فیجافی یدیه عن جنبیه، ثم یرفع رأسه فیثنی رجله الیسری فیقعد علیها ویفتح أصابع رجلیه إذا سجد، ثم یعود، ثم یرفع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یثنی</w:t>
      </w:r>
    </w:p>
    <w:p>
      <w:pPr>
        <w:pStyle w:val="BookText"/>
        <w:rPr/>
      </w:pPr>
      <w:r>
        <w:rPr>
          <w:rFonts w:ascii="IRNazanin" w:hAnsi="IRNazanin" w:eastAsia="IRNazanin"/>
          <w:color w:val="111111"/>
          <w:sz w:val="28"/>
          <w:sz w:val="28"/>
          <w:szCs w:val="28"/>
          <w:rtl w:val="true"/>
          <w:lang w:bidi="fa-IR"/>
        </w:rPr>
        <w:t>برجله فیقعد علیها معتدلًا حتی یرجع أو یقرّ کل عظم موضعه معتدلًا، ثم یصنع فی الرکعة الأُخری مثل ذلک، ثم إذا قام من الرکعتین کبّر ورفع یدیه حتی یحاذی بهما منکبیه کما فعل أو کبّر عند افتتاح صلاته، ثم یصنع مثل ذلک فی بقیة صلاته، حتی إذا کان فی السجدة التی فیها التسلیم أخّر رجله الیسری وقعد متورّکاً علی شقّه الأیسر،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هکذا کان یصلّی رسول اللّه صلی الله علیه و آله و سلم</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الذی یوضح صحّة الاحتجاج به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أکابر الصحابة</w:t>
      </w:r>
      <w:r>
        <w:rPr>
          <w:rStyle w:val="FootnoteAnchor"/>
          <w:rtl w:val="true"/>
        </w:rPr>
        <w:footnoteReference w:id="584"/>
      </w:r>
      <w:r>
        <w:rPr>
          <w:rFonts w:ascii="IRNazanin" w:hAnsi="IRNazanin" w:eastAsia="IRNazanin"/>
          <w:color w:val="111111"/>
          <w:sz w:val="28"/>
          <w:sz w:val="28"/>
          <w:szCs w:val="28"/>
          <w:rtl w:val="true"/>
          <w:lang w:bidi="fa-IR"/>
        </w:rPr>
        <w:t>لأبی حمید یدلّ علی قوة الحدیث، وترجیحه علی غیره من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وصف الفرائض والسنن والمندوبات ولم یذکر القبض، ولم ینکروا علیه، أو یذکروا خلافه، وکانوا حریصین علی ذلک، لأنّهم لم یسلّموا له أوّل الأمر أنّه أعلمهم بصلاة رسول اللّه صلی الله علیه و آله و سلم، بل قالوا جمیعاً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هکذا کان رسول اللّه صلی الله علیه و آله و سلم یصلّی، ومن البعید جداً نسیانهم وهم کثرة، وفی مجال المذاکرة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فی وضع الیدین هو الإرسال، لأنّه الطبیعی فدلّ الحدیث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لا یقال عنه إنّه مطلق والأحادیث تقیّده، لأنّه وصَفَ وعدَّد جمیع الفرائض والسنن والمندوبات وکامل هیئة الصلاة، وهو فی معرض التعلیم والبیان، والحذف فیه خیانة، وهذا بعید عنه وعنهم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من حضر من الصحابة ممّن روی عنه أحادیث القبض، فلم یعترض، فدلّ علی أنّ القبض منسوخ، أو علی أقل أحواله بأنّه جائز للاعتماد لمن طول فی صلاته، ولیس من سنن الصلاة، ولا من مندوباتها، کما هو مذهب اللیث بن سعد، والأوزاعی، ومالک</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اختلافهم انّه قد جاءت آثار ثابتة، نقلت فیها صفة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انّه کان یضع یده الیمنی علی الیسری</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بقی هنا سؤال وهو انّه قد اشتهر انّ المالکیة لا تقول بالقبض وانّ إمامهم مالکاً کرهه،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مالک وضع الید الیمنی علی الیسری فی الفریضة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فی الفریضة، مع أنّه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القبض حیث روی عن سهل بن سعد، کما روی مرسل عبد الکریم ابن أبی المخارق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 فافعل ما</w:t>
      </w:r>
      <w:bookmarkStart w:id="883" w:name="pg1680_13405"/>
    </w:p>
    <w:p>
      <w:pPr>
        <w:pStyle w:val="BookText"/>
        <w:rPr/>
      </w:pPr>
      <w:bookmarkEnd w:id="883"/>
      <w:r>
        <w:rPr>
          <w:rFonts w:ascii="IRNazanin" w:hAnsi="IRNazanin" w:eastAsia="IRNazanin"/>
          <w:color w:val="111111"/>
          <w:sz w:val="28"/>
          <w:sz w:val="28"/>
          <w:szCs w:val="28"/>
          <w:rtl w:val="true"/>
          <w:lang w:bidi="fa-IR"/>
        </w:rPr>
        <w:t>شئت، ووضع الیدین إحداهما علی الأُخری فی الصلاة یضع الیمنی علی الیسری، وتعجیل الفطر، والاستیناء بالسحور</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روایة، والإمام ربما ینقل ولا یفتی علی وفقه، فلذلک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تخالف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ملمّاً بفقهه، یری أنّ بین ما دُوّن من فتاواه وما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اختلافاً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الدکتور عبد الحمید فی رسالة السدل إلی مواردها</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صریح فی أنّ عمل أهل المدینة علی خلافه، 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 لا أعرفه من عمل الأئمة الذین هم التابعون الذین تلقّوا العلم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الحدیث الذی قام ببیان کیفیة صلاة النبی وقد روی عن طریق أهل السنّة، وقد عرفت وجه الدلالة، وإلیک ما رواه الشیعة الإمامیة</w:t>
      </w:r>
      <w:r>
        <w:rPr>
          <w:rFonts w:eastAsia="IRNazanin" w:cs="IRNazanin"/>
          <w:color w:val="111111"/>
          <w:sz w:val="28"/>
          <w:szCs w:val="28"/>
          <w:rtl w:val="true"/>
          <w:lang w:bidi="fa-IR"/>
        </w:rPr>
        <w:t>.</w:t>
      </w:r>
    </w:p>
    <w:p>
      <w:pPr>
        <w:pStyle w:val="Heading5"/>
        <w:numPr>
          <w:ilvl w:val="4"/>
          <w:numId w:val="1"/>
        </w:numPr>
        <w:rPr/>
      </w:pPr>
      <w:bookmarkStart w:id="884" w:name="__RefHeading___Toc1401398_3650668749"/>
      <w:bookmarkStart w:id="885" w:name="_Toc337"/>
      <w:bookmarkEnd w:id="884"/>
      <w:r>
        <w:rPr>
          <w:rtl w:val="true"/>
        </w:rPr>
        <w:t>ب</w:t>
      </w:r>
      <w:r>
        <w:rPr>
          <w:rtl w:val="true"/>
        </w:rPr>
        <w:t xml:space="preserve">: </w:t>
      </w:r>
      <w:r>
        <w:rPr>
          <w:rtl w:val="true"/>
        </w:rPr>
        <w:t>حدیث حمّاد بن عیسی‌</w:t>
      </w:r>
      <w:bookmarkEnd w:id="88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حمّاد بن عیسی،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أن یأتی علیه ستون سنة أو سبعون سنة فما یقیم صلاة واحدة بحدودها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فأصابنی فی نفسی الذل،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فعلّمنی الصلاة، فقام أبو عبد اللّه مستقبلَ القبلة منتصباً فأرسل یدیه جمیعاً</w:t>
      </w:r>
    </w:p>
    <w:p>
      <w:pPr>
        <w:pStyle w:val="BookText"/>
        <w:rPr/>
      </w:pPr>
      <w:r>
        <w:rPr>
          <w:rFonts w:ascii="IRNazanin" w:hAnsi="IRNazanin" w:eastAsia="IRNazanin"/>
          <w:color w:val="111111"/>
          <w:sz w:val="28"/>
          <w:sz w:val="28"/>
          <w:szCs w:val="28"/>
          <w:rtl w:val="true"/>
          <w:lang w:bidi="fa-IR"/>
        </w:rPr>
        <w:t xml:space="preserve">علی فخذیه قد ضمّ أصابعه وقرّب بین قدمیه حتی کان بینهما ثلاثة أصابع مفرجات، واستقبل بأصابع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یُحرفهما عن القبلة بخشوع واستکانة،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قرأ الحمد بترتیل، وقل هو اللّه أحد، ثم صبر هنیئة بقدر ما تنفس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وهو قائم ثم رکع وملأ کفّیه من رکبتیه مفرّجات، وردّ رکبتیه إلی خلفه حتی استوی ظهره، حتی لو صبت علیه قطرة ماء أو دهن لم تزل لاستواء ظهره وتردّد رکبتیه إلی خلفه، ونصب عنقه، وغمض عینیه ثم سبح ثلاثاً بترتیل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وبحمده، ثم استوی قائماً، فلما استمکن من 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کبّر وهو قائم، ورفع یدیه حیال وجهه، وسجد، ووضع یدیه إلی الأرض قبل رکبتیه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ثلاث مرات، ولم یضع شیئاً من بدنه علی شی منه، وسجد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والکفّین، وعینی الرکبتین، وأنامل إبهامی الرجلین، والأنف، فهذه السبعة فرض، ووضع الأنف علی الأرض سنّة، وهو الإرغام، ثم رفع رأسه من السجود فلمّا استوی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قعد علی جانبه الأیسر، ووضع ظاهر قدمه الیمنی علی باطن قدمه الیسری،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وأتوب إلیه، ثم کبّر وهو جالس وسجد الثانیة، وقال کما قال فی الأُولی ولم یستعن بشی‌ء من بدنه علی شی‌ء منه فی رکوع ولا سجود، وکان مجنّحاً، ولم یضع ذراعیه علی الأرض، فصلّی رکعتین علی هذا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حمّاد هکذا صل، ولا تلتفت، ولا تعبث بیدیک وأصابعک،</w:t>
      </w:r>
      <w:bookmarkStart w:id="886" w:name="pg1680_13409"/>
    </w:p>
    <w:p>
      <w:pPr>
        <w:pStyle w:val="BookText"/>
        <w:rPr/>
      </w:pPr>
      <w:bookmarkEnd w:id="886"/>
      <w:r>
        <w:rPr>
          <w:rFonts w:ascii="IRNazanin" w:hAnsi="IRNazanin" w:eastAsia="IRNazanin"/>
          <w:color w:val="111111"/>
          <w:sz w:val="28"/>
          <w:sz w:val="28"/>
          <w:szCs w:val="28"/>
          <w:rtl w:val="true"/>
          <w:lang w:bidi="fa-IR"/>
        </w:rPr>
        <w:t xml:space="preserve">ولا تبزق عن یمینک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یسارک ولا بین یدیک</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تری أنّ الروایتین بصدد بیان کیفیة الصلاة المفروضة علی الناس ولیست فیهما أیّة إشارة إلی القبض بأقسامه المختلفة فلو کان سنّة لما ترکه الإمام فی بیانه، وهو بعمله یجسّد لنا صلاة الرسول، لأنّه أخذه عن أبیه الإمام الباقر، وهو عن آبائه، عن أمیر المؤمنین، عن 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القبض بدعة، لأنّه إدخال شی‌ء فی الشریعة وهو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أحادیث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حدیث أبی حمید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إلیها</w:t>
      </w:r>
      <w:r>
        <w:rPr>
          <w:rFonts w:eastAsia="IRNazanin" w:cs="IRNazanin"/>
          <w:color w:val="111111"/>
          <w:sz w:val="28"/>
          <w:szCs w:val="28"/>
          <w:rtl w:val="true"/>
          <w:lang w:bidi="fa-IR"/>
        </w:rPr>
        <w:t>.</w:t>
      </w:r>
    </w:p>
    <w:p>
      <w:pPr>
        <w:pStyle w:val="Heading4"/>
        <w:numPr>
          <w:ilvl w:val="3"/>
          <w:numId w:val="1"/>
        </w:numPr>
        <w:rPr/>
      </w:pPr>
      <w:bookmarkStart w:id="887" w:name="__RefHeading___Toc1401400_3650668749"/>
      <w:bookmarkStart w:id="888" w:name="_Toc338"/>
      <w:bookmarkEnd w:id="887"/>
      <w:r>
        <w:rPr/>
        <w:t>2</w:t>
      </w:r>
      <w:r>
        <w:rPr>
          <w:rtl w:val="true"/>
        </w:rPr>
        <w:t xml:space="preserve">. </w:t>
      </w:r>
      <w:r>
        <w:rPr>
          <w:rtl w:val="true"/>
        </w:rPr>
        <w:t>حدیث المسی‌ء فی صلاته‌</w:t>
      </w:r>
      <w:bookmarkEnd w:id="88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المحدّثون أنّ رجلًا کان یصلّی والنبی ینظر إلیه، فلمّا فرغ من صلاته جاء إلی النبی صلی الله علیه و آله و سلم فسلّم علیه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فإنّک لم تصلّ، فرجع وعمل فی صلاته الثانیة کما عمل فی صلاته الأُولی، ثمّ جاء إلی النبیّ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فصلّ، فإنّک لم تصل ثلاث مرّات، فأقسم الرجل انّه لا یُحسِنُ من الصلاة إلّاما فعل، فعندما اشتاق إلی العلم وتهیّأ لقبوله علّمه النبی صلی الله علیه و آله و سلم کیف یصلّی کما رواه أبو هریرة حیث</w:t>
      </w:r>
      <w:bookmarkStart w:id="889" w:name="pg1680_13412"/>
    </w:p>
    <w:p>
      <w:pPr>
        <w:pStyle w:val="BookText"/>
        <w:rPr/>
      </w:pPr>
      <w:bookmarkEnd w:id="88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إلی الصلاة فأسبغ الوضوء، ثمّ استقبل القبلة فکبّر به ثمّ اقرأ ما تیسّر معک من القرآن، ثمّ أرکع حتّی تطمئن راکعاً، ثمّ ارفع حتّی تعتدل قائماً، ثمّ اسجد حتّی تطمئن ساجداً، ثمّ أرفع حتّی تطمئن جالساً، ثمّ اسجد حتّی تطمئن ساجداً، ثمّ افعل ذلک فی صلاتک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المرشدین إلی الحق الیقین ؛ ؛ ص</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رجه السبعة، واللفظ للبخاری ولابن ماجة باسناد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تطمئن قائماً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القبض سنّة مؤکدة أو أمراً مندوباً لأشار إلیها النبی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890" w:name="__RefHeading___Toc1401402_3650668749"/>
      <w:bookmarkStart w:id="891" w:name="_Toc339"/>
      <w:bookmarkEnd w:id="890"/>
      <w:r>
        <w:rPr/>
        <w:t>3</w:t>
      </w:r>
      <w:r>
        <w:rPr>
          <w:rtl w:val="true"/>
        </w:rPr>
        <w:t xml:space="preserve">. </w:t>
      </w:r>
      <w:r>
        <w:rPr>
          <w:rtl w:val="true"/>
        </w:rPr>
        <w:t>وصف عائشة صلاة الرسول صلی الله علیه و آله و سلم‌</w:t>
      </w:r>
      <w:bookmarkEnd w:id="89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مسلم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یستفتح الصلاة بالتکبیر والقراءة بالحمد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رکع لم یشخص رأسه ولم یصوبه ولکن بین ذلک، وکان إذا رفع من الرکوع لم یسجد حتّی یستوی قائماً، وکان إذا رفع رأسه من السجدة لم یسجد حتّی یستوی جالساً، وکان یقول فی کلّ رکعتین التحیة، وکان یفرش رجله الیسری وینصب الیمنی، وکان ینهی عُقْبَة الشیطان، وینهی أن یفترش الرجل ذراعیه افتراش السبع، وکان یختم الصلاة بالتسلیم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ولو اقتُصر فی روایة مسی‌ء الصلاة علی ذکر الواجبات، فقد جاء فی</w:t>
      </w:r>
      <w:bookmarkStart w:id="892" w:name="pg1680_13414"/>
    </w:p>
    <w:p>
      <w:pPr>
        <w:pStyle w:val="BookText"/>
        <w:rPr/>
      </w:pPr>
      <w:bookmarkEnd w:id="892"/>
      <w:r>
        <w:rPr>
          <w:rFonts w:ascii="IRNazanin" w:hAnsi="IRNazanin" w:eastAsia="IRNazanin"/>
          <w:color w:val="111111"/>
          <w:sz w:val="28"/>
          <w:sz w:val="28"/>
          <w:szCs w:val="28"/>
          <w:rtl w:val="true"/>
          <w:lang w:bidi="fa-IR"/>
        </w:rPr>
        <w:t>هذه الروایة بعض المسنونات والمکروهات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یفرش رجله الیسری وینصب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ینهی عقبة الشیطان، وینهی أن یفترش الرجل ذراعیه افتراش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القبض سنّة مؤکدة أو مندوبة لذکره النبی صلی الله علیه و آله و سلم إذ لیس استحبابه فی نظر القائلین به بأقلّ من افتراش الرجل الیسری ونصب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البیانیة الّتی اقتصرنا علی المیسور أفضل دلیل علی عدم کون القبض سنّة مؤکدة</w:t>
      </w:r>
      <w:r>
        <w:rPr>
          <w:rFonts w:eastAsia="IRNazanin" w:cs="IRNazanin"/>
          <w:color w:val="111111"/>
          <w:sz w:val="28"/>
          <w:szCs w:val="28"/>
          <w:rtl w:val="true"/>
          <w:lang w:bidi="fa-IR"/>
        </w:rPr>
        <w:t>.</w:t>
      </w:r>
    </w:p>
    <w:p>
      <w:pPr>
        <w:pStyle w:val="Heading4"/>
        <w:numPr>
          <w:ilvl w:val="3"/>
          <w:numId w:val="1"/>
        </w:numPr>
        <w:rPr/>
      </w:pPr>
      <w:bookmarkStart w:id="893" w:name="__RefHeading___Toc1401404_3650668749"/>
      <w:bookmarkStart w:id="894" w:name="_Toc340"/>
      <w:bookmarkEnd w:id="893"/>
      <w:r>
        <w:rPr/>
        <w:t>4</w:t>
      </w:r>
      <w:r>
        <w:rPr>
          <w:rtl w:val="true"/>
        </w:rPr>
        <w:t xml:space="preserve">. </w:t>
      </w:r>
      <w:r>
        <w:rPr>
          <w:rtl w:val="true"/>
        </w:rPr>
        <w:t>روایة القاضی أبو حنیفة النعمان المصری‌</w:t>
      </w:r>
      <w:bookmarkEnd w:id="894"/>
    </w:p>
    <w:p>
      <w:pPr>
        <w:pStyle w:val="BookText"/>
        <w:rPr/>
      </w:pPr>
      <w:r>
        <w:rPr>
          <w:rFonts w:ascii="IRNazanin" w:hAnsi="IRNazanin" w:eastAsia="IRNazanin"/>
          <w:color w:val="111111"/>
          <w:sz w:val="28"/>
          <w:sz w:val="28"/>
          <w:szCs w:val="28"/>
          <w:rtl w:val="true"/>
          <w:lang w:bidi="fa-IR"/>
        </w:rPr>
        <w:t>روی القاضی أبو حنیفة النعمان التمیمی المصری المغربی عن جعفر بن محمد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قائماً فی الصلاة فلا تضع یدک الیمنی علی الیسری ولا الیسری علی الیمنی، فإنّ ذلک تکفیر أهل الکتاب ولکن أرسلهما إرسالًا فإنّه أحری أن لا تشغل نفسک عن الصلاة</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895" w:name="__RefHeading___Toc1401406_3650668749"/>
      <w:bookmarkStart w:id="896" w:name="_Toc341"/>
      <w:bookmarkEnd w:id="895"/>
      <w:r>
        <w:rPr/>
        <w:t>5</w:t>
      </w:r>
      <w:r>
        <w:rPr>
          <w:rtl w:val="true"/>
        </w:rPr>
        <w:t xml:space="preserve">. </w:t>
      </w:r>
      <w:r>
        <w:rPr>
          <w:rtl w:val="true"/>
        </w:rPr>
        <w:t>صفة صلاة النبی فی روایة معاذ بن جبل‌</w:t>
      </w:r>
      <w:bookmarkEnd w:id="89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الطبرانی عن عبد الرحمن بن غنم،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إذا کان فی صلاته رفع یدیه قبالة أذنیه، فإذا کبّر أرسلهما ثمّ سکت، وربما رأیته یضع یمینه علی یساره</w:t>
      </w:r>
      <w:r>
        <w:rPr>
          <w:rFonts w:eastAsia="IRNazanin" w:cs="IRNazanin"/>
          <w:color w:val="111111"/>
          <w:sz w:val="28"/>
          <w:szCs w:val="28"/>
          <w:rtl w:val="true"/>
          <w:lang w:bidi="fa-IR"/>
        </w:rPr>
        <w:t>.</w:t>
      </w:r>
      <w:r>
        <w:rPr>
          <w:rStyle w:val="FootnoteAnchor"/>
          <w:rtl w:val="true"/>
        </w:rPr>
        <w:footnoteReference w:id="593"/>
      </w:r>
      <w:bookmarkStart w:id="897" w:name="pg1680_13416"/>
    </w:p>
    <w:p>
      <w:pPr>
        <w:pStyle w:val="BookText"/>
        <w:rPr/>
      </w:pPr>
      <w:bookmarkEnd w:id="897"/>
      <w:r>
        <w:rPr>
          <w:rFonts w:ascii="IRNazanin" w:hAnsi="IRNazanin" w:eastAsia="IRNazanin"/>
          <w:color w:val="111111"/>
          <w:sz w:val="28"/>
          <w:sz w:val="28"/>
          <w:szCs w:val="28"/>
          <w:rtl w:val="true"/>
          <w:lang w:bidi="fa-IR"/>
        </w:rPr>
        <w:t xml:space="preserve">ذیل الحدیث وإن کان یدلّ علی أنّه صلی الله علیه و آله و سلم ربما یضع یمینه علی یساره ولکنّه کان نادراً بشهادة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سیرته علی الإرسال، مع احتمال أن یکون وضع یمینه علی یساره لغایة خاصة غیر کونه مستحباً فی الصلاة</w:t>
      </w:r>
      <w:r>
        <w:rPr>
          <w:rFonts w:eastAsia="IRNazanin" w:cs="IRNazanin"/>
          <w:color w:val="111111"/>
          <w:sz w:val="28"/>
          <w:szCs w:val="28"/>
          <w:rtl w:val="true"/>
          <w:lang w:bidi="fa-IR"/>
        </w:rPr>
        <w:t>.</w:t>
      </w:r>
    </w:p>
    <w:p>
      <w:pPr>
        <w:pStyle w:val="Heading4"/>
        <w:numPr>
          <w:ilvl w:val="3"/>
          <w:numId w:val="1"/>
        </w:numPr>
        <w:rPr/>
      </w:pPr>
      <w:bookmarkStart w:id="898" w:name="__RefHeading___Toc1401408_3650668749"/>
      <w:bookmarkStart w:id="899" w:name="_Toc342"/>
      <w:bookmarkEnd w:id="898"/>
      <w:r>
        <w:rPr/>
        <w:t>6</w:t>
      </w:r>
      <w:r>
        <w:rPr>
          <w:rtl w:val="true"/>
        </w:rPr>
        <w:t xml:space="preserve">. </w:t>
      </w:r>
      <w:r>
        <w:rPr>
          <w:rtl w:val="true"/>
        </w:rPr>
        <w:t>ما روی عن أئمّة أهل البیت علیهم السلام‌</w:t>
      </w:r>
      <w:bookmarkEnd w:id="899"/>
    </w:p>
    <w:p>
      <w:pPr>
        <w:pStyle w:val="Heading5"/>
        <w:numPr>
          <w:ilvl w:val="4"/>
          <w:numId w:val="1"/>
        </w:numPr>
        <w:rPr/>
      </w:pPr>
      <w:bookmarkStart w:id="900" w:name="__RefHeading___Toc1401410_3650668749"/>
      <w:bookmarkStart w:id="901" w:name="_Toc343"/>
      <w:bookmarkEnd w:id="900"/>
      <w:r>
        <w:rPr>
          <w:rtl w:val="true"/>
        </w:rPr>
        <w:t>اشارة</w:t>
      </w:r>
      <w:bookmarkEnd w:id="901"/>
    </w:p>
    <w:p>
      <w:pPr>
        <w:pStyle w:val="BookText"/>
        <w:rPr/>
      </w:pPr>
      <w:r>
        <w:rPr>
          <w:rFonts w:ascii="IRNazanin" w:hAnsi="IRNazanin" w:eastAsia="IRNazanin"/>
          <w:color w:val="111111"/>
          <w:sz w:val="28"/>
          <w:sz w:val="28"/>
          <w:szCs w:val="28"/>
          <w:rtl w:val="true"/>
          <w:lang w:bidi="fa-IR"/>
        </w:rPr>
        <w:t>قد تضافر عن أئمّة أهل البیت علیهم السلام علی أنّ السدل والإرسال هو الواجب وأنّ القبض والتکفیر هو البدعة، نقتصر فی المقام ببعض ما روی عنهم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مسلم، عن الصادق أو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یضع یده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علی الیسری؟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التکفیر، لا یُفعل</w:t>
      </w:r>
      <w:r>
        <w:rPr>
          <w:rFonts w:eastAsia="IRNazanin" w:cs="IRNazanin"/>
          <w:color w:val="111111"/>
          <w:sz w:val="28"/>
          <w:szCs w:val="28"/>
          <w:rtl w:val="true"/>
          <w:lang w:bidi="fa-IR"/>
        </w:rPr>
        <w:t>».</w:t>
      </w:r>
      <w:r>
        <w:rPr>
          <w:rStyle w:val="FootnoteAnchor"/>
        </w:rPr>
        <w:footnoteReference w:id="5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زرارة،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بالإقبال علی صلاتک، ولا تکفّر، فإنّما یصنع ذلک المجوس</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بإسناده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بالإقبال علی صلاتک، ولا تکفّر، فإنّما یصنع ذلک المجوس</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بإسناده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المسلم یدیه فی صلاته وهو قائم بین یدی اللَّه عزّ وجلّ یتشبّه بأهل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المجوس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الختام نلفت نظر القارئ إلی کلمة صدرت من الدکتور علی السالوس، فهو بعد ما نقل آراء فقهاء الفریقین، وصف القائلین بالتحریم والإبطال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وأُولئک الذین ذهبوا إلی التحریم والإبطال، أو التحریم فقط، یمثّلون التعصب المذهبی وحبّ الخلاف، تفریقاً بین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ذنب الشیعة إذا هداهم الاجتهاد والفحص فی الکتاب والسنّة إلی أنّ القبض أمر حدث بعد النبی الأکرم، وکان الناس یُؤمرون بذلک أیام الخلفاء، فمن زعم أنّه جزء من الصلاة فرضاً أو استحباباً، فقد أحدث فی الدین ما لیس منه، أفهل جزاء من اجتهد، أن یُرمی بالتعصب المذهبی وحب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ذلک، فهل یمکن توصیف الإمام مالک به؟ لأنّه کان یکره القبض مطلقاً، أو فی الفرض أفهل یصحّ رمی إمام دار الهجرة بأنّه کان یحب الخلاف؟</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لماذا لا یکون عدم الإرسال والقبض ممثلًا للتعصب المذهبی وحبّ الخلاف بین المسلمین، یا تری؟</w:t>
      </w:r>
      <w:r>
        <w:rPr>
          <w:rFonts w:eastAsia="IRNazanin" w:cs="IRNazanin"/>
          <w:color w:val="111111"/>
          <w:sz w:val="28"/>
          <w:szCs w:val="28"/>
          <w:rtl w:val="true"/>
          <w:lang w:bidi="fa-IR"/>
        </w:rPr>
        <w:t>!</w:t>
      </w:r>
      <w:bookmarkStart w:id="902" w:name="pg1680_13420"/>
    </w:p>
    <w:p>
      <w:pPr>
        <w:pStyle w:val="BookText"/>
        <w:rPr/>
      </w:pPr>
      <w:bookmarkEnd w:id="902"/>
      <w:r>
        <w:rPr>
          <w:rFonts w:ascii="IRNazanin" w:hAnsi="IRNazanin" w:eastAsia="IRNazanin"/>
          <w:color w:val="111111"/>
          <w:sz w:val="28"/>
          <w:sz w:val="28"/>
          <w:szCs w:val="28"/>
          <w:rtl w:val="true"/>
          <w:lang w:bidi="fa-IR"/>
        </w:rPr>
        <w:t>هذه بعض ما یمکن أن یستدلّ به علی السدل، فإذا دار أمر القبض بین الندب والبدعة کما هو مقتضی الاختلاف فالأولی ترکه إذ لیس فی ترک المندوب سوی الحرمان من الثواب بخلاف ارتکاب ما یحتمل البدعة ففیه احتمال العقاب وبطلان الصلاة لامتناع التقرّب بما هو مبغوض للمولی</w:t>
      </w:r>
      <w:r>
        <w:rPr>
          <w:rFonts w:eastAsia="IRNazanin" w:cs="IRNazanin"/>
          <w:color w:val="111111"/>
          <w:sz w:val="28"/>
          <w:szCs w:val="28"/>
          <w:rtl w:val="true"/>
          <w:lang w:bidi="fa-IR"/>
        </w:rPr>
        <w:t>.</w:t>
      </w:r>
    </w:p>
    <w:p>
      <w:pPr>
        <w:pStyle w:val="Heading5"/>
        <w:numPr>
          <w:ilvl w:val="4"/>
          <w:numId w:val="1"/>
        </w:numPr>
        <w:rPr/>
      </w:pPr>
      <w:bookmarkStart w:id="903" w:name="__RefHeading___Toc1401412_3650668749"/>
      <w:bookmarkStart w:id="904" w:name="_Toc344"/>
      <w:bookmarkEnd w:id="903"/>
      <w:r>
        <w:rPr>
          <w:rtl w:val="true"/>
        </w:rPr>
        <w:t>دلیل القول بکون القبض سنّة</w:t>
      </w:r>
      <w:bookmarkEnd w:id="904"/>
    </w:p>
    <w:p>
      <w:pPr>
        <w:pStyle w:val="BookText"/>
        <w:rPr/>
      </w:pPr>
      <w:r>
        <w:rPr>
          <w:rFonts w:ascii="IRNazanin" w:hAnsi="IRNazanin" w:eastAsia="IRNazanin"/>
          <w:color w:val="111111"/>
          <w:sz w:val="28"/>
          <w:sz w:val="28"/>
          <w:szCs w:val="28"/>
          <w:rtl w:val="true"/>
          <w:lang w:bidi="fa-IR"/>
        </w:rPr>
        <w:t>استدلّ للقول بأنّ القبض سنّة بروایة سهل بن سعد الّتی رواها البخاری، وإلیک 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عن أبی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یُؤمرون أن یضع الرجل الید الیمنی علی ذراعه الیسری فی الصلاة، 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إلّایَنمی ذلک إلی النبی صلی الله علیه و آله و سلم</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قال إسماعیل‌</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یُنمی ذلک ولم یقل یَنمی</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فی هذا الحدیث،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قال الجمهور من المحدثین والفقهاء والأُصولیّین إن لم یُضفه إلی</w:t>
      </w:r>
    </w:p>
    <w:p>
      <w:pPr>
        <w:pStyle w:val="BookText"/>
        <w:rPr/>
      </w:pPr>
      <w:r>
        <w:rPr>
          <w:rFonts w:ascii="IRNazanin" w:hAnsi="IRNazanin" w:eastAsia="IRNazanin"/>
          <w:color w:val="111111"/>
          <w:sz w:val="28"/>
          <w:sz w:val="28"/>
          <w:szCs w:val="28"/>
          <w:rtl w:val="true"/>
          <w:lang w:bidi="fa-IR"/>
        </w:rPr>
        <w:t>زمن النبی فلیس بمرفوع وإن أضافه،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نفعل فی حیاة النبی، أو فی زمنه، أو فینا، أو بین أظهارنا ونحو ذلک فهو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المذهب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القول فلا یکون مرفوعاً ولو جزم به أبو حازم، فکیف إذا لم یجزم، فلذا نصّ الحافظ أبو عمرو ابن عبد البر فی التقصّی علی أنّ هذا الأثر موقوف علی سهل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مالک فی موطئه وعنه أخذه البخاری</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والروایة متکفّلة لبیان کیفیة القبض إلّاأنّ الکلام فی دلالته بعد تسلیم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النبی الأکرم هو الآمر بالقبض فما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کان الصحیح عندئذ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یأمر؟ أو لیس هذا دلیلًا علی أنّ الحکم نجم بعد ارتحال النبی الأکرم حیث إنّ الخلفاء وأُمراءهم کانوا یأمرون الناس بالقبض بتخیّل أنّه أقرب للخشوع؟ ولأجله عقد البخاری بعده باباً باسم باب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هذه الهیئة أنّه صفة السائل الذلیل، وهو أمنع عن العبث وأقرب إلی الخشوع، کان البخاری قد لاحظ ذلک وعقّبه بباب الخشوع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 الحکّام والأُمراء بالقبض دلیل علی أنّ الناس</w:t>
      </w:r>
    </w:p>
    <w:p>
      <w:pPr>
        <w:pStyle w:val="BookText"/>
        <w:rPr/>
      </w:pPr>
      <w:r>
        <w:rPr>
          <w:rFonts w:ascii="IRNazanin" w:hAnsi="IRNazanin" w:eastAsia="IRNazanin"/>
          <w:color w:val="111111"/>
          <w:sz w:val="28"/>
          <w:sz w:val="28"/>
          <w:szCs w:val="28"/>
          <w:rtl w:val="true"/>
          <w:lang w:bidi="fa-IR"/>
        </w:rPr>
        <w:t>کانوا یصلّون علی وجه السدْل فی عصر النبی وشیئاً بعد عصره، ثمّ حدثت الفکرة فأمروا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وقف علی ذلک بعض شراح الحدیث، فقال الشیخ ملا علی القاری فی 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یأمرهم الخلفاء الأربعة أو الأُمراء أو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انّه لو کان الآمر هو النبی صلی الله علیه و آله و سلم لذکر اسمه تبرّکاً ولا یترک اسمه، وهذا یدلّ علی أنّ الآمر کان غیره من الحکّام الذین یتبعون أهواءهم قبال السنّة، وبما انّ سیرة علی وأهل بیته کانت علی الإرسال والتندید بالقبض، کان الأُمراء علی طرف النقیض من سیرتهم، فیأمرون بالقبض مکان السدل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ذیل السند ما یؤید انّ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الشکّ والتردید فی صحّة المضمون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حازم لا أعلمه إلّایُنمی ذلک إلی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أعلمه إلّاینمی ذلک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قراءة الفعل 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أنّه لا یعلم کونه أمراً مسنوناً فی الصلاة غیر أنَّه یُعزی وینسب إلی النبی، فیکون ما یرویه سهل به سعد مرفوعاً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اصطلاح أهل الحدیث إذا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ینمیه، فمراده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ذلک إلی النبی</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هذا کلّه إذا قرأناه بصیغة المجهول، وأمّا إذا قرأناه بصیغة المعلوم، فمعناه أنّ سهلًاینسب ذلک إلی النبی، فعلی فرض صحّة القراءة وخروجه بذلک من الإرسال والرفع،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أعلمه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معرباً عن ضعف العزو والنسبة، وأنّه سمعه عن رجل آخر ولم یسم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تکلّم فی رفعه، فقال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معلول لأنّه ظن من أبی حازم، وقیل بأنّه لو کان مرفوعاً لما احتاج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أعلمه</w:t>
      </w:r>
      <w:r>
        <w:rPr>
          <w:rFonts w:eastAsia="IRNazanin" w:cs="IRNazanin"/>
          <w:color w:val="111111"/>
          <w:sz w:val="28"/>
          <w:szCs w:val="28"/>
          <w:rtl w:val="true"/>
          <w:lang w:bidi="fa-IR"/>
        </w:rPr>
        <w:t>».</w:t>
      </w:r>
      <w:r>
        <w:rPr>
          <w:rStyle w:val="FootnoteAnchor"/>
          <w:rtl w:val="true"/>
        </w:rPr>
        <w:footnoteReference w:id="600"/>
      </w:r>
      <w:bookmarkStart w:id="905" w:name="pg1680_13428"/>
    </w:p>
    <w:p>
      <w:pPr>
        <w:pStyle w:val="Heading3"/>
        <w:numPr>
          <w:ilvl w:val="2"/>
          <w:numId w:val="1"/>
        </w:numPr>
        <w:rPr/>
      </w:pPr>
      <w:bookmarkStart w:id="906" w:name="__RefHeading___Toc1401414_3650668749"/>
      <w:bookmarkStart w:id="907" w:name="_Toc345"/>
      <w:bookmarkEnd w:id="905"/>
      <w:bookmarkEnd w:id="906"/>
      <w:r>
        <w:rPr/>
        <w:t>4</w:t>
      </w:r>
      <w:r>
        <w:rPr>
          <w:rtl w:val="true"/>
        </w:rPr>
        <w:t xml:space="preserve">- </w:t>
      </w:r>
      <w:r>
        <w:rPr>
          <w:rtl w:val="true"/>
        </w:rPr>
        <w:t>جزئیة البسملة والجهر بها</w:t>
      </w:r>
      <w:bookmarkEnd w:id="907"/>
    </w:p>
    <w:p>
      <w:pPr>
        <w:pStyle w:val="Heading4"/>
        <w:numPr>
          <w:ilvl w:val="3"/>
          <w:numId w:val="1"/>
        </w:numPr>
        <w:rPr/>
      </w:pPr>
      <w:bookmarkStart w:id="908" w:name="__RefHeading___Toc1401416_3650668749"/>
      <w:bookmarkStart w:id="909" w:name="_Toc346"/>
      <w:bookmarkEnd w:id="908"/>
      <w:r>
        <w:rPr>
          <w:rtl w:val="true"/>
        </w:rPr>
        <w:t>اشارة</w:t>
      </w:r>
      <w:bookmarkEnd w:id="909"/>
    </w:p>
    <w:p>
      <w:pPr>
        <w:pStyle w:val="BookText"/>
        <w:rPr/>
      </w:pPr>
      <w:r>
        <w:rPr>
          <w:rFonts w:ascii="IRNazanin" w:hAnsi="IRNazanin" w:eastAsia="IRNazanin"/>
          <w:color w:val="111111"/>
          <w:sz w:val="28"/>
          <w:sz w:val="28"/>
          <w:szCs w:val="28"/>
          <w:rtl w:val="true"/>
          <w:lang w:bidi="fa-IR"/>
        </w:rPr>
        <w:t>البسملة فی اللغة والاصطلاح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بسم اللَّه الرّحمن الرحیم،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بَسْمَل 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أو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البسملة، أی‌أکثر من قول بسم اللَّه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البسملة هی سمة المسلمین حیث لا یستفتحون بشی‌ء إلّابعد ذکر بسم اللَّه الرحمن الرّحیم، وهی آیة التوحید وسبب نفر المشرکین،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اسْجُدُوا للرَّحمن قالُوا وَمَا الرحمنُ أنسجُدُ لِما تأمُرنا وَزادَهُمْ نُفُوراً</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شعار المشرکین فی عصر الجاهلیة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یستفتحون بذلک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آل الأمر فی صلح الحدیبیة إلی کتابة وثیقة صلح بین الطرفین، أمرَ النبی علیّاً علیه السلام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فکتب علی وفق ما أُمِر، فقال سهیل مندوب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هذا ولکن اکتب باسمک اللهم</w:t>
      </w:r>
      <w:r>
        <w:rPr>
          <w:rFonts w:eastAsia="IRNazanin" w:cs="IRNazanin"/>
          <w:color w:val="111111"/>
          <w:sz w:val="28"/>
          <w:szCs w:val="28"/>
          <w:rtl w:val="true"/>
          <w:lang w:bidi="fa-IR"/>
        </w:rPr>
        <w:t>.</w:t>
      </w:r>
      <w:r>
        <w:rPr>
          <w:rStyle w:val="FootnoteAnchor"/>
          <w:rtl w:val="true"/>
        </w:rPr>
        <w:footnoteReference w:id="603"/>
      </w:r>
      <w:bookmarkStart w:id="910" w:name="pg1680_13430"/>
    </w:p>
    <w:p>
      <w:pPr>
        <w:pStyle w:val="BookText"/>
        <w:rPr/>
      </w:pPr>
      <w:bookmarkEnd w:id="910"/>
      <w:r>
        <w:rPr>
          <w:rFonts w:ascii="IRNazanin" w:hAnsi="IRNazanin" w:eastAsia="IRNazanin"/>
          <w:color w:val="111111"/>
          <w:sz w:val="28"/>
          <w:sz w:val="28"/>
          <w:szCs w:val="28"/>
          <w:rtl w:val="true"/>
          <w:lang w:bidi="fa-IR"/>
        </w:rPr>
        <w:t>فالبسملة هی الحد الفاصل بین الإسلام والشرک، وبها یمیّز المؤمن عن الکافر، ولا ینفک المسلم منها فی حِلّه و ترحاله</w:t>
      </w:r>
      <w:r>
        <w:rPr>
          <w:rFonts w:eastAsia="IRNazanin" w:cs="IRNazanin"/>
          <w:color w:val="111111"/>
          <w:sz w:val="28"/>
          <w:szCs w:val="28"/>
          <w:rtl w:val="true"/>
          <w:lang w:bidi="fa-IR"/>
        </w:rPr>
        <w:t>.</w:t>
      </w:r>
    </w:p>
    <w:p>
      <w:pPr>
        <w:pStyle w:val="Heading4"/>
        <w:numPr>
          <w:ilvl w:val="3"/>
          <w:numId w:val="1"/>
        </w:numPr>
        <w:rPr/>
      </w:pPr>
      <w:bookmarkStart w:id="911" w:name="__RefHeading___Toc1401418_3650668749"/>
      <w:bookmarkStart w:id="912" w:name="_Toc347"/>
      <w:bookmarkEnd w:id="911"/>
      <w:r>
        <w:rPr/>
        <w:t>1</w:t>
      </w:r>
      <w:r>
        <w:rPr>
          <w:rtl w:val="true"/>
        </w:rPr>
        <w:t xml:space="preserve">. </w:t>
      </w:r>
      <w:r>
        <w:rPr>
          <w:rtl w:val="true"/>
        </w:rPr>
        <w:t>البسملة جزء من الفاتحة</w:t>
      </w:r>
      <w:bookmarkEnd w:id="912"/>
    </w:p>
    <w:p>
      <w:pPr>
        <w:pStyle w:val="BookText"/>
        <w:rPr/>
      </w:pPr>
      <w:r>
        <w:rPr>
          <w:rFonts w:ascii="IRNazanin" w:hAnsi="IRNazanin" w:eastAsia="IRNazanin"/>
          <w:color w:val="111111"/>
          <w:sz w:val="28"/>
          <w:sz w:val="28"/>
          <w:szCs w:val="28"/>
          <w:rtl w:val="true"/>
          <w:lang w:bidi="fa-IR"/>
        </w:rPr>
        <w:t>إنّ البسملة جزء من الفاتحة، ویدلّ علیه أُمور نذکرها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الشافعی باسناده انّ معاویة قدم المدینة فصلّی بها، ولم یقرأ بسم اللَّه الرحمن الرحیم، ولم یکبّر عند الخفض إلی الرکوع والسجود، فلما سلّم ناداه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سرقتَ‌من الصلاة، أین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التکبیر عند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أعاد الصلاة مع التسمیة والتکبیر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کان سلطاناً عظیم القوة، شدید الشوکة، فلولا انّ الجهر بالتسمیة کان کالأمر المتقرر عند کلّ الصحابة من المهاجرین والأنصار، وإلّالما قدروا علی إظهار الإنکار علیه بسبب ترک التسمیة</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انّ التسمیة جزء من الفاتحة لما اعترض المهاجرون والأنصار علی ترکها، مضافاً إلی ترک الجهر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الأثر کما یدلّ علی جزئیّة التسمیة، یدلّ‌علی لزوم الجهر بها، فیستدلّ به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الشافعی عن مسلم، عن ابن جریج، عن ابن أبی ملیکة،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 آله و سلم فاتحة الکتاب فعدّ بسم اللَّه الرحمن الرحیم آیة، الحمد للَّه ربّ‌العالمین آیة، الرحمن الرحیم آیة، مالک یوم الدین آیة، إیاک نعبد وإیاک نستعین آیة، اهدنا الصراط المستقیم آیة، صراط الذین أنعمت علیهم غیر المغضوب علیهم ولا الضالین آیة</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وهذا نص صریح علی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أُمّ سلمة انّ رسول اللَّه صلی الله علیه و آله و سلم قرأ فی الصلاة بسم اللَّه الرحمن الرّحیم فعدها آیة، الحمد للَّه ربّ العالمین آیتین، الرّحمن الرّحیم ثلاث آیات، مالک یوم الدین أربع آیات،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إیّاک نعبد وإیّاک نستعین، وجمع خمس أصابعه</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یقرأ بسم اللَّه الرّحمن الرّحیم، الحمد للَّه ربّ‌العالمین یقطعها حرفاً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وأقرّه علی صحّته الذهبی فی تلخیصه</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نعیم المجمر،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وراء أبی هریرة، فقرأ بسم اللَّه الرّحمن الرّحیم قرأ بأُمّ القرآن حتّی بلغ ولا الضّالین،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ویقول کلّما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ویقول إذا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انّی لأشبهکم صلاة برسول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وقرره الذهبی فی تلخیصه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أنس بن مالک کیف کان قراءة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مدّاً،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ویمد الرحیم</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وقرره علی ذلک الذهبی فی تلخیصه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ابن جریج، عن أبیه، عن سعید بن جبیر،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لقد أخبرک سعید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ولم یخرجاه وتمام هذا الباب فی کتاب الصلاة</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الثعلبی باسناده إلی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 آله و سلم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المسجد إذ دخل رجل یصلّی، فافتتح الصلاة، وتعوّذ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النبی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رجل قطعت علی نفسک الصلاة، أما علمت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الحمد؟ فمن ترکها فقد ترک آیة، ومن ترک آیة فقد أفسد علیه صلاته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الثعلبی عن علی أنّه کان إذا افتتح السورة فی الصلاة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قراءتها فقد نقص،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تمام السبع المثانی</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الثعلبی عن طلحة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ترک آیة من کتاب اللَّه، وقد نزل علیّ فیما عدّ من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السنن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 القرآن، وأُمّ الکتاب، والسبع المثانی،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آیاتها</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فی الأوسط والدارقطنی والبیهقی عن</w:t>
      </w:r>
      <w:bookmarkStart w:id="913" w:name="pg1680_13437"/>
    </w:p>
    <w:p>
      <w:pPr>
        <w:pStyle w:val="BookText"/>
        <w:rPr/>
      </w:pPr>
      <w:bookmarkEnd w:id="913"/>
      <w:r>
        <w:rPr>
          <w:rFonts w:ascii="IRNazanin" w:hAnsi="IRNazanin" w:eastAsia="IRNazanin"/>
          <w:color w:val="111111"/>
          <w:sz w:val="28"/>
          <w:sz w:val="28"/>
          <w:szCs w:val="28"/>
          <w:rtl w:val="true"/>
          <w:lang w:bidi="fa-IR"/>
        </w:rPr>
        <w:t xml:space="preserve">نافع، أنّ ابن عمر کان إذا افتتح الصلاة یقرأ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 القرآن وفی السورة التی تلیها، ویذکر أنّه سمع ذلک من رسول اللَّه</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والترمذی والدارقطنی والبیهقی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یفتتح صلاته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والبیهقی عن أبی هریرة أنّ النبی صلی الله علیه و آله و سلم کان إذا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یؤم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آیة من کتاب اللَّه، اقرأوا إن شئتم فاتحة القرآن، فانّها الآیة السابعة</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البیهقی فی شعب الإیمان عن ابن عمر انّه کان یقرأ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ختم السورة قرأها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فی المصحف إلّالتقرأ</w:t>
      </w:r>
      <w:r>
        <w:rPr>
          <w:rFonts w:eastAsia="IRNazanin" w:cs="IRNazanin"/>
          <w:color w:val="111111"/>
          <w:sz w:val="28"/>
          <w:szCs w:val="28"/>
          <w:rtl w:val="true"/>
          <w:lang w:bidi="fa-IR"/>
        </w:rPr>
        <w:t>.</w:t>
      </w:r>
      <w:r>
        <w:rPr>
          <w:rStyle w:val="FootnoteAnchor"/>
          <w:rtl w:val="true"/>
        </w:rPr>
        <w:footnoteReference w:id="618"/>
      </w:r>
    </w:p>
    <w:p>
      <w:pPr>
        <w:pStyle w:val="Heading4"/>
        <w:numPr>
          <w:ilvl w:val="3"/>
          <w:numId w:val="1"/>
        </w:numPr>
        <w:rPr/>
      </w:pPr>
      <w:bookmarkStart w:id="914" w:name="__RefHeading___Toc1401420_3650668749"/>
      <w:bookmarkStart w:id="915" w:name="_Toc348"/>
      <w:bookmarkEnd w:id="914"/>
      <w:r>
        <w:rPr/>
        <w:t>2</w:t>
      </w:r>
      <w:r>
        <w:rPr>
          <w:rtl w:val="true"/>
        </w:rPr>
        <w:t xml:space="preserve">. </w:t>
      </w:r>
      <w:r>
        <w:rPr>
          <w:rtl w:val="true"/>
        </w:rPr>
        <w:t>السبع المثانی هی فاتحة الکتاب‌</w:t>
      </w:r>
      <w:bookmarkEnd w:id="91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تضافرت الآثار عن علی وابن مسعود وغیرهما من الصحابة وکثیر من التابعین علی أنّ المراد من السبع المثانی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w:t>
      </w:r>
    </w:p>
    <w:p>
      <w:pPr>
        <w:pStyle w:val="BookText"/>
        <w:rPr/>
      </w:pPr>
      <w:r>
        <w:rPr>
          <w:rFonts w:ascii="Amiri" w:hAnsi="Amiri" w:eastAsia="Amiri" w:cs="Amiri"/>
          <w:color w:val="111111"/>
          <w:sz w:val="28"/>
          <w:sz w:val="28"/>
          <w:szCs w:val="28"/>
          <w:rtl w:val="true"/>
          <w:lang w:bidi="ar-SA"/>
        </w:rPr>
        <w:t>آتیناکَ سَبعاً مِن المَثَانِیَ والقُرآنَ العَظِیم</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هو فاتحة الکتاب، هذا من جانب، ومن جانب آخر، انّ آیاتها لا تبلغ سبعاً إلّاإذا عُدّ البسملة آیة منها، فإلیک الکلام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دلّ علی المراد من السبع المثانی هو سورة الفاتحة،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یفسر السبع المثانی بفاتحة الکتاب من دون تصریح بأنّ البسملة جزء من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یفسر السبع المثانی بفاتحة الکتاب مع التصریح بأنّ البسملة من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فإلیک بعض ما وقفنا علیه لا کلّه، لأنّه یوجب الإطناب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الطبری عن عبد خیر،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السبع المثانی 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الطبری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مسعود عن سبع من المثانی؟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الطبری عن الحسن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w:t>
      </w:r>
    </w:p>
    <w:p>
      <w:pPr>
        <w:pStyle w:val="BookText"/>
        <w:rPr/>
      </w:pPr>
      <w:r>
        <w:rPr>
          <w:rFonts w:ascii="IRNazanin" w:hAnsi="IRNazanin" w:eastAsia="IRNazanin"/>
          <w:color w:val="111111"/>
          <w:sz w:val="28"/>
          <w:sz w:val="28"/>
          <w:szCs w:val="28"/>
          <w:rtl w:val="true"/>
          <w:lang w:bidi="fa-IR"/>
        </w:rPr>
        <w:t>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أیضاً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الطبری عن أبی فاختة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أُمّ الکتاب</w:t>
      </w:r>
      <w:r>
        <w:rPr>
          <w:rFonts w:eastAsia="Amiri" w:cs="Amiri" w:ascii="Amiri" w:hAnsi="Amiri"/>
          <w:color w:val="111111"/>
          <w:sz w:val="28"/>
          <w:szCs w:val="28"/>
          <w:rtl w:val="true"/>
          <w:lang w:bidi="ar-SA"/>
        </w:rPr>
        <w:t>.</w:t>
      </w:r>
      <w:r>
        <w:rPr>
          <w:rStyle w:val="FootnoteAnchor"/>
        </w:rPr>
        <w:footnoteReference w:id="62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الطبری عن أبی العالیة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سبع آیات، قلت 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 السبع الطوال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هذه وما أنزل من الطوال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الطبری عن أبی العالیة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المثانی، لأنّه یثنّی بها کلّما قرأ القرآن قرأها، فقیل لأبی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الضحاک بن مزاحم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السبع الطوال،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هذه السورة سبعاً من المثانی وما نزل شی‌ء من الطوال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الطبری عن عبد اللَّه بن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من المثانی هی 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الطبری عن ابن جریج عن ابن ملیکة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وذکر فاتحة الکتاب لنبیّکم صلی الله علیه و آله و سلم لم تذکر لنبی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الطبری عن أبی هریرة، عن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أُعلّمک سورة ما أنزل فی التوراة ولا فی الإنجیل ولا فی الزبور ولا فی القرآن مثلها،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لا تخرج من ذلک الباب حتّی تعلّمها، فقام رسول اللَّه صلی الله علیه و آله و سلم وقمت معه فجعل یحدثنی ویده فی یدی، فجعلت أتباطأ کراهیة أن یخرج قبل أن یخبرنی بها، فلمّا قرب من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السورة التی وعدتنی،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تقرأ إذا افتتحت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وهی السبع المثانی التی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أعطیت</w:t>
      </w:r>
      <w:r>
        <w:rPr>
          <w:rFonts w:eastAsia="IRNazanin" w:cs="IRNazanin"/>
          <w:color w:val="111111"/>
          <w:sz w:val="28"/>
          <w:szCs w:val="28"/>
          <w:rtl w:val="true"/>
          <w:lang w:bidi="fa-IR"/>
        </w:rPr>
        <w:t>.</w:t>
      </w:r>
      <w:r>
        <w:rPr>
          <w:rStyle w:val="FootnoteAnchor"/>
          <w:rtl w:val="true"/>
        </w:rPr>
        <w:footnoteReference w:id="62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r>
        <w:rPr>
          <w:rStyle w:val="FootnoteAnchor"/>
        </w:rPr>
        <w:footnoteReference w:id="622"/>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الطبری عن أبی هریرة،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 القرآن وهی فاتحة الکتاب وهی السبع المثانی</w:t>
      </w:r>
      <w:r>
        <w:rPr>
          <w:rFonts w:eastAsia="IRNazanin" w:cs="IRNazanin"/>
          <w:color w:val="111111"/>
          <w:sz w:val="28"/>
          <w:szCs w:val="28"/>
          <w:rtl w:val="true"/>
          <w:lang w:bidi="fa-IR"/>
        </w:rPr>
        <w:t>.</w:t>
      </w:r>
      <w:r>
        <w:rPr>
          <w:rStyle w:val="FootnoteAnchor"/>
        </w:rPr>
        <w:footnoteReference w:id="62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الطبری عن أبی هریرة، عن النبی صلی الله علیه و آله و سلم فی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فاتحة الکتاب وهی السبع المثانی والقرآن العظیم</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وأمّا القسم الثانی و هو ما یفسر السبع المثانی بفاتحة الکتاب ویجعل البسملة أوّل آیة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ابن جریر وابن المنذر والطبرانی وابن مردویه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 عن ابن عباس انّه سُئل عن السبع المثانی،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استثناها اللَّه لأُمّة محمّد، فرفعها فی أُمّ الکتاب، فدخرها لهم حتی أخرجها ولم یعطها أحداً قبله،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الآیة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الطبری عن سعید بن جبیر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فقرأها علی 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الآیة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وقرأها ابن عباس علیَّ کما قرأها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السابعة، بسم اللَّه الرحمن الرحیم</w:t>
      </w:r>
      <w:r>
        <w:rPr>
          <w:rFonts w:eastAsia="IRNazanin" w:cs="IRNazanin"/>
          <w:color w:val="111111"/>
          <w:sz w:val="28"/>
          <w:szCs w:val="28"/>
          <w:rtl w:val="true"/>
          <w:lang w:bidi="fa-IR"/>
        </w:rPr>
        <w:t>.</w:t>
      </w:r>
      <w:r>
        <w:rPr>
          <w:rStyle w:val="FootnoteAnchor"/>
        </w:rPr>
        <w:footnoteReference w:id="62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فاستفتح ثمّ قرأ فاتحة الکتاب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شهادة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فاستفتح ثمّ قرأ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خروج البسملة من جوهرها، وذلک لأنّ البسملة لما کانت موجودة فی صدر عامة السور فأشار إلی البسملة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سائر آیاتها التی تتمیز عن سائر السور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قرأ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یفسر الحدیث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الطبری عن أبی سعید بن المعلی انّ النبی صلی الله علیه و آله و سلم دعاه وهو یصلّی فصلّی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تجیبنی،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أُصلّی،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 سلم لأُعلمنک أعظم سورة فی القرآن، فکأنّه بیّنها أو نسی،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الذی قلت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ربّ‌العالمین، هی السبع المثانی والقرآن العظیم الذی أُوتیته</w:t>
      </w:r>
      <w:r>
        <w:rPr>
          <w:rFonts w:eastAsia="IRNazanin" w:cs="IRNazanin"/>
          <w:color w:val="111111"/>
          <w:sz w:val="28"/>
          <w:szCs w:val="28"/>
          <w:rtl w:val="true"/>
          <w:lang w:bidi="fa-IR"/>
        </w:rPr>
        <w:t>.</w:t>
      </w:r>
      <w:r>
        <w:rPr>
          <w:rStyle w:val="FootnoteAnchor"/>
        </w:rPr>
        <w:footnoteReference w:id="62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الدارقطنی والبیهقی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کان إذا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کتاب اللَّه، اقرأوا إن شئتم فاتحة الکتاب، فانّها الآیة السابعة</w:t>
      </w:r>
      <w:r>
        <w:rPr>
          <w:rFonts w:eastAsia="IRNazanin" w:cs="IRNazanin"/>
          <w:color w:val="111111"/>
          <w:sz w:val="28"/>
          <w:szCs w:val="28"/>
          <w:rtl w:val="true"/>
          <w:lang w:bidi="fa-IR"/>
        </w:rPr>
        <w:t>.</w:t>
      </w:r>
      <w:r>
        <w:rPr>
          <w:rStyle w:val="FootnoteAnchor"/>
        </w:rPr>
        <w:footnoteReference w:id="62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والبیهقی فی السنن بسند صحیح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رضی الله عنه عن السبع المثانی،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ست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Style w:val="FootnoteAnchor"/>
          <w:rtl w:val="true"/>
        </w:rPr>
        <w:footnoteReference w:id="629"/>
      </w:r>
      <w:bookmarkStart w:id="916" w:name="pg1680_13449"/>
    </w:p>
    <w:p>
      <w:pPr>
        <w:pStyle w:val="BookText"/>
        <w:rPr/>
      </w:pPr>
      <w:bookmarkEnd w:id="91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الأنباری فی المصاحف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سبع یا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17" w:name="__RefHeading___Toc1401422_3650668749"/>
      <w:bookmarkStart w:id="918" w:name="_Toc349"/>
      <w:bookmarkEnd w:id="917"/>
      <w:r>
        <w:rPr/>
        <w:t>3</w:t>
      </w:r>
      <w:r>
        <w:rPr>
          <w:rtl w:val="true"/>
        </w:rPr>
        <w:t xml:space="preserve">. </w:t>
      </w:r>
      <w:r>
        <w:rPr>
          <w:rtl w:val="true"/>
        </w:rPr>
        <w:t>فاتحة الکتاب سبع آیات مع البسملة</w:t>
      </w:r>
      <w:bookmarkEnd w:id="918"/>
    </w:p>
    <w:p>
      <w:pPr>
        <w:pStyle w:val="BookText"/>
        <w:rPr/>
      </w:pPr>
      <w:r>
        <w:rPr>
          <w:rFonts w:ascii="IRNazanin" w:hAnsi="IRNazanin" w:eastAsia="IRNazanin"/>
          <w:color w:val="111111"/>
          <w:sz w:val="28"/>
          <w:sz w:val="28"/>
          <w:szCs w:val="28"/>
          <w:rtl w:val="true"/>
          <w:lang w:bidi="fa-IR"/>
        </w:rPr>
        <w:t>إنّ فاتحة الکتاب آیات سبع إذا قلنا بکون التسمیة جزءاً منها، ولذلک تری أنّ المصاحف المعروفة تعد البسملة آیة من سورة الفاتحة وإن کان یترک عدّها آیة من سائر السور، وعلی ذلک یکون عدد الآیات سبعاً کالشکل التالی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أنّ کلّ آیة جملة تامة، وأمّا من لم یجعل التسمیة من السبع 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أُخری، ومعنی ذلک جعل المبدل منه آیة والبدل آیة أُخری،</w:t>
      </w:r>
      <w:bookmarkStart w:id="919" w:name="pg1680_13451"/>
    </w:p>
    <w:p>
      <w:pPr>
        <w:pStyle w:val="BookText"/>
        <w:rPr/>
      </w:pPr>
      <w:bookmarkEnd w:id="919"/>
      <w:r>
        <w:rPr>
          <w:rFonts w:ascii="IRNazanin" w:hAnsi="IRNazanin" w:eastAsia="IRNazanin"/>
          <w:color w:val="111111"/>
          <w:sz w:val="28"/>
          <w:sz w:val="28"/>
          <w:szCs w:val="28"/>
          <w:rtl w:val="true"/>
          <w:lang w:bidi="fa-IR"/>
        </w:rPr>
        <w:t>وهذا ما لا یستسیغه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من حاول 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أُخری فقد سلک مسلکاً وعراً، فإنّ الجملتین کسبیکة واحدة تنص علی التوحید فی العبادة والاستعانة فما معنی الفصل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وقفنا علیه من روایات أهل السنّة الدالة علی أنّ البسملة جزء من الفاتحة، ویدلّ علیه أیضاً أمران آخران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سیمرّ علیک من أنّ النبی صلی الله علیه و آله و سلم وأصحابه کانوا یجهرون بالبسملة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أنّ البسملة جزء من کلّ سورة</w:t>
      </w:r>
      <w:r>
        <w:rPr>
          <w:rFonts w:eastAsia="IRNazanin" w:cs="IRNazanin"/>
          <w:color w:val="111111"/>
          <w:sz w:val="28"/>
          <w:szCs w:val="28"/>
          <w:rtl w:val="true"/>
          <w:lang w:bidi="fa-IR"/>
        </w:rPr>
        <w:t>.</w:t>
      </w:r>
    </w:p>
    <w:p>
      <w:pPr>
        <w:pStyle w:val="Heading4"/>
        <w:numPr>
          <w:ilvl w:val="3"/>
          <w:numId w:val="1"/>
        </w:numPr>
        <w:rPr/>
      </w:pPr>
      <w:bookmarkStart w:id="920" w:name="__RefHeading___Toc1401424_3650668749"/>
      <w:bookmarkStart w:id="921" w:name="_Toc350"/>
      <w:bookmarkEnd w:id="920"/>
      <w:r>
        <w:rPr/>
        <w:t>4</w:t>
      </w:r>
      <w:r>
        <w:rPr>
          <w:rtl w:val="true"/>
        </w:rPr>
        <w:t xml:space="preserve">. </w:t>
      </w:r>
      <w:r>
        <w:rPr>
          <w:rtl w:val="true"/>
        </w:rPr>
        <w:t>التسمیة ولزوم الجهر بها</w:t>
      </w:r>
      <w:bookmarkEnd w:id="921"/>
    </w:p>
    <w:p>
      <w:pPr>
        <w:pStyle w:val="Heading5"/>
        <w:numPr>
          <w:ilvl w:val="4"/>
          <w:numId w:val="1"/>
        </w:numPr>
        <w:rPr/>
      </w:pPr>
      <w:bookmarkStart w:id="922" w:name="__RefHeading___Toc1401426_3650668749"/>
      <w:bookmarkStart w:id="923" w:name="_Toc351"/>
      <w:bookmarkEnd w:id="922"/>
      <w:r>
        <w:rPr>
          <w:rtl w:val="true"/>
        </w:rPr>
        <w:t>اشارة</w:t>
      </w:r>
      <w:bookmarkEnd w:id="923"/>
    </w:p>
    <w:p>
      <w:pPr>
        <w:pStyle w:val="BookText"/>
        <w:rPr/>
      </w:pPr>
      <w:r>
        <w:rPr>
          <w:rFonts w:ascii="IRNazanin" w:hAnsi="IRNazanin" w:eastAsia="IRNazanin"/>
          <w:color w:val="111111"/>
          <w:sz w:val="28"/>
          <w:sz w:val="28"/>
          <w:szCs w:val="28"/>
          <w:rtl w:val="true"/>
          <w:lang w:bidi="fa-IR"/>
        </w:rPr>
        <w:t>قد أثبت البحث السالف الذکر انّ التسمیة جزء من فاتحة الکتاب ومن صمیمها، فلا تتم السورة إلّابقراءتها، وأمّا الجهر بها فحکمه کحکم سائر أجزاء السورة، فلو کانت الصلاة من الصلوات الجهریة یجب الجهر بها ما لم یدلّ دلیل علی جواز المخافتة، مضافاً إلی أنّه قد تضافرت الروایات علی لزوم الجهر بها، ویستفاد ذلک من الروایات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الحاکم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یجهر ببسم اللَّه الرحمن الرحیم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الحاکم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جهر 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هذا الحدیث عن آخرهم ثقات، وأقرّه علی ذلک الذهبی فی تلخیصه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فی مستدرکه عن محمد بن أبی السری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المعتمر بن سلیمان ما لا أحصی صلاة الصبح والمغرب فکان یجهر ببسم اللَّه الرحمن الرحیم قبل فاتحة الکتاب وبعدها، وسمعت المعتمر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 أن اقتدی بصلاة أبی، وقال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 أن اقتدی بصلاة أنس بن مالک، 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 أن اقتدی بصلاة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 هذا الحدیث عن آخرهم ثقات، وأقرّه علی ذلک الذهبی فی تلخیصه</w:t>
      </w:r>
      <w:r>
        <w:rPr>
          <w:rFonts w:eastAsia="IRNazanin" w:cs="IRNazanin"/>
          <w:color w:val="111111"/>
          <w:sz w:val="28"/>
          <w:szCs w:val="28"/>
          <w:rtl w:val="true"/>
          <w:lang w:bidi="fa-IR"/>
        </w:rPr>
        <w:t>.</w:t>
      </w:r>
      <w:r>
        <w:rPr>
          <w:rStyle w:val="FootnoteAnchor"/>
        </w:rPr>
        <w:footnoteReference w:id="63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حُمید الطویل،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النبی صلی الله علیه و آله و سلم وخلف أبی بکر وخلف عمر وخلف عثمان وخلف علی کلّهم کانوا یجهرون بقراءة بسم اللَّه الرحمن الرحیم، ثمّ قال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بقی فی الباب عن أمیر المؤمنین عثمان و علی، وطلحة بن عبید اللَّه، وجابر بن عبد اللَّه، وعبد اللَّه بن عمر، والحکم بن عمیر الثمالی، والنعمان بن بشیر، وسمرة بن جندب، وبریدة الأسلمی، وعائشة بنت الصدیق کلّها مخرجة عندی فی الباب، ترکتها إیثاراً للتخفیف واختصرت</w:t>
      </w:r>
    </w:p>
    <w:p>
      <w:pPr>
        <w:pStyle w:val="BookText"/>
        <w:rPr/>
      </w:pPr>
      <w:r>
        <w:rPr>
          <w:rFonts w:ascii="IRNazanin" w:hAnsi="IRNazanin" w:eastAsia="IRNazanin"/>
          <w:color w:val="111111"/>
          <w:sz w:val="28"/>
          <w:sz w:val="28"/>
          <w:szCs w:val="28"/>
          <w:rtl w:val="true"/>
          <w:lang w:bidi="fa-IR"/>
        </w:rPr>
        <w:t>منها ما یلیق بهذا الباب، وکذلک ذکرت فی الباب من جهر ببسم اللَّه الرحمن الرحیم من الصحابة والتابعین وأتباعهم</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وبما انّ الکلام الأخیر الذی یدّعی إطباق الأئمة علی الجهر بالتسمیة فی الصلوات یخالف مذهب إمام الذهبی، فغاظ غیظه وادّعی انّ نسبة الجهر إلی هؤلاء کذب محض، ثمّ حلف علی صدق مدّعاه مع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یدّعی الکذب فعلیه البیّنة لا الحلف، وإلّا ففی وسع کلّ من یری الحدیث مخالفاً لهواه وللمذهب الذی نشأ علیه، أن یحلف علی کذبه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الإمام الشافعی فی مسنده انّ معاویة قدم المدینة فصلّی بها ولم یقرأ بسم اللَّه الرحمن الرحیم، فاعترض علیه المهاجرون والأنصار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سرقت منّا الصلاة، أین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علیه الشافعی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الجهر بالتسمیة کان کالأمر المتقرر عند کلّ الصحابة من المهاجرین والأنصار، وإلّا لما قدروا علی إظهار الإنکار علیه بسبب ترک التسمیة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الحاکم بنحو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معاویة بالمدینة صلاة فجهر فیها بالقراءة فقرأ فیها بسم اللَّه الرحمن الرحیم لأُمّ القرآن ولم یقرأ بسم اللَّه الرحمن الرحیم للسورة التی بعدها حتّی قضی تلک القراءة، فلمّا سلّم ناداه من سمع ذلک من المهاجرین</w:t>
      </w:r>
    </w:p>
    <w:p>
      <w:pPr>
        <w:pStyle w:val="BookText"/>
        <w:rPr/>
      </w:pPr>
      <w:r>
        <w:rPr>
          <w:rFonts w:ascii="IRNazanin" w:hAnsi="IRNazanin" w:eastAsia="IRNazanin"/>
          <w:color w:val="111111"/>
          <w:sz w:val="28"/>
          <w:sz w:val="28"/>
          <w:szCs w:val="28"/>
          <w:rtl w:val="true"/>
          <w:lang w:bidi="fa-IR"/>
        </w:rPr>
        <w:t>والأنصار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الصلاة أم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بعد ذلک قرأ بسم اللَّه الرّحمن الرّحیم للسورة التی بعد أُمّ القرآن وکبّر حین یهوی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فقد احتج بعبد المجید بن عبد العزیز وسائر الرواة متفق علی عدالتهم، وأقرّه علی ذلک الذهبی فی تلخیصه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البیهقی روی الجهر ببسم اللَّه الرّحمن الرحیم فی سننه عن عمر بن الخطاب وابن عباس وابن عمر وابن الزبیر، ثمّ قال الرازی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 علی بن أبی طالب کان یجهر بالتسمیة فقد ثبت بالتواتر و من اقتدی فی دینه بعلی بن أبی طالب فقد اهتدی،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البزار و الدارقطنی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الطفیل قال سمعت علی بن أبی طالب وعماراً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کان یجهر فی المکتوبات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فاتحة الکتاب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الدارقطنی عن عائشة انّ رسول اللَّه صلی الله علیه و آله و سلم کان یجهر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أمّنی جبرئیل علیه السلام عند الکعبة فجهر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Pr>
        <w:footnoteReference w:id="63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یجهر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السورتین جمیعاً</w:t>
      </w:r>
      <w:r>
        <w:rPr>
          <w:rFonts w:eastAsia="IRNazanin" w:cs="IRNazanin"/>
          <w:color w:val="111111"/>
          <w:sz w:val="28"/>
          <w:szCs w:val="28"/>
          <w:rtl w:val="true"/>
          <w:lang w:bidi="fa-IR"/>
        </w:rPr>
        <w:t>.</w:t>
      </w:r>
      <w:r>
        <w:rPr>
          <w:rStyle w:val="FootnoteAnchor"/>
        </w:rPr>
        <w:footnoteReference w:id="63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الدارقطنی والحاکم والبیهقی عن أبی هریرة، وکان رسول اللَّه صلی الله علیه و آله و سلم یجهر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البیهقی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الناس ذلک</w:t>
      </w:r>
      <w:r>
        <w:rPr>
          <w:rFonts w:eastAsia="IRNazanin" w:cs="IRNazanin"/>
          <w:color w:val="111111"/>
          <w:sz w:val="28"/>
          <w:szCs w:val="28"/>
          <w:rtl w:val="true"/>
          <w:lang w:bidi="fa-IR"/>
        </w:rPr>
        <w:t>».</w:t>
      </w:r>
      <w:r>
        <w:rPr>
          <w:rStyle w:val="FootnoteAnchor"/>
        </w:rPr>
        <w:footnoteReference w:id="63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عن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صلّیت خلف النبی صلی الله علیه و آله و سلم وأبی بکر وعمر فکانوا یجهرون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Pr>
        <w:footnoteReference w:id="63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الثعلبی عن علی بن زید بن جدعان انّ العبادلة کانوا یستفتحون القراءة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و عبد اللَّه بن عمر، و عبد اللَّه بن الزبیر</w:t>
      </w:r>
      <w:r>
        <w:rPr>
          <w:rFonts w:eastAsia="Amiri" w:cs="Amiri" w:ascii="Amiri" w:hAnsi="Amiri"/>
          <w:color w:val="111111"/>
          <w:sz w:val="28"/>
          <w:szCs w:val="28"/>
          <w:rtl w:val="true"/>
          <w:lang w:bidi="ar-SA"/>
        </w:rPr>
        <w:t>.</w:t>
      </w:r>
      <w:r>
        <w:rPr>
          <w:rStyle w:val="FootnoteAnchor"/>
        </w:rPr>
        <w:footnoteReference w:id="63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الصلاة أن تقرأ بسم اللَّه الرّحمن الرّحیم، وانّ أوّل من 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العاص بالمدینة وکان رجلًا حییّا</w:t>
      </w:r>
      <w:r>
        <w:rPr>
          <w:rFonts w:eastAsia="IRNazanin" w:cs="IRNazanin"/>
          <w:color w:val="111111"/>
          <w:sz w:val="28"/>
          <w:szCs w:val="28"/>
          <w:rtl w:val="true"/>
          <w:lang w:bidi="fa-IR"/>
        </w:rPr>
        <w:t>.</w:t>
      </w:r>
      <w:r>
        <w:rPr>
          <w:rStyle w:val="FootnoteAnchor"/>
        </w:rPr>
        <w:footnoteReference w:id="63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علّمنی جبرئیل الصلاة، فقام فکبّر لنا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یجهر، فی کلّ رکعة</w:t>
      </w:r>
      <w:r>
        <w:rPr>
          <w:rFonts w:eastAsia="IRNazanin" w:cs="IRNazanin"/>
          <w:color w:val="111111"/>
          <w:sz w:val="28"/>
          <w:szCs w:val="28"/>
          <w:rtl w:val="true"/>
          <w:lang w:bidi="fa-IR"/>
        </w:rPr>
        <w:t>.</w:t>
      </w:r>
      <w:r>
        <w:rPr>
          <w:rStyle w:val="FootnoteAnchor"/>
        </w:rPr>
        <w:footnoteReference w:id="63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عن الحکم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النبی صلی الله علیه و آله و سلم فجهر فی الصلاة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اللیل، وصلاة الفجر وصلاة الجمعة</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وقد احتجّ الرازی علی لزوم الجهر بالتسمیة فی الصلوات الجهریة بما أوعزنا إلیه فی صدر البحث من أنّ حکم جزء السورة کحکم کلّها ولا یصحّ‌التبعیض بین الکل والجزء إلّابدلیل قاطع، وقد ذکره الرازی باللفظ التالی</w:t>
      </w:r>
      <w:r>
        <w:rPr>
          <w:rFonts w:eastAsia="IRNazanin" w:cs="IRNazanin"/>
          <w:color w:val="111111"/>
          <w:sz w:val="28"/>
          <w:szCs w:val="28"/>
          <w:rtl w:val="true"/>
          <w:lang w:bidi="fa-IR"/>
        </w:rPr>
        <w:t>:</w:t>
      </w:r>
      <w:bookmarkStart w:id="924" w:name="pg1680_13463"/>
    </w:p>
    <w:p>
      <w:pPr>
        <w:pStyle w:val="BookText"/>
        <w:rPr/>
      </w:pPr>
      <w:bookmarkEnd w:id="924"/>
      <w:r>
        <w:rPr>
          <w:rFonts w:ascii="IRNazanin" w:hAnsi="IRNazanin" w:eastAsia="IRNazanin"/>
          <w:color w:val="111111"/>
          <w:sz w:val="28"/>
          <w:sz w:val="28"/>
          <w:szCs w:val="28"/>
          <w:rtl w:val="true"/>
          <w:lang w:bidi="fa-IR"/>
        </w:rPr>
        <w:t>قد دللنا علی أنّ التسمیة آیة من الفاتحة، وإذا ثبت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الاستقراء دلّ علی أنّ السورة الواحدة إمّا أن تکون بتمامها سریة أو جهریة، فأمّا أن یکون بعضها سریاً وبعضها جهریاً فهذا مفقود فی جمیع السور، وإذا ثبت هذا کان الجهر بالتسمیة مشروعاً فی القراءة الجهریة</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925" w:name="__RefHeading___Toc1401428_3650668749"/>
      <w:bookmarkStart w:id="926" w:name="_Toc352"/>
      <w:bookmarkEnd w:id="925"/>
      <w:r>
        <w:rPr>
          <w:rtl w:val="true"/>
        </w:rPr>
        <w:t>أئمّة أهل البیت علیهم السلام والجهر بالبسملة</w:t>
      </w:r>
      <w:bookmarkEnd w:id="926"/>
    </w:p>
    <w:p>
      <w:pPr>
        <w:pStyle w:val="BookText"/>
        <w:rPr/>
      </w:pPr>
      <w:r>
        <w:rPr>
          <w:rFonts w:ascii="IRNazanin" w:hAnsi="IRNazanin" w:eastAsia="IRNazanin"/>
          <w:color w:val="111111"/>
          <w:sz w:val="28"/>
          <w:sz w:val="28"/>
          <w:szCs w:val="28"/>
          <w:rtl w:val="true"/>
          <w:lang w:bidi="fa-IR"/>
        </w:rPr>
        <w:t>تضافرت الروایات عن أئمّة أهل البیت علیهم السلام علی الجهر بالبسملة، وکانت سیرة الإمام علی علیه السلام والأئمّة علیهم السلام بعده علی الجهر بها، نقتطف شیئاً ممّا أثر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الشیخ أبو الفتوح الرازی فی تفسیره باسناده إلی الرضا، عن أبیه، عن الصادق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آل محمّد صلی الله علیه و آله و سلم علی الجهر ببسم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علی بن إبراهیم فی تفسیره باسناده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جهر به، وهی الآیة التی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ذَکَرْتَ رَبَّکَ فِی الْقُرآنِ وَحْدَهُ وَلَّوْا عَلی أَدْبارِهِمْ نُفُوراً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الصدوق باسناده عن الأعمش، عن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والإجهار ببسم اللَّه الرحمن الرحیم فی الصلاة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الصدوق باسناده عن الفضل بن شاذان فیما کتبه الرضا للمأمون فی بیان محض الإسلام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والإجهار ببسم اللَّه الرحمن الرحیم فی جمیع الصلوات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علیه السلام انّه کان یجهر ببسم اللَّه الرّحمن الرحیم فی جمیع صلواته باللیل والنهار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الکلینی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 اللَّه علیه السلام أیّاماً، فکان إذا کانت صلاة لایجهر فیها، جهر ببسم اللَّه الرحمن الرحیم، وکان یجهر فی السورتین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العیاشی عن خالد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عمدوا إلی أعظم آیة فی کتاب اللَّه فزعموا انّها بدعة إذا أظهروها، وهی 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الکلینی عن یحیی بن أبی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رجل ابتدأ ببسم اللَّه الرحمن الرحیم فی صلاته وحده فی أُمّ الکتاب فلمّا صار إلی غیر أُمّ الکتاب من السورة ترکها، فقال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العباسی</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ولعلّ فیما ذکر من الروایات غنی وکفایة، لطالب الحقّ ورائد الحقیقة</w:t>
      </w:r>
      <w:r>
        <w:rPr>
          <w:rFonts w:eastAsia="IRNazanin" w:cs="IRNazanin"/>
          <w:color w:val="111111"/>
          <w:sz w:val="28"/>
          <w:szCs w:val="28"/>
          <w:rtl w:val="true"/>
          <w:lang w:bidi="fa-IR"/>
        </w:rPr>
        <w:t>.</w:t>
      </w:r>
      <w:bookmarkStart w:id="927" w:name="pg1680_13468"/>
    </w:p>
    <w:p>
      <w:pPr>
        <w:pStyle w:val="Heading4"/>
        <w:numPr>
          <w:ilvl w:val="3"/>
          <w:numId w:val="1"/>
        </w:numPr>
        <w:rPr/>
      </w:pPr>
      <w:bookmarkStart w:id="928" w:name="__RefHeading___Toc1401430_3650668749"/>
      <w:bookmarkStart w:id="929" w:name="_Toc353"/>
      <w:bookmarkEnd w:id="927"/>
      <w:bookmarkEnd w:id="928"/>
      <w:r>
        <w:rPr/>
        <w:t>5</w:t>
      </w:r>
      <w:r>
        <w:rPr>
          <w:rtl w:val="true"/>
        </w:rPr>
        <w:t xml:space="preserve">- </w:t>
      </w:r>
      <w:r>
        <w:rPr>
          <w:rtl w:val="true"/>
        </w:rPr>
        <w:t>التأمین بعد الفاتحة</w:t>
      </w:r>
      <w:bookmarkEnd w:id="929"/>
    </w:p>
    <w:p>
      <w:pPr>
        <w:pStyle w:val="BookText"/>
        <w:rPr/>
      </w:pPr>
      <w:r>
        <w:rPr>
          <w:rFonts w:ascii="IRNazanin" w:hAnsi="IRNazanin" w:eastAsia="IRNazanin"/>
          <w:color w:val="111111"/>
          <w:sz w:val="28"/>
          <w:sz w:val="28"/>
          <w:szCs w:val="28"/>
          <w:rtl w:val="true"/>
          <w:lang w:bidi="fa-IR"/>
        </w:rPr>
        <w:t xml:space="preserve">انفردت الإمامیة علی لزوم ترک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الفاتحة خلافاً لسائر المذاهب حیث ذهبوا إلی أنّها سنّة</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قال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آمین یقطع الصلاة سواء کان ذلک سراً أو جهراً فی آخر الحمد أو قبلها للإمام والمأموم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حامد الإسفرائینی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سبق الإمام المأمومین بقراءة الحمد لم یجز لهم أن یقولوا آمین، فإن قالوا ذلک استأنفوا قراءة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بعض أصحاب الشافعی</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والدلیل علی أنّه لیس جزءاً من الصلاة ولا أمراً مستحباً، هو الروایات البیانیة الّتی تقدمت فی مسألة القبض فإنّنا نلاحظ أنّ الروایات الّتی تبیّن کیفیة صلاة النبی بأسرها خالیة عن هذه اللفظة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روایة أبی حمید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إلی الصلاة رفع یدیه حتّی یحاذی منکبیه ثم یکبّر حتّی یقرّ کلّ عضو منه فی موضعه معتدلًا، ثم</w:t>
      </w:r>
    </w:p>
    <w:p>
      <w:pPr>
        <w:pStyle w:val="BookText"/>
        <w:rPr/>
      </w:pPr>
      <w:r>
        <w:rPr>
          <w:rFonts w:ascii="IRNazanin" w:hAnsi="IRNazanin" w:eastAsia="IRNazanin"/>
          <w:color w:val="111111"/>
          <w:sz w:val="28"/>
          <w:sz w:val="28"/>
          <w:szCs w:val="28"/>
          <w:rtl w:val="true"/>
          <w:lang w:bidi="fa-IR"/>
        </w:rPr>
        <w:t>یقرأ، ثم یکبّر ویرفع یدیه حتّی یحاذی بهما منکبیه، ثم یرکع ویضع راحتیه علی رکبتیه</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تری أنّه لیس فی هذه الروایة أی إشارة إلی التأمین والّذی هو غیر داخل فی القراءة، ولفظة القراءة لا تحکی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القبلة وکبّر به ثم اقرأ ما تیسّر معک من القرآن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ولیس فیه أی اشارة إلی التأمین ولیس داخلًا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تیسر معک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عائشة عندما وصفت صلاة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یستفتح الصلاة بالتکبیر والقراءة بالحمد للَّه‌رب العالمین وکان إذا رکع یشخص رأسه</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وهکذا سائر الروایات البیانیة حیث لا تجد أیّة إشارة إلی التأمین، ثم إنّ القائل بجواز التأمین یستدلّ بأنّه تأمین علی دعاء سابق، وهو 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أمر قصدی، ومن یقرأ الفاتحة فإنّما یقصد تلاوة القرآن ولایقصد الدعاء، وقد أُمر الناس بقراءتها حیث ورد لا صلاة إلّابفاتحة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تأمین علی دعاء سابق لکن کثیراً من المصلّین خصوصاً غیر العرب لا یتبادر إلی أذهانهم وجود الدعاء فی آیات الفاتحة حتّی یأمنوا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تأمین للدعاء السابق لکنه یجب التفصیل الّذی ذهب إلیه أبو حامد الإسفرائینی حیث لم یجوز التأمین إذا سبق الإمام المأمومین بقراءة الحمد کما إذا حصل المأموم فی الصلاة والإمام تجاوز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مبنی علی أنّ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کلام الآدمیین وإلّا فیکون مبطلًا، وقد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الصلاة لا یصلح فیها شی‌ء من کلام الآدمیین أو من کلام الناس</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هذا کلّه دراسة علی ضوء القواعد ولکن أئمة أهل البیت علیهم السلام أحد الثقلین الذین لا یفارقون الکتاب قالوا بحرمة التأمین وإبطاله الصلاة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إذا فرغت من فاتحة الکتاب، آمین؟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48"/>
      </w:r>
      <w:bookmarkStart w:id="930" w:name="pg1680_13474"/>
    </w:p>
    <w:p>
      <w:pPr>
        <w:pStyle w:val="Heading4"/>
        <w:numPr>
          <w:ilvl w:val="3"/>
          <w:numId w:val="1"/>
        </w:numPr>
        <w:rPr/>
      </w:pPr>
      <w:bookmarkStart w:id="931" w:name="__RefHeading___Toc1401432_3650668749"/>
      <w:bookmarkStart w:id="932" w:name="_Toc354"/>
      <w:bookmarkEnd w:id="930"/>
      <w:bookmarkEnd w:id="931"/>
      <w:r>
        <w:rPr/>
        <w:t>6</w:t>
      </w:r>
      <w:r>
        <w:rPr>
          <w:rtl w:val="true"/>
        </w:rPr>
        <w:t xml:space="preserve">- </w:t>
      </w:r>
      <w:r>
        <w:rPr>
          <w:rtl w:val="true"/>
        </w:rPr>
        <w:t>القنوت فی الرکعة الثانیة</w:t>
      </w:r>
      <w:bookmarkEnd w:id="932"/>
    </w:p>
    <w:p>
      <w:pPr>
        <w:pStyle w:val="BookText"/>
        <w:rPr/>
      </w:pPr>
      <w:r>
        <w:rPr>
          <w:rFonts w:ascii="IRNazanin" w:hAnsi="IRNazanin" w:eastAsia="IRNazanin"/>
          <w:color w:val="111111"/>
          <w:sz w:val="28"/>
          <w:sz w:val="28"/>
          <w:szCs w:val="28"/>
          <w:rtl w:val="true"/>
          <w:lang w:bidi="fa-IR"/>
        </w:rPr>
        <w:t xml:space="preserve">ذهب فقهاء الإمامیة إلی أنّ القنوت فی کلّ صلاة والدعاء فیه بما أحبّ الداعی مستحب وهو قول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أن یقنت فی الصلاة کلّها عند حاجة المسلمین إلی الدعاء</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مستحب فی کلّ رکعتین فی جمیع الصلوات بعد القراءة فرائضها وسننها قبل الرکوع، فإن کانت الفریضة رباعیة کان فیها قنوت واحد فی الثانیة من الأُولتین، وإن کانت جمعة کان فیها قنوتان علی الإمام فی الأُولی قبل الرکوع، وفی الثانیة بعد الرکوع وهو مسنون فی رکعة الوتر فی جمیع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مستحب فی صلاة الصبح خاصة بعد الرکوع، فإن نسیه کان علیه سجدتا السهو،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ذلک مجری التشهّد الأوّل فی کونه سنّة، وقال فی سائر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نازلة قولًا واحداً یجوز، وإذا لم تنزل کان علی قولین،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ذلک،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قنت، وإن شاء ترک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سائر الصلاة لم یقل به غیر الشافعی،</w:t>
      </w:r>
    </w:p>
    <w:p>
      <w:pPr>
        <w:pStyle w:val="BookText"/>
        <w:rPr/>
      </w:pPr>
      <w:r>
        <w:rPr>
          <w:rFonts w:ascii="IRNazanin" w:hAnsi="IRNazanin" w:eastAsia="IRNazanin"/>
          <w:color w:val="111111"/>
          <w:sz w:val="28"/>
          <w:sz w:val="28"/>
          <w:szCs w:val="28"/>
          <w:rtl w:val="true"/>
          <w:lang w:bidi="fa-IR"/>
        </w:rPr>
        <w:t>وذکر الشافعی أنّ بمذهبه قال فی الصحابة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وعلی علیه السلام، وبه قال أنس بن مالک، وإلیه ذهب الحسن البصری، وبه قال مالک والأوزاعی، وابن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القنوت فی الوتر فی النصف الأخیر من شهر رمضان لا غیر</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إنّ أئمة أهل البیت علیهم السلام وهم أحد الثقلین أفتوا باستحبابه فی کلّ صلاة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باسناده عن زرارة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الصلوات</w:t>
      </w:r>
      <w:r>
        <w:rPr>
          <w:rFonts w:eastAsia="IRNazanin" w:cs="IRNazanin"/>
          <w:color w:val="111111"/>
          <w:sz w:val="28"/>
          <w:szCs w:val="28"/>
          <w:rtl w:val="true"/>
          <w:lang w:bidi="fa-IR"/>
        </w:rPr>
        <w:t>».</w:t>
      </w:r>
      <w:r>
        <w:rPr>
          <w:rStyle w:val="FootnoteAnchor"/>
          <w:rtl w:val="true"/>
        </w:rPr>
        <w:footnoteReference w:id="651"/>
      </w:r>
      <w:bookmarkStart w:id="933" w:name="pg1680_13478"/>
    </w:p>
    <w:p>
      <w:pPr>
        <w:pStyle w:val="Heading4"/>
        <w:numPr>
          <w:ilvl w:val="3"/>
          <w:numId w:val="1"/>
        </w:numPr>
        <w:rPr/>
      </w:pPr>
      <w:bookmarkStart w:id="934" w:name="__RefHeading___Toc1401434_3650668749"/>
      <w:bookmarkStart w:id="935" w:name="_Toc355"/>
      <w:bookmarkEnd w:id="933"/>
      <w:bookmarkEnd w:id="934"/>
      <w:r>
        <w:rPr/>
        <w:t>7</w:t>
      </w:r>
      <w:r>
        <w:rPr>
          <w:rtl w:val="true"/>
        </w:rPr>
        <w:t xml:space="preserve">- </w:t>
      </w:r>
      <w:r>
        <w:rPr>
          <w:rtl w:val="true"/>
        </w:rPr>
        <w:t>السجود علی الأرض‌</w:t>
      </w:r>
      <w:bookmarkEnd w:id="935"/>
    </w:p>
    <w:p>
      <w:pPr>
        <w:pStyle w:val="Heading5"/>
        <w:numPr>
          <w:ilvl w:val="4"/>
          <w:numId w:val="1"/>
        </w:numPr>
        <w:rPr/>
      </w:pPr>
      <w:bookmarkStart w:id="936" w:name="__RefHeading___Toc1401436_3650668749"/>
      <w:bookmarkStart w:id="937" w:name="_Toc356"/>
      <w:bookmarkEnd w:id="936"/>
      <w:r>
        <w:rPr>
          <w:rtl w:val="true"/>
        </w:rPr>
        <w:t>اشارة</w:t>
      </w:r>
      <w:bookmarkEnd w:id="937"/>
    </w:p>
    <w:p>
      <w:pPr>
        <w:pStyle w:val="BookText"/>
        <w:rPr/>
      </w:pPr>
      <w:r>
        <w:rPr>
          <w:rFonts w:ascii="IRNazanin" w:hAnsi="IRNazanin" w:eastAsia="IRNazanin"/>
          <w:color w:val="111111"/>
          <w:sz w:val="28"/>
          <w:sz w:val="28"/>
          <w:szCs w:val="28"/>
          <w:rtl w:val="true"/>
          <w:lang w:bidi="fa-IR"/>
        </w:rPr>
        <w:t>لعلّ من أوضح مظاهر العبودیة والانقیاد والتذلّل من قبل المخلوق لخالقه هو السجود، وبه یؤکِّد المؤمن عبودیّتَه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والبارئ عزّاسمه یقدّر لعبده هذا التصاغرَ وهذه الطاعة فیُضفی علی الساجد فیضَ لطفه وعظیم إحسانه، لذا روی فی بعض المأثورات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إلی ربّه حال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الصلاة من بین العبادات معراجاً یتمیّز بها المؤمن عن الکافر، وکان السجود رکناً من أرکانها، لم یکن هناک فی إعلان التذلّل للّه تعالی أوضح من السجود علی التراب والرمل والحجر والحصی، لما فیه من تذلّل أوضح وأبین من السجود علی الحصر والبواری، فضلًا عن السجود علی الألبسة الفاخرة والفرش الوثیرة والذهب والفضّة، وإن کان الکلّ سجوداً، إلّاأنّ العبودیة تتجلّی فی الأوّل بما لا تتجلّی فی غیره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والإمامیة ملتزمة بالسجدة علی الأرض فی حضرهم وسفرهم، ولا یعدلون عنها إلّاإلی ما أُنبت منها بشرط أن لا یُؤکل ولا یلبس، ولایرون السجود علی غیر الأرض وما أنبت منها صحیحاً فی حال الصلاة أخذاً بالسنّة المتواترة عن النبیّ الأکرم صلی الله علیه و آله و سلم وأهل بیته وصحبه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ثنایا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بالسجود علی الأرض أو ما أنبتت، کانت هی السنّة</w:t>
      </w:r>
      <w:bookmarkStart w:id="938" w:name="pg1680_13480"/>
    </w:p>
    <w:p>
      <w:pPr>
        <w:pStyle w:val="BookText"/>
        <w:rPr/>
      </w:pPr>
      <w:bookmarkEnd w:id="938"/>
      <w:r>
        <w:rPr>
          <w:rFonts w:ascii="IRNazanin" w:hAnsi="IRNazanin" w:eastAsia="IRNazanin"/>
          <w:color w:val="111111"/>
          <w:sz w:val="28"/>
          <w:sz w:val="28"/>
          <w:szCs w:val="28"/>
          <w:rtl w:val="true"/>
          <w:lang w:bidi="fa-IR"/>
        </w:rPr>
        <w:t>بین الصحابة، وأنّ العدول عنها حدث فی الأزمنة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حقیقة الحال ضمن بیان أُمور</w:t>
      </w:r>
      <w:r>
        <w:rPr>
          <w:rFonts w:eastAsia="IRNazanin" w:cs="IRNazanin"/>
          <w:color w:val="111111"/>
          <w:sz w:val="28"/>
          <w:szCs w:val="28"/>
          <w:rtl w:val="true"/>
          <w:lang w:bidi="fa-IR"/>
        </w:rPr>
        <w:t>:</w:t>
      </w:r>
    </w:p>
    <w:p>
      <w:pPr>
        <w:pStyle w:val="Heading5"/>
        <w:numPr>
          <w:ilvl w:val="4"/>
          <w:numId w:val="1"/>
        </w:numPr>
        <w:rPr/>
      </w:pPr>
      <w:bookmarkStart w:id="939" w:name="__RefHeading___Toc1401438_3650668749"/>
      <w:bookmarkStart w:id="940" w:name="_Toc357"/>
      <w:bookmarkEnd w:id="939"/>
      <w:r>
        <w:rPr/>
        <w:t>1</w:t>
      </w:r>
      <w:r>
        <w:rPr>
          <w:rtl w:val="true"/>
        </w:rPr>
        <w:t xml:space="preserve">. </w:t>
      </w:r>
      <w:r>
        <w:rPr>
          <w:rtl w:val="true"/>
        </w:rPr>
        <w:t>اختلاف الفقهاء فی شرائط المسجود علیه‌</w:t>
      </w:r>
      <w:bookmarkEnd w:id="940"/>
    </w:p>
    <w:p>
      <w:pPr>
        <w:pStyle w:val="BookText"/>
        <w:rPr/>
      </w:pPr>
      <w:r>
        <w:rPr>
          <w:rFonts w:ascii="IRNazanin" w:hAnsi="IRNazanin" w:eastAsia="IRNazanin"/>
          <w:color w:val="111111"/>
          <w:sz w:val="28"/>
          <w:sz w:val="28"/>
          <w:szCs w:val="28"/>
          <w:rtl w:val="true"/>
          <w:lang w:bidi="fa-IR"/>
        </w:rPr>
        <w:t>اتّفق المسلمون علی وجوب السجود فی الصلاة فی کلّ رکعة مرّتین، ولم یختلفوا فی المسجود له، فإنّه هو اللّه سبحانه الذی له یسجد مَن فی السماوات والأرض طوعاً وکرهاً</w:t>
      </w:r>
      <w:r>
        <w:rPr>
          <w:rStyle w:val="FootnoteAnchor"/>
          <w:rtl w:val="true"/>
        </w:rPr>
        <w:footnoteReference w:id="652"/>
      </w:r>
      <w:r>
        <w:rPr>
          <w:rFonts w:ascii="IRNazanin" w:hAnsi="IRNazanin" w:eastAsia="IRNazanin"/>
          <w:color w:val="111111"/>
          <w:sz w:val="28"/>
          <w:sz w:val="28"/>
          <w:szCs w:val="28"/>
          <w:rtl w:val="true"/>
          <w:lang w:bidi="fa-IR"/>
        </w:rPr>
        <w:t>، وشعار کلّ مسلم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ولا للقَمَرِ واسجُدُوا للّهِ الَّذی خَلَقَهُنَّ</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وإنّما اختلفوا فی شروط المسجود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یضع الساجد جبهته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الإمامیة تشترط کون المسجود علیه أرضاً أو ما ینبت منها غیر مأکول ولا ملبوس کالحصر والبواری،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فی ذلک غیرهم من المذاهب، وإلیک نقل الآراء</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یبیّن آراء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إلّا علی الأرض، أو ما أنبتته الأرض ممّا لا یؤکل ولا یلبس من قطن أو کتان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فقهاء السنّة فی ذلک حیث أجازوا السجود علی</w:t>
      </w:r>
    </w:p>
    <w:p>
      <w:pPr>
        <w:pStyle w:val="BookText"/>
        <w:rPr/>
      </w:pPr>
      <w:r>
        <w:rPr>
          <w:rFonts w:ascii="IRNazanin" w:hAnsi="IRNazanin" w:eastAsia="IRNazanin"/>
          <w:color w:val="111111"/>
          <w:sz w:val="28"/>
          <w:sz w:val="28"/>
          <w:szCs w:val="28"/>
          <w:rtl w:val="true"/>
          <w:lang w:bidi="fa-IR"/>
        </w:rPr>
        <w:t>القطن والکتان والشعر والصوف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شی‌ء هو حامل له ککور العمامة، وطرف الرداء، وکُمّ القمیص، وبه قال الشافعی، وروی ذلک عن علی علیه السلام وابن عمر، وعبادة بن الصامت، ومالک، وأحمد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ما هو حامل له کالثیاب التی علیه،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سجد علی ما لا ینفصل منه مثل أن یفترش یده ویسجد علیها أجزأه لکنّه مکروه، وروی ذلک عن الحسن البصری</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وقال العلّامة الحلّی‌</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یبیّن آراء الفقهاء فیما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السجود علی ما لیس بأرض ولا من نباتها کالجلود والصوف عند علمائنا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وأطبق الجمهور علی الجواز</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وقد اقتفت الشیعة فی ذلک أثر أئمتهم الذین هم أعدال الکتاب وقرناؤه فی حدیث الثقلین، ونحن نکتفی هنا بإیراد شی‌ء ممّا روی عنهم فی هذا الجانب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باسناده عن هشام بن الحکم أنّه قال لأبی عبد</w:t>
      </w:r>
    </w:p>
    <w:p>
      <w:pPr>
        <w:pStyle w:val="BookText"/>
        <w:rPr/>
      </w:pPr>
      <w:r>
        <w:rPr>
          <w:rFonts w:ascii="IRNazanin" w:hAnsi="IRNazanin" w:eastAsia="IRNazanin"/>
          <w:color w:val="111111"/>
          <w:sz w:val="28"/>
          <w:sz w:val="28"/>
          <w:szCs w:val="28"/>
          <w:rtl w:val="true"/>
          <w:lang w:bidi="fa-IR"/>
        </w:rPr>
        <w:t>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یجوز السجود علیه، وعمّا لا یجوز؟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لا یجوز إلّاعلی الأرض، أو علی ما أنبتت الأرض إلّا 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العلّة فی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السجود خضوع للّه عزّ وجلّ فلا ینبغی أن یکون علی ما یؤکل ویلبس، لأنّ أبناء الدنیا عبید ما یأکلون ویلبسون، والساجد فی سجوده، فی عبادة اللّه عزّ وجلّ، فلا ینبغی أن یضع جبهته فی سجوده علی معبود أبناء الدنیا الذین اغترّوا بغرورها</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یکون غذاء الإنسان فی مطعمه أو مشربه، أو ملبسه، فلا تجوز الصلاة علیه، ولا السجود إلّاما کان من نبات الأرض من غیر ثمر، قبل أن یصیر مغزولًا، فإذا صار غزلًا فلا تجوز الصلاة علیه إلّافی حال ضرورة</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فلا عتب علی الشیعة إذا التزموا بالسجود علی الأرض أو ما أنبتته إذا لم یکن مأکولًا ولا ملبوساً اقتداءً بأئمّتهم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ما رواه أهل السنّة فی المقام، یدعم نظریّة الشیعة، وسیظهر لک فیما سیأتی من سرد الأحادیث من طرقهم، ویتّضح أنّ السنّة کانت هی</w:t>
      </w:r>
    </w:p>
    <w:p>
      <w:pPr>
        <w:pStyle w:val="BookText"/>
        <w:rPr/>
      </w:pPr>
      <w:r>
        <w:rPr>
          <w:rFonts w:ascii="IRNazanin" w:hAnsi="IRNazanin" w:eastAsia="IRNazanin"/>
          <w:color w:val="111111"/>
          <w:sz w:val="28"/>
          <w:sz w:val="28"/>
          <w:szCs w:val="28"/>
          <w:rtl w:val="true"/>
          <w:lang w:bidi="fa-IR"/>
        </w:rPr>
        <w:t>السجود علی الأرض، ثمّ جاءت الرخصة فی الحصر والبواری فقط، ولم یثبت الترخیص الثالث، بل ثبت المنع عنه کما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المحدث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آبائه، عن علی علیهم السلام، أنّ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بکم برّة، تتیمّمون منها، وتصلّون علیها فی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لکم کفاة فی الممات، وذلک من نعمة اللّه، له الحمد، فأفضل ما یسجد علیه المصلّی الأرض النقیّة</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وروی أیضاً عن جعفر بن محمد علیهما السلام أنّه قال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للمصلّی أن یباشر بجبهته الأرض، ویعفّر وجهه فی التراب، لأنّه من التذلّل للّه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وقال عبد الوهاب بن أحمد الأنصاری المصری المعروف بالشعرانی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إظهار الخضوع بالرأس حتی یمسّ الأرض بوجهه الذی هو أشرف أعضائه، سواء کان ذلک بالجبهة أو الأنف، بل ربّما کان الأنف عند بعضهم أولی بالوضع من حیث إنّه مأخوذ من الأنفة والکبریاء، فإذا وضعه علی الأرض، فکأنّه خرج عن الکبریاء التی عنده بین یدی اللّه تعالی، إذ الحضرة الإلهیة محرّم دخولها علی من فیه أدنی ذرة من کبر فإنّها هی الجنة الکبری حقیقة،</w:t>
      </w:r>
      <w:bookmarkStart w:id="941" w:name="pg1680_13488"/>
    </w:p>
    <w:p>
      <w:pPr>
        <w:pStyle w:val="BookText"/>
        <w:rPr/>
      </w:pPr>
      <w:bookmarkEnd w:id="941"/>
      <w:r>
        <w:rPr>
          <w:rFonts w:ascii="IRNazanin" w:hAnsi="IRNazanin" w:eastAsia="IRNazanin"/>
          <w:color w:val="111111"/>
          <w:sz w:val="28"/>
          <w:sz w:val="28"/>
          <w:szCs w:val="28"/>
          <w:rtl w:val="true"/>
          <w:lang w:bidi="fa-IR"/>
        </w:rPr>
        <w:t>وقد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الجنة من فی قلبه مثقال ذرة من کبر</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نقل الإمام المغربی المالکی الرودانی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یلزق أنفه مع جبهته بالأرض إذا سجد لم تجز صلاته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کما أنّ أصل العمل العبادی أمر توقیفی فکذلک شرائطه وأحکامه هی الأُخری التی یجب أن تُوضّح وتُبیَّن من جانب مبیّن الشریعة ومبلّغها، ونعنی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لأنّه صلی الله علیه و آله و سلم هو الأُسوة بنصّ القرآن الکریم والمبیّن للکتاب العزیز، وعلی المسلمین جمیعاً أن یتعلّموا منه أحکام دینهم وتفاصیل شریعتهم، وقد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وَمانَهاکُمْ عَنْه فانتَهُوا</w:t>
      </w:r>
      <w:r>
        <w:rPr>
          <w:rFonts w:eastAsia="Amiri" w:cs="Amiri" w:ascii="Amiri" w:hAnsi="Amiri"/>
          <w:color w:val="111111"/>
          <w:sz w:val="28"/>
          <w:szCs w:val="28"/>
          <w:rtl w:val="true"/>
          <w:lang w:bidi="ar-SA"/>
        </w:rPr>
        <w:t>».</w:t>
      </w:r>
      <w:r>
        <w:rPr>
          <w:rStyle w:val="FootnoteAnchor"/>
          <w:rtl w:val="true"/>
        </w:rPr>
        <w:footnoteReference w:id="665"/>
      </w:r>
    </w:p>
    <w:p>
      <w:pPr>
        <w:pStyle w:val="Heading5"/>
        <w:numPr>
          <w:ilvl w:val="4"/>
          <w:numId w:val="1"/>
        </w:numPr>
        <w:rPr/>
      </w:pPr>
      <w:bookmarkStart w:id="942" w:name="__RefHeading___Toc1401440_3650668749"/>
      <w:bookmarkStart w:id="943" w:name="_Toc358"/>
      <w:bookmarkEnd w:id="942"/>
      <w:r>
        <w:rPr/>
        <w:t>2</w:t>
      </w:r>
      <w:r>
        <w:rPr>
          <w:rtl w:val="true"/>
        </w:rPr>
        <w:t xml:space="preserve">. </w:t>
      </w:r>
      <w:r>
        <w:rPr>
          <w:rtl w:val="true"/>
        </w:rPr>
        <w:t>الفرق بین المسجود له والمسجود علیه‌</w:t>
      </w:r>
      <w:bookmarkEnd w:id="94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یتصوّر أنّ الالتزام بالسجود علی الأرض أو ما أنبتت منها بدعة وتُتخیّل التربة المسجود علیها وَثَناً، وهؤلاء هم الذین لا یفرّقون بین</w:t>
      </w:r>
      <w:bookmarkStart w:id="944" w:name="pg1680_13490"/>
    </w:p>
    <w:p>
      <w:pPr>
        <w:pStyle w:val="BookText"/>
        <w:rPr/>
      </w:pPr>
      <w:bookmarkEnd w:id="944"/>
      <w:r>
        <w:rPr>
          <w:rFonts w:ascii="IRNazanin" w:hAnsi="IRNazanin" w:eastAsia="IRNazanin"/>
          <w:color w:val="111111"/>
          <w:sz w:val="28"/>
          <w:sz w:val="28"/>
          <w:szCs w:val="28"/>
          <w:rtl w:val="true"/>
          <w:lang w:bidi="fa-IR"/>
        </w:rPr>
        <w:t>المسجود له والمسجود علیه، ویزعمون أنّ الحجر أو التربة الموضوعة أمام المصلِّی وثن یعبده المصلّی بوضع الجبهة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عتب علی الشیعة إذا قصر فهم المخالف، ولم یفرّق بین الأمرین، وزعم المسجودَ علیه مسجوداً له، وقاس أمرَ الموحّد بأمرِ المشرک بحجّة المشارکة فی الظاهر، فأخَذَ بالصور والظواهر، مع أنّ الملاک هو الأخذ بالبواطن والضمائر، فالوثن عند الوثنی معبود ومسجود له، یضعه أمامه ویرکع ویسجد له، ولکن الموحّد الذی یرید إظهارَ العبودیة إلی نهایة مراتبها، یخضع للّه سبحانه ویسجد له، ویضع جبهته ووجهه علی التراب والحجر والرمال والحصی، مظهراً بذلک مساواته معها عند التقییم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التراب وربّ الأرباب؟</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الساجد علی التربة غیر عابد لها، بل یتذلّل إلی ربّه بالسجود علیها، ومن توهّم عکس ذلک فهو من البلاهة بمکان، وسیؤدی إلی إرباک کلّ المصلین والحکم بشرکهم، فمن یسجد علی الفرش والقماش وغیره لابدّ أن یکون عابداً لها علی هذا المنوال فیا للعجب العجاب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الآمدی عن علی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عتائق الوجوه علی التراب</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945" w:name="__RefHeading___Toc1401442_3650668749"/>
      <w:bookmarkStart w:id="946" w:name="_Toc359"/>
      <w:bookmarkEnd w:id="945"/>
      <w:r>
        <w:rPr/>
        <w:t>3</w:t>
      </w:r>
      <w:r>
        <w:rPr>
          <w:rtl w:val="true"/>
        </w:rPr>
        <w:t xml:space="preserve">. </w:t>
      </w:r>
      <w:r>
        <w:rPr>
          <w:rtl w:val="true"/>
        </w:rPr>
        <w:t>السنّة فی السجود فی عصر الرسول صلی الله علیه و آله و سلم وبعده‌</w:t>
      </w:r>
      <w:bookmarkEnd w:id="946"/>
    </w:p>
    <w:p>
      <w:pPr>
        <w:pStyle w:val="Heading6"/>
        <w:numPr>
          <w:ilvl w:val="5"/>
          <w:numId w:val="1"/>
        </w:numPr>
        <w:rPr/>
      </w:pPr>
      <w:bookmarkStart w:id="947" w:name="__RefHeading___Toc1401444_3650668749"/>
      <w:bookmarkStart w:id="948" w:name="_Toc360"/>
      <w:bookmarkEnd w:id="947"/>
      <w:r>
        <w:rPr>
          <w:rtl w:val="true"/>
        </w:rPr>
        <w:t>اشارة</w:t>
      </w:r>
      <w:bookmarkEnd w:id="94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الأکرم صلی الله علیه و آله و سلم وصحبه کانوا ملتزمین بالسجود علی الأرض</w:t>
      </w:r>
      <w:bookmarkStart w:id="949" w:name="pg1680_13492"/>
    </w:p>
    <w:p>
      <w:pPr>
        <w:pStyle w:val="BookText"/>
        <w:rPr/>
      </w:pPr>
      <w:bookmarkEnd w:id="949"/>
      <w:r>
        <w:rPr>
          <w:rFonts w:ascii="IRNazanin" w:hAnsi="IRNazanin" w:eastAsia="IRNazanin"/>
          <w:color w:val="111111"/>
          <w:sz w:val="28"/>
          <w:sz w:val="28"/>
          <w:szCs w:val="28"/>
          <w:rtl w:val="true"/>
          <w:lang w:bidi="fa-IR"/>
        </w:rPr>
        <w:t>مدّة لا یستهان بها، متحمّلین شدّة الرمضاء، وغبار التراب، ورطوبة الطین، طیلة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یسجد أحد یوم ذاک علی الثوب وکور العمامة بل ولا علی الحصر والبواری والخمر، وأقصی ما کان عندهم لرفع الأذی عن الجبهة، هو تبرید الحصی بأکفّهم ثمّ السجود علیها، وقد شکا بعضهم رسول اللَّه صلی الله علیه و آله و سلم من شدّة الحرّ، فلم یجبه، إذ لم یکن له أن یبدل الأمر الإلهی من تلقاء نفسه، إلی أن وردت الرخصة بالسجود علی الخمر والحصر، فوسع الأمر للمسلمین لکن فی إطار محدود، وعلی ضوء هذا فقد مرّت فی ذلک الوقت علی المسلمین مرحلتان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الواجب فیها علی المسلمین السجود علی الأرض بأنواعها المختلفة من التراب والرمل والحصر والطین، ولم تکن هناک أیّة رخصة لغیرها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التی ورد فیها الرخصة بالسجود علی نبات الأرض من الحصر والبواری والخمر، تسهیلًا للأمر، ورفعاً للحرج والمشقّة، ولم تکن هناک أیّة مرحلة أُخری توسع الأمر للمسلمین أکثر من ذلک کما یدّعیه البعض، وإلیک البیان</w:t>
      </w:r>
      <w:r>
        <w:rPr>
          <w:rFonts w:eastAsia="IRNazanin" w:cs="IRNazanin"/>
          <w:color w:val="111111"/>
          <w:sz w:val="28"/>
          <w:szCs w:val="28"/>
          <w:rtl w:val="true"/>
          <w:lang w:bidi="fa-IR"/>
        </w:rPr>
        <w:t>:</w:t>
      </w:r>
    </w:p>
    <w:p>
      <w:pPr>
        <w:pStyle w:val="Heading6"/>
        <w:numPr>
          <w:ilvl w:val="5"/>
          <w:numId w:val="1"/>
        </w:numPr>
        <w:rPr/>
      </w:pPr>
      <w:bookmarkStart w:id="950" w:name="__RefHeading___Toc1401446_3650668749"/>
      <w:bookmarkStart w:id="951" w:name="_Toc361"/>
      <w:bookmarkEnd w:id="950"/>
      <w:r>
        <w:rPr>
          <w:rtl w:val="true"/>
        </w:rPr>
        <w:t>المرحلة الا ولی</w:t>
      </w:r>
      <w:r>
        <w:rPr>
          <w:rtl w:val="true"/>
        </w:rPr>
        <w:t xml:space="preserve">: </w:t>
      </w:r>
      <w:r>
        <w:rPr>
          <w:rtl w:val="true"/>
        </w:rPr>
        <w:t>السجود علی الأرض</w:t>
      </w:r>
      <w:r>
        <w:rPr>
          <w:rtl w:val="true"/>
        </w:rPr>
        <w:t>:</w:t>
      </w:r>
      <w:bookmarkEnd w:id="951"/>
    </w:p>
    <w:p>
      <w:pPr>
        <w:pStyle w:val="Heading6"/>
        <w:numPr>
          <w:ilvl w:val="5"/>
          <w:numId w:val="1"/>
        </w:numPr>
        <w:rPr/>
      </w:pPr>
      <w:bookmarkStart w:id="952" w:name="__RefHeading___Toc1401448_3650668749"/>
      <w:bookmarkStart w:id="953" w:name="_Toc362"/>
      <w:bookmarkEnd w:id="952"/>
      <w:r>
        <w:rPr>
          <w:rtl w:val="true"/>
        </w:rPr>
        <w:t>اشارة</w:t>
      </w:r>
      <w:bookmarkEnd w:id="95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الفریقان عن النبیّ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لی الأرض مسجداً وطهوراً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والمتبادر من الحدیث أنّ کلّ جزء من الأرض مسجد وطهور یُسجد علیه ویُقصد للتیمّم، وعلی ذلک فالأرض تقصد للجهتین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للسجود تارةً، وللتیمّم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تفسیر الروایة بأنّ العبادة والسجود للَّه سبحانه لا یختص بمکان دون مکان، بل الأرض کلّها مسجد للمسلمین بخلاف غیرهم حیث خصّوا العبادة بالبِیَع والکنائس، فهذا المعنی لیس مغایراً لما ذکرناه، فإنّه إذا کانت الأرض علی وجه الإطلاق مسجداً للمصلّی فیکون لازمه کون الأرض کلّها صالحة للعبادة، فما ذکر معنی التزامی لما ذکرناه، ویعرب عن کونه المراد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وجعلهما مفعولین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هو توصیف الأرض بوصفین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مسجداً وکونه طهوراً، وهذا هو الذی فهمه الجصاص‌وقال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ماجعله من الأرض مسجداً هو الذی جعله طهوراً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یتمّم به حیث إنّ التراب أحد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غیره من شرّاح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تبرید الحصی للسجود علیها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أُصلّی مع النبیّ صلی الله علیه و آله و سلم الظهر، فآخذ قبضة من الحصی، فأجعلها فی کفّی ثمّ أُحوّلها إلی الکف الأُخری حتی تبرد ثمّ أضعها لجبینی، حتّی أسجد علیها من شدّة الحرّ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علیه البیهقی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جاز السجود علی ثوب متّصل به لکان ذلک أسهل من تبرید الحصی بالکف ووضعها للسجود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السجود علی مطلق الثیاب سواء کان متصلًا أم منفصلًا جائزاً لکان أسهل من تبرید الحصی، ولأمکن حمل مندیل أو ما شابه للسجود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شدّة الحرّ فیأخذ أحدنا الحصباء فی یده فإذا برد وضعه وسجد علیه‌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خباب بن الأرت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شکونا إلی رسول اللَّه صلی الله علیه و آله و سلم شدّة الرمضاء فی جباهنا وأکفّنا فلم یشکنا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شکوا إلیه ما یجدون من ذلک لم یفسح لهم أن یسجدوا علی طرف ثیابهم‌</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المأثورات تعرب عن أنّ السنّة فی الصلاة کانت جاریة علی السجود علی الأرض فقط، حتّی أنّ الرسول صلی الله علیه و آله و سلم لم یفسح للمسلمین العدول عنها إلی الثیاب المتّصلة أو المنفصلة، وهو صلی الله علیه و آله و سلم مع کونه بالمؤمنین رؤوفاً رحیماً أوجب علیهم مسّ جباههم الأرض، وإن آذتهم شدّة الحرّ</w:t>
      </w:r>
      <w:r>
        <w:rPr>
          <w:rFonts w:eastAsia="IRNazanin" w:cs="IRNazanin"/>
          <w:color w:val="111111"/>
          <w:sz w:val="28"/>
          <w:szCs w:val="28"/>
          <w:rtl w:val="true"/>
          <w:lang w:bidi="fa-IR"/>
        </w:rPr>
        <w:t>.</w:t>
      </w:r>
      <w:bookmarkStart w:id="954" w:name="pg1680_13498"/>
    </w:p>
    <w:p>
      <w:pPr>
        <w:pStyle w:val="BookText"/>
        <w:rPr/>
      </w:pPr>
      <w:bookmarkEnd w:id="954"/>
      <w:r>
        <w:rPr>
          <w:rFonts w:ascii="IRNazanin" w:hAnsi="IRNazanin" w:eastAsia="IRNazanin"/>
          <w:color w:val="111111"/>
          <w:sz w:val="28"/>
          <w:sz w:val="28"/>
          <w:szCs w:val="28"/>
          <w:rtl w:val="true"/>
          <w:lang w:bidi="fa-IR"/>
        </w:rPr>
        <w:t>والذی یعرب عن التزام المسلمین بالسجود علی الأرض، وعن إصرار النبی الأکرم‌بوضع الجبهة علیها لا علی الثیاب المتّصلة ککور العمامة أو المنفصلة کالمنادیل والسجاجید، ما روی من حدیث الأمر بالتتریب فی غیر واحد من الروایات</w:t>
      </w:r>
      <w:r>
        <w:rPr>
          <w:rFonts w:eastAsia="IRNazanin" w:cs="IRNazanin"/>
          <w:color w:val="111111"/>
          <w:sz w:val="28"/>
          <w:szCs w:val="28"/>
          <w:rtl w:val="true"/>
          <w:lang w:bidi="fa-IR"/>
        </w:rPr>
        <w:t>.</w:t>
      </w:r>
    </w:p>
    <w:p>
      <w:pPr>
        <w:pStyle w:val="Heading6"/>
        <w:numPr>
          <w:ilvl w:val="5"/>
          <w:numId w:val="1"/>
        </w:numPr>
        <w:rPr/>
      </w:pPr>
      <w:bookmarkStart w:id="955" w:name="__RefHeading___Toc1401450_3650668749"/>
      <w:bookmarkStart w:id="956" w:name="_Toc363"/>
      <w:bookmarkEnd w:id="955"/>
      <w:r>
        <w:rPr>
          <w:rtl w:val="true"/>
        </w:rPr>
        <w:t>الأمر بتتریب الجبهة</w:t>
      </w:r>
      <w:bookmarkEnd w:id="95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النبیّ صلی الله علیه و آله و سلم صهیباً یسجد کأنّه یتّقی التراب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وجهک یا صهیب</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صهیباً کان یتّقی عن التتریب، بالسجود علی الثوب المتّصل والمنفصل، ولا أقل بالسجود علی الحصر والبواری والأحجار الصافیة، وعلی کلّ تقدیر، فالحدیث شاهد علی أفضلیّة السجود علی التراب فی مقابل السجود علی الحصی لما مرّ من جواز السجدة علی الحصی فی مقابل السجود علی غیر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النبی صلی الله علیه و آله و سلم غلاماً لنا یقال له أفلح ینفخ إذا 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أفلح ترّب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رباح ترّب وجهک</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فدخل علیها ابن أخ</w:t>
      </w:r>
      <w:bookmarkStart w:id="957" w:name="pg1680_13500"/>
    </w:p>
    <w:p>
      <w:pPr>
        <w:pStyle w:val="BookText"/>
        <w:rPr/>
      </w:pPr>
      <w:bookmarkEnd w:id="957"/>
      <w:r>
        <w:rPr>
          <w:rFonts w:ascii="IRNazanin" w:hAnsi="IRNazanin" w:eastAsia="IRNazanin"/>
          <w:color w:val="111111"/>
          <w:sz w:val="28"/>
          <w:sz w:val="28"/>
          <w:szCs w:val="28"/>
          <w:rtl w:val="true"/>
          <w:lang w:bidi="fa-IR"/>
        </w:rPr>
        <w:t>لها فصلّی فی بیتها رکعتین، فلمّا سجد نفخ التراب،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لا تنفخ، فإنّی سمعت رسول اللَّه صلی الله علیه و آله و سلم یقول لغلام له یقال له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وجهک للَّه</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8" w:name="__RefHeading___Toc1401452_3650668749"/>
      <w:bookmarkStart w:id="959" w:name="_Toc364"/>
      <w:bookmarkEnd w:id="958"/>
      <w:r>
        <w:rPr>
          <w:rtl w:val="true"/>
        </w:rPr>
        <w:t>الأمر بحسر العمامة عن الجبهة</w:t>
      </w:r>
      <w:bookmarkEnd w:id="95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کان إذا سجد رفع العمامة عن جبهته‌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أمیر المؤمنین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أحدکم یصلّی فلیحسر العمامة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لا یسجد علی کور العمامة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صالح بن حیوان السبائی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رأی رجلًا یسجد بجنبه وقد اعتمّ علی جبهته فحسر رسول اللَّه صلی الله علیه و آله و سلم عن جبهته‌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عیاض بن عبد اللَّه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صلی الله علیه و آله و سلم رجلًا یسجد علی کور عمامته فأومأ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عمامتک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إلی جبهته‌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الروایات تکشف عن أنّه لم یکن للمسلمین یوم ذاک تکلیف إلّا السجود علی الأرض، ولم یکن هناک أی‌رخصة سوی تبرید الحصی، ولو کان هناک ترخیص لما فعلوا ذلک، ولما أمر النبی صلی الله علیه و آله و سلم بالتتریب، وحسر العمامة عن الجبهة</w:t>
      </w:r>
      <w:r>
        <w:rPr>
          <w:rFonts w:eastAsia="IRNazanin" w:cs="IRNazanin"/>
          <w:color w:val="111111"/>
          <w:sz w:val="28"/>
          <w:szCs w:val="28"/>
          <w:rtl w:val="true"/>
          <w:lang w:bidi="fa-IR"/>
        </w:rPr>
        <w:t>.</w:t>
      </w:r>
      <w:bookmarkStart w:id="960" w:name="pg1680_13502"/>
    </w:p>
    <w:p>
      <w:pPr>
        <w:pStyle w:val="Heading6"/>
        <w:numPr>
          <w:ilvl w:val="5"/>
          <w:numId w:val="1"/>
        </w:numPr>
        <w:rPr/>
      </w:pPr>
      <w:bookmarkStart w:id="961" w:name="__RefHeading___Toc1401454_3650668749"/>
      <w:bookmarkStart w:id="962" w:name="_Toc365"/>
      <w:bookmarkEnd w:id="960"/>
      <w:bookmarkEnd w:id="961"/>
      <w:r>
        <w:rPr>
          <w:rtl w:val="true"/>
        </w:rPr>
        <w:t>المرحلة الثانیة</w:t>
      </w:r>
      <w:r>
        <w:rPr>
          <w:rtl w:val="true"/>
        </w:rPr>
        <w:t xml:space="preserve">: </w:t>
      </w:r>
      <w:r>
        <w:rPr>
          <w:rtl w:val="true"/>
        </w:rPr>
        <w:t>الترخیص فی السجود علی الخُمر والحصر</w:t>
      </w:r>
      <w:bookmarkEnd w:id="962"/>
    </w:p>
    <w:p>
      <w:pPr>
        <w:pStyle w:val="Heading6"/>
        <w:numPr>
          <w:ilvl w:val="5"/>
          <w:numId w:val="1"/>
        </w:numPr>
        <w:rPr/>
      </w:pPr>
      <w:bookmarkStart w:id="963" w:name="__RefHeading___Toc1401456_3650668749"/>
      <w:bookmarkStart w:id="964" w:name="_Toc366"/>
      <w:bookmarkEnd w:id="963"/>
      <w:r>
        <w:rPr>
          <w:rtl w:val="true"/>
        </w:rPr>
        <w:t>اشارة</w:t>
      </w:r>
      <w:bookmarkEnd w:id="964"/>
    </w:p>
    <w:p>
      <w:pPr>
        <w:pStyle w:val="BookText"/>
        <w:rPr/>
      </w:pPr>
      <w:r>
        <w:rPr>
          <w:rFonts w:ascii="IRNazanin" w:hAnsi="IRNazanin" w:eastAsia="IRNazanin"/>
          <w:color w:val="111111"/>
          <w:sz w:val="28"/>
          <w:sz w:val="28"/>
          <w:szCs w:val="28"/>
          <w:rtl w:val="true"/>
          <w:lang w:bidi="fa-IR"/>
        </w:rPr>
        <w:t>هذه الأحادیث والمأثورات المبثوثة فی الصحاح والمسانید وسائر کتب الحدیث تعرب عن التزام النبی صلی الله علیه و آله و سلم وأصحابه بالسجود علی الأرض بأنواعها، وأنّهم کانوا لا یعدلون عنه، وإن صعب الأمر واشتدّ الحرّ، لکن هناک نصوصاً تعرب عن ترخیص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بإیحاء من اللَّه سبحانه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ما أنبتت الأرض، فسهل لهم بذلک أمر السجود، ورفع عنهم الإصر والمشقّة فی الحرّ والبرد، وفیما إذا کانت الأرض مبتلّة، وإلیک تلک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یصلّی علی الخمرة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یصلّی علی الخمرة،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و سلم یصلّی علی الخمرة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النبیّ‌یصلّی علی الخمرة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یصلّی علی الخمرة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965" w:name="pg1680_13504"/>
    </w:p>
    <w:p>
      <w:pPr>
        <w:pStyle w:val="BookText"/>
        <w:rPr/>
      </w:pPr>
      <w:bookmarkEnd w:id="9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اللَّه‌یصلّی علی الخمرة فیسجد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الخمرة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یصلّی علی الخمر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علی الخمرة یلازم السجود علیها، لأنّ حرارة الجوّ کانت تلزمهم بأخذ الخمرة فُرشاً</w:t>
      </w:r>
      <w:r>
        <w:rPr>
          <w:rFonts w:eastAsia="IRNazanin" w:cs="IRNazanin"/>
          <w:color w:val="111111"/>
          <w:sz w:val="28"/>
          <w:szCs w:val="28"/>
          <w:rtl w:val="true"/>
          <w:lang w:bidi="fa-IR"/>
        </w:rPr>
        <w:t>.</w:t>
      </w:r>
    </w:p>
    <w:p>
      <w:pPr>
        <w:pStyle w:val="Heading6"/>
        <w:numPr>
          <w:ilvl w:val="5"/>
          <w:numId w:val="1"/>
        </w:numPr>
        <w:rPr/>
      </w:pPr>
      <w:bookmarkStart w:id="966" w:name="__RefHeading___Toc1401458_3650668749"/>
      <w:bookmarkStart w:id="967" w:name="_Toc367"/>
      <w:bookmarkEnd w:id="966"/>
      <w:r>
        <w:rPr>
          <w:rtl w:val="true"/>
        </w:rPr>
        <w:t>السجود علی الثیاب لعذر</w:t>
      </w:r>
      <w:r>
        <w:rPr>
          <w:rtl w:val="true"/>
        </w:rPr>
        <w:t>:</w:t>
      </w:r>
      <w:bookmarkEnd w:id="967"/>
    </w:p>
    <w:p>
      <w:pPr>
        <w:pStyle w:val="BookText"/>
        <w:rPr/>
      </w:pPr>
      <w:r>
        <w:rPr>
          <w:rFonts w:ascii="IRNazanin" w:hAnsi="IRNazanin" w:eastAsia="IRNazanin"/>
          <w:color w:val="111111"/>
          <w:sz w:val="28"/>
          <w:sz w:val="28"/>
          <w:szCs w:val="28"/>
          <w:rtl w:val="true"/>
          <w:lang w:bidi="fa-IR"/>
        </w:rPr>
        <w:t>قد عرفت المرحلتین الماضیتین، ولو کانت هناک مرحلة ثالثة فإنّما هی مرحلة جواز السجود علی غیر الأرض وما ینبت منها لعذر وضرورة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الترخیص جاء متأخّراً عن المرحلتین لما عرفت أنّ النبیّ صلی الله علیه و آله و سلم لم یُجب شکوی الأصحاب من شدّة الحرّ والرمضاء، وراح هو وأصحابه یسجدون علی الأرض متحمّلین الحرّ والأذی، ولکنّ الباری عزّ اسمه رخّص لرفع الحرج السجود علی الثیاب لعذر وضرورة، وإلیک ما ورد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صلّینا مع النبی صلی الله علیه و آله و سلم فلم یستطع أحدنا أن یمکن جبهته من الأرض، طرح ثوبه ثم سجد علیه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 مع النبیّ صلی الله علیه و آله و سلم فیضع أحدنا</w:t>
      </w:r>
    </w:p>
    <w:p>
      <w:pPr>
        <w:pStyle w:val="BookText"/>
        <w:rPr/>
      </w:pPr>
      <w:r>
        <w:rPr>
          <w:rFonts w:ascii="IRNazanin" w:hAnsi="IRNazanin" w:eastAsia="IRNazanin"/>
          <w:color w:val="111111"/>
          <w:sz w:val="28"/>
          <w:sz w:val="28"/>
          <w:szCs w:val="28"/>
          <w:rtl w:val="true"/>
          <w:lang w:bidi="fa-IR"/>
        </w:rPr>
        <w:t>طرف الثوب من 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یستطع أحدنا أن یمکّن جبهته من الأرض، بسط ثوبه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صلّینا مع النبیّ صلی الله علیه و آله و سلم فیضع أحدنا طرف الثوب من شدّة الحرّ مکان السجود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التی نقلها أصحاب الصحاح والمسانید تکشف حقیقة بعض ما روی فی ذلک المجال الظاهر فی جواز السجود علی الثیاب فی حالة الاختیار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روایة أنس نصّ فی أنّهم کانوا یفعلون ذلک حالة الضرورة، فتکون قرینة علی المراد من هذه المطلقات، وإلیک بعض ما روی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محرز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یصلّی علی کور عمامته‌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مع أنّها معارضة لما مرّ من نهی النبیّ صلی الله علیه و آله و سلم عن السجود علیه، محمولة علی العذر والضرورة، وقد صرّح بذلک الشیخ البیهقی فی سننه،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روی فی ذلک عن النبیّ صلی الله علیه و آله و سلم من السجود علی کور العمامة فلا یثبت شی‌ء من ذلک، وأصحّ ما روی فی ذلک قول الحسن البصری حکایة عن أصحاب النبیّ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مکحولًا یسجد علی عمامته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تسجد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أتّقی البرد علی أسنانی‌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 مع النبیّ صلی الله علیه و آله و سلم فیسجد أحدنا علی ثوبه‌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محمولة علی صورة العذر بقرینة ما رویناه عنه، وبما رواه عنه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 مع النبیّ صلی الله علیه و آله و سلم فی شدّة الحرّ، فإذا لم یستطع أحدنا أن یمکّن وجهه من الأرض بسط ثوبه فسجد علیه‌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ما رواه النسائی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صلّینا خلف النبی صلی الله علیه و آله و سلم بالظهائر سجدنا علی ثیابنا اتّقاء الحرّ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قاصرة الدلالة حیث لا تدلّ إلّاعلی أنّ النبیّ صلی الله علیه و آله و سلم صلّی علی الفرو، وأمّا أنّه سجد علیه فلا دلالة لها علیه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یصلّی علی الحصیر والفرو المدبوغة</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مع کونها ضعیفة بیونس بن الحرث، لا تقاوم هی وما فی معناها ما سردناه من الروایات فی المرحلتین الماضیتین</w:t>
      </w:r>
      <w:r>
        <w:rPr>
          <w:rFonts w:eastAsia="IRNazanin" w:cs="IRNazanin"/>
          <w:color w:val="111111"/>
          <w:sz w:val="28"/>
          <w:szCs w:val="28"/>
          <w:rtl w:val="true"/>
          <w:lang w:bidi="fa-IR"/>
        </w:rPr>
        <w:t>.</w:t>
      </w:r>
      <w:bookmarkStart w:id="968" w:name="pg1680_13511"/>
    </w:p>
    <w:p>
      <w:pPr>
        <w:pStyle w:val="Heading6"/>
        <w:numPr>
          <w:ilvl w:val="5"/>
          <w:numId w:val="1"/>
        </w:numPr>
        <w:rPr/>
      </w:pPr>
      <w:bookmarkStart w:id="969" w:name="__RefHeading___Toc1401460_3650668749"/>
      <w:bookmarkStart w:id="970" w:name="_Toc368"/>
      <w:bookmarkEnd w:id="968"/>
      <w:bookmarkEnd w:id="969"/>
      <w:r>
        <w:rPr>
          <w:rtl w:val="true"/>
        </w:rPr>
        <w:t>حصیلة البحث</w:t>
      </w:r>
      <w:r>
        <w:rPr>
          <w:rtl w:val="true"/>
        </w:rPr>
        <w:t>:</w:t>
      </w:r>
      <w:bookmarkEnd w:id="970"/>
    </w:p>
    <w:p>
      <w:pPr>
        <w:pStyle w:val="BookText"/>
        <w:rPr/>
      </w:pPr>
      <w:r>
        <w:rPr>
          <w:rFonts w:ascii="IRNazanin" w:hAnsi="IRNazanin" w:eastAsia="IRNazanin"/>
          <w:color w:val="111111"/>
          <w:sz w:val="28"/>
          <w:sz w:val="28"/>
          <w:szCs w:val="28"/>
          <w:rtl w:val="true"/>
          <w:lang w:bidi="fa-IR"/>
        </w:rPr>
        <w:t>إنّ المتأمّل فی الروایات یجد وبدون لبس أنّ قضیّة السجود فی الصلاة مرت بمرحلتین أو ثلاث مراحل، ففی المرحلة الا ولی کان الفرض السجود علی الأرض ولم یرخّص للمسلمین السجود علی غیرها، وفی الثانیة جاء الترخیص فیما تنبته الأرض، ولیست وراء هاتین المرحلتین مرحلة أُخری إلّاجواز السجود علی الثیاب لعذر وضرورة، فما یظهر من بعض الروایات من جواز السجود علی الفرو وأمثاله مطلقاً فمحمولة علی الضرورة، أو لا دلالة لها علی السجود علیها، بل غایتها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بوضوح أنّ ما التزمت به الشیعة هو عین ما جاءت به السنّة النبویّة، ولم تنحرف عنه قید أنملة، ولعلّ الفقهاء أدری بذلک من غیرهم، لأنّهم الا مناء علی الرسالة والأدلاء فی طریق الشریعة، ونحن ندعو إلی قلیل من التأمّل لإحقاق الحقّ وتجاوز البدع</w:t>
      </w:r>
      <w:r>
        <w:rPr>
          <w:rFonts w:eastAsia="IRNazanin" w:cs="IRNazanin"/>
          <w:color w:val="111111"/>
          <w:sz w:val="28"/>
          <w:szCs w:val="28"/>
          <w:rtl w:val="true"/>
          <w:lang w:bidi="fa-IR"/>
        </w:rPr>
        <w:t>.</w:t>
      </w:r>
    </w:p>
    <w:p>
      <w:pPr>
        <w:pStyle w:val="Heading6"/>
        <w:numPr>
          <w:ilvl w:val="5"/>
          <w:numId w:val="1"/>
        </w:numPr>
        <w:rPr/>
      </w:pPr>
      <w:bookmarkStart w:id="971" w:name="__RefHeading___Toc1401462_3650668749"/>
      <w:bookmarkStart w:id="972" w:name="_Toc369"/>
      <w:bookmarkEnd w:id="971"/>
      <w:r>
        <w:rPr>
          <w:rtl w:val="true"/>
        </w:rPr>
        <w:t>ما هو السرّ فی اتّخاذ تربة طاهرة؟</w:t>
      </w:r>
      <w:bookmarkEnd w:id="97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سؤال یطرحه کثیراً إخواننا أهل السنّة حول سبب اتّخاذ الشیعة تربة طاهرة فی السفر والحضر والسجود علیها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یتخیّل البسطاء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یسجدون لها لا علیها، ویعبدون الحجر والتربة، وذلک لأنّ هؤلاء المساکین لا یفرّقون بین السجود علی التربة، والسجود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فالإجابة عنها واضحة، فإنّ المستحسن عند الشیعة هو اتّخاذ تربة طاهرة طیّبة لیتیقن من طهارتها، من أیّ أرض أُخذت، ومن أیّ صقع من أرجاء العالم کانت، وهی کلّها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الالتزام إلّامثل التزام المصلّی بطهارة جسده وملبسه ومصلّاه، وأمّا سرّ الالتزام فی اتّخاذ التربة هو أنّ الثقة بطهارة کلّ أرض یحلّ بها، ویتّخذها مسجداً، لا تتأتّی له فی کلّ موضع من المواضع التی یرتادها المسلم فی حلّه وترحاله، بل وأنّی له ذلک وهذه الأماکن ترتادها أصناف مختلفة من البشر، مسلمین کانوا أم غیرهم، ملتزمین بأُصول الطهارة أم غیر ذلک، وفی ذلک محنة کبیرة تواجه المسلم فی صلاته لا یجد مناصاً من أن یتخذ لنفسه تربة طاهرة یطمئنّ بها وبطهارتها، یسجد علیها لدی صلاته حذراً من السجدة علی الرجاسة والنجاسة، والأوساخ التی لا یتقرّب بها إلی اللَّه قط ولا تجوّز السنّة السجود علیها ولا یقبله العقل السلیم، خصوصاً بعد ورود التأکید التام البالغ فی طهارة أعضاء المصلّی ولباسه والنهی عن الصلاة فی مواطن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المزبلة، والمجزرة، وقارعة الطریق، والحمام، ومواطن الإبل، بل والأمر بتطهیر المساجد وتطییبها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کانت ثابتة عند السلف الصالح وإن غفل التاریخ عن نقلها،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التابعی الفقیه مسروق بن الأجدع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یصحب فی أسفاره لبنة من المدینة یسجد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أخرجه بن أبی شیبة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من کان حمل فی السفینة شیئاً 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بإسنادین أنّ مسروقاً کان إذا سافر حمل معه فی السفینة لبنة یسجد بها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تبیّن أنّ التزام الشیعة باتّخاذ التربة مسجداً لیس إلّالتسهیل الأمر للمصلّی فی سفره وحضره خوفاً من أن لا یجد أرضاً طاهرةً أو حصیراً طاهراً فیصعب الأمر علیه، وهذا کادّخار المسلم تربة طاهرة لغایة التیمّم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السرّ فی التزام الشیعة استحباباً بالسجود علی التربة الحسینیة فإنّ من الأغراض العالیة والمقاصد السامیة منها، أن یتذکّر المصلّی حین یضع جبهته علی تلک التربة، تضحیة ذلک الإمام بنفسه وأهل بیته والصفوة من أصحابه فی سبیل العقیدة والمبدأ ومقارعة الجور والفساد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السجود أعظم أرکان الصلاة،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إلی ربّه حال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فیناسب أن یتذکّر بوضع جبهته علی تلک التربة الزاکیة، أُولئک الذین جعلوا أجسامهم ضحایا للحقّ، وارتفعت أرواحهم إلی الملأ الأعلی، لیخشع ویخضع ویتلازم الوضع والرفع، وتحتقر هذه الدنیا الزائفة، وزخارفها الزائلة، ولعلّ هذا هو المقصود من أنّ السجود علیها یخرق الحجب السبع کما فی الخبر، فیکون حینئذ فی</w:t>
      </w:r>
    </w:p>
    <w:p>
      <w:pPr>
        <w:pStyle w:val="BookText"/>
        <w:rPr/>
      </w:pPr>
      <w:r>
        <w:rPr>
          <w:rFonts w:ascii="IRNazanin" w:hAnsi="IRNazanin" w:eastAsia="IRNazanin"/>
          <w:color w:val="111111"/>
          <w:sz w:val="28"/>
          <w:sz w:val="28"/>
          <w:szCs w:val="28"/>
          <w:rtl w:val="true"/>
          <w:lang w:bidi="fa-IR"/>
        </w:rPr>
        <w:t>السجود سر الصعود والعروج من التراب إلی ربّ الأرباب‌</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نتّخذ من تربة کربلاء قطعاً لمعاً، وأقراصاً نسجد علیها کما کان فقیه السلف مسروق بن الأجدع یحمل معه لبنة من تربة المدینة المنوّرة یسجد علیها، والرجل تلمیذ الخلافة الراشدة، فقیه المدینة، ومعلّم السنّة بها، وحاشاه من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ذلک أیّ حزازة وتعسّف أو شی‌ء یضاد نداء القرآن الکریم أو یخالف سنّة اللَّه وسنّة رسوله صلی الله علیه و آله و سلم أو خروج من حکم العقل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اتّخاذ تربة کربلاء مسجداً لدی الشیعة من الفرض المحتّم، ولا من واجب الشرع والدین، ولا ممّا ألزمه المذهب، ولا یفرق أیّ أحد منهم منذ أوّل یومها بینها وبین غیرها من تراب جمیع الأرض فی جواز السجود علیها خلاف ما یزعمه الجاهل بهم وبآرائهم، وإن هو عندهم إلّااستحسان عقلی لیس إلّا، واختیار لما هو الأولی بالسجود لدی العقل والمنطق والاعتبار فحسب کما سمعت، وکثیر من رجال المذهب یتّخذون معهم فی أسفارهم غیر تربة کربلاء ممّا یصحّ السجود علیه کحصیر طاهر نظیف یوثق بطهارته أو خمرة مثله ویسجدون علیه فی صلواتهم‌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إلمام إجمالی بهذه المسألة الفقهیة والتفصیل موکول إلی محلّه، وقد أغنانا عن ذلک ما سطّره أعلام العصر وأکابره، وأخص بالذکر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الکبیر الشیخ محمّد حسین کاشف الغطاء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والتربة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الکبیر الشیخ عبد الحسین الأمینی مؤلّف الغدیر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دوّن رسالة فی هذا الموضوع طبعت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علی الأحمدی رحمه الله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أجاد فی التتبّع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 فی هذه المسألة اقتباس من أنوار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الماضین من علمائنا وحفظ اللَّه الباقین منهم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وقفنا علیه من الأبحاث والتی أوردناها فی هذا المختصر</w:t>
      </w:r>
      <w:r>
        <w:rPr>
          <w:rFonts w:eastAsia="IRNazanin" w:cs="IRNazanin"/>
          <w:color w:val="111111"/>
          <w:sz w:val="28"/>
          <w:szCs w:val="28"/>
          <w:rtl w:val="true"/>
          <w:lang w:bidi="fa-IR"/>
        </w:rPr>
        <w:t>.</w:t>
      </w:r>
      <w:bookmarkStart w:id="973" w:name="pg1680_13520"/>
    </w:p>
    <w:p>
      <w:pPr>
        <w:pStyle w:val="Heading4"/>
        <w:numPr>
          <w:ilvl w:val="3"/>
          <w:numId w:val="1"/>
        </w:numPr>
        <w:rPr/>
      </w:pPr>
      <w:bookmarkStart w:id="974" w:name="__RefHeading___Toc1401464_3650668749"/>
      <w:bookmarkStart w:id="975" w:name="_Toc370"/>
      <w:bookmarkEnd w:id="973"/>
      <w:bookmarkEnd w:id="974"/>
      <w:r>
        <w:rPr/>
        <w:t>8</w:t>
      </w:r>
      <w:r>
        <w:rPr>
          <w:rtl w:val="true"/>
        </w:rPr>
        <w:t xml:space="preserve">- </w:t>
      </w:r>
      <w:r>
        <w:rPr>
          <w:rtl w:val="true"/>
        </w:rPr>
        <w:t>الجلوس بعد رفع الرأس من السجدة الثانیة</w:t>
      </w:r>
      <w:bookmarkEnd w:id="975"/>
    </w:p>
    <w:p>
      <w:pPr>
        <w:pStyle w:val="BookText"/>
        <w:rPr/>
      </w:pPr>
      <w:r>
        <w:rPr>
          <w:rFonts w:ascii="IRNazanin" w:hAnsi="IRNazanin" w:eastAsia="IRNazanin"/>
          <w:color w:val="111111"/>
          <w:sz w:val="28"/>
          <w:sz w:val="28"/>
          <w:szCs w:val="28"/>
          <w:rtl w:val="true"/>
          <w:lang w:bidi="fa-IR"/>
        </w:rPr>
        <w:t>ذهب فقهاء الإمامیة والشافعی علی وجوب الجلوس علی من رفع رأسه من السجدة الثانیة قبل نهوضه إلی الرکعة التالیة، وذهب باقی الفقهاء کأبی حنیفة ومالک ومن عداهما إلی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المروی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کان یجلس هذه الجلسة</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976" w:name="__RefHeading___Toc1401466_3650668749"/>
      <w:bookmarkStart w:id="977" w:name="_Toc371"/>
      <w:bookmarkEnd w:id="976"/>
      <w:r>
        <w:rPr/>
        <w:t>9</w:t>
      </w:r>
      <w:r>
        <w:rPr>
          <w:rtl w:val="true"/>
        </w:rPr>
        <w:t xml:space="preserve">- </w:t>
      </w:r>
      <w:r>
        <w:rPr>
          <w:rtl w:val="true"/>
        </w:rPr>
        <w:t>کیفیة التشهد والتسلیم‌</w:t>
      </w:r>
      <w:bookmarkEnd w:id="977"/>
    </w:p>
    <w:p>
      <w:pPr>
        <w:pStyle w:val="BookText"/>
        <w:rPr/>
      </w:pPr>
      <w:r>
        <w:rPr>
          <w:rFonts w:ascii="IRNazanin" w:hAnsi="IRNazanin" w:eastAsia="IRNazanin"/>
          <w:color w:val="111111"/>
          <w:sz w:val="28"/>
          <w:sz w:val="28"/>
          <w:szCs w:val="28"/>
          <w:rtl w:val="true"/>
          <w:lang w:bidi="fa-IR"/>
        </w:rPr>
        <w:t>وممّا اختلف فیه الفریقان هوصیغة التشهد فی الصلاة قال الشیخ</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والتشهد فریضة فی الصلاة، فمن ترکه متعمداً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یجزی الإنسان فی التشهد الشهادتان والصلاة علی النبی محمد وآله الطیبین، فإن زاد علی ذلک کان أفضل</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وصورة التشهد الکاملة عند فقهاء الإمامیة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إلّااللَّه وحده لا شریک، وأشهد أنّ محمداً عبده ورسوله، 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صورة التسلیم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السلام علینا وعلی عباد اللَّه الصالحین، 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لدی الشیعة وأمّا صورة التشهد عند أهل السنّة فهی عند أبی حنیفة تخالف ما عند مالک وکلاهما یخالف ما عند الشافعی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التشهّد ما رواه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صلینا مع رسول اللَّه صلی الله علیه و آله و سلم فی الصلاة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اللَّه قبل عباده، السلام علی فلان وفلان،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السلام علی اللَّه فأنّ اللَّه هو السلام، ولکن إذا جلس أحدکم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للَّه‌والصلاة الطیبات السلام علیک أیها النبی ورحمة اللَّه وبرکاته، السلام علینا وعلی عباد اللَّه الصالحین أشهد أن لا اله الا اللَّه وأشهد أن محمداً عبده ورسوله</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ما روی عن عمر بن الخطاب أنّه علم الناس علی المنبر التشهّد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 الزاکیات للَّه، الصلوات للَّه، الطیبات للَّه، السلام علیک أیّها النبی ورحمة اللَّه وبرکاته، السلام علینا وعلی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الصالحین، أشهد أن لا إله إلّااللَّه، وأشهد أنّ محمداً عبده ورسوله</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التشهّد 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یعلّمنا التشهّد کما یعلّمنا القرآن،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المبارکات الصلوات الطیبات للَّه، السلام علیک أیّها النبی ورحمة اللَّه وبرکاته، السلام علینا وعلی عباد اللَّه الصالحین، أشهد أن لا إله إلّاالخلاق، وأشهد أنّ محمداً عبده ورسوله</w:t>
      </w:r>
      <w:r>
        <w:rPr>
          <w:rFonts w:eastAsia="IRNazanin" w:cs="IRNazanin"/>
          <w:color w:val="111111"/>
          <w:sz w:val="28"/>
          <w:szCs w:val="28"/>
          <w:rtl w:val="true"/>
          <w:lang w:bidi="fa-IR"/>
        </w:rPr>
        <w:t>.</w:t>
      </w:r>
      <w:r>
        <w:rPr>
          <w:rStyle w:val="FootnoteAnchor"/>
          <w:rtl w:val="true"/>
        </w:rPr>
        <w:footnoteReference w:id="704"/>
      </w:r>
      <w:bookmarkStart w:id="978" w:name="pg1680_13526"/>
    </w:p>
    <w:p>
      <w:pPr>
        <w:pStyle w:val="Heading4"/>
        <w:numPr>
          <w:ilvl w:val="3"/>
          <w:numId w:val="1"/>
        </w:numPr>
        <w:rPr/>
      </w:pPr>
      <w:bookmarkStart w:id="979" w:name="__RefHeading___Toc1401468_3650668749"/>
      <w:bookmarkStart w:id="980" w:name="_Toc372"/>
      <w:bookmarkEnd w:id="978"/>
      <w:bookmarkEnd w:id="979"/>
      <w:r>
        <w:rPr/>
        <w:t>10</w:t>
      </w:r>
      <w:r>
        <w:rPr>
          <w:rtl w:val="true"/>
        </w:rPr>
        <w:t xml:space="preserve">- </w:t>
      </w:r>
      <w:r>
        <w:rPr>
          <w:rtl w:val="true"/>
        </w:rPr>
        <w:t>الجمع بین الصلاتین فی الحضر اختیاراً</w:t>
      </w:r>
      <w:bookmarkEnd w:id="980"/>
    </w:p>
    <w:p>
      <w:pPr>
        <w:pStyle w:val="Heading5"/>
        <w:numPr>
          <w:ilvl w:val="4"/>
          <w:numId w:val="1"/>
        </w:numPr>
        <w:rPr/>
      </w:pPr>
      <w:bookmarkStart w:id="981" w:name="__RefHeading___Toc1401470_3650668749"/>
      <w:bookmarkStart w:id="982" w:name="_Toc373"/>
      <w:bookmarkEnd w:id="981"/>
      <w:r>
        <w:rPr>
          <w:rtl w:val="true"/>
        </w:rPr>
        <w:t>اشارة</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کلمة الفقهاء علی رجحان الجمع بین الصلاتین فی عرفة والمزدلفة جمعاً حقیقیاً، لا صوریاً،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 الجمع بین الظهر والعصر فی وقت الظهر بعرفة وبین المغرب والعشاء بالمزدلفة أیضاً فی وقت العشاء سنّة أیضاً، وإنّما اختلفوا فی الجمع فی غیر هذین المکانین</w:t>
      </w:r>
      <w:r>
        <w:rPr>
          <w:rFonts w:eastAsia="IRNazanin" w:cs="IRNazanin"/>
          <w:color w:val="111111"/>
          <w:sz w:val="28"/>
          <w:szCs w:val="28"/>
          <w:rtl w:val="true"/>
          <w:lang w:bidi="fa-IR"/>
        </w:rPr>
        <w:t>.</w:t>
      </w:r>
      <w:r>
        <w:rPr>
          <w:rStyle w:val="FootnoteAnchor"/>
        </w:rPr>
        <w:footnoteReference w:id="7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معظم فقهاء السنّة غیر الحسن والنخعی وأبی حنیفة وصاحبیه إلی جواز الجمع بین الصلاتین فی السفر، فیجوز عند الجمهور غیر هؤلاء، الجمعُ بین الظهر والعصر تقدیماً فی وقت الأُولی وتأخیراً فی وقت الثانیة، وبین المغرب والعشاء تقدیماً وتأخیراً أیضاً، فالصلوات الّتی تجمع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المغرب والعشاء فی وقت إحداهما، ویسمّی الجمع فی وقت الصلاة الأُولی جمع التقدیم، والجمع فی وقت الصلاة الثانیة جمع التأخیر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فقهاء السنّة جواز الجمع بین الصلاتین فی الحضر</w:t>
      </w:r>
    </w:p>
    <w:p>
      <w:pPr>
        <w:pStyle w:val="BookText"/>
        <w:rPr/>
      </w:pPr>
      <w:r>
        <w:rPr>
          <w:rFonts w:ascii="IRNazanin" w:hAnsi="IRNazanin" w:eastAsia="IRNazanin"/>
          <w:color w:val="111111"/>
          <w:sz w:val="28"/>
          <w:sz w:val="28"/>
          <w:szCs w:val="28"/>
          <w:rtl w:val="true"/>
          <w:lang w:bidi="fa-IR"/>
        </w:rPr>
        <w:t>لأجل الأعذار، کالمطر علی اختلاف فی مصادیق العذر، فبعضهم خصّه بالمطر، وبعض آخر عممه إلی الریح والمرض والظلمة</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ونظیره الاختلاف فی الصلوات الّتی تجمع، فبعضهم خصّ الجواز بالمغرب والعشاء والبعض الآخر عمّمه إلی الظهرین‌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والمهم فی المقام هو الجمع فی مقام رابع وهو الجمع بین الصلاتین فی الحضر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الإمامیة علی أنّه یجوز الجمع بین الصلاتین فی الحضر اختیاراً وإن کان التفریق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الصلاتین، بین الظهر والعصر وبین المغرب وعشاء الآخرة، فی السفر والحضر وعلی کلّ حال، ولا فرق بین أن یجمع بینهما فی وقت الأولة منهما أو وقت الثانیة، لأنّ الوقت مشترک بعد الزوال وبعد المغرب علی ما بیّناه</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إنّ الجمع بین الصلاتین علی مذهب الإمامیة لیس بمعنی إتیان الصلاة فی غیر وقتها الشرعی، بل المراد الإتیان فی غیر وقت الفضیلة، وإلیک تفصیل المذهب</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للنصوص الواردة عن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إذا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صلاة الظهر یُؤتی بها قبل العصر، وعلی ذلک فالوقت بین الظهر والغروب وقت مشترک بین الصلاتین، غیر أنّه یختص مقدار أربع رکعات من الزوال بالظهر ومقدار أربع رکعات من الآخر للعصر وما بینهما وقت مشترک، فلو صلّی الظهر والعصر فی أی جزء من بین الزوال والغروب فقد أتی بهما فی وقتهما، وذلک لأنّ الوقت مشترک بینهما، غیر أنّه یختص بالظهر مقدار أربع رکعات من أوّل الوقت ولا یصحّ فیه العصر ویختص بالعصر بمقدار أربع رکعات من آخر الوقت ولا یصحّ إتیان الظهر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واقع المذهب، ولأجل ذلک فالجامع بین الصلاتین فی غیر الوقت المختص به آت بالفریضة فی وقتها فصلاته أداء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فلکلّ من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وقت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فوقت فضیلة الظهر من الزوال إلی بلوغ ظل الشاخص الحادث بعد الانعدام أو بعد الانتهاء مثله، ووقت فضیلة العصر من المثل إلی المثلین عند المشهور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یعلم وقت المغرب والعشاء، فإذا غربت الشمس دخل الوقتان إلی نصف اللیل، ویختص المغرب بأوّله بمقدار أدائه والعشاء بآخره کذلک وما بینهما وقت مشترک، ومع ذلک انّ لکلّ من الصلاتین وقت فضیلة، فوقت فضیلة صلاة المغرب من المغرب إلی ذهاب الشفق</w:t>
      </w:r>
    </w:p>
    <w:p>
      <w:pPr>
        <w:pStyle w:val="BookText"/>
        <w:rPr/>
      </w:pPr>
      <w:r>
        <w:rPr>
          <w:rFonts w:ascii="IRNazanin" w:hAnsi="IRNazanin" w:eastAsia="IRNazanin"/>
          <w:color w:val="111111"/>
          <w:sz w:val="28"/>
          <w:sz w:val="28"/>
          <w:szCs w:val="28"/>
          <w:rtl w:val="true"/>
          <w:lang w:bidi="fa-IR"/>
        </w:rPr>
        <w:t>وهی الحمرة المغربیة، ووقت فضیلة العشاء من ذهاب الشفق إلی ثلث اللیل</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وأکثر من یستغرب جمع الشیعة الإمامیة بین الصلاتین لأجل انّه یتصور انّ الجامع یصلّی إحدی الصلاتین فی غیر وقتها، ولکنّه غرب عن باله أنّه یأتی بالصلاة فی غیر وقت الفضیلة ولکنّه یأتی بها فی وقت الإجزاء، ولا غرو أن یکون للصلاة أوقاتاً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الاختصاص کما فی أربع رکعات من أوّل الوقت وآخره، أو ثلاث رکعات بعد المغرب وأربع رکعات قبل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الفضیلة، وقد عرفت تفصیله فی الظهرین والعشائین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الإجزاء، وهو مطلق ما بین الحدّین إلّا ما یختصّ بإحدی الصلاتین، فیکون وقت الإجزاء أعمّ من وقت الفضیلة وخارجه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تضافرت الروایات عن أئمّة أهل البیت انّه إذا زالت الشمس دخل الوقتان إلّاأنّ هذه قبل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باسناده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وإذا غابت الشمس دخل الوقتان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والعشاء الآخرة</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وروی الشیخ الطوسی باسناده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w:t>
      </w:r>
    </w:p>
    <w:p>
      <w:pPr>
        <w:pStyle w:val="BookText"/>
        <w:rPr/>
      </w:pPr>
      <w:r>
        <w:rPr>
          <w:rFonts w:ascii="IRNazanin" w:hAnsi="IRNazanin" w:eastAsia="IRNazanin"/>
          <w:color w:val="111111"/>
          <w:sz w:val="28"/>
          <w:sz w:val="28"/>
          <w:szCs w:val="28"/>
          <w:rtl w:val="true"/>
          <w:lang w:bidi="fa-IR"/>
        </w:rPr>
        <w:t>اللّه علیه السلام عن وقت الظهر والعصر؟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وقت الظهر والعصر، إلّاانّ هذه قبل هذه 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والروایات بهذا المضمون متوافرة اقتصرنا علی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الصلوات تتمتع بأوقات ثلاثة کما بیّناه یتبیّن انّ الجمع لیس بأمر مشکل وإنّما یفوت به فضیلة الوقت لا أصل الوقت، ولأجل ذلک ورد عن أئمّة أهل البیت أنّ التفریق أفضل من الجمع، فنذکر فی المقام بعض ما یصرح بجواز الجمع تیمّناً وتبرّکاً، وإلّا فالمسألة من ضروریات الفقه الإمامی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باسناده عن عبد اللّه بن سنان، عن الصادق علیه السلام انّ رسول اللّه صلی الله علیه و آله و سلم جمع بین الظهر والعصر بأذان وإقامتین، وجمع بین المغرب والعشاء فی الحضر من غیر علّة بأذان واحد وإقامتین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باسناده عن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صلّی الظهر والعصر فی مکان واحد من غیر علة ولا سبب،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أجرأ القوم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فی الصلاة شی‌ء؟</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أردت أن أوسع علی أُمّتی</w:t>
      </w:r>
      <w:r>
        <w:rPr>
          <w:rFonts w:eastAsia="IRNazanin" w:cs="IRNazanin"/>
          <w:color w:val="111111"/>
          <w:sz w:val="28"/>
          <w:szCs w:val="28"/>
          <w:rtl w:val="true"/>
          <w:lang w:bidi="fa-IR"/>
        </w:rPr>
        <w:t>».</w:t>
      </w:r>
      <w:r>
        <w:rPr>
          <w:rStyle w:val="FootnoteAnchor"/>
          <w:rtl w:val="true"/>
        </w:rPr>
        <w:footnoteReference w:id="712"/>
      </w:r>
      <w:bookmarkStart w:id="983" w:name="pg1680_13536"/>
    </w:p>
    <w:p>
      <w:pPr>
        <w:pStyle w:val="BookText"/>
        <w:rPr/>
      </w:pPr>
      <w:bookmarkEnd w:id="9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الکلینی باسناده عن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 اللّه بالناس الظهر والعصر حین زالت الشمس فی جماعة من غیر علّة، وصلّی بهم المغرب والعشاء الآخرة قبل سقوط الشفق من غیر علّة فی جماعة، وإنّما فعل رسول اللّه صلی الله علیه و آله و سلم لیتسع الوقت علی أُمّته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المتوفرة التی جمعها الشیخ الحر العاملی فی وسائل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هنا تبیّن نظریة الشیعة فی الجمع بین الصلاتین</w:t>
      </w:r>
      <w:r>
        <w:rPr>
          <w:rFonts w:eastAsia="IRNazanin" w:cs="IRNazanin"/>
          <w:color w:val="111111"/>
          <w:sz w:val="28"/>
          <w:szCs w:val="28"/>
          <w:rtl w:val="true"/>
          <w:lang w:bidi="fa-IR"/>
        </w:rPr>
        <w:t>.</w:t>
      </w:r>
    </w:p>
    <w:p>
      <w:pPr>
        <w:pStyle w:val="Heading5"/>
        <w:numPr>
          <w:ilvl w:val="4"/>
          <w:numId w:val="1"/>
        </w:numPr>
        <w:rPr/>
      </w:pPr>
      <w:bookmarkStart w:id="984" w:name="__RefHeading___Toc1401472_3650668749"/>
      <w:bookmarkStart w:id="985" w:name="_Toc374"/>
      <w:bookmarkEnd w:id="984"/>
      <w:r>
        <w:rPr>
          <w:rtl w:val="true"/>
        </w:rPr>
        <w:t xml:space="preserve">*** </w:t>
      </w:r>
      <w:r>
        <w:rPr>
          <w:rtl w:val="true"/>
        </w:rPr>
        <w:t>التنویع فی الوقت فی فقه السنّة</w:t>
      </w:r>
      <w:bookmarkEnd w:id="985"/>
    </w:p>
    <w:p>
      <w:pPr>
        <w:pStyle w:val="BookText"/>
        <w:rPr/>
      </w:pPr>
      <w:r>
        <w:rPr>
          <w:rFonts w:ascii="IRNazanin" w:hAnsi="IRNazanin" w:eastAsia="IRNazanin"/>
          <w:color w:val="111111"/>
          <w:sz w:val="28"/>
          <w:sz w:val="28"/>
          <w:szCs w:val="28"/>
          <w:rtl w:val="true"/>
          <w:lang w:bidi="fa-IR"/>
        </w:rPr>
        <w:t>وربما یتصوّر من لا خبرة له أنّ هذا التنویع فی الوقت من خصائص الفقه الإمامی، فإنّ تنویع الوقت إلی أوقات ثلاثة یوجد فی کلا الفقهین وإن کان بینهما اختلاف فی الکمیة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النووی فی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للظهر ثلاثة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فضیلة، ووقت اختیار، ووقت عذر؛ فوقت الفضیلة أوّله، ووقت الاختیار ما بعد وقت الفضیلة، إلی آخر الوقت، ووقت العذر وقت العصر فی حقّ من یجمع بسفر أو مطر</w:t>
      </w:r>
      <w:r>
        <w:rPr>
          <w:rFonts w:eastAsia="IRNazanin" w:cs="IRNazanin"/>
          <w:color w:val="111111"/>
          <w:sz w:val="28"/>
          <w:szCs w:val="28"/>
          <w:rtl w:val="true"/>
          <w:lang w:bidi="fa-IR"/>
        </w:rPr>
        <w:t>.</w:t>
      </w:r>
      <w:bookmarkStart w:id="986" w:name="pg1680_13538"/>
    </w:p>
    <w:p>
      <w:pPr>
        <w:pStyle w:val="BookText"/>
        <w:rPr/>
      </w:pPr>
      <w:bookmarkEnd w:id="986"/>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أربعة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فضیلة، ووقت اختیار، ووقت جواز، ووقت عذر؛ فوقت الفضیلة إذا صار ظل الشی مثل ربعه، والاختیار إذا صار مثل نصفه، والجواز إذا صار ظله مثله وهو آخر الوقت، والعذر وقت العصر لمن جمع بسفر أو مطر</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987" w:name="__RefHeading___Toc1401474_3650668749"/>
      <w:bookmarkStart w:id="988" w:name="_Toc375"/>
      <w:bookmarkEnd w:id="987"/>
      <w:r>
        <w:rPr>
          <w:rtl w:val="true"/>
        </w:rPr>
        <w:t>من یوافق الإمامیة بعض الموافقة</w:t>
      </w:r>
      <w:bookmarkEnd w:id="988"/>
    </w:p>
    <w:p>
      <w:pPr>
        <w:pStyle w:val="BookText"/>
        <w:rPr/>
      </w:pPr>
      <w:r>
        <w:rPr>
          <w:rFonts w:ascii="IRNazanin" w:hAnsi="IRNazanin" w:eastAsia="IRNazanin"/>
          <w:color w:val="111111"/>
          <w:sz w:val="28"/>
          <w:sz w:val="28"/>
          <w:szCs w:val="28"/>
          <w:rtl w:val="true"/>
          <w:lang w:bidi="fa-IR"/>
        </w:rPr>
        <w:t>کما أنّ هناک من یقول ببعض ما ذهبت إلیه الإمامیة، نقله النووی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وطاووس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ظل الشی‌ء مثله دخل وقت العصر وما بعده وقت للظهر والعصر علی سبیل الاشتراک حتی تغرب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یخص صیرورة ظل الشی‌ء مثله للظهر، ثمّ یجعل الباقی مشترکاً بینهما حتی تغرب الشمس، وهو قریب ممّا ذهب إلیه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ظله مثله فهو آخر وقت الظهر وأوّل وقت العصر بالاشتراک، فإذا زاد علی المثل زیادة بیّنة خرج وقت الظهر</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وهذا القول یجعل قسماً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صیرورة الظل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زیادة الظل عنه زیادة بیّنة وقتاً مشترکاً بین الظهر والعصر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عنه أیضاً انّ وقت الظهر یمتد إلی غروب الشمس</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إلی غیر ذلک من الأقوال التی فیها نوع موافقة للفقه الإمامی</w:t>
      </w:r>
      <w:r>
        <w:rPr>
          <w:rFonts w:eastAsia="IRNazanin" w:cs="IRNazanin"/>
          <w:color w:val="111111"/>
          <w:sz w:val="28"/>
          <w:szCs w:val="28"/>
          <w:rtl w:val="true"/>
          <w:lang w:bidi="fa-IR"/>
        </w:rPr>
        <w:t>.</w:t>
      </w:r>
      <w:bookmarkStart w:id="989" w:name="pg1680_13540"/>
    </w:p>
    <w:p>
      <w:pPr>
        <w:pStyle w:val="Heading5"/>
        <w:numPr>
          <w:ilvl w:val="4"/>
          <w:numId w:val="1"/>
        </w:numPr>
        <w:rPr/>
      </w:pPr>
      <w:bookmarkStart w:id="990" w:name="__RefHeading___Toc1401476_3650668749"/>
      <w:bookmarkStart w:id="991" w:name="_Toc376"/>
      <w:bookmarkEnd w:id="989"/>
      <w:bookmarkEnd w:id="990"/>
      <w:r>
        <w:rPr>
          <w:rtl w:val="true"/>
        </w:rPr>
        <w:t>من یوافق الإمامیة تمام الموافقة من السنّة</w:t>
      </w:r>
      <w:bookmarkEnd w:id="991"/>
    </w:p>
    <w:p>
      <w:pPr>
        <w:pStyle w:val="BookText"/>
        <w:rPr/>
      </w:pPr>
      <w:r>
        <w:rPr>
          <w:rFonts w:ascii="IRNazanin" w:hAnsi="IRNazanin" w:eastAsia="IRNazanin"/>
          <w:color w:val="111111"/>
          <w:sz w:val="28"/>
          <w:sz w:val="28"/>
          <w:szCs w:val="28"/>
          <w:rtl w:val="true"/>
          <w:lang w:bidi="fa-IR"/>
        </w:rPr>
        <w:t>والجمع بین الصلاتین اختیاراً وإن کان من ضروریات الفقه الإمامی، ولیست الإمامیّة متفردة فیه بل وافقهم لفیف من فقهاء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الجمع فی الحضر لغیر عذر فإن مالکاً وأکثر الفقهاء لا یجیزونه، وأجاز ذلک جماعة من أهل الظاهر، وأشهب من أصحاب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اختلافهم، اختلافهم فی مفهوم حدیث ابن عباس، فمنهم من تأوّله علی أنّه کان من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أخذ بعمومه مطلقاً، وقد خرّج مسلم زیادة فی حدیثه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خوف ولا سفر ولا مطر، و بهذا تمسّک أهل الظاهر</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فی مذاهبهم من الجمع بلا خوف ولا سفر ولا مطر ولا مرض، مذهبنا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أبی حنیفة ومالک وأحمد والجمهور انّه لا یجوز، وحکی ابن المنذر عن طائفة جوازه بلا سبب، قال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وجوّزه ابن سیرین لحاجة أو ما لم یتّخذه عادة</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وعلی کل تقدیر فالمهم هو الدلیل لا الأقوال، فإن وافقت الدلیل فهو، وإلّا فالمرجع هو الدلیل</w:t>
      </w:r>
      <w:r>
        <w:rPr>
          <w:rFonts w:eastAsia="IRNazanin" w:cs="IRNazanin"/>
          <w:color w:val="111111"/>
          <w:sz w:val="28"/>
          <w:szCs w:val="28"/>
          <w:rtl w:val="true"/>
          <w:lang w:bidi="fa-IR"/>
        </w:rPr>
        <w:t>.</w:t>
      </w:r>
      <w:bookmarkStart w:id="992" w:name="pg1680_13542"/>
    </w:p>
    <w:p>
      <w:pPr>
        <w:pStyle w:val="Heading5"/>
        <w:numPr>
          <w:ilvl w:val="4"/>
          <w:numId w:val="1"/>
        </w:numPr>
        <w:rPr/>
      </w:pPr>
      <w:bookmarkStart w:id="993" w:name="__RefHeading___Toc1401478_3650668749"/>
      <w:bookmarkStart w:id="994" w:name="_Toc377"/>
      <w:bookmarkEnd w:id="992"/>
      <w:bookmarkEnd w:id="993"/>
      <w:r>
        <w:rPr>
          <w:rtl w:val="true"/>
        </w:rPr>
        <w:t>الکتاب والجمع بین الصلاتین‌</w:t>
      </w:r>
      <w:bookmarkEnd w:id="99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إنّ الآیة متکفّلة لبیان أوقات الصلوات الخمسة، فلو قلنا بأنّ المراد من غسق اللیل هو انتصافه، فیکون ما بین الدلوک وغسق اللیل أوقاتاً للصلوات الأربع، غیر أنّ الدلیل دلّ علی خروج وقت الظهرین بغروب الشمس، فیکون ما بین الدلوک والغروب وقتاً مشترکاً للظهرین کما یکون ما بین الغروب وغسق اللیل وقتاً مشترکاً للمغرب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یفسر الغسق بغروب الشمس، فعندئذ تتکفل الآیة لبیان وقت الظهرین وصلاة الفجر دون المغرب والعشاء، والمعروف هو التفسیر الأوّل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دلالة علی أنّ وقت صلاة الظهر موسّع إلی آخر النهار، لأنّ اللّه سبحانه جعل من دلوک الشمس الذی هو الزوال إلی غسق اللیل وقتاً للصلوات الأربع إلّاأنّ الظهر والعصر اشترکا فی الوقت من الزوال إلی الغروب، والمغرب والعشاء الآخرة اشترکا فی الوقت من الغروب إلی الغسق وأفرد صلاة الفجر بالذکر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بیان وجوب الصلوات الخمس وبیان أوقاتها</w:t>
      </w:r>
      <w:r>
        <w:rPr>
          <w:rFonts w:eastAsia="IRNazanin" w:cs="IRNazanin"/>
          <w:color w:val="111111"/>
          <w:sz w:val="28"/>
          <w:szCs w:val="28"/>
          <w:rtl w:val="true"/>
          <w:lang w:bidi="fa-IR"/>
        </w:rPr>
        <w:t>.</w:t>
      </w:r>
      <w:r>
        <w:rPr>
          <w:rStyle w:val="FootnoteAnchor"/>
          <w:rtl w:val="true"/>
        </w:rPr>
        <w:footnoteReference w:id="71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ذکرناه هو الذی نصّ علیه الإمام الباقر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لنبیّه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 صلوات سمّاهن اللّه وبیّنهن ووقّتهن، وغسق اللیل هو انتصافه، ثمّ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صلاتان أوّل وقتهما من زوال الشمس إلّا أنّ هذه قبل هذه، ومنها صلاتان أوّل وقتهما من غروب الشمس إلی انتصاف اللیل إلّاأنّ هذه قبل هذه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قوم إلی أنّ صلاة الظهر یتمادی وقتها من الزوال إلی الغروب، لأنّ اللّه سبحانه علّق وجوبها علی الدلوک وهذا دلوک کلّه؛ قاله الأوزاعی وأبو حنیفة فی تفصیل، وأشار إلیه مالک والشافعی فی حالة الضرورة</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فسرنا الغسق بظهور أوّل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عن ابن عبّاس وعطاء والنضر 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الغسقُ عبارة عن أوّل المغرب، وعلی هذا التقدیر یکون المذکور فی الآیة ثلاثة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الزوال، ووقت أوّل المغرب، ووقت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یکون الزوال وقتاً للظهر والعصر فیکون هذا الوقت مشترکاً بین هاتین الصلاتین، وأن یکون أوّل المغرب وقتاً للمغرب والعشاء فیکون هذا الوقت مشترکاً أیضاً بین هاتین الصلاتین، فهذا یقتضی جواز الجمع بین الظهر والعصر والمغرب والعشاء مطلقاً، إلّاأنّه دلّ الدلیل علی أنّ الجمع فی الحضر من غیر عذر لا یجوز، فوجَبَ أن یکون الجمع جائزاً لعذر السفر وعند المطر وغیره</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وما حقّقه الرازی فی المقام، حقّ لیس وراءه شی‌ء، لکن عدوله عنه،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الجمع فی الحضر من غیر عذر لا یجوز لوجود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بالغیب، إذ أیّ دلیل قام علی عدم الجواز بلا عذر، فهل الدلیل هو الکتاب؟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حسب تحقیقه یدلّ علی الجواز، أو السنّة وسیوافیک تضافر النصوص علی الجواز، أو الإجماع فلیس عدم الجواز موضع إجماع، وقد عرفت القول بالجواز أیضاً من أهل السنّة، مضافاً إلی إطباق أئمّة أهل البیت علیهم السلام علی الجواز؛ ولیس وراء الکتاب والسنّة والإجماع حجّة، کما لیس وراء عبادان قریة</w:t>
      </w:r>
      <w:r>
        <w:rPr>
          <w:rFonts w:eastAsia="IRNazanin" w:cs="IRNazanin"/>
          <w:color w:val="111111"/>
          <w:sz w:val="28"/>
          <w:szCs w:val="28"/>
          <w:rtl w:val="true"/>
          <w:lang w:bidi="fa-IR"/>
        </w:rPr>
        <w:t>.</w:t>
      </w:r>
      <w:r>
        <w:rPr>
          <w:rStyle w:val="FootnoteAnchor"/>
          <w:rtl w:val="true"/>
        </w:rPr>
        <w:footnoteReference w:id="724"/>
      </w:r>
      <w:bookmarkStart w:id="995" w:name="pg1680_13548"/>
    </w:p>
    <w:p>
      <w:pPr>
        <w:pStyle w:val="Heading5"/>
        <w:numPr>
          <w:ilvl w:val="4"/>
          <w:numId w:val="1"/>
        </w:numPr>
        <w:rPr/>
      </w:pPr>
      <w:bookmarkStart w:id="996" w:name="__RefHeading___Toc1401480_3650668749"/>
      <w:bookmarkStart w:id="997" w:name="_Toc378"/>
      <w:bookmarkEnd w:id="995"/>
      <w:bookmarkEnd w:id="996"/>
      <w:r>
        <w:rPr>
          <w:rtl w:val="true"/>
        </w:rPr>
        <w:t>السنّة والجمع بین الصلاتین فی الحضر اختیاراً</w:t>
      </w:r>
      <w:bookmarkEnd w:id="997"/>
    </w:p>
    <w:p>
      <w:pPr>
        <w:pStyle w:val="BookText"/>
        <w:rPr/>
      </w:pPr>
      <w:r>
        <w:rPr>
          <w:rFonts w:ascii="IRNazanin" w:hAnsi="IRNazanin" w:eastAsia="IRNazanin"/>
          <w:color w:val="111111"/>
          <w:sz w:val="28"/>
          <w:sz w:val="28"/>
          <w:szCs w:val="28"/>
          <w:rtl w:val="true"/>
          <w:lang w:bidi="fa-IR"/>
        </w:rPr>
        <w:t>قد تضافرت الروایات عن الصادع بالحق علی جواز الجمع بین الصلاتین فی الحضر اختیاراً رواها أصحاب الصحاح والسنن والمسانید، فلنقدم ما رواه مسلم بالسند والمتن ثمّ نذکر ما نقله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یحیی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الزبیر،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الظهر والعصر جمیعاً والمغرب والعشاء جمیعاً فی غیر خوف ولا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أحمد بن یونس وعون بن سلام جمیعاًعن زهیر، 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حدّثنا أبو الزبیر،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الظهر والعصر جمیعاً بالمدینة فی غیر خوف ولا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کما سألتنی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أحداً من أُمّته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أبو بکر بن أبی شیبة وأبو کریب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وحدّثنا أبو کریب وأبو سعید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لأبی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کلاهما عن الأعمش، عن حبیب بن أبی ثابت،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و سلم بین الظهر والعصر والمغرب والعشاء بالمدینة فی غیر خوف ولا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یُحرج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أبی معاویة 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إلی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أُمّته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وحدّثنا أبو بکر بن أبی شیبة، حدّثنا سفیان بن عیینة، عن عمرو، عن جابر بن زید،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النبی صلی الله علیه و آله و سلم ثمانیاً جمیعاً وسبعاً جمیعاً،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الشعثاء أظنه أخّر الظهر وعجّل العصر وأخّر المغرب وعجّل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أظن ذاک</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إلی الجمع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بلا دلیل وهو لا یغنی من الحقّ شیئاً، وهو مخالف لما تضافرت من أسناد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الربیع الزهرانی، حدّثنا حماد بن زید، عن عمرو بن دینار، عن جابر بن زید، عن ابن عبّاس أنّ رسول اللّه صلی الله علیه و آله و سلم صلّی بالمدینة سبعاً وثمانیاً</w:t>
      </w:r>
      <w:r>
        <w:rPr>
          <w:rStyle w:val="FootnoteAnchor"/>
          <w:rtl w:val="true"/>
        </w:rPr>
        <w:footnoteReference w:id="726"/>
      </w:r>
      <w:r>
        <w:rPr>
          <w:rFonts w:ascii="IRNazanin" w:hAnsi="IRNazanin" w:eastAsia="IRNazanin"/>
          <w:color w:val="111111"/>
          <w:sz w:val="28"/>
          <w:sz w:val="28"/>
          <w:szCs w:val="28"/>
          <w:rtl w:val="true"/>
          <w:lang w:bidi="fa-IR"/>
        </w:rPr>
        <w:t>الظهر والعصر والمغرب والعشاء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وحدّثنی أبو الربیع الزهرانی، حدّثنا حماد، عن الزبیر بن الخریت، عن عبد اللّه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ابن عباس یوماً بعد العصر حتّی غربت الشمس وبدت النجوم، وجعل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من بنی تمیم لا یفتر ولا ینثنی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أتعلّمنی بالسنّة لا أُمَّ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جمع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فحاک فی صدری من ذلک شی‌ء فأتیت أبا هریرة فسألته، فصدّق مقالته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ابن أبی عمر، حدّثنا وکیع، حدّثنا عمران بن حدیر، عن</w:t>
      </w:r>
    </w:p>
    <w:p>
      <w:pPr>
        <w:pStyle w:val="BookText"/>
        <w:rPr/>
      </w:pPr>
      <w:r>
        <w:rPr>
          <w:rFonts w:ascii="IRNazanin" w:hAnsi="IRNazanin" w:eastAsia="IRNazanin"/>
          <w:color w:val="111111"/>
          <w:sz w:val="28"/>
          <w:sz w:val="28"/>
          <w:szCs w:val="28"/>
          <w:rtl w:val="true"/>
          <w:lang w:bidi="fa-IR"/>
        </w:rPr>
        <w:t>عبد اللّه بن شقیق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أتعلّمنا بالصلاة وکنّا نجمع بین الصلاتین علی عهد رسول اللّه صلی الله علیه و آله و سلم</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هذا ما نقله مسلم فی صحیحه، وإلیک ما نقله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صلّی بالمدینة سبعاً وثمانیاً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والمغرب والعشاء، 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فی لیلة مطیرة؟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خرج البخاری عن جابر بن زید،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 آله و سلم سبعاً جمیعاً وثمانیاً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بإرسال عن ابن عمر وأبی أیّوب وابن عباس</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النبیّ صلی الله علیه و آله و سلم المغرب والعشاء</w:t>
      </w:r>
      <w:r>
        <w:rPr>
          <w:rFonts w:eastAsia="IRNazanin" w:cs="IRNazanin"/>
          <w:color w:val="111111"/>
          <w:sz w:val="28"/>
          <w:szCs w:val="28"/>
          <w:rtl w:val="true"/>
          <w:lang w:bidi="fa-IR"/>
        </w:rPr>
        <w:t>.</w:t>
      </w:r>
      <w:r>
        <w:rPr>
          <w:rStyle w:val="FootnoteAnchor"/>
        </w:rPr>
        <w:footnoteReference w:id="728"/>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بین الظهر والعصر وبین المغرب والعشاء بالمدینة من غیر</w:t>
      </w:r>
    </w:p>
    <w:p>
      <w:pPr>
        <w:pStyle w:val="BookText"/>
        <w:rPr/>
      </w:pPr>
      <w:r>
        <w:rPr>
          <w:rFonts w:ascii="IRNazanin" w:hAnsi="IRNazanin" w:eastAsia="IRNazanin"/>
          <w:color w:val="111111"/>
          <w:sz w:val="28"/>
          <w:sz w:val="28"/>
          <w:szCs w:val="28"/>
          <w:rtl w:val="true"/>
          <w:lang w:bidi="fa-IR"/>
        </w:rPr>
        <w:t>خوف ولا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لایحرج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 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قد روی عنه من غیر وجه، رواه جابر بن زید وسعید بن جبیر وعبد اللّه بن شقیق العقیلی</w:t>
      </w:r>
      <w:r>
        <w:rPr>
          <w:rFonts w:eastAsia="IRNazanin" w:cs="IRNazanin"/>
          <w:color w:val="111111"/>
          <w:sz w:val="28"/>
          <w:szCs w:val="28"/>
          <w:rtl w:val="true"/>
          <w:lang w:bidi="fa-IR"/>
        </w:rPr>
        <w:t>.</w:t>
      </w:r>
      <w:r>
        <w:rPr>
          <w:rStyle w:val="FootnoteAnchor"/>
        </w:rPr>
        <w:footnoteReference w:id="729"/>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الإمام أحمد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زید،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بین الظهر والعصر، والمغرب والعشاء بالمدینة فی غیر خوف ولا مطر، 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 لغیر ذلک؟ قال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ألّا یحرج أُمّته</w:t>
      </w:r>
      <w:r>
        <w:rPr>
          <w:rFonts w:eastAsia="Amiri" w:cs="Amiri" w:ascii="Amiri" w:hAnsi="Amiri"/>
          <w:color w:val="111111"/>
          <w:sz w:val="28"/>
          <w:szCs w:val="28"/>
          <w:rtl w:val="true"/>
          <w:lang w:bidi="ar-SA"/>
        </w:rPr>
        <w:t>.</w:t>
      </w:r>
      <w:r>
        <w:rPr>
          <w:rStyle w:val="FootnoteAnchor"/>
        </w:rPr>
        <w:footnoteReference w:id="730"/>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الإمام أحمد عن سفیان،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جابر بن زید انّه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 آله و سلم ثمانیاً جمیعاً وسبعاً جمیعاً،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الشعثاء أظنّه أخّر الظهر وعجل العصر، وأخّر المغرب وعجّل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ذلک</w:t>
      </w:r>
      <w:r>
        <w:rPr>
          <w:rFonts w:eastAsia="IRNazanin" w:cs="IRNazanin"/>
          <w:color w:val="111111"/>
          <w:sz w:val="28"/>
          <w:szCs w:val="28"/>
          <w:rtl w:val="true"/>
          <w:lang w:bidi="fa-IR"/>
        </w:rPr>
        <w:t>.</w:t>
      </w:r>
      <w:r>
        <w:rPr>
          <w:rStyle w:val="FootnoteAnchor"/>
        </w:rPr>
        <w:footnoteReference w:id="731"/>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الإمام أحمد عن عبد اللّه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ابن عباس یوماً بعد العصر حتّی غربت الشمس وبدت النجوم وعلق الناس ینادونه</w:t>
      </w:r>
    </w:p>
    <w:p>
      <w:pPr>
        <w:pStyle w:val="BookText"/>
        <w:rPr/>
      </w:pPr>
      <w:r>
        <w:rPr>
          <w:rFonts w:ascii="IRNazanin" w:hAnsi="IRNazanin" w:eastAsia="IRNazanin"/>
          <w:color w:val="111111"/>
          <w:sz w:val="28"/>
          <w:sz w:val="28"/>
          <w:szCs w:val="28"/>
          <w:rtl w:val="true"/>
          <w:lang w:bidi="fa-IR"/>
        </w:rPr>
        <w:t>الصلاة وفی القوم رجل من بنی تمیم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فغضب،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أتعلّمنی بالسنّة شهدت رسول اللّه صلی الله علیه و آله و سلم جمع بین الظهر والعصر والمغرب والعشاء،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 نفسی من ذلک شیئا فلقیت أبا هریرة فسألته فوافقه</w:t>
      </w:r>
      <w:r>
        <w:rPr>
          <w:rFonts w:eastAsia="IRNazanin" w:cs="IRNazanin"/>
          <w:color w:val="111111"/>
          <w:sz w:val="28"/>
          <w:szCs w:val="28"/>
          <w:rtl w:val="true"/>
          <w:lang w:bidi="fa-IR"/>
        </w:rPr>
        <w:t>.</w:t>
      </w:r>
      <w:r>
        <w:rPr>
          <w:rStyle w:val="FootnoteAnchor"/>
        </w:rPr>
        <w:footnoteReference w:id="732"/>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مالک عن سعید بن جبیر، عن عبد اللّه بن عباس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 اللّه صلی الله علیه و آله و سلم الظهر والعصر جمیعاً والمغرب والعشاء جمیعاً فی غیر خوف ولا سفر</w:t>
      </w:r>
      <w:r>
        <w:rPr>
          <w:rFonts w:eastAsia="IRNazanin" w:cs="IRNazanin"/>
          <w:color w:val="111111"/>
          <w:sz w:val="28"/>
          <w:szCs w:val="28"/>
          <w:rtl w:val="true"/>
          <w:lang w:bidi="fa-IR"/>
        </w:rPr>
        <w:t>.</w:t>
      </w:r>
      <w:r>
        <w:rPr>
          <w:rStyle w:val="FootnoteAnchor"/>
        </w:rPr>
        <w:footnoteReference w:id="733"/>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عن سعید بن جبیر، عن عبد 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رسول اللّه صلی الله علیه و آله و سلم الظهر والعصر جمیعاً، والمغرب والعشاء جمیعاً فی غیر خوف ولا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ذلک کان فی مطر</w:t>
      </w:r>
      <w:r>
        <w:rPr>
          <w:rFonts w:eastAsia="IRNazanin" w:cs="IRNazanin"/>
          <w:color w:val="111111"/>
          <w:sz w:val="28"/>
          <w:szCs w:val="28"/>
          <w:rtl w:val="true"/>
          <w:lang w:bidi="fa-IR"/>
        </w:rPr>
        <w:t>.</w:t>
      </w:r>
      <w:r>
        <w:rPr>
          <w:rStyle w:val="FootnoteAnchor"/>
        </w:rPr>
        <w:footnoteReference w:id="734"/>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عن جابر بن زید،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بالمدینة ثمانیاً وسبعاً الظهر والعصر، والمغرب والعشاء</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صالح مولی التوأمة،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مطر</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النسائی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الظهر والعصر جمیعاً والمغرب والعشاء جمیعاً من غیر خوف ولا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عن سعید بن جبیر، عن ابن عباس انّ النبی صلی الله علیه و آله و سلم کان یصلّی بالمدینة یجمع بین الصلاتین بین الظهر والعصر والمغرب والعشاء من غیر خوف ولا مطر،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علی أُمّته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عن أبی الشعثاء،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وراء رسول اللّه صلی الله علیه و آله و سلم ثمانیاً جمیعاً وسبعاً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عن جابر بن زید، عن ابن عباس انّه صلّی بالبصرة الأُولی والعصر لیس بینهما شی‌ء، والمغرب والعشاء لیس بینهما شی‌ء فعل ذلک من شغل، وزعم ابن عباس انّه صلّی مع رسول اللّه بالمدینة، الأُولی والعصر ثمان سجدات لیس بینهما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عبد الرزاق عن داود بن قیس، عن صالح مولی التوأمة انّه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بین الظهر</w:t>
      </w:r>
    </w:p>
    <w:p>
      <w:pPr>
        <w:pStyle w:val="BookText"/>
        <w:rPr/>
      </w:pPr>
      <w:r>
        <w:rPr>
          <w:rFonts w:ascii="IRNazanin" w:hAnsi="IRNazanin" w:eastAsia="IRNazanin"/>
          <w:color w:val="111111"/>
          <w:sz w:val="28"/>
          <w:sz w:val="28"/>
          <w:szCs w:val="28"/>
          <w:rtl w:val="true"/>
          <w:lang w:bidi="fa-IR"/>
        </w:rPr>
        <w:t>والعصر، والمغرب والعشاء بالمدینة فی غیر سفر ولا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تراه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للتوسعة علی أُمّته</w:t>
      </w:r>
      <w:r>
        <w:rPr>
          <w:rFonts w:eastAsia="IRNazanin" w:cs="IRNazanin"/>
          <w:color w:val="111111"/>
          <w:sz w:val="28"/>
          <w:szCs w:val="28"/>
          <w:rtl w:val="true"/>
          <w:lang w:bidi="fa-IR"/>
        </w:rPr>
        <w:t>.</w:t>
      </w:r>
      <w:r>
        <w:rPr>
          <w:rStyle w:val="FootnoteAnchor"/>
        </w:rPr>
        <w:footnoteReference w:id="736"/>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الرزاق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بین الظهر والعصر، بالمدینة فی غیر سفر ولا 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تراه فعل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یحرج أحداً من أُمّته</w:t>
      </w:r>
      <w:r>
        <w:rPr>
          <w:rFonts w:eastAsia="Amiri" w:cs="Amiri" w:ascii="Amiri" w:hAnsi="Amiri"/>
          <w:color w:val="111111"/>
          <w:sz w:val="28"/>
          <w:szCs w:val="28"/>
          <w:rtl w:val="true"/>
          <w:lang w:bidi="ar-SA"/>
        </w:rPr>
        <w:t>.</w:t>
      </w:r>
      <w:r>
        <w:rPr>
          <w:rStyle w:val="FootnoteAnchor"/>
        </w:rPr>
        <w:footnoteReference w:id="737"/>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الرزاق عن عمرو بن دینار انّ أبا الشعثاء أخبره انّ ابن عباس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وراء رسول اللّه ثمانیاً جمیعاً وسبعاً جمیعاً بالمدینة، قال ابن جریج، فقلت لأبی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لأظن النبی أخّر من الظهر قلیلًا وقدّم من العصر قلیلًا، قال أبو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أظن ذلک</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ظنّه ابن جریج وصدّقه أبو الشعثاء ظن لا یغنی من الحقّ شیئاً،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کان صوریاً لا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ضعف هذا الحمل وانّ الجمع الصوری یوجب الإحراج أکثر من التفریق، فإنّ معرفة أواخر الوقت من الصلاة الأُولی وأوائله من الصلاة الثانیة أشکل من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عبد الرزاق عن عمرو بن شعیب،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لنا رسول اللّه مقیماً غیر مسافر بین الظهر والعصر فقال رجل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تری النبی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 یُحرج أُمّته إن جمع رجل</w:t>
      </w:r>
      <w:r>
        <w:rPr>
          <w:rFonts w:eastAsia="IRNazanin" w:cs="IRNazanin"/>
          <w:color w:val="111111"/>
          <w:sz w:val="28"/>
          <w:szCs w:val="28"/>
          <w:rtl w:val="true"/>
          <w:lang w:bidi="fa-IR"/>
        </w:rPr>
        <w:t>.</w:t>
      </w:r>
      <w:r>
        <w:rPr>
          <w:rStyle w:val="FootnoteAnchor"/>
        </w:rPr>
        <w:footnoteReference w:id="739"/>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بین الظهر والعصر والمغرب والعشاء فی المدینة للرخص من غیر خوف ولا علّة</w:t>
      </w:r>
      <w:r>
        <w:rPr>
          <w:rFonts w:eastAsia="IRNazanin" w:cs="IRNazanin"/>
          <w:color w:val="111111"/>
          <w:sz w:val="28"/>
          <w:szCs w:val="28"/>
          <w:rtl w:val="true"/>
          <w:lang w:bidi="fa-IR"/>
        </w:rPr>
        <w:t>.</w:t>
      </w:r>
      <w:r>
        <w:rPr>
          <w:rStyle w:val="FootnoteAnchor"/>
        </w:rPr>
        <w:footnoteReference w:id="740"/>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الحافظ أبو نعیم أحمد بن عبد اللّه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زید انّ ابن عباس جمع بین الظهر والعصر، وزعم انّه صلّی مع رسول اللّه بالمدینة الظهر والعصر</w:t>
      </w:r>
      <w:r>
        <w:rPr>
          <w:rFonts w:eastAsia="IRNazanin" w:cs="IRNazanin"/>
          <w:color w:val="111111"/>
          <w:sz w:val="28"/>
          <w:szCs w:val="28"/>
          <w:rtl w:val="true"/>
          <w:lang w:bidi="fa-IR"/>
        </w:rPr>
        <w:t>.</w:t>
      </w:r>
      <w:r>
        <w:rPr>
          <w:rStyle w:val="FootnoteAnchor"/>
        </w:rPr>
        <w:footnoteReference w:id="741"/>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نعیم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الشعثاء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ثمانی رکعات جمیعاً وسبع رکعات جمیعاً من غیر مرض ولا علّة</w:t>
      </w:r>
      <w:r>
        <w:rPr>
          <w:rFonts w:eastAsia="IRNazanin" w:cs="IRNazanin"/>
          <w:color w:val="111111"/>
          <w:sz w:val="28"/>
          <w:szCs w:val="28"/>
          <w:rtl w:val="true"/>
          <w:lang w:bidi="fa-IR"/>
        </w:rPr>
        <w:t>.</w:t>
      </w:r>
      <w:r>
        <w:rPr>
          <w:rStyle w:val="FootnoteAnchor"/>
        </w:rPr>
        <w:footnoteReference w:id="742"/>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فی مسنده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 بین الصلاتین فی المدینة من غیر خوف</w:t>
      </w:r>
      <w:r>
        <w:rPr>
          <w:rFonts w:eastAsia="IRNazanin" w:cs="IRNazanin"/>
          <w:color w:val="111111"/>
          <w:sz w:val="28"/>
          <w:szCs w:val="28"/>
          <w:rtl w:val="true"/>
          <w:lang w:bidi="fa-IR"/>
        </w:rPr>
        <w:t>.</w:t>
      </w:r>
      <w:r>
        <w:rPr>
          <w:rStyle w:val="FootnoteAnchor"/>
        </w:rPr>
        <w:footnoteReference w:id="743"/>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فی الأوسط والکبیر بسنده عن عبد اللّه بن</w:t>
      </w:r>
    </w:p>
    <w:p>
      <w:pPr>
        <w:pStyle w:val="BookText"/>
        <w:rPr/>
      </w:pPr>
      <w:r>
        <w:rPr>
          <w:rFonts w:ascii="IRNazanin" w:hAnsi="IRNazanin" w:eastAsia="IRNazanin"/>
          <w:color w:val="111111"/>
          <w:sz w:val="28"/>
          <w:sz w:val="28"/>
          <w:szCs w:val="28"/>
          <w:rtl w:val="true"/>
          <w:lang w:bidi="fa-IR"/>
        </w:rPr>
        <w:t>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الظهر والعصر والمغرب والعشاء،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ذلک لئلّا تحرج أُمّتی</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هذه ثلاثون حدیثاً جمعناها من الصحاح والسنن والمسانید، وبسطنا الکلام فی النقل، لیقف القارئ علی أنّها أحادیث اعتنی بنقلها حفّاظ المحدّثین وأکابرهم، ولا یمکن لأحد أن یتناکرها أو یرفضها، وهناک روایات مبثوثة فی کتب الحدیث أعرضنا عن ذکرها لأجل الاختصار</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وهذه الأسانید المتوفرة تنتهی إلی الأشخاص التالیة أسماؤهم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حبر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أیّوب الأنصاری مضیف النبی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bookmarkStart w:id="998" w:name="pg1680_13567"/>
    </w:p>
    <w:p>
      <w:pPr>
        <w:pStyle w:val="Heading5"/>
        <w:numPr>
          <w:ilvl w:val="4"/>
          <w:numId w:val="1"/>
        </w:numPr>
        <w:rPr/>
      </w:pPr>
      <w:bookmarkStart w:id="999" w:name="__RefHeading___Toc1401482_3650668749"/>
      <w:bookmarkStart w:id="1000" w:name="_Toc379"/>
      <w:bookmarkEnd w:id="998"/>
      <w:bookmarkEnd w:id="999"/>
      <w:r>
        <w:rPr>
          <w:rtl w:val="true"/>
        </w:rPr>
        <w:t>تبریرات لرفض الجمع بین الصلاتین‌</w:t>
      </w:r>
      <w:bookmarkEnd w:id="1000"/>
    </w:p>
    <w:p>
      <w:pPr>
        <w:pStyle w:val="BookText"/>
        <w:rPr/>
      </w:pPr>
      <w:r>
        <w:rPr>
          <w:rFonts w:ascii="IRNazanin" w:hAnsi="IRNazanin" w:eastAsia="IRNazanin"/>
          <w:color w:val="111111"/>
          <w:sz w:val="28"/>
          <w:sz w:val="28"/>
          <w:szCs w:val="28"/>
          <w:rtl w:val="true"/>
          <w:lang w:bidi="fa-IR"/>
        </w:rPr>
        <w:t>والروایات صریحة فی أنّ الرسول صلی الله علیه و آله و سلم جمع بالمدینة بین الصلاتین من غیر خوف ولا مطر ولا علّة، جمع لبیان جواز الجمع ومشروعیته لئلّا یتوهّم متوهّم بأنّ التفریق فریضة لما کان صلی الله علیه و آله و سلم یستمر علی التوقیت والإتیان فی وقت الفضیلة، ولکنّه بعمله أثبت انّ الجمع جائز وإن کان التوقیت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مضمون الروایات مخالفاً للمذاهب الفقهیة الرائجة حاول غیر واحد من المحدّثین وأهل الفتیا إخضاع الروایات إلی فتوی الأئمّة مکان أخذها مقیاساً لتمییز الحقّ عن الباطل، فترک کثیر منهم العمل بهذه الروایات، غیر أنّ لفیفاً منهم عملوا بها وأفتوا علی ضوئها، ذکر أسماءهم ابن رشد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ونخصّ عذراً من الأعذار التی التجأ إلیها المخالف، وهو أنّ الجمع کان صوریّاً لا حقیقیاً وسیتضح لک وجهه</w:t>
      </w:r>
      <w:r>
        <w:rPr>
          <w:rFonts w:eastAsia="IRNazanin" w:cs="IRNazanin"/>
          <w:color w:val="111111"/>
          <w:sz w:val="28"/>
          <w:szCs w:val="28"/>
          <w:rtl w:val="true"/>
          <w:lang w:bidi="fa-IR"/>
        </w:rPr>
        <w:t>.</w:t>
      </w:r>
    </w:p>
    <w:p>
      <w:pPr>
        <w:pStyle w:val="Heading5"/>
        <w:numPr>
          <w:ilvl w:val="4"/>
          <w:numId w:val="1"/>
        </w:numPr>
        <w:rPr/>
      </w:pPr>
      <w:bookmarkStart w:id="1001" w:name="__RefHeading___Toc1401484_3650668749"/>
      <w:bookmarkStart w:id="1002" w:name="_Toc380"/>
      <w:bookmarkEnd w:id="1001"/>
      <w:r>
        <w:rPr>
          <w:rtl w:val="true"/>
        </w:rPr>
        <w:t>الجمع کان صوریّاً</w:t>
      </w:r>
      <w:bookmarkEnd w:id="100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غیر واحد ممّن تعرض لحلّ هذه الأحادیث التجأ إلی أنّ الجمع لم یکن جمعاً حقیقیاً کما فی الجمع فی السفر، بل کان جمعاً صوریاً، بمعنی انّه صلی الله علیه و آله و سلم أخّر الظهر إلی حد بقی من وقتها مقدار أربع رکعات فصلّی</w:t>
      </w:r>
    </w:p>
    <w:p>
      <w:pPr>
        <w:pStyle w:val="BookText"/>
        <w:rPr/>
      </w:pPr>
      <w:r>
        <w:rPr>
          <w:rFonts w:ascii="IRNazanin" w:hAnsi="IRNazanin" w:eastAsia="IRNazanin"/>
          <w:color w:val="111111"/>
          <w:sz w:val="28"/>
          <w:sz w:val="28"/>
          <w:szCs w:val="28"/>
          <w:rtl w:val="true"/>
          <w:lang w:bidi="fa-IR"/>
        </w:rPr>
        <w:t>الظهر وبإتمامها دخل وقت العصر وصلّی العصر فکان جمعاً بین الصلاتین مع أنّ کلّ واحدة من الصلاتین أُتی بها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الظاهر من غیر واحد من شراح الحدیث، وإلیک کلماتهم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تأوّله علی تأخیر الأُولی إلی آخر وقتها فصلّاها فیه فلمّا فرغ منها دخلت الثانیة فصلّاها فصارت صلاته صورة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ضعیف أو باطل، لأنّه مخالف للظاهر مخالفة لا تُحتمل، وفعل ابن عباس الّذی ذکرناه حین خطب، واستدلاله بالحدیث لتصویب فعله وتصدیق أبی هریرة له وعدم إنکاره، صریح فی ردّ هذا التأویل</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وکان علی النووی أن یرد علیه بما ذکرناه، وهو انّ الرسول صلی الله علیه و آله و سلم جمع بین الصلاتین بغیة رفع الحرج عن الأُمّة، والجمع بالنحو المذکور أکثر حرجاً من التفریق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رخصة، فلو کان علی ما ذکروه لکان أشد ضیقاً وأعظم حرجاً من الإتیان بکلّ صلاة فی وقتها، لأنّ الإتیان بکلّ صلاة فی وقتها أوسع من مراعاة طرفی الوقتین بحیث لا یبقی من وقت الأُولی إلّا قدر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الجمع هکذا، لجاز الجمع بین العصر و المغرب، والعشاء والصبح ولا خلاف بین الأُمّة فی تحریم ذلک والعمل بالخبر علی الوجه السابق إلی الفهم منه أولی من هذا التکلّف</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کما أنّ المقدسی فی الشرح الکبیر</w:t>
      </w:r>
      <w:r>
        <w:rPr>
          <w:rStyle w:val="FootnoteAnchor"/>
          <w:rtl w:val="true"/>
        </w:rPr>
        <w:footnoteReference w:id="748"/>
      </w:r>
      <w:r>
        <w:rPr>
          <w:rFonts w:ascii="IRNazanin" w:hAnsi="IRNazanin" w:eastAsia="IRNazanin"/>
          <w:color w:val="111111"/>
          <w:sz w:val="28"/>
          <w:sz w:val="28"/>
          <w:szCs w:val="28"/>
          <w:rtl w:val="true"/>
          <w:lang w:bidi="fa-IR"/>
        </w:rPr>
        <w:t>ردّ علی هذا التأویل بنفس ما ذکره ابن قدامة، واللفظ فی کلا الکتابین واحد ولذلک اقتصرنا بلفظ ابن قدامة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انّهما ردّا بما نقلناه عنهما علی من فسّر جواز الجمع بین الصلاتین للمسافر بالجمع الصوری، ولمّا کان ملاک الجمع فی کلا المقامین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والحاضر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وهو رفع الحرج والمشقة عن الأُمّة، وکان الجمع الصوری مُحرجاً علی نحو أشد، أثبتنا کلامهما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ما ذکرنا حمل الخطّابی الجمع فی الروایة علی الجمع الحقیقی دون الصوری، فقال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لا یقع علی من أخّر الظهر حتّی صلّاها فی آخر وقتها وعجّل العصر فصلّاها فی أوّل وقتها، لأنّ هذا قد صلّی کلّ صلاة منهما فی وقتها الخاصّ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الجمع المعروف بینهما أن تکون الصلاتان معاً فی وقت إحداهما، ألا تری أنّ الجمع بعرفة بینهما ومزدلفة کذلک</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نجز الکتاب بید مؤلّفه جعفر السبحانی عامله اللَّه بلطفه وکرمه</w:t>
      </w:r>
    </w:p>
    <w:p>
      <w:pPr>
        <w:pStyle w:val="BookText"/>
        <w:rPr/>
      </w:pPr>
      <w:r>
        <w:rPr>
          <w:rFonts w:ascii="IRNazanin" w:hAnsi="IRNazanin" w:eastAsia="IRNazanin"/>
          <w:color w:val="111111"/>
          <w:sz w:val="28"/>
          <w:sz w:val="28"/>
          <w:szCs w:val="28"/>
          <w:rtl w:val="true"/>
          <w:lang w:bidi="fa-IR"/>
        </w:rPr>
        <w:t>والحمد للَّه‌الّذی بنعمته تتم الصالحات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03" w:name="pg1680_13575"/>
    </w:p>
    <w:p>
      <w:pPr>
        <w:pStyle w:val="Heading2"/>
        <w:numPr>
          <w:ilvl w:val="1"/>
          <w:numId w:val="1"/>
        </w:numPr>
        <w:rPr/>
      </w:pPr>
      <w:bookmarkStart w:id="1004" w:name="__RefHeading___Toc1401486_3650668749"/>
      <w:bookmarkStart w:id="1005" w:name="_Toc381"/>
      <w:bookmarkEnd w:id="1003"/>
      <w:bookmarkEnd w:id="1004"/>
      <w:r>
        <w:rPr>
          <w:rtl w:val="true"/>
        </w:rPr>
        <w:t>الفهارس‌</w:t>
      </w:r>
      <w:bookmarkEnd w:id="1005"/>
    </w:p>
    <w:p>
      <w:pPr>
        <w:pStyle w:val="BookText"/>
        <w:rPr/>
      </w:pPr>
      <w:r>
        <w:rPr>
          <w:rFonts w:ascii="IRNazanin" w:hAnsi="IRNazanin" w:eastAsia="IRNazanin"/>
          <w:color w:val="111111"/>
          <w:sz w:val="28"/>
          <w:sz w:val="28"/>
          <w:szCs w:val="28"/>
          <w:rtl w:val="true"/>
          <w:lang w:bidi="fa-IR"/>
        </w:rPr>
        <w:t>فهرس المصادر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bookmarkStart w:id="1006" w:name="pg1680_13578"/>
    </w:p>
    <w:p>
      <w:pPr>
        <w:pStyle w:val="Heading2"/>
        <w:numPr>
          <w:ilvl w:val="1"/>
          <w:numId w:val="1"/>
        </w:numPr>
        <w:rPr/>
      </w:pPr>
      <w:bookmarkStart w:id="1007" w:name="__RefHeading___Toc1401488_3650668749"/>
      <w:bookmarkStart w:id="1008" w:name="_Toc382"/>
      <w:bookmarkEnd w:id="1006"/>
      <w:bookmarkEnd w:id="1007"/>
      <w:r>
        <w:rPr>
          <w:rtl w:val="true"/>
        </w:rPr>
        <w:t>فهرس المصادر</w:t>
      </w:r>
      <w:bookmarkEnd w:id="1008"/>
    </w:p>
    <w:p>
      <w:pPr>
        <w:pStyle w:val="BookText"/>
        <w:rPr/>
      </w:pPr>
      <w:r>
        <w:rPr>
          <w:rFonts w:ascii="IRNazanin" w:hAnsi="IRNazanin" w:eastAsia="IRNazanin"/>
          <w:color w:val="111111"/>
          <w:sz w:val="28"/>
          <w:sz w:val="28"/>
          <w:szCs w:val="28"/>
          <w:rtl w:val="true"/>
          <w:lang w:bidi="fa-IR"/>
        </w:rPr>
        <w:t>نبدأ تبرکاً بالقرآن الکریم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جواد البلاغی، مکتبة الوجدانی،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المسائل المهنائیة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الخیام،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التستری نور اللَّه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المرعشی النجفی،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الاصفهانی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کتاب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 لشرح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القسطلانی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 إلی تحقیق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 والتربة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یوسف بن عبد اللَّه بن عبد البر، دار نهضة مصر،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مصنّفات المؤتمر العالمی لألفیة الشیخ المفید،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اقتضاء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إلهیات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الرئیس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بیدار،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مصطفی محمد،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الخیاط المعتزلی،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ینبرج، طبع</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فی مسائل دام فیها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الحقیقة،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طهران،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السیدة المعصومة علیها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القرطبی محمد بن أحمد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البدعة، مفهومها، حدها وآثارها ومواردها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البدعة فی مفهومها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عبد الرحمن السعدی، مطبعة النواعیر، الرمادی</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المرعشی النجفی،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الإرب فی معرفة أحوال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شکری الآلوسی، دار الکتاب العربی، مصر،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النهضة،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القاسم الخوئی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محمد القرشی الگنجی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دار إحیاء تراث أهل البیت،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السلفیة،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بن نصر اللَّه الزنجانی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محمد البغدادی، طبع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الخطیب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والرابع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للطباعة والنشر،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النهر الماد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بهامش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المشهور بأبی حیان الأندلسی الغرناطی،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محمد بن أحمد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رشید عبد الرحمن العبیدی، طبع الهیئة المصریة للکتاب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تیسیر المطالب فی أمالی الإمام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العلوم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مسانید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الخوارزمی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 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سلیمان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الکتب الإسلامیة، إیران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یعقوب بن إبراهیم بن حبیب بن خنیس الأنصاری البغدادی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بولاق</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الإسلامی التابعة لجماعة المدرسین،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کرد علی، مصر</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الخوارج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یولیوس فلهوزن، ترجمة الدکتور عبد الرحمن بدوی، وکالة المطبوعات، الکویت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 حنیفة النعمان بن محمد بن منصور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أحمد بن علی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أحمد الحسینی، منشورات مکتبة الشریف المرتضی العامّة، الکاظمیة،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مصنفات الشیخ المفید،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مختصرة فی السدل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الحمید بن المبارک بن عبد اللطیف آل شیخ مبارک، دبی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شهاب الدین محمود البغدادی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الرحمن السهیلی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الطبعة الحجریة،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السلام فی شرح 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الکحلانی الصنعانی المعروف بالأمیر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سلیمان 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محمد بن عیسی بن سورة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علی بن عمر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المحاسن،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الدارمی عبد اللَّه بن عبد الرحمن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أحمد بن شعیب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السلفیة مرحلة زمنیة لا مذهب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رمضان البوطی، دار الفکر،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أیوب بن هشام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عبد الحسین الأمینی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القوشجی، طبعة حجر،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النووی علی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الکافی السبکی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عبد الحمید أحمد حنفی، مصر</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أبو محمد علی بن یونس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سلیمان البغدادی النقشبندی الخالدی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 مصر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فی 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الحق العظیم آبادی تحقیق عبد الرحمن محمد عثمان،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أحمد الفراهیدی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الهجرة، إیران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الحضارة للطباعة والنشر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عبد الحسین أحمد الأمینی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التجاریة، مصر</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الإحیاء،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القضاعی العزامی الشافعی،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الإسلامی وأدلّته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وهبة الزحیلی، دار الفکر،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الشیعة الإمامیة ومواضع الخلاف بینه وبین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السالوس، مکتبة ابن تیمیة، الکویت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الجزیری،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علی المذاهب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محمد بن إسحاق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رحاب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مصطفی البابی الحلبی،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الحرمین، قم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المهتدی فی معرفة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میر لوحی الحسینی الموسوی المشهور بالنقیبی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الثانی عشر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أحمد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 شرح المهذب للشیرازی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محیی الدین بن شرف النووی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الإرشاد، 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الأندلسی محمد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شرف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الجامعة اللبنانیة،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الحسین بن محمد تقی النوری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الصنعانی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السلفیة،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سلیمان حمد بن محمد الخطابی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سلامة الأزدی الطحاوی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زیاد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قدامة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الإمام،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یوسف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الراغب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الإصفهانی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محمد بن عبد الکریم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السروی المازندرانی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الأثر فی الإمام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الصافی</w:t>
      </w:r>
    </w:p>
    <w:p>
      <w:pPr>
        <w:pStyle w:val="BookText"/>
        <w:rPr/>
      </w:pPr>
      <w:r>
        <w:rPr>
          <w:rFonts w:ascii="IRNazanin" w:hAnsi="IRNazanin" w:eastAsia="IRNazanin"/>
          <w:color w:val="111111"/>
          <w:sz w:val="28"/>
          <w:sz w:val="28"/>
          <w:szCs w:val="28"/>
          <w:rtl w:val="true"/>
          <w:lang w:bidi="fa-IR"/>
        </w:rPr>
        <w:t>الگلپایگانی، مرکز نشر کتاب،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هامش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الفقهیة الکویتیة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 الکویت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الحسن بن نصر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فرجه الشریف، قم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محمود صبحی،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إسماعیلیان،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الشریف الرضی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الوثائق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 دار النفائس؛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خلّکان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قم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البلخی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اختر، إسلامبول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الیواقیت والجواهر فی عقائد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أحمد بن علی الأنصاری المغربی المعروف بالشعرانی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القرن العاشر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ومطبعة مصطفی البابی الحلبی وأولاده، مصر</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أبو محمّد الحسن السبط حین قتل أمیرالمؤمنین خطبته الغرّاء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النبی، وأنا ابن 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فی مستدرکه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وقد ذکر ابن أبی الحدید أشعاراً وأراجیز تتضمّن توصیف الإمام بالوصایة عن الصحابة والتابعین، لاحظ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فی وصایة علیّ من الشعر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الثانیة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من المصادر المتضافرة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فضائل أصحاب النبی، باب مناقب علی،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وأُصولها لکاشف الغطاء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الطبعة الخامسة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الإنعام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لسان العرب، مفردات الراغب، القاموس المحیط،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مکتبة محمد علی صبیح وأولاده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للشفاعة معنی آخر من التصرف التکوینی فی قلوب المذنبین، وتصفیتهم فی البرزخ، ومواقف القیامة فهو أمر عقلی لا یتوجّه إلیه إلّاالأوحدی من الناس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کتاب صفة القیامة،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وقد ذکر طرق روایته البالغة إلی ست، وراجع أیضاً 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بلوغ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عیون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 المجلس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ط دار المعرفة، بیروت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فی مفهومها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للخالدی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صلح الحدیبیة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ما جاء فی زیارة القبور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ما یقال عند دخول القبور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إلّاالحنابلة فقالوا إذا کانت القبور بعیدة فزیارتها مباحة لا مندوبة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فی زیارة خیر الأنام، الباب الأوّل فی الأحادیث الواردة فی زیارته؛ ولاحظ أیضاً وفاء الوفا بأحوال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المؤرخة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مدینة الرسول، اهتمّ بنشره صالح محمد جمال بمکة المکرمة 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جبیر، طبع بیروت، دار صادر، وقد زار ابن جبیر المدینة المنورة عام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مصادر هذه الأحادیث راجع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کتاب الجنائز؛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النهی عن بناء المساجد علی القبور من کتاب المساجد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النهی عن بناء المساجد علی القبور من کتاب المساجد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طبعة دار المعرفة؛ وقریب منه ما فی إرشاد الساری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بناء المسجد علی القبور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فی علامات النبوّة فی الإسلام؛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تاریخ 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مرض النبی ووفاته؛ مسند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المیت یعذب ببکاء أهله علیه من کتاب الصلاة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الحدیث بهامش کتاب الأُمّ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المیت یعذب ببکاء أهله علیه من کتاب الصلاة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الدعوات،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إلی غیر ذلک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للحافظ سلیمان بن أحمد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ما أسند إلی عثمان بن حنیف برقم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والمعجم الصغیر له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خروج النساء والصبیان فی الاستسقاء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صلاة الاستسقاء، باب سؤال الناس الإمام الاستسقاء إذا قحطوا من کتاب الصلاة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باب المساجد؛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ومعرفة أحوال صاحب الشریعة لأبی بکر أحمد بن الحسین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دار الکتب العلمیة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إلی غیر ذلک من الآیات والروایات الدالّةعلی الحیاة البرزخیة للمؤمنین والکافرین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والتفصیل فی محلّه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قسم الفن الخامس، طبعة صیدا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تحقیق صبحی الصالح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آیة الرجم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رجم الحبلی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جواب المسائل الطرابلسیة للسید المرتضی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آخر کتاب الرضاع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نقله الزنجانی فی 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مکتبة المرعشی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المقالة العاشرة، الفصل الخامس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سورة الشعراء،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باب غزوة تبوک؛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فضائل‌الإمام علی علیه السلام؛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أصحاب النبی؛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تبوک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وَوَهَبْنَا لَهُ مِن رَّحْمتنَا أخاهُ هارُونَ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مُوسَی لأَخِیهِ هَارُونَ اخْلُفْنی فی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لِی وَزِیراً مِنْ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المحدّثون والمفسِّرون المُسلمون إلی نُزُول هذه الآیة فی حَجّة الوداع، یومَ الغدیر،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فتح القدیر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وکشف الغمة للإربلّیّ،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الاستخلاف،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ناقصاً کما یظهر ممّا نقله مسلم وغیره، رواه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الإمارة، باب الناس تبع لقریش،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هذا المضمون تارة عن سماک بن حرب عن جابر، وأُخری عن‌الشعبی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وفیه فکبّر الناس وضجّوا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من صحیح مسلم،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هذا الدین عزیزاً منیعاً ینصرون علی من ناواهم علیه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الدین قائماً یقاتل علیه عصابة حتّی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عصابة من المسلمین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ولاحظ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ولاحظ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ط اسطنبول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الکلام فی الإمام المنتظر، وأحادیثه فی السنّة النبویة، وطول عمره، وعلائم ظهوره، وغیر ذلک مما یرجع إلیه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وأجمع کتاب فی هذا الموضوع هو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الحرّ العاملی وقد جمع فیه النصوص المتضافرة علی إمامة کلّ واحدٍ من الأئمة الاثنی عشر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الأحزاب،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أقوال أُخر شاذة جداً ستوافیک فی مختتم البحث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علی مصادر هذه الروایات وغیرها ممّا لم نذکر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الدر 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وکفی فی ذلک أنّ دار التقریب بین المذاهب الإسلامیة قامت بنشر رسالة جمعت فیها مصادر الحدیث ونذکر من طرقه الکثیرة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فی الوقوف علی مصادر الحدیث، غایة المرام للسید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الخصائص الکبری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سیدنا شرف الدین فی مراجعاته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أنّی مسائل ابن حجر أنّه إذا کان هذا مقام أهل البیت، فلماذا لَمْ یأخذ هو بهدی أئمتهم فی شی‌ءٍ من فروع الدین وعقائده، ولا فی شی‌ءٍ من علوم السنّة والکتاب، ولا فی شی‌ءٍ من الأخلاق والسلوک والآداب؟ ولماذا تخلّف عنهم، فأغرق نفسه فی بحار کفر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وأهلکها فی مفاوز الطغیان؟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الإمام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 ولم یخرجاه؛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المیمنیة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الصغیر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العلّامة المجلسی ما ورد من الأثر حول کتاب علی فی موسوعته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باب جهات علومهم وما عندهم من الکتب،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للحلوانی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أئمّة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وأیضاً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علامات النبوة،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المغازی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وقد استدرک الحاکم فی کتابه الأحادیث الصحیحة حسب شروط البخاری ومسلم ولکن 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ذلک فهذا الحدیث صحیح عند الشیخین، وهو متّفق علیه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سورة النور؛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فی الإمام الثانی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إبطال نهج الباطل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الکهف، الآیات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التمحیص والنهی عن التوقیت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احتجاجات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فی الإمام الثانی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المحقّق نصیرُ الدین الطوسیّ إلی هذه الحقیقة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وتصرُّفُهُ لُطفٌ آخرَ، وغیبته مِنّا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تفسیر البرهان فی ذیل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فسیری اللَّه عملکم ورسوله والمؤمنون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والحکم لابن رجب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العسقلانی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السلفیة للدکتور محمد سعید البوطی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مبحث الإمامة،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قسم التفسیر عند تفسیر 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تصحیح الاعتقاد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مادة غنم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ما یقال عند إخراج الزکاة، الحدیث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الإسلامی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جرح العجماء والمعدن والبئر جبار، من کتاب الحدود؛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فی الرکاز الخمس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ما جاء فی العجماء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خلقکم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التوحید،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بالإیمان؛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الیمن؛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تنویر الحوالک فی شرح 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النهب بغیر إذن صاحبه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الصید، راجع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نقلًا عن المسائل السرویة للشیخ المفید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نقلًا عن رسالة کتبها السید المرتضی جواباً عن أسئلة أهل الریّ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و قد نقل أقوال علماء الشیعة ونصوصهم فی هذا الجزء من بحاره، فمن أراد زیادة الاطلاع فلیرجع إلیه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الباب الثانی، الدلیل الثالث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الفتن، و أشراط الساعة، باب فی الآیات التّی تکون قبل الساعة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الاعتصام بقول النبی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 هنا بحثان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أحطت خُبراً بما ذکرناه، یتبیّن لک سقوط کثیر ممّا ذکره الآلوسی فی تفسیره عند البحث عن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مکة أعرف بشعابها من غیرهم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التفسیر، رقم الحدیث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کتاب الجمعة، باب الساعة التی فی یوم الجمعة؛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الجمعة، باب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رأوا تجارة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کتاب التفسیر، وغیرهما، والآیة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إلی غیر ذلک من المصادر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خالطو العمل الصالح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المسلمون غیرالمؤمنین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ولاحظ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صفات المنافقین وأحکامهم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باب بعث النبی خالد بن الولید إلی بنی جذیمة، الحدیث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علامات النبوة فی الإسلام؛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الأدب، باب فی من یُعیّر بالنسب أو غیره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الجهاد؛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طبعة محمدعلی صبیح وأولاده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الکاتب المعاصر حسن فرحان المالکی فصلًا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لم یحسنوا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فیه بأسماء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صحابیاً اتّسموا بعدم حسن الصحبة، وقد أخذنا هذه الأسماء من تلک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الصحبة والصحابة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تحقیق محمد محیی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بدء الأذان 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بدء الأذان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الموصلیة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من کان لا یری المسح، 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من کان لا یری المسح، 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القرآن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مبحث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علی المحل ثمّ ذکر شروطه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قسم التعلیقة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الباب الثامن، القاعدة الثانیة،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الباب الثامن، القاعدة الثانیة،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من رفع صوته بالعلم من کتاب العلم،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کلّها منقولة من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أنّه من فصول الأذان أُسقط منها لغایة خاصة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الروایتین وکم نزل أمین الوحی بآیة واحدة مرّتین، والغایة من التأذین فی الأوّل غیرها فی الثانی کما هو واضح لمن تدبّر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محدَّثاً وهو یسمع کلام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صحیح البخاری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باب رجال‌یُکلَّمون من غیر أن یکونوا 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فیمن قبلکم من بنی إسرائیل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بدء الأذان،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وباب النوادر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أنّه ادّعی رؤیة الأذان فی النوم ما یقرب من أربعة عشر رجلًا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نقله عن السنن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عنهم علیهم السلام أنّ الإقامة مثنی مثنی إلّاالفصل الأخیر وهو مرة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کتاب معرفة الصحابة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23138</w:t>
      </w:r>
      <w:r>
        <w:rPr>
          <w:rFonts w:ascii="IRNazanin" w:hAnsi="IRNazanin" w:eastAsia="IRNazanin"/>
          <w:b w:val="false"/>
          <w:b w:val="false"/>
          <w:bCs w:val="false"/>
          <w:i w:val="false"/>
          <w:i w:val="false"/>
          <w:iCs w:val="false"/>
          <w:color w:val="333333"/>
          <w:sz w:val="20"/>
          <w:sz w:val="20"/>
          <w:szCs w:val="20"/>
          <w:rtl w:val="true"/>
        </w:rPr>
        <w:t>، فصل فی الأذان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بدء الأذان ومشروعیته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وجوب قول حی علی خیر العمل فی الصلاة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المسترشد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مقتل الحسین بن علی بن الحسن بن الحسن بن أمیر المؤمنین علیه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ولاحظ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القاموس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قسم التعلیقة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التثویب فی أذان الصبح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23252</w:t>
      </w:r>
      <w:r>
        <w:rPr>
          <w:rFonts w:ascii="IRNazanin" w:hAnsi="IRNazanin" w:eastAsia="IRNazanin"/>
          <w:b w:val="false"/>
          <w:b w:val="false"/>
          <w:bCs w:val="false"/>
          <w:i w:val="false"/>
          <w:i w:val="false"/>
          <w:iCs w:val="false"/>
          <w:color w:val="333333"/>
          <w:sz w:val="20"/>
          <w:sz w:val="20"/>
          <w:szCs w:val="20"/>
          <w:rtl w:val="true"/>
        </w:rPr>
        <w:t>؛ ورواه عبد الرزاق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ورواه أیضاً المتقی الهندی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فی شرح 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البیهقی نقل فی سننه، ان النبی هو الّذی علمه لأبی محذورة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أحادیث الباب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مختصرة فی السدل للدکتور عبد الحمید بن مبارک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الحدیث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صفة الصلاة؛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وابن خزیمة فی صحیحه، باب الاعتدال فی الرکوع، برقم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 وسهل الساعدی، وأبو أُسید الساعدی، وأبو قتادة الحارث بن ربعی، ومحمدبن مسلمة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فی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وضع الیدین إحداهما علی الأُخری فی الصلاة، الحدیث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فی السدل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الریاض، وسبل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وضع الیمنی علی الیسری؛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وضع یده الیمنی علی الیسری؛ ورواه 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وضع الیمنی علی الیسری فی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أبی أوس شیخ البخاری کما جزم به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الصلاة، الحدیث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بسملة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ونقله الرازی بتمامه فی تفسیره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الحدیث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لاحظ کتاب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سائر روایات الباب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یَسْجُدُ مَنْ فی السَّمواتِ والأرضِ طَوْعاً وَکرْهاً وظلالُهُم بِالغُدُوِّوَالآصالِ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الشیعة فی القرن الخامس صاحب التصانیف والمؤلّفات ولد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وتوفّی‌عام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تلامیذ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والسیّد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بن المطهر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زعیم الشیعة فی القرن السابع‌والثامن، لا یسمح الدهر بمثله إلّافی فترات خاصة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وهناک روایات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 یتضمّن أنّ الغایة من السجود التی هی التذلّل لا تحصل بالسجود علی غیر الأرض و ما ینبت غیر المأکول والملبوس فلاحظ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 فی عقائد الأکابر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التیمّم،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أینما أدرکتک الصلاة فصل فهو مسجد، ورواه غیرهما من‌أصحاب الصحاح والسنن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نشر بیروت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جابر؛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ما روی فی التعجیل بها فی شدّة الحرّ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الکشف عن الجبهة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السجود علی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المطبوع فی 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وفیه أیضاً قال للجاریة وهو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ناولینی الخمرة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کما فی سیرتنا وسنّتنا، فصل السجدة علی التربة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من بسط ثوباً فسجد علیه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کتاب الصلاة، باب بسط الثوب فی الصلاة للسجود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الصلاة علی الخمرة 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ونصب الرایة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وسنن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تحت عنوان الفصل الثانی فی الجمع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وسیوافیک ما بیّنه فی أوقات الصلوات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فصل فی أوقات الیومیة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 للإمام الرازی من مواقف مشرقة فی تحقیق ما هو الحقّ، الذی هو الأحقّ بالاتّباع لکنّه عدل عنه لوجوه واهیة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حقّقه حول مسح الرجلین فی تفسیر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وَامْسَحُوا بِرُؤُوسِکُمْ وَ أَرْجُلَکُمْ إِلَی الْکَعْبَیْنِ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ذکره حول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ذلک رسول اللّه صلی الله علیه و آله و سلم بالمدینة بقرینة الحدیث الخامس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ونشر غیر مرتب، والمرتب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ثمانیاً وسبعاً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الجمع بین الصلاتین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أنّ العنوان خاص بالحضر نقل فیه ثلاث روایات جاء فیها الجمع بین الصلاتین فی السفر ترکنا نقلها، ولعلّه نقلها فی هذا الباب إیعازاً بأنّ کیفیة الجمع فی الحضر مثلها فی السفر کما سیوافیک بیانه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ذکر العشاء والعتمة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ما جاء فی الجمع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محقّق الکتاب أشار فی الهامش إلی الوجوه التی روی بها هذا الحدیث عن ابن عباس فلاحظ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ظنه ان أراد به الجمع الصوری، فهو لیس بحجّة حتی للظان، والظن لا یغنی عن الحقّ شیئاً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الجمع بین الصلاتین فی الحضر والسفر،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باب الجمع بین الصلاتین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وسیوافیک الکلام فی تفسیر مالک للحدیث</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جابر بن زید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جابر بن زید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الحدیث 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ذکره فی نقد کلام من حمل الجمع بین الصلاتین فی السفر، ولما کان المناط واحداً نقلناه فی المقام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فی ذیل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49411</Words>
  <Characters>216002</Characters>
  <CharactersWithSpaces>263123</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2026-08-16T17:42:15Z</dcterms:created>
  <dc:creator>ghaemiyeh.com</dc:creator>
  <dc:description/>
  <dc:language>en-US</dc:language>
  <cp:lastModifiedBy/>
  <dcterms:modified xsi:type="dcterms:W3CDTF">2026-08-16T21:12:26Z</dcterms:modified>
  <cp:revision>1</cp:revision>
  <dc:subject/>
  <dc:title>دلیل المرشدین الی الحق الیقین</dc:title>
</cp:coreProperties>
</file>

<file path=docProps/custom.xml><?xml version="1.0" encoding="utf-8"?>
<Properties xmlns="http://schemas.openxmlformats.org/officeDocument/2006/custom-properties" xmlns:vt="http://schemas.openxmlformats.org/officeDocument/2006/docPropsVTypes"/>
</file>