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العبودیة فى التسمیة من کان اسمه عبدالرسول و عبدالحسین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67_238316763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20869_23831676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0871_2383167630">
            <w:r>
              <w:rPr>
                <w:webHidden/>
                <w:rStyle w:val="IndexLink"/>
                <w:rtl w:val="true"/>
              </w:rPr>
              <w:t>العبودية</w:t>
            </w:r>
            <w:r>
              <w:rPr>
                <w:rStyle w:val="IndexLink"/>
                <w:rtl w:val="true"/>
              </w:rPr>
              <w:tab/>
            </w:r>
            <w:r>
              <w:rPr>
                <w:rStyle w:val="IndexLink"/>
              </w:rPr>
              <w:t>8</w:t>
            </w:r>
          </w:hyperlink>
        </w:p>
        <w:p>
          <w:pPr>
            <w:pStyle w:val="Contents2"/>
            <w:tabs>
              <w:tab w:val="clear" w:pos="8743"/>
              <w:tab w:val="right" w:pos="9026" w:leader="dot"/>
            </w:tabs>
            <w:rPr/>
          </w:pPr>
          <w:hyperlink w:anchor="__RefHeading___Toc20873_2383167630">
            <w:r>
              <w:rPr>
                <w:webHidden/>
                <w:rStyle w:val="IndexLink"/>
                <w:rtl w:val="true"/>
              </w:rPr>
              <w:t xml:space="preserve">العبودية على شكلين </w:t>
            </w:r>
            <w:r>
              <w:rPr>
                <w:rStyle w:val="IndexLink"/>
                <w:rtl w:val="true"/>
              </w:rPr>
              <w:t>:</w:t>
              <w:tab/>
            </w:r>
            <w:r>
              <w:rPr>
                <w:rStyle w:val="IndexLink"/>
              </w:rPr>
              <w:t>8</w:t>
            </w:r>
          </w:hyperlink>
        </w:p>
        <w:p>
          <w:pPr>
            <w:pStyle w:val="Contents3"/>
            <w:tabs>
              <w:tab w:val="clear" w:pos="8459"/>
              <w:tab w:val="right" w:pos="9026" w:leader="dot"/>
            </w:tabs>
            <w:rPr/>
          </w:pPr>
          <w:hyperlink w:anchor="__RefHeading___Toc20875_2383167630">
            <w:r>
              <w:rPr>
                <w:webHidden/>
                <w:rStyle w:val="IndexLink"/>
                <w:rtl w:val="true"/>
              </w:rPr>
              <w:t>عبودية العبادة</w:t>
            </w:r>
            <w:r>
              <w:rPr>
                <w:rStyle w:val="IndexLink"/>
                <w:rtl w:val="true"/>
              </w:rPr>
              <w:tab/>
            </w:r>
            <w:r>
              <w:rPr>
                <w:rStyle w:val="IndexLink"/>
              </w:rPr>
              <w:t>8</w:t>
            </w:r>
          </w:hyperlink>
        </w:p>
        <w:p>
          <w:pPr>
            <w:pStyle w:val="Contents3"/>
            <w:tabs>
              <w:tab w:val="clear" w:pos="8459"/>
              <w:tab w:val="right" w:pos="9026" w:leader="dot"/>
            </w:tabs>
            <w:rPr/>
          </w:pPr>
          <w:hyperlink w:anchor="__RefHeading___Toc20877_2383167630">
            <w:r>
              <w:rPr>
                <w:webHidden/>
                <w:rStyle w:val="IndexLink"/>
                <w:rtl w:val="true"/>
              </w:rPr>
              <w:t>وعبودية طاعة</w:t>
            </w:r>
            <w:r>
              <w:rPr>
                <w:rStyle w:val="IndexLink"/>
                <w:rtl w:val="true"/>
              </w:rPr>
              <w:tab/>
            </w:r>
            <w:r>
              <w:rPr>
                <w:rStyle w:val="IndexLink"/>
              </w:rPr>
              <w:t>8</w:t>
            </w:r>
          </w:hyperlink>
        </w:p>
        <w:p>
          <w:pPr>
            <w:pStyle w:val="Contents2"/>
            <w:tabs>
              <w:tab w:val="clear" w:pos="8743"/>
              <w:tab w:val="right" w:pos="9026" w:leader="dot"/>
            </w:tabs>
            <w:rPr/>
          </w:pPr>
          <w:hyperlink w:anchor="__RefHeading___Toc20879_2383167630">
            <w:r>
              <w:rPr>
                <w:webHidden/>
                <w:rStyle w:val="IndexLink"/>
                <w:rtl w:val="true"/>
              </w:rPr>
              <w:t>مفهوم الشرک بالله</w:t>
            </w:r>
            <w:r>
              <w:rPr>
                <w:rStyle w:val="IndexLink"/>
                <w:rtl w:val="true"/>
              </w:rPr>
              <w:tab/>
            </w:r>
            <w:r>
              <w:rPr>
                <w:rStyle w:val="IndexLink"/>
              </w:rPr>
              <w:t>9</w:t>
            </w:r>
          </w:hyperlink>
        </w:p>
        <w:p>
          <w:pPr>
            <w:pStyle w:val="Contents2"/>
            <w:tabs>
              <w:tab w:val="clear" w:pos="8743"/>
              <w:tab w:val="right" w:pos="9026" w:leader="dot"/>
            </w:tabs>
            <w:rPr/>
          </w:pPr>
          <w:hyperlink w:anchor="__RefHeading___Toc20881_2383167630">
            <w:r>
              <w:rPr>
                <w:webHidden/>
                <w:rStyle w:val="IndexLink"/>
                <w:rtl w:val="true"/>
              </w:rPr>
              <w:t>استعمال القرآن لفظ العبید علی الانسان</w:t>
            </w:r>
            <w:r>
              <w:rPr>
                <w:rStyle w:val="IndexLink"/>
                <w:rtl w:val="true"/>
              </w:rPr>
              <w:tab/>
            </w:r>
            <w:r>
              <w:rPr>
                <w:rStyle w:val="IndexLink"/>
              </w:rPr>
              <w:t>10</w:t>
            </w:r>
          </w:hyperlink>
        </w:p>
        <w:p>
          <w:pPr>
            <w:pStyle w:val="Contents2"/>
            <w:tabs>
              <w:tab w:val="clear" w:pos="8743"/>
              <w:tab w:val="right" w:pos="9026" w:leader="dot"/>
            </w:tabs>
            <w:rPr/>
          </w:pPr>
          <w:hyperlink w:anchor="__RefHeading___Toc20883_2383167630">
            <w:r>
              <w:rPr>
                <w:webHidden/>
                <w:rStyle w:val="IndexLink"/>
                <w:rtl w:val="true"/>
              </w:rPr>
              <w:t>باب عتق العبید فی الکتب الفقهیه</w:t>
            </w:r>
            <w:r>
              <w:rPr>
                <w:rStyle w:val="IndexLink"/>
                <w:rtl w:val="true"/>
              </w:rPr>
              <w:tab/>
            </w:r>
            <w:r>
              <w:rPr>
                <w:rStyle w:val="IndexLink"/>
              </w:rPr>
              <w:t>11</w:t>
            </w:r>
          </w:hyperlink>
        </w:p>
        <w:p>
          <w:pPr>
            <w:pStyle w:val="Contents2"/>
            <w:tabs>
              <w:tab w:val="clear" w:pos="8743"/>
              <w:tab w:val="right" w:pos="9026" w:leader="dot"/>
            </w:tabs>
            <w:rPr/>
          </w:pPr>
          <w:hyperlink w:anchor="__RefHeading___Toc20885_2383167630">
            <w:r>
              <w:rPr>
                <w:webHidden/>
                <w:rStyle w:val="IndexLink"/>
                <w:rtl w:val="true"/>
              </w:rPr>
              <w:t>استعمال لفة الرب علی انسان کما جاء فی القرآن الکریم</w:t>
            </w:r>
            <w:r>
              <w:rPr>
                <w:rStyle w:val="IndexLink"/>
                <w:rtl w:val="true"/>
              </w:rPr>
              <w:tab/>
            </w:r>
            <w:r>
              <w:rPr>
                <w:rStyle w:val="IndexLink"/>
              </w:rPr>
              <w:t>11</w:t>
            </w:r>
          </w:hyperlink>
        </w:p>
        <w:p>
          <w:pPr>
            <w:pStyle w:val="Contents2"/>
            <w:tabs>
              <w:tab w:val="clear" w:pos="8743"/>
              <w:tab w:val="right" w:pos="9026" w:leader="dot"/>
            </w:tabs>
            <w:rPr/>
          </w:pPr>
          <w:hyperlink w:anchor="__RefHeading___Toc20887_2383167630">
            <w:r>
              <w:rPr>
                <w:webHidden/>
                <w:rStyle w:val="IndexLink"/>
                <w:rtl w:val="true"/>
              </w:rPr>
              <w:t>تکفیر المسلم لا یجوز</w:t>
            </w:r>
            <w:r>
              <w:rPr>
                <w:rStyle w:val="IndexLink"/>
                <w:rtl w:val="true"/>
              </w:rPr>
              <w:tab/>
            </w:r>
            <w:r>
              <w:rPr>
                <w:rStyle w:val="IndexLink"/>
              </w:rPr>
              <w:t>13</w:t>
            </w:r>
          </w:hyperlink>
        </w:p>
        <w:p>
          <w:pPr>
            <w:pStyle w:val="Contents2"/>
            <w:tabs>
              <w:tab w:val="clear" w:pos="8743"/>
              <w:tab w:val="right" w:pos="9026" w:leader="dot"/>
            </w:tabs>
            <w:rPr/>
          </w:pPr>
          <w:hyperlink w:anchor="__RefHeading___Toc20889_2383167630">
            <w:r>
              <w:rPr>
                <w:webHidden/>
                <w:rStyle w:val="IndexLink"/>
                <w:rtl w:val="true"/>
              </w:rPr>
              <w:t>محتويات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20891_2383167630">
            <w:r>
              <w:rPr>
                <w:webHidden/>
                <w:rStyle w:val="IndexLink"/>
                <w:rtl w:val="true"/>
              </w:rPr>
              <w:t>كتب المؤلف</w:t>
            </w:r>
            <w:r>
              <w:rPr>
                <w:rStyle w:val="IndexLink"/>
                <w:rtl w:val="true"/>
              </w:rPr>
              <w:tab/>
            </w:r>
            <w:r>
              <w:rPr>
                <w:rStyle w:val="IndexLink"/>
              </w:rPr>
              <w:t>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5_18079"/>
      <w:bookmarkStart w:id="1" w:name="pg1295_18079"/>
      <w:bookmarkEnd w:id="1"/>
    </w:p>
    <w:p>
      <w:pPr>
        <w:pStyle w:val="Heading2"/>
        <w:numPr>
          <w:ilvl w:val="1"/>
          <w:numId w:val="1"/>
        </w:numPr>
        <w:rPr/>
      </w:pPr>
      <w:bookmarkStart w:id="2" w:name="pg1295_18079"/>
      <w:bookmarkStart w:id="3" w:name="__RefHeading___Toc20867_238316763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العبودية فى التسمية من كان اسمه عبدالرسول و عبدالحسین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عبدالكريم قزوینی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برگزیده 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بصورت 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برگزیده</w:t>
      </w:r>
    </w:p>
    <w:p>
      <w:pPr>
        <w:pStyle w:val="BookText"/>
        <w:rPr/>
      </w:pPr>
      <w:r>
        <w:rPr>
          <w:rFonts w:ascii="IRNazanin" w:hAnsi="IRNazanin" w:eastAsia="IRNazanin"/>
          <w:color w:val="111111"/>
          <w:sz w:val="28"/>
          <w:sz w:val="28"/>
          <w:szCs w:val="28"/>
          <w:rtl w:val="true"/>
          <w:lang w:bidi="fa-IR"/>
        </w:rPr>
        <w:t>العبودية في التسمية من كان اسمه عبد الرسول و عبدالحسین عبدالكريم الحسيني القزويني</w:t>
      </w:r>
    </w:p>
    <w:p>
      <w:pPr>
        <w:pStyle w:val="BookText"/>
        <w:rPr/>
      </w:pPr>
      <w:r>
        <w:rPr>
          <w:rFonts w:ascii="IRNazanin" w:hAnsi="IRNazanin" w:eastAsia="IRNazanin"/>
          <w:color w:val="111111"/>
          <w:sz w:val="28"/>
          <w:sz w:val="28"/>
          <w:szCs w:val="28"/>
          <w:rtl w:val="true"/>
          <w:lang w:bidi="fa-IR"/>
        </w:rPr>
        <w:t>تولید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الشابک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010</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چاپ و نشر محفوظ و مخصوص است</w:t>
      </w:r>
    </w:p>
    <w:p>
      <w:pPr>
        <w:pStyle w:val="BookText"/>
        <w:rPr/>
      </w:pPr>
      <w:r>
        <w:rPr>
          <w:rFonts w:ascii="IRNazanin" w:hAnsi="IRNazanin" w:eastAsia="IRNazanin"/>
          <w:color w:val="111111"/>
          <w:sz w:val="28"/>
          <w:sz w:val="28"/>
          <w:szCs w:val="28"/>
          <w:rtl w:val="true"/>
          <w:lang w:bidi="fa-IR"/>
        </w:rPr>
        <w:t xml:space="preserve">سایت مؤلف </w:t>
      </w:r>
      <w:r>
        <w:rPr>
          <w:rFonts w:eastAsia="Times New Roman" w:cs="Times New Roman" w:ascii="Times New Roman" w:hAnsi="Times New Roman"/>
          <w:color w:val="111111"/>
          <w:sz w:val="28"/>
          <w:szCs w:val="28"/>
          <w:lang w:val="en-US" w:bidi="en-US"/>
        </w:rPr>
        <w:t>http://www.qazvini.org</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7745081/7744125</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تيموري اصفهاني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869_23831676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لماذا الاختلاف بين المذاهب الإسلامية مع وضوح النص القرآني والنبوي</w:t>
      </w:r>
    </w:p>
    <w:p>
      <w:pPr>
        <w:pStyle w:val="BookText"/>
        <w:rPr/>
      </w:pPr>
      <w:r>
        <w:rPr>
          <w:rFonts w:ascii="Amiri" w:hAnsi="Amiri" w:eastAsia="Amiri" w:cs="Amiri"/>
          <w:color w:val="111111"/>
          <w:sz w:val="28"/>
          <w:sz w:val="28"/>
          <w:szCs w:val="28"/>
          <w:rtl w:val="true"/>
          <w:lang w:bidi="ar-SA"/>
        </w:rPr>
        <w:t>العبودية في التسمية من كان اسمه عبد الرسول وعبد الحسين</w:t>
      </w:r>
    </w:p>
    <w:p>
      <w:pPr>
        <w:pStyle w:val="BookText"/>
        <w:rPr/>
      </w:pPr>
      <w:r>
        <w:rPr>
          <w:rFonts w:ascii="Amiri" w:hAnsi="Amiri" w:eastAsia="Amiri" w:cs="Amiri"/>
          <w:color w:val="111111"/>
          <w:sz w:val="28"/>
          <w:sz w:val="28"/>
          <w:szCs w:val="28"/>
          <w:rtl w:val="true"/>
          <w:lang w:bidi="ar-SA"/>
        </w:rPr>
        <w:t>عبدالكريم الحسيني القزويني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www.Qazvini.org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على سيدنا محمّد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آله الطيبين الطاهرين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95_18083"/>
      <w:bookmarkStart w:id="8" w:name="pg1295_18083"/>
      <w:bookmarkEnd w:id="8"/>
    </w:p>
    <w:p>
      <w:pPr>
        <w:pStyle w:val="Heading2"/>
        <w:numPr>
          <w:ilvl w:val="1"/>
          <w:numId w:val="1"/>
        </w:numPr>
        <w:rPr/>
      </w:pPr>
      <w:bookmarkStart w:id="9" w:name="pg1295_18083"/>
      <w:bookmarkStart w:id="10" w:name="__RefHeading___Toc20871_2383167630"/>
      <w:bookmarkStart w:id="11" w:name="_Toc3"/>
      <w:bookmarkEnd w:id="9"/>
      <w:bookmarkEnd w:id="10"/>
      <w:r>
        <w:rPr>
          <w:rtl w:val="true"/>
        </w:rPr>
        <w:t>العبودية</w:t>
      </w:r>
      <w:bookmarkEnd w:id="11"/>
    </w:p>
    <w:p>
      <w:pPr>
        <w:pStyle w:val="BookText"/>
        <w:rPr/>
      </w:pPr>
      <w:r>
        <w:rPr>
          <w:rFonts w:ascii="Amiri" w:hAnsi="Amiri" w:eastAsia="Amiri" w:cs="Amiri"/>
          <w:color w:val="111111"/>
          <w:sz w:val="28"/>
          <w:sz w:val="28"/>
          <w:szCs w:val="28"/>
          <w:rtl w:val="true"/>
          <w:lang w:bidi="ar-SA"/>
        </w:rPr>
        <w:t xml:space="preserve">من المشاكل التي يتعرّض لها الحاج في أيام الحج أو العمرة الشبه التي يثيرها ويتعرّض لها من كان اسمه عبد الرسول أو عبد الحسين أو غيرهما ، إنّ هذه التسمية لا تجوز لأنّ العبودية الله تعالى كما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على ذلك </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20873_2383167630"/>
      <w:bookmarkStart w:id="13" w:name="_Toc4"/>
      <w:bookmarkEnd w:id="12"/>
      <w:r>
        <w:rPr>
          <w:rtl w:val="true"/>
        </w:rPr>
        <w:t xml:space="preserve">العبودية على شكلين </w:t>
      </w:r>
      <w:r>
        <w:rPr>
          <w:rtl w:val="true"/>
        </w:rPr>
        <w:t>:</w:t>
      </w:r>
      <w:bookmarkEnd w:id="13"/>
    </w:p>
    <w:p>
      <w:pPr>
        <w:pStyle w:val="Heading3"/>
        <w:numPr>
          <w:ilvl w:val="2"/>
          <w:numId w:val="1"/>
        </w:numPr>
        <w:rPr/>
      </w:pPr>
      <w:bookmarkStart w:id="14" w:name="__RefHeading___Toc20875_2383167630"/>
      <w:bookmarkStart w:id="15" w:name="_Toc5"/>
      <w:bookmarkEnd w:id="14"/>
      <w:r>
        <w:rPr>
          <w:rtl w:val="true"/>
        </w:rPr>
        <w:t>عبودية العبادة</w:t>
      </w:r>
      <w:bookmarkEnd w:id="15"/>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فإنّها لا تجوز إلا الله تعالى ولا يجوز عبودية العبادة لأي إنسان حتى لرسول الله صلی الله علیه و آله و سلم لأنّ العبادة لا تكون إلّا الله تعالى</w:t>
      </w:r>
      <w:r>
        <w:rPr>
          <w:rFonts w:eastAsia="IRNazanin" w:cs="IRNazanin"/>
          <w:color w:val="111111"/>
          <w:sz w:val="28"/>
          <w:szCs w:val="28"/>
          <w:rtl w:val="true"/>
          <w:lang w:bidi="fa-IR"/>
        </w:rPr>
        <w:t>.</w:t>
      </w:r>
    </w:p>
    <w:p>
      <w:pPr>
        <w:pStyle w:val="Heading3"/>
        <w:numPr>
          <w:ilvl w:val="2"/>
          <w:numId w:val="1"/>
        </w:numPr>
        <w:rPr/>
      </w:pPr>
      <w:bookmarkStart w:id="16" w:name="__RefHeading___Toc20877_2383167630"/>
      <w:bookmarkStart w:id="17" w:name="_Toc6"/>
      <w:bookmarkEnd w:id="16"/>
      <w:r>
        <w:rPr>
          <w:rtl w:val="true"/>
        </w:rPr>
        <w:t>وعبودية طاعة</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العبودية معروفة ومألوفة </w:t>
      </w:r>
      <w:bookmarkStart w:id="18" w:name="pg1295_18084"/>
    </w:p>
    <w:p>
      <w:pPr>
        <w:pStyle w:val="BookText"/>
        <w:rPr/>
      </w:pPr>
      <w:bookmarkEnd w:id="18"/>
      <w:r>
        <w:rPr>
          <w:rFonts w:ascii="IRNazanin" w:hAnsi="IRNazanin" w:eastAsia="IRNazanin"/>
          <w:color w:val="111111"/>
          <w:sz w:val="28"/>
          <w:sz w:val="28"/>
          <w:szCs w:val="28"/>
          <w:rtl w:val="true"/>
          <w:lang w:bidi="fa-IR"/>
        </w:rPr>
        <w:t>فالولد يطيع أباه ويقول أنا عبد لأبي أي عبودية طاعة ولیست عبودية العبادة وهكذا التلميذ حينما يطيع معلّمه وأُستاذه فإنّها أيضاً عبودية طاعة ولهذا قيل من علّمني حرفاً ملكني دهراً ، وهكذا قل في العامل والموظف في المصنع والشركة فإنّ إطاعتهم من باب عبودية الطاعة لا عبودية عبادية فلو كان مجرد عبودية الطاعة شرك فلا يبقى على وجه الأرض موحد أبداً وهذا لا يقول به أحد من العقلاء</w:t>
      </w:r>
      <w:r>
        <w:rPr>
          <w:rFonts w:eastAsia="IRNazanin" w:cs="IRNazanin"/>
          <w:color w:val="111111"/>
          <w:sz w:val="28"/>
          <w:szCs w:val="28"/>
          <w:rtl w:val="true"/>
          <w:lang w:bidi="fa-IR"/>
        </w:rPr>
        <w:t>.</w:t>
      </w:r>
    </w:p>
    <w:p>
      <w:pPr>
        <w:pStyle w:val="Heading2"/>
        <w:numPr>
          <w:ilvl w:val="1"/>
          <w:numId w:val="1"/>
        </w:numPr>
        <w:rPr/>
      </w:pPr>
      <w:bookmarkStart w:id="19" w:name="__RefHeading___Toc20879_2383167630"/>
      <w:bookmarkStart w:id="20" w:name="_Toc7"/>
      <w:bookmarkEnd w:id="19"/>
      <w:r>
        <w:rPr>
          <w:rtl w:val="true"/>
        </w:rPr>
        <w:t>مفهوم الشرک بالله</w:t>
      </w:r>
      <w:bookmarkEnd w:id="20"/>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مفهوم الشرك ، له مدلوله الفلسفي والفقهي وذلك بأن يجعل الإنسان الله شريكاً في خلقه ومخلوقاته فهذا هو الشرك بالله ، ولكن هذا المفهوم الشركي لا ينطبق على المطيع لأبيه ومعلّمه وأستاذه وهذا ليس شركاً بالله لمن يطيع من يجب عليه الاطاعة شرعاً وعقلاً وأخلاقياً أمّا اعتبار عبودية الطاعة شركاً ، فهو ناشئ من الجهل وعدم الفهم والتفريق بين عبودية العبادة وعبودية الطاعة، ولو فهم الإنسان هذا المعنى وفرّق بين هذين العبوديتين لحلت المشكلة ولم يكفّر أحد أحداً ولكن عدم الفهم </w:t>
      </w:r>
      <w:bookmarkStart w:id="21" w:name="pg1295_18085"/>
    </w:p>
    <w:p>
      <w:pPr>
        <w:pStyle w:val="BookText"/>
        <w:rPr/>
      </w:pPr>
      <w:bookmarkEnd w:id="21"/>
      <w:r>
        <w:rPr>
          <w:rFonts w:ascii="Amiri" w:hAnsi="Amiri" w:eastAsia="Amiri" w:cs="Amiri"/>
          <w:color w:val="111111"/>
          <w:sz w:val="28"/>
          <w:sz w:val="28"/>
          <w:szCs w:val="28"/>
          <w:rtl w:val="true"/>
          <w:lang w:bidi="ar-SA"/>
        </w:rPr>
        <w:t>والاطلاع هو الذي يولد الشبهات عند بعض النفوس المريضة</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20881_2383167630"/>
      <w:bookmarkStart w:id="23" w:name="_Toc8"/>
      <w:bookmarkEnd w:id="22"/>
      <w:r>
        <w:rPr>
          <w:rtl w:val="true"/>
        </w:rPr>
        <w:t>استعمال القرآن لفظ العبید علی الانسان</w:t>
      </w:r>
      <w:bookmarkEnd w:id="23"/>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الكريم استعمل كلمة العبد على الإنسان في آيات منها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فنرى الآية الكريمة تصرّح بوضوح باستعمال كلمة عبادكم أي عبيدكم والضمير في كم راجع للإنسان أي عبدكم وعبيدكم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كلمة عبد شرك لما استعملها القرآن الكريم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وردت كلمة العبيد في الكتب الفقهية للمذاهب الإسلامية وفى فصول فقهية من أبواب الفقه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عتق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كلمة عبيد أو عبد شرك لما استعملها الفقهاء في كتبهم الفقهية ، والذي يقول بهذه المقالة إنّ استعمال عبد للإنسان هو جاهل وغير </w:t>
      </w:r>
      <w:bookmarkStart w:id="24" w:name="pg1295_18086"/>
    </w:p>
    <w:p>
      <w:pPr>
        <w:pStyle w:val="BookText"/>
        <w:rPr/>
      </w:pPr>
      <w:bookmarkEnd w:id="24"/>
      <w:r>
        <w:rPr>
          <w:rFonts w:ascii="Amiri" w:hAnsi="Amiri" w:eastAsia="Amiri" w:cs="Amiri"/>
          <w:color w:val="111111"/>
          <w:sz w:val="28"/>
          <w:sz w:val="28"/>
          <w:szCs w:val="28"/>
          <w:rtl w:val="true"/>
          <w:lang w:bidi="ar-SA"/>
        </w:rPr>
        <w:t>مطلع على كتب الفقه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استعمال مجازي لكلمات قد استعملها القرآن الكريم في غير معانيها الأولى أي في غير ما وضعت له فمثلاً كلمة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تستعمل الله تعالى ومختصة به ولكن القرآن استعملها في الإنسان فكما نراه يستعمل ويطلق كلمة رب على الإنسان كما جاء عن لسان نبي الله يوسف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لِلَّذِي ظَنَّ أَنَّهُ نَاجٍ مِنْهُمَا اذْكُرْنِي عِنْدَ رَبِّكَ فَأَنْسَاهُ الشَّيْطَانُ ذِكْرَ رَبِّهِ</w:t>
      </w:r>
      <w:r>
        <w:rPr>
          <w:rFonts w:eastAsia="Amiri" w:cs="Amiri" w:ascii="Amiri" w:hAnsi="Amiri"/>
          <w:color w:val="111111"/>
          <w:sz w:val="28"/>
          <w:szCs w:val="28"/>
          <w:rtl w:val="true"/>
          <w:lang w:bidi="ar-SA"/>
        </w:rPr>
        <w:t>»</w:t>
      </w:r>
      <w:r>
        <w:rPr>
          <w:rStyle w:val="FootnoteAnchor"/>
          <w:rtl w:val="true"/>
        </w:rPr>
        <w:footnoteReference w:id="3"/>
      </w:r>
    </w:p>
    <w:p>
      <w:pPr>
        <w:pStyle w:val="Heading2"/>
        <w:numPr>
          <w:ilvl w:val="1"/>
          <w:numId w:val="1"/>
        </w:numPr>
        <w:rPr/>
      </w:pPr>
      <w:bookmarkStart w:id="25" w:name="__RefHeading___Toc20883_2383167630"/>
      <w:bookmarkStart w:id="26" w:name="_Toc9"/>
      <w:bookmarkEnd w:id="25"/>
      <w:r>
        <w:rPr>
          <w:rtl w:val="true"/>
        </w:rPr>
        <w:t>باب عتق العبید فی الکتب الفقهیه</w:t>
      </w:r>
      <w:bookmarkEnd w:id="26"/>
    </w:p>
    <w:p>
      <w:pPr>
        <w:pStyle w:val="BookText"/>
        <w:rPr/>
      </w:pPr>
      <w:r>
        <w:rPr>
          <w:rFonts w:ascii="Amiri" w:hAnsi="Amiri" w:eastAsia="Amiri" w:cs="Amiri"/>
          <w:color w:val="111111"/>
          <w:sz w:val="28"/>
          <w:sz w:val="28"/>
          <w:szCs w:val="28"/>
          <w:rtl w:val="true"/>
          <w:lang w:bidi="ar-SA"/>
        </w:rPr>
        <w:t>فلو كانت كلمة عبد أو رب لا تطلق ولا تستعمل للإنسان لما استعملها القرآن الكريم في هذه الآية لأنّها مجازات لغوية يجوز استعمالها لعدّة معان</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20885_2383167630"/>
      <w:bookmarkStart w:id="28" w:name="_Toc10"/>
      <w:bookmarkEnd w:id="27"/>
      <w:r>
        <w:rPr>
          <w:rtl w:val="true"/>
        </w:rPr>
        <w:t>استعمال لفة الرب علی انسان کما جاء فی القرآن الکریم</w:t>
      </w:r>
      <w:bookmarkEnd w:id="2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العقلاء قد استعملوها وأقروها في بياناتهم ومعانيهم فمثلاً استعملوا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رئيس الأسرة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المصنع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p>
    <w:p>
      <w:pPr>
        <w:pStyle w:val="BookText"/>
        <w:rPr/>
      </w:pPr>
      <w:r>
        <w:rPr>
          <w:rFonts w:ascii="Amiri" w:hAnsi="Amiri" w:eastAsia="Amiri" w:cs="Amiri"/>
          <w:color w:val="111111"/>
          <w:sz w:val="28"/>
          <w:sz w:val="28"/>
          <w:szCs w:val="28"/>
          <w:rtl w:val="true"/>
          <w:lang w:bidi="ar-SA"/>
        </w:rPr>
        <w:t>كلّها مجازات استعملها القرآن الكريم وأقرّها العقلاء فى استعمال لغاتهم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يحرمون استعمال هذه اللغات على الإنسان ويقتصرونها على الله تعالى هم أنفسهم يستعملونها في مخاطبتهم لملوكهم ورؤسائهم ويستعملونها في بياناتهم ومطاليبهم 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ياسيدي أو كلمة يامولاي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معناه أنّه عبد السيّده المخاطب وعبد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عبودية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الدارس للقرآن الكريم وآياته يرى بوضوح إنّ القرآن لا يسارع بتكفير الإنسان ويرميه بالشرك وهذا هو افتراء وبهتان كبير ، فمثلاً القرآن يضرب لنا مثلاً أعلى للذي يتظاهر بالكفر ولكن قلبه مطمئن بالإيمان من أجل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يكفّره ولا يرميه بالشرك لأنّ قلبه مؤمن</w:t>
      </w:r>
    </w:p>
    <w:p>
      <w:pPr>
        <w:pStyle w:val="BookText"/>
        <w:rPr/>
      </w:pPr>
      <w:r>
        <w:rPr>
          <w:rFonts w:ascii="Amiri" w:hAnsi="Amiri" w:eastAsia="Amiri" w:cs="Amiri"/>
          <w:color w:val="111111"/>
          <w:sz w:val="28"/>
          <w:sz w:val="28"/>
          <w:szCs w:val="28"/>
          <w:rtl w:val="true"/>
          <w:lang w:bidi="ar-SA"/>
        </w:rPr>
        <w:t>ومطمئن بالإيمان ولهذا قال الله تعالى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4"/>
      </w:r>
      <w:bookmarkStart w:id="29" w:name="pg1295_18088"/>
    </w:p>
    <w:p>
      <w:pPr>
        <w:pStyle w:val="Heading2"/>
        <w:numPr>
          <w:ilvl w:val="1"/>
          <w:numId w:val="1"/>
        </w:numPr>
        <w:rPr/>
      </w:pPr>
      <w:bookmarkStart w:id="30" w:name="__RefHeading___Toc20887_2383167630"/>
      <w:bookmarkStart w:id="31" w:name="_Toc11"/>
      <w:bookmarkEnd w:id="29"/>
      <w:bookmarkEnd w:id="30"/>
      <w:r>
        <w:rPr>
          <w:rtl w:val="true"/>
        </w:rPr>
        <w:t>تکفیر المسلم لا یجوز</w:t>
      </w:r>
      <w:bookmarkEnd w:id="31"/>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رأي الإسلام فيمن يسمي نفسه عبدالرسول أو عبد الحسين أنّها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عبودية الطاعة لا عبودية العبادة ، والإسلام لم يحرّم هذه التسمية والإنسان حرّ في كيفية التسمية والله ينهى من يفتري على المسلمين ومن يكفّرهم ويتهمهم بالشرك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أَلْقَى إِلَيْكُمُ السَّلَامَ لَسْتَ مُؤْمِنًا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وينهى عن الافتراء والبهتان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يُؤْمِنُونَ بِآيَاتِ اللَّهِ</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وبالختام نقول لهؤلاء إن تحريم هذه التسمية ينطلق من الحقد والكراهية لآل البيت لا تحريم شرعي وإنّما هو تحریم حقدي ولو سمّينا أنفسنا بعبد معاوية أو عبد مروان أو عبد يزيد لكانت التسمية تصبح أوجب الواجبات فالتحريم هذا تحريم حقدي لا تحريم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عرفنا ذلك من هذا البحث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295_18091"/>
      <w:bookmarkStart w:id="33" w:name="pg1295_18091"/>
      <w:bookmarkEnd w:id="33"/>
    </w:p>
    <w:p>
      <w:pPr>
        <w:pStyle w:val="Heading2"/>
        <w:numPr>
          <w:ilvl w:val="1"/>
          <w:numId w:val="1"/>
        </w:numPr>
        <w:rPr/>
      </w:pPr>
      <w:bookmarkStart w:id="34" w:name="pg1295_18091"/>
      <w:bookmarkStart w:id="35" w:name="__RefHeading___Toc20889_2383167630"/>
      <w:bookmarkStart w:id="36" w:name="_Toc12"/>
      <w:bookmarkEnd w:id="34"/>
      <w:bookmarkEnd w:id="35"/>
      <w:r>
        <w:rPr>
          <w:rtl w:val="true"/>
        </w:rPr>
        <w:t>محتويات الكتاب</w:t>
      </w:r>
      <w:bookmarkEnd w:id="36"/>
    </w:p>
    <w:p>
      <w:pPr>
        <w:pStyle w:val="BookText"/>
        <w:rPr/>
      </w:pPr>
      <w:r>
        <w:rPr>
          <w:rFonts w:ascii="Amiri" w:hAnsi="Amiri" w:eastAsia="Amiri" w:cs="Amiri"/>
          <w:color w:val="111111"/>
          <w:sz w:val="28"/>
          <w:sz w:val="28"/>
          <w:szCs w:val="28"/>
          <w:rtl w:val="true"/>
          <w:lang w:bidi="ar-SA"/>
        </w:rPr>
        <w:t>العبودية على شكلين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عبودية عباده</w:t>
      </w:r>
    </w:p>
    <w:p>
      <w:pPr>
        <w:pStyle w:val="BookText"/>
        <w:rPr/>
      </w:pPr>
      <w:r>
        <w:rPr>
          <w:rFonts w:ascii="Amiri" w:hAnsi="Amiri" w:eastAsia="Amiri" w:cs="Amiri"/>
          <w:color w:val="111111"/>
          <w:sz w:val="28"/>
          <w:sz w:val="28"/>
          <w:szCs w:val="28"/>
          <w:rtl w:val="true"/>
          <w:lang w:bidi="ar-SA"/>
        </w:rPr>
        <w:t>عبودية طاعة</w:t>
      </w:r>
    </w:p>
    <w:p>
      <w:pPr>
        <w:pStyle w:val="BookText"/>
        <w:rPr/>
      </w:pPr>
      <w:r>
        <w:rPr>
          <w:rFonts w:ascii="Amiri" w:hAnsi="Amiri" w:eastAsia="Amiri" w:cs="Amiri"/>
          <w:color w:val="111111"/>
          <w:sz w:val="28"/>
          <w:sz w:val="28"/>
          <w:szCs w:val="28"/>
          <w:rtl w:val="true"/>
          <w:lang w:bidi="ar-SA"/>
        </w:rPr>
        <w:t>مفهوم الشرك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استعمال القرآن لفط العبيد على الأنسان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باب عتق العبيد في الكتب الفقهيه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استعمال لفظ الرب على الانسان كما جاء في القرآن</w:t>
      </w:r>
    </w:p>
    <w:p>
      <w:pPr>
        <w:pStyle w:val="BookText"/>
        <w:rPr/>
      </w:pP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تكفير المسلم 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7" w:name="pg1295_18092"/>
    </w:p>
    <w:p>
      <w:pPr>
        <w:pStyle w:val="Heading2"/>
        <w:numPr>
          <w:ilvl w:val="1"/>
          <w:numId w:val="1"/>
        </w:numPr>
        <w:rPr/>
      </w:pPr>
      <w:bookmarkStart w:id="38" w:name="__RefHeading___Toc20891_2383167630"/>
      <w:bookmarkStart w:id="39" w:name="_Toc13"/>
      <w:bookmarkEnd w:id="37"/>
      <w:bookmarkEnd w:id="38"/>
      <w:r>
        <w:rPr>
          <w:rtl w:val="true"/>
        </w:rPr>
        <w:t>كتب المؤلف</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الوثائق الرسمية لثورة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بحث ودراسة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ومواقفه البطولية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ومدرسته الحربية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علم الأخلاق النظري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الشركة في الفقه الإسلامي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الأسئلة والأجوبة الإسلامية صدر منها حتى الآن سبعة أعداد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بدر الكبرى حرب تحريرية إسلامية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النبوة والامامة والخلافة في الأسلام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واجباتها وأحكامها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المسافر في الشريعة الإسلامية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مفاهيمنا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الشعائر الحسينية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المدارس الأخلاقية قديماً وحديثاً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هو النبع الصافي في الإسلام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الاسلامي وتطور الزمن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أوهام احمد الكاتب وأساطيره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خرافات عثمان خميس وأوهامه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مناظرات في مكة المكرمة والمدينة المنورة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هو المذهب الرسمي للاسلام بالنص القرآني والنبوي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النصائح الوافية لاتباع الوهابية والسلفية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الإمام المهدي فريضة إسلامية بالنص القرآني والنبوي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الاختلاف بين المذاهب الإسلامية مع وضوح النص القرآني والنبوي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يوزع هذا الكتاب مجاناً وثوابه إلى روح المرحوم الحاج شعبان وروح المرحومه زوجته وروح نجلهما المرحوم الحاج طالب ورحم الله من قرأ الفاتحة لهم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image" Target="media/image2.jpeg"/><Relationship Id="rId23" Type="http://schemas.openxmlformats.org/officeDocument/2006/relationships/image" Target="media/image2.jpeg"/><Relationship Id="rId24" Type="http://schemas.openxmlformats.org/officeDocument/2006/relationships/footer" Target="footer17.xml"/><Relationship Id="rId25" Type="http://schemas.openxmlformats.org/officeDocument/2006/relationships/footnotes" Target="footnotes.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Pages>
  <Words>1247</Words>
  <Characters>5645</Characters>
  <CharactersWithSpaces>6783</CharactersWithSpaces>
  <Paragraphs>142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2026-08-16T13:36:00Z</dcterms:created>
  <dc:creator>ghaemiyeh.com</dc:creator>
  <dc:description/>
  <dc:language>en-US</dc:language>
  <cp:lastModifiedBy/>
  <dcterms:modified xsi:type="dcterms:W3CDTF">2026-08-16T17:06:01Z</dcterms:modified>
  <cp:revision>1</cp:revision>
  <dc:subject/>
  <dc:title>العبودیة فى التسمیة من کان اسمه عبدالرسول و عبدالحسین</dc:title>
</cp:coreProperties>
</file>

<file path=docProps/custom.xml><?xml version="1.0" encoding="utf-8"?>
<Properties xmlns="http://schemas.openxmlformats.org/officeDocument/2006/custom-properties" xmlns:vt="http://schemas.openxmlformats.org/officeDocument/2006/docPropsVTypes"/>
</file>