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مفهوم الصحابة فی الکتاب و السنة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9619_37343814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009621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9623_373438147">
            <w:r>
              <w:rPr>
                <w:webHidden/>
                <w:rStyle w:val="IndexLink"/>
                <w:rtl w:val="true"/>
              </w:rPr>
              <w:t>الصحابة في القرآن والسنّة</w:t>
            </w:r>
            <w:r>
              <w:rPr>
                <w:rStyle w:val="IndexLink"/>
                <w:rtl w:val="true"/>
              </w:rPr>
              <w:tab/>
            </w:r>
            <w:r>
              <w:rPr>
                <w:rStyle w:val="IndexLink"/>
              </w:rPr>
              <w:t>8</w:t>
            </w:r>
          </w:hyperlink>
        </w:p>
        <w:p>
          <w:pPr>
            <w:pStyle w:val="Contents2"/>
            <w:tabs>
              <w:tab w:val="clear" w:pos="8743"/>
              <w:tab w:val="right" w:pos="9026" w:leader="dot"/>
            </w:tabs>
            <w:rPr/>
          </w:pPr>
          <w:hyperlink w:anchor="__RefHeading___Toc2009625_373438147">
            <w:r>
              <w:rPr>
                <w:webHidden/>
                <w:rStyle w:val="IndexLink"/>
                <w:rtl w:val="true"/>
              </w:rPr>
              <w:t xml:space="preserve">النظرية الأولى </w:t>
            </w:r>
            <w:r>
              <w:rPr>
                <w:rStyle w:val="IndexLink"/>
                <w:rtl w:val="true"/>
              </w:rPr>
              <w:t xml:space="preserve">: </w:t>
            </w:r>
            <w:r>
              <w:rPr>
                <w:rStyle w:val="IndexLink"/>
                <w:rtl w:val="true"/>
              </w:rPr>
              <w:t>الصحبة في المفهوم القرآني</w:t>
            </w:r>
            <w:r>
              <w:rPr>
                <w:rStyle w:val="IndexLink"/>
                <w:rtl w:val="true"/>
              </w:rPr>
              <w:tab/>
            </w:r>
            <w:r>
              <w:rPr>
                <w:rStyle w:val="IndexLink"/>
              </w:rPr>
              <w:t>9</w:t>
            </w:r>
          </w:hyperlink>
        </w:p>
        <w:p>
          <w:pPr>
            <w:pStyle w:val="Contents2"/>
            <w:tabs>
              <w:tab w:val="clear" w:pos="8743"/>
              <w:tab w:val="right" w:pos="9026" w:leader="dot"/>
            </w:tabs>
            <w:rPr/>
          </w:pPr>
          <w:hyperlink w:anchor="__RefHeading___Toc2009627_373438147">
            <w:r>
              <w:rPr>
                <w:webHidden/>
                <w:rStyle w:val="IndexLink"/>
                <w:rtl w:val="true"/>
              </w:rPr>
              <w:t>نغمة أنّ الشيعة يسبون الصحابة</w:t>
            </w:r>
            <w:r>
              <w:rPr>
                <w:rStyle w:val="IndexLink"/>
                <w:rtl w:val="true"/>
              </w:rPr>
              <w:tab/>
            </w:r>
            <w:r>
              <w:rPr>
                <w:rStyle w:val="IndexLink"/>
              </w:rPr>
              <w:t>30</w:t>
            </w:r>
          </w:hyperlink>
        </w:p>
        <w:p>
          <w:pPr>
            <w:pStyle w:val="Contents2"/>
            <w:tabs>
              <w:tab w:val="clear" w:pos="8743"/>
              <w:tab w:val="right" w:pos="9026" w:leader="dot"/>
            </w:tabs>
            <w:rPr/>
          </w:pPr>
          <w:hyperlink w:anchor="__RefHeading___Toc2009629_373438147">
            <w:r>
              <w:rPr>
                <w:webHidden/>
                <w:rStyle w:val="IndexLink"/>
                <w:rtl w:val="true"/>
              </w:rPr>
              <w:t>المصادر</w:t>
            </w:r>
            <w:r>
              <w:rPr>
                <w:rStyle w:val="IndexLink"/>
                <w:rtl w:val="true"/>
              </w:rPr>
              <w:tab/>
            </w:r>
            <w:r>
              <w:rPr>
                <w:rStyle w:val="IndexLink"/>
              </w:rPr>
              <w:t>35</w:t>
            </w:r>
          </w:hyperlink>
        </w:p>
        <w:p>
          <w:pPr>
            <w:pStyle w:val="Contents2"/>
            <w:tabs>
              <w:tab w:val="clear" w:pos="8743"/>
              <w:tab w:val="right" w:pos="9026" w:leader="dot"/>
            </w:tabs>
            <w:rPr/>
          </w:pPr>
          <w:hyperlink w:anchor="__RefHeading___Toc2009631_373438147">
            <w:r>
              <w:rPr>
                <w:webHidden/>
                <w:rStyle w:val="IndexLink"/>
                <w:rtl w:val="true"/>
              </w:rPr>
              <w:t>محتويات الكتاب</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9_6951"/>
      <w:bookmarkStart w:id="1" w:name="pg1089_6951"/>
      <w:bookmarkEnd w:id="1"/>
    </w:p>
    <w:p>
      <w:pPr>
        <w:pStyle w:val="Heading2"/>
        <w:numPr>
          <w:ilvl w:val="1"/>
          <w:numId w:val="1"/>
        </w:numPr>
        <w:rPr/>
      </w:pPr>
      <w:bookmarkStart w:id="2" w:name="pg1089_6951"/>
      <w:bookmarkStart w:id="3" w:name="__RefHeading___Toc2009619_37343814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الصحابة في الكتاب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عبدالكريم قزوینی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برگزیده؛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بصورت زیرنویس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برگزیده</w:t>
      </w:r>
    </w:p>
    <w:p>
      <w:pPr>
        <w:pStyle w:val="BookText"/>
        <w:rPr/>
      </w:pPr>
      <w:r>
        <w:rPr>
          <w:rFonts w:ascii="Amiri" w:hAnsi="Amiri" w:eastAsia="Amiri" w:cs="Amiri"/>
          <w:color w:val="111111"/>
          <w:sz w:val="28"/>
          <w:sz w:val="28"/>
          <w:szCs w:val="28"/>
          <w:rtl w:val="true"/>
          <w:lang w:bidi="ar-SA"/>
        </w:rPr>
        <w:t>مفهوم الصحابة فى الكتاب و السنّة</w:t>
      </w:r>
    </w:p>
    <w:p>
      <w:pPr>
        <w:pStyle w:val="BookText"/>
        <w:rPr/>
      </w:pPr>
      <w:r>
        <w:rPr>
          <w:rFonts w:ascii="Amiri" w:hAnsi="Amiri" w:eastAsia="Amiri" w:cs="Amiri"/>
          <w:color w:val="111111"/>
          <w:sz w:val="28"/>
          <w:sz w:val="28"/>
          <w:szCs w:val="28"/>
          <w:rtl w:val="true"/>
          <w:lang w:bidi="ar-SA"/>
        </w:rPr>
        <w:t>عبدالكريم الحسيني القزويني</w:t>
      </w:r>
    </w:p>
    <w:p>
      <w:pPr>
        <w:pStyle w:val="BookText"/>
        <w:rPr/>
      </w:pPr>
      <w:r>
        <w:rPr>
          <w:rFonts w:ascii="IRNazanin" w:hAnsi="IRNazanin" w:eastAsia="IRNazanin"/>
          <w:color w:val="111111"/>
          <w:sz w:val="28"/>
          <w:sz w:val="28"/>
          <w:szCs w:val="28"/>
          <w:rtl w:val="true"/>
          <w:lang w:bidi="fa-IR"/>
        </w:rPr>
        <w:t>تولید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وتعالی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الشاب الدوره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010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چاپ و نشر محفوظ و مخصوص است</w:t>
      </w:r>
    </w:p>
    <w:p>
      <w:pPr>
        <w:pStyle w:val="BookText"/>
        <w:rPr/>
      </w:pPr>
      <w:r>
        <w:rPr>
          <w:rFonts w:ascii="IRNazanin" w:hAnsi="IRNazanin" w:eastAsia="IRNazanin"/>
          <w:color w:val="111111"/>
          <w:sz w:val="28"/>
          <w:sz w:val="28"/>
          <w:szCs w:val="28"/>
          <w:rtl w:val="true"/>
          <w:lang w:bidi="fa-IR"/>
        </w:rPr>
        <w:t xml:space="preserve">سایت مؤلف </w:t>
      </w:r>
      <w:r>
        <w:rPr>
          <w:rFonts w:eastAsia="Times New Roman" w:cs="Times New Roman" w:ascii="Times New Roman" w:hAnsi="Times New Roman"/>
          <w:color w:val="111111"/>
          <w:sz w:val="28"/>
          <w:szCs w:val="28"/>
          <w:lang w:val="en-US" w:bidi="en-US"/>
        </w:rPr>
        <w:t>http://www.qazvini.org</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7745081/7744125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9621_37343814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لماذا الاختلاف بين المذاهب الإسلامية مع وضوح النص القرآني والنبوى</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مفهوم الصحابة في الكتاب والسنة</w:t>
      </w:r>
    </w:p>
    <w:p>
      <w:pPr>
        <w:pStyle w:val="BookText"/>
        <w:rPr/>
      </w:pPr>
      <w:r>
        <w:rPr>
          <w:rFonts w:ascii="Amiri" w:hAnsi="Amiri" w:eastAsia="Amiri" w:cs="Amiri"/>
          <w:color w:val="111111"/>
          <w:sz w:val="28"/>
          <w:sz w:val="28"/>
          <w:szCs w:val="28"/>
          <w:rtl w:val="true"/>
          <w:lang w:bidi="ar-SA"/>
        </w:rPr>
        <w:t>عبدالكريم الحسينى القزويني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www.Qazvini.org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سيدنا محمّد وآله الطيبين الطاهرين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9_6955"/>
      <w:bookmarkStart w:id="8" w:name="pg1089_6955"/>
      <w:bookmarkEnd w:id="8"/>
    </w:p>
    <w:p>
      <w:pPr>
        <w:pStyle w:val="Heading2"/>
        <w:numPr>
          <w:ilvl w:val="1"/>
          <w:numId w:val="1"/>
        </w:numPr>
        <w:rPr/>
      </w:pPr>
      <w:bookmarkStart w:id="9" w:name="pg1089_6955"/>
      <w:bookmarkStart w:id="10" w:name="__RefHeading___Toc2009623_373438147"/>
      <w:bookmarkStart w:id="11" w:name="_Toc3"/>
      <w:bookmarkEnd w:id="9"/>
      <w:bookmarkEnd w:id="10"/>
      <w:r>
        <w:rPr>
          <w:rtl w:val="true"/>
        </w:rPr>
        <w:t>الصحابة في القرآن والسنّة</w:t>
      </w:r>
      <w:bookmarkEnd w:id="11"/>
    </w:p>
    <w:p>
      <w:pPr>
        <w:pStyle w:val="BookText"/>
        <w:rPr/>
      </w:pPr>
      <w:r>
        <w:rPr>
          <w:rFonts w:ascii="IRNazanin" w:hAnsi="IRNazanin" w:eastAsia="IRNazanin"/>
          <w:color w:val="111111"/>
          <w:sz w:val="28"/>
          <w:sz w:val="28"/>
          <w:szCs w:val="28"/>
          <w:rtl w:val="true"/>
          <w:lang w:bidi="fa-IR"/>
        </w:rPr>
        <w:t>الصحبة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ويعنى بها هو كلّ من عاصر</w:t>
      </w:r>
    </w:p>
    <w:p>
      <w:pPr>
        <w:pStyle w:val="BookText"/>
        <w:rPr/>
      </w:pPr>
      <w:r>
        <w:rPr>
          <w:rFonts w:ascii="IRNazanin" w:hAnsi="IRNazanin" w:eastAsia="IRNazanin"/>
          <w:color w:val="111111"/>
          <w:sz w:val="28"/>
          <w:sz w:val="28"/>
          <w:szCs w:val="28"/>
          <w:rtl w:val="true"/>
          <w:lang w:bidi="fa-IR"/>
        </w:rPr>
        <w:t xml:space="preserve">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شاهده أو سمع منه أو أدركه ولم يشاهده فإنّه يقال له صحابي وهذه الصحبة بمعناها الأعم لا تعطيه ميزة ولم تمنحه عصمة إن لم تصاحبه وترافقه التقوى ولم يلازمه العمل الصالح ، وهذا المفهوم هو الذي يميّز الصحابة والآراء فيهم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اختلف المسلمون في تقييم الصحابي وإعطاء الرأي فيهم إلى مذاهب وآراء متعدّدة ونقتصر على مفاهيم ثلاثة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القراني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الصحابي في المفهوم النبوي </w:t>
      </w:r>
      <w:r>
        <w:rPr>
          <w:rFonts w:eastAsia="Amiri" w:cs="Amiri" w:ascii="Amiri" w:hAnsi="Amiri"/>
          <w:color w:val="111111"/>
          <w:sz w:val="28"/>
          <w:szCs w:val="28"/>
          <w:rtl w:val="true"/>
          <w:lang w:bidi="ar-SA"/>
        </w:rPr>
        <w:t xml:space="preserve">. </w:t>
      </w:r>
      <w:bookmarkStart w:id="12" w:name="pg1089_6956"/>
    </w:p>
    <w:p>
      <w:pPr>
        <w:pStyle w:val="BookText"/>
        <w:rPr/>
      </w:pPr>
      <w:bookmarkEnd w:id="12"/>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الصحابي في المفهوم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بعض المفاهيم والنظريات التي قيلت في الصحابة ونحن ندرسها على نحو الاختصار والإيجاز </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2009625_373438147"/>
      <w:bookmarkStart w:id="14" w:name="_Toc4"/>
      <w:bookmarkEnd w:id="13"/>
      <w:r>
        <w:rPr>
          <w:rtl w:val="true"/>
        </w:rPr>
        <w:t xml:space="preserve">النظرية الأولى </w:t>
      </w:r>
      <w:r>
        <w:rPr>
          <w:rtl w:val="true"/>
        </w:rPr>
        <w:t xml:space="preserve">: </w:t>
      </w:r>
      <w:r>
        <w:rPr>
          <w:rtl w:val="true"/>
        </w:rPr>
        <w:t>الصحبة في المفهوم القرآني</w:t>
      </w:r>
      <w:bookmarkEnd w:id="14"/>
    </w:p>
    <w:p>
      <w:pPr>
        <w:pStyle w:val="BookText"/>
        <w:rPr/>
      </w:pPr>
      <w:r>
        <w:rPr>
          <w:rFonts w:ascii="Amiri" w:hAnsi="Amiri" w:eastAsia="Amiri" w:cs="Amiri"/>
          <w:color w:val="111111"/>
          <w:sz w:val="28"/>
          <w:sz w:val="28"/>
          <w:szCs w:val="28"/>
          <w:rtl w:val="true"/>
          <w:lang w:bidi="ar-SA"/>
        </w:rPr>
        <w:t xml:space="preserve">القرآن الكريم له مفهوم خاص به يميز الناس على ضوئه ومفهومه سواء كان صحابياً أو من عامة الناس ولكن الصحابي إذا التزم وعمل صالحاً وقال إنّني من المسلمين يكون له مقاماً محموداً وميزة مفضّلة له وذلك طبقاً للمفهوم القرآني العام المستخرج والمستنبط من هذه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وإنطلاقاً من هذه الآية يقيّم القرآن الكريم الصحابة على هذا المقياس فيعرض لنا القرآن الكريم نماذج وصوراً متعدّدة للصحابة وهي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القرآن الكريم ذكر الصحابة مادحاً لبعضهم وقادحاً بالبعض الآخر وذلك بسبب أعمالهم الصالحة والقبيحة فنجد مثلاً في القرآن الكريم آيات المدح والثناء لبعض الصحابة الذين قاموا بالأعمال الصالحة فمدحهم على ذلك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الرَّسُولُ وَالَّذِينَ آمَنُوا مَعَهُ جَاهَدُوا بِأَمْوَالِهِمْ وَأَنفُسِهِمْ وَأُوْلَئِكَ لَهُمْ الْخَيْرَاتُ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الْأَعْرَابِ مَنْ يُؤْمِنُ بِاللهِ وَالْيَوْمِ الْآخِرِ وَيَتَّخِذُ مَا يُنفِقُ قُرُبَاتٍ عِنْدَ اللَّهِ وَصَلَوَاتِ الرَّسُولِ أَلَا إِنَّهَا قُرْبَةٌ لَهُمْ سَيُدْخِلُهُمْ اللهُ فِي رَحْمَتِهِ إِنَّ اللهَ غَفُورٌ رَحِيمٌ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تعالى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فهنا نرى القرآن في آياته كيف يستعرض النماذج الإيجابية لبعض الصحابة الذين انسجمت أعمالهم مع عقائدهم وأفكارهم مع فعلهم فاستحقوا الذكر الطيب والثناء العاطر وقد عبّر عنهم القرآن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القرآن الكريم النموذج الثاني للصحابة الذين خلطوا عملاً صالحاً وآخر غير </w:t>
      </w:r>
    </w:p>
    <w:p>
      <w:pPr>
        <w:pStyle w:val="BookText"/>
        <w:rPr/>
      </w:pPr>
      <w:r>
        <w:rPr>
          <w:rFonts w:ascii="Amiri" w:hAnsi="Amiri" w:eastAsia="Amiri" w:cs="Amiri"/>
          <w:color w:val="111111"/>
          <w:sz w:val="28"/>
          <w:sz w:val="28"/>
          <w:szCs w:val="28"/>
          <w:rtl w:val="true"/>
          <w:lang w:bidi="ar-SA"/>
        </w:rPr>
        <w:t xml:space="preserve">صالح وذمّهم على هذه الصفة بقوله تعالى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وَآخَرُونَ اعْتَرَفُوا بِذُنُوبِهِمْ خَلَطُوا عَمَلاً صَالِحاً وَآخَرَ سَيِّئاً عَسَى اللهُ أَنْ يَتُوبَ عَلَيْهِمْ إِنَّ اللَّهَ غَفُورٌ رَحِيمٌ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النموذج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والنفاق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النفاق هو أن يتظاهر المنافق بألوان مختلفة ومظاهر متعدّدة وهو لم يدخل الإيمان إلى قلوبهم فهم يتظاهرون بالإسلام قولاً لا عملاً وقد عبر القرآن عنهم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الصفة كانت ظاهرة منتشرة في بعض صفوف الصحابة وسائدة في بعض أوساطها لأنهم كانوا بدائيين في الإسلام وكانوا يتظاهرون بهذه الصفة حتّى أنّ القرآن الكريم وصفهم بها في سورة كاملة سمّاها باسمهم سورة المنافقين وفيها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تتعلّق بالمنافقين بقوله تعالى</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الخطاب فى هذه الآية موجّه للمنافقين من الصحابة الذين كانوا في عهد رسول الله ولم يكونوا من غير المسلمين بل كانوا من بعض الصحابة ولهم تيار خاص بهم ومعروف له رجاله وأصحابه حين كانوا يجلسون ويعقدون المؤتمرات الثقافية ويتآمرون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ascii="Amiri" w:hAnsi="Amiri" w:eastAsia="Amiri" w:cs="Amiri"/>
          <w:color w:val="111111"/>
          <w:sz w:val="28"/>
          <w:sz w:val="28"/>
          <w:szCs w:val="28"/>
          <w:rtl w:val="true"/>
          <w:lang w:bidi="ar-SA"/>
        </w:rPr>
        <w:t xml:space="preserve">ورسالته الإسلامية الخالدة وقد صوّر القرآن حالة بعض الصحابة وما عليه من نفاق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 ثُمَّ يُرَدُّونَ إِلَى عَذَابٍ عَظِيمٍ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هو المفهوم القرآني عن الصحابة ذكرته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المفهوم النبوي للصحابة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النبوية هي ملزمة لجميع المسلمين بأشكالها الثلاث القول والفعل والإقرار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وَمَا نَهَاكُمْ عَنْهُ فَانْتَهُوا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ما يقوله وما يفعله وما يقرّه لا ينطلق عن هوى في النفس ولا نزعة في العاطفة وإنّما هو كما عبر القرآن الكريم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وانطلاقاً من هذه الآيات كان قول النبي الله وعمله وامضائه حجّة على جميع المسلمين وملزم لهم فقد 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بعض أصحابه مادحاً لهم وذاماً للبعض الآخر كما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المدح النبوي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فقد ذكر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ascii="Amiri" w:hAnsi="Amiri" w:eastAsia="Amiri" w:cs="Amiri"/>
          <w:color w:val="111111"/>
          <w:sz w:val="28"/>
          <w:sz w:val="28"/>
          <w:szCs w:val="28"/>
          <w:rtl w:val="true"/>
          <w:lang w:bidi="ar-SA"/>
        </w:rPr>
        <w:t xml:space="preserve"> مادحاً لكثير من أصحابه وسمّاهم بأسمائهم فمثلاً ذكر سلمان الفارسي قائلاً </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عمّار بن ياسر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عمّار ملى إيماناً من قرنه إلى قدمه واختلط الإيمان بلحمه ودمه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في حق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أظلّت الزرقاء وأقلّت الغبراء من ذي لهجة أصدق من أبي ذر الغفاري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ما ذكروا عن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فهو مكذوب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وانظر تفصيل ذلك من هذا الكتاب النظرية الثالثة من كتابنا هذا الصحابة في القرآن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الذمّ النبوي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فقد ذمّ بعض الصحابة لتصرفاتهم الشاذّة</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ومخالفتهم لتعاليم القرآن والسنة ولهذا ورد الذمّ عن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وآله وسلم بقوله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ليردنّ عليَّ ناس من أصحابي الحوض حتى عرفتهم اختلجوا 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الشخصي للصحابة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الاستعراض القرآني والنبوي يتضح لنا سلوك بعض الصحابة من خير أو شرّ وحالهم يكون كسائر الناس تشملهم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وانطلاقاً من هذا المفهوم القرآني لا يمكن الاعتماد على أقوال بعض الناس حيث إنّهم يمدحون الصحابة أو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يذمّونهم من دون استناد ولا اعتماد على قرآن أو سنة وإنّما ينطلقون في ذلك من نزعة شخصية وعاطفة عصبية مخالفة للكتاب والسنة فلا اعتبار لهذا المفهوم الشخصي للصحابة من مدح أو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وإليك هذا البحث بصورة مختصرة شاملة تكون مكمّلة لهذا الموضوع بعرض خمس نظريات حول الموضوع لدراستها والتزامها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عدّة نظريات في تقييم صحابة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 وأعمالهم ونحن هنا نستعرض هذه النظريات ومن خلالها نستكشف رأي الإسلام الصحيح في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وتقييمهم في الكتاب والسنّة النبوية وهي كما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تقييم عمل الأفراد في الإسلام قائم على أساس التقوى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المقياس الإسلامي الذي جعله الله مقياساً لتمييز</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الأشخاص وتقييم أعمالهم وسلوكهم ولا اعتبار لبنوّة أو صحبة أو قرابة إذا لم تكن مصحوبة بالتقوى فكلّ عمل يقاس على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فتقييم أعمال الناس بما فيهم الصحابة يكون على هذا الأساس وعلى هذا المقياس الذي جعله الله مقياساً السلوك الإنسان بما فيهم أبناء الأنبياء وأقربائهم وصحابتهم وزوجاتهم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قد مدح بعض الصحابة وأثنى عليهم لعملهم الصالح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والله أيضاً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w:t>
      </w:r>
    </w:p>
    <w:p>
      <w:pPr>
        <w:pStyle w:val="BookText"/>
        <w:rPr/>
      </w:pPr>
      <w:r>
        <w:rPr>
          <w:rFonts w:ascii="Amiri" w:hAnsi="Amiri" w:eastAsia="Amiri" w:cs="Amiri"/>
          <w:color w:val="111111"/>
          <w:sz w:val="28"/>
          <w:sz w:val="28"/>
          <w:szCs w:val="28"/>
          <w:rtl w:val="true"/>
          <w:lang w:bidi="ar-SA"/>
        </w:rPr>
        <w:t>نَفْسِهِ</w:t>
      </w:r>
      <w:r>
        <w:rPr>
          <w:rStyle w:val="FootnoteAnchor"/>
          <w:rtl w:val="true"/>
        </w:rPr>
        <w:footnoteReference w:id="18"/>
      </w:r>
      <w:r>
        <w:rPr>
          <w:rFonts w:ascii="Amiri" w:hAnsi="Amiri" w:eastAsia="Amiri" w:cs="Amiri"/>
          <w:color w:val="111111"/>
          <w:sz w:val="28"/>
          <w:sz w:val="28"/>
          <w:szCs w:val="28"/>
          <w:rtl w:val="true"/>
          <w:lang w:bidi="ar-SA"/>
        </w:rPr>
        <w:t xml:space="preserve"> وهذا المدح الإلهي والثناء الرباني نتيجة العمل الصالح الذي قام به بعض الصحابة فقد رضى الله عملهم وأثابهم على ذلك ولكن هذا لا يعطيهم العصمة في بقية الأعمال ولذلك عبر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وأنت والصحابي وكلّ إنسان مسلم إذا أدّينا الأعمال الصالحة بنيّات خالصة فالله يثيبنا ويرضى عنا وإذا عملنا بعد ذلك أعمالاً سيّئة ومخالفة للكتاب والسنّة فالله يعاقبنا على ذلك استناداً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النظرية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القائلة بأن الصحابة كلهم عدول ويستندون إلى ما يروونه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ذكر ابن حجر في كتابه الإصابة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أهل السنّة على إنّ الجميع عدول ولم يخالف في ذلك إلّا شذوذ من المبتدعة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والغريب من ابن حجر أن يقول بهذه المقالة وينسب الشذوذ إلى من يخالفه في عدالة جميع الصحابة أليس هذا هو رد على قول الله تعالى في سورة المنافقين ورد على هذه الآية في سورة التوبة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حَوْلَكُمْ مِنْ الْأَعْرَابِ مُنَافِقُونَ وَمِنْ أَهْلِ الْمَدِينَةِ مَرَدُوا عَلَى التِّفَاقِ لَا تَعْلَمُهُمْ نَحْنُ نَعْلَمُهُمْ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العسقلاني ينسب الشذوذ إلى قول الله وقول رسوله على رواية صحيح البخاري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ليردنّ عليَّ ناس من أصحابي الحوض حتى عرفتهم اختلجوا دوني فأقول أصحابي فيقول لا تدري ما أحدثوا بعدك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عجيب أمر هذا الرجل وهو يدّعي الإسلام أن ينسب </w:t>
      </w:r>
    </w:p>
    <w:p>
      <w:pPr>
        <w:pStyle w:val="BookText"/>
        <w:rPr/>
      </w:pPr>
      <w:r>
        <w:rPr>
          <w:rFonts w:ascii="Amiri" w:hAnsi="Amiri" w:eastAsia="Amiri" w:cs="Amiri"/>
          <w:color w:val="111111"/>
          <w:sz w:val="28"/>
          <w:sz w:val="28"/>
          <w:szCs w:val="28"/>
          <w:rtl w:val="true"/>
          <w:lang w:bidi="ar-SA"/>
        </w:rPr>
        <w:t xml:space="preserve">الشذوذ إلى قول الله ورسوله ولهذا نطلب من المسلمين النظر في هذه الزعبلات والخرافات فى قوله والتنبه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النظرية لا يمكن الاعتماد عليها والوثوق بها للأمور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مخالفة للعقل والمنطق ومخالفة للأُمور البديهية كمن ينكر الليل ويقول إنّه نهار أو ينكر الصبح ويقول إنّه ليل فلهذا لا يمكن القول به والاعتماد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الإنسان العادي لا يمكنه أن يعتقد ويجزم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وأصدقائه كلهم عدول وإنّهم لا يخطؤون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وَحْى يُوحَى </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الحديث غير معقول ولا يمكن لرسول الله أن ينطق به لأنّ فيه تناقض بين أفعال وأعمال الصحابة </w:t>
      </w:r>
    </w:p>
    <w:p>
      <w:pPr>
        <w:pStyle w:val="BookText"/>
        <w:rPr/>
      </w:pPr>
      <w:r>
        <w:rPr>
          <w:rFonts w:ascii="IRNazanin" w:hAnsi="IRNazanin" w:eastAsia="IRNazanin"/>
          <w:color w:val="111111"/>
          <w:sz w:val="28"/>
          <w:sz w:val="28"/>
          <w:szCs w:val="28"/>
          <w:rtl w:val="true"/>
          <w:lang w:bidi="fa-IR"/>
        </w:rPr>
        <w:t xml:space="preserve">أنفسهم فهذا علي أمير المؤمنين في أيام حكومته وقد خرج على حكمه وهو الإمام الشرعي كلّ من عائشة أُمّ المؤمنين وطلحة والزبير ومعاوية والخارج على إمام زمانه الشرعي هو باغي بحكم الشريعة الإسلامية فكيف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بأيهم اقتديتم اهتديتم وهو التناقض وحاشا لرسول الله أن يقوله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نفسر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المكذوب عليه ، وهل يقتدي المسلمون بعلي أمير المؤمنين الا وهو الإمام الشرعي؟ أم يقتدي المسلمون ممّن حاربه وخرج على حكمه الشرعي من أمثال معاوية وطلحة والزبير وغيرهم؟ إذاً فأين الحق وأين الباطل؟ ومن هو المحق ومن هو الباغي؟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عجيب أمر هؤلاء وكذبهم وافترائهم على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إنّهم يستسيغون لأنفسهم أن يفتروا على 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تعظيم أصحابهم على حساب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الحديث المذكور وأنّهم كيف أباحوا لأنفسهم ذلك في حين أن الإنسان العادي لا يمكنه </w:t>
      </w:r>
    </w:p>
    <w:p>
      <w:pPr>
        <w:pStyle w:val="BookText"/>
        <w:rPr/>
      </w:pPr>
      <w:r>
        <w:rPr>
          <w:rFonts w:ascii="IRNazanin" w:hAnsi="IRNazanin" w:eastAsia="IRNazanin"/>
          <w:color w:val="111111"/>
          <w:sz w:val="28"/>
          <w:sz w:val="28"/>
          <w:szCs w:val="28"/>
          <w:rtl w:val="true"/>
          <w:lang w:bidi="fa-IR"/>
        </w:rPr>
        <w:t>أن يشهد لزملائه وأصحابه بهذه الشهادة فكيف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كثير من الروايات التي يروونها لتعظيم الصحابة ولكنّها فيها طعن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هذه الروايات وضعت من قبل معاوية في أيام حكومته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النظرية الثالثة القائلة بأنّ الصحابة کلّهم عدول لا تستند إلى دليل شرعي وعقلى وبالاضافة إلى هذا فإنّها مخالفة للكتاب والسنة وتصطدم بهما وهي كما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مخالفتها للقرآن واضح وبيّن لأنّ الله ذكر قسماً من الصحابة وعبّر عن بعضهم بالمنافقين ونزلت سورة كاملة باسمهم وهي سورة المنافقين التي تحتوي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جلها تتعرّض إلى المنافقين وحالاتهم وقد عبّر القرآن عنهم بقوله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وجاء أيضاً في سورة التوبة قوله تعالى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 ثُمَّ يُرَدُّونَ إِلَى عَذَابٍ عَظِيمٍ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الكريم قد اعترف بأنّهم خلطوا عملاً صالحاً وآخر عملاً سيئاً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وَآخَرَ سَيِّئاً عَسَى اللهُ أَنْ يَتُوبَ عَلَيْهِمْ إِنَّ اللَّهَ غَفُورٌ رَحِيمٌ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الآية الشريفة تكذب ادعائهم وافترائهم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في الحديث المفترى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بعض آيات الله الحكيم العظيم تعطينا صورة واضحة عن تقييمه للإنسان الصحابي وإنّه كسائر الناس قد يعملون صالحاً فيثابون عليه وقد يعملون عملاً سيّئاً يعاقبون عليه أيضاً كما نص القرآن على ذلك</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 جعل التقوى أساساً لتقييم عمل الإنسان وعليه يقاس تصرّفات الصحابة وغيرهم على هذا الأساس التقوائي القرآني فمجرّد الصحبة لا تعطي امتيازاً خاصاً إذا لم تكن مصحوبة بالتقوى حتى لو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أقرب الناس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وقد عبّر القرآن عن هذا المعنى في نبي الله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حيث قال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نُوحٌ رَبَّهُ فَقَالَ رَبِّ إِنَّ ابْنِي مِنْ أَهْلِي وَإِنَّ وَعْدَكَ الْحَقُّ وَأَنْتَ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 فَلَا تَسْأَلْنِي مَا لَيْسَ لَكَ بِهِ عِلْمٌ إِنِّي أَعِظُكَ أَنْ تَكُونَ مِنْ الْجَاهِلِينَ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فبموجب هذا المقياس الجميع يخضعون للأمر الإلهي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كان صحابياً أو غيره فيجب علينا كمؤمنين أن ننظر إلى الناس بهذا المقياس الإلهي القرآني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النظرية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النظرية تقول إن تقييم الصحابة وعملهم نرجعه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وآله وسلم وهو الذي يعطي الصورة الحقيقية الواضحة عن الصحابة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عاشرهم وصاحبهم وأعطى رأيه فيهم كما جاء في صحيح البخاري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يجاء برجال من أُمتي فيؤخذ بهم ذات الشمال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أصحابي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 فأقول كما قال العبد الصالح وَكُنتُ عَلَيْهِمْ شَهِيداً مَا دُمْتُ فِيهِمْ فَلَمَّا تَوَفَّيْتَنِي كُنتَ أَنْتَ الرَّقِيبَ عَلَيْهِمْ</w:t>
      </w:r>
      <w:r>
        <w:rPr>
          <w:rStyle w:val="FootnoteAnchor"/>
          <w:rtl w:val="true"/>
        </w:rPr>
        <w:footnoteReference w:id="26"/>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لم يزالوا مرتدّين على أعقابهم منذ فارقتهم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وذكر البخاري أيضاً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ليردنّ عليَّ ناس من أصحابي الحوض حتى عرفتهم اختلجوا دونى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 ما أحدثوا بعدك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وجاء هذا المعنى في 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صحيح مسلم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لیردن عليَّ الحوض رجال ممن صاحبني حتى إذا رأيتهم ورفعوا إلي اختلجوا دوني ، فلأقولنّ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أصيحابي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فليقالن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هذا المعنى كلّ من صحيح الترمذي أبواب صفة القيامة باب ما جاء في شأن الحشر وتفسير سورة طه وأكد ذلك ابن ماجة كتاب المناسك باب الخطبة يوم النحر حدیث </w:t>
      </w:r>
      <w:r>
        <w:rPr>
          <w:rFonts w:eastAsia="IRNazanin" w:cs="IRNazanin"/>
          <w:color w:val="111111"/>
          <w:sz w:val="28"/>
          <w:szCs w:val="28"/>
          <w:lang w:bidi="fa-IR"/>
        </w:rPr>
        <w:t>5830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ممّا لا تسعه هذه الوريقات ومن هذا البحث والدراسة ينكشف لنا الأمور التالية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هناك بعض الصحابة قد لازم التقوى وساروا على هديها والتزموا بتعاليمها وعلى سبيل المثال لا الحصر من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وأبي ذر الغفاري وعمّار بن ياسر والمقداد وعبدالله بن عبّاس وعبدالله بن مسعود وغيرهم ممّن ساروا على هدى القرآن والسنة والتزموا عملياً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رأسهم الإمام علي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 الصحبة والقرابة والرحمية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تمنح العصمة لكان أولاد الأنبياء وزوجاتهم أولى بها من غيرهم فهذا القرآن يحدّثنا عن معصية زوجات الأنبياء</w:t>
      </w:r>
    </w:p>
    <w:p>
      <w:pPr>
        <w:pStyle w:val="BookText"/>
        <w:rPr/>
      </w:pPr>
      <w:r>
        <w:rPr>
          <w:rFonts w:ascii="IRNazanin" w:hAnsi="IRNazanin" w:eastAsia="IRNazanin"/>
          <w:color w:val="111111"/>
          <w:sz w:val="28"/>
          <w:sz w:val="28"/>
          <w:szCs w:val="28"/>
          <w:rtl w:val="true"/>
          <w:lang w:bidi="fa-IR"/>
        </w:rPr>
        <w:t xml:space="preserve">وأبنائهم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لِلَّذِينَ كَفَرُوا امْرَأَةَ نُوحٍ وَامْرَأَةَ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وقال أيضاً معبّراً عن نبي الله نوح بقوله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نُوحٌ رَبَّهُ فَقَالَ رَبِّ إِنَّ ابْنِي مِنْ أَهْلِي فجاءه </w:t>
      </w:r>
    </w:p>
    <w:p>
      <w:pPr>
        <w:pStyle w:val="BookText"/>
        <w:rPr/>
      </w:pPr>
      <w:r>
        <w:rPr>
          <w:rFonts w:ascii="IRNazanin" w:hAnsi="IRNazanin" w:eastAsia="IRNazanin"/>
          <w:color w:val="111111"/>
          <w:sz w:val="28"/>
          <w:sz w:val="28"/>
          <w:szCs w:val="28"/>
          <w:rtl w:val="true"/>
          <w:lang w:bidi="fa-IR"/>
        </w:rPr>
        <w:t xml:space="preserve">النداء الإلهى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نُوحُ إِنَّهُ لَيْسَ مِنْ أَهْلِكَ</w:t>
      </w:r>
      <w:r>
        <w:rPr>
          <w:rStyle w:val="FootnoteAnchor"/>
          <w:rtl w:val="true"/>
        </w:rPr>
        <w:footnoteReference w:id="31"/>
      </w:r>
      <w:r>
        <w:rPr>
          <w:rFonts w:ascii="IRNazanin" w:hAnsi="IRNazanin" w:eastAsia="IRNazanin"/>
          <w:color w:val="111111"/>
          <w:sz w:val="28"/>
          <w:sz w:val="28"/>
          <w:szCs w:val="28"/>
          <w:rtl w:val="true"/>
          <w:lang w:bidi="fa-IR"/>
        </w:rPr>
        <w:t xml:space="preserve"> وحدّثنا القرآن أيضاً عن بعض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نِسَاءَ النَّبِيِّ مَنْ يَأْتِ مِنْكُنَّ بِفَاحِشَةٍ مُبَيِّنَةٍ يُضَاعَفْ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وعبّر القرآن أيضاً عن اثنين من زوجات رسول الله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حكى القرآن عن المنافقين بالاضافة إلى ما تقدّم قوله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رَأَوْا تِجَارَةً أَوْ لَهْواً انفَضُّوا إِلَيْهَا وَتَرَكُوكَ </w:t>
      </w:r>
      <w:bookmarkStart w:id="15" w:name="pg1089_6977"/>
    </w:p>
    <w:p>
      <w:pPr>
        <w:pStyle w:val="BookText"/>
        <w:rPr/>
      </w:pPr>
      <w:bookmarkEnd w:id="15"/>
      <w:r>
        <w:rPr>
          <w:rFonts w:ascii="Amiri" w:hAnsi="Amiri" w:eastAsia="Amiri" w:cs="Amiri"/>
          <w:color w:val="111111"/>
          <w:sz w:val="28"/>
          <w:sz w:val="28"/>
          <w:szCs w:val="28"/>
          <w:rtl w:val="true"/>
          <w:lang w:bidi="ar-SA"/>
        </w:rPr>
        <w:t>قَائِماً</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وانكشف لدينا مما تقدّم من الكتاب والسنة أنّ تقييم عمل الصحابة وغيرهم من الناس القريبين من الأنبياء والبعيدين عنهم قائم على هذه النظرية وهي التقوى وانطلاقاً من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وبهذا المقياس الرباني والمفهوم القرآني يجري على جميع الناس من زوجات الأنبياء وأولادهم وصحابتهم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2009627_373438147"/>
      <w:bookmarkStart w:id="17" w:name="_Toc5"/>
      <w:bookmarkEnd w:id="16"/>
      <w:r>
        <w:rPr>
          <w:rtl w:val="true"/>
        </w:rPr>
        <w:t>نغمة أنّ الشيعة يسبون الصحابة</w:t>
      </w:r>
      <w:bookmarkEnd w:id="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راينا في هذه العجالة تقييم عمل الصحابة على أساس القرآن والسنة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تهريج بعض الذين يدّعون لأنفسهم صفة دينية ولا سيّما في أيام حج بيت الله أو أداء مناسك العمرة نسمع منهم هذه النغمة من أنّ الشيعة يلعنون ويسبون الصحابة، فنقول لهؤلاء الأدعياء أين السب الذي تدعونه وفي أي كتاب فيظهرون مفاتيح الجنان للشيخ عباس القمي ويقولون هذا فيه لعن للصحابة فنرجوا من هؤلاء أن يظهرون الصفحة التي فيها اللعن للصحابة فلا يوجد في هذا الكتاب لعن للصحابة ، وإنّما فيه لعن للظلمة والظالمين في زيارة عاشوراء اللهم العن أوّل ظالم ثمّ الثاني والثالث والرابع فاللعن هنا متوجه للظلمة والظالمين لا للصحابة والظلمة والظالمين هم الذين وقفوا في وجه الأنبياء والمرسلين والأئمة والصالحين مثل أمثال نمرود وفرعون وهامان وأبي لهب وأبي جهل وغيرهم أما معاوية الذي ورد اسمه في كتاب مفاتيح الجنان فهو يستحق اللعن للأسباب التالية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خرج على إمام زمانه أمير المؤمنين علي بن أبي طالب والخارج على إمام زمانه هو باغ يجوز مقاتلته </w:t>
      </w:r>
    </w:p>
    <w:p>
      <w:pPr>
        <w:pStyle w:val="BookText"/>
        <w:rPr/>
      </w:pPr>
      <w:r>
        <w:rPr>
          <w:rFonts w:ascii="IRNazanin" w:hAnsi="IRNazanin" w:eastAsia="IRNazanin"/>
          <w:color w:val="111111"/>
          <w:sz w:val="28"/>
          <w:sz w:val="28"/>
          <w:szCs w:val="28"/>
          <w:rtl w:val="true"/>
          <w:lang w:bidi="fa-IR"/>
        </w:rPr>
        <w:t>ولعنه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حارب الإمام أمير المؤمنين في واقعة صفين وحاربه الإمام وقتل في هذه المعركة آلاف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الله سبحانه وتعالی لعن الذي يقتل مؤمناً واحداً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الإنسان بنيان الله في الأرض وملعون من هدم بنيانه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نفذوا جيش أسامة لعن الله من تخلّف عن جيش أسامة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 كان الله ورسوله يلعن من يقتل مؤمناً أو إنسان بريئاً أو يتخلف عن جيش أسامة إذن لماذا لا يجوز لعن الظلمة والظالمين إن هذا لشيء عجاب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نقول لهؤلاء الذين يدافعون عن فرعون </w:t>
      </w:r>
    </w:p>
    <w:p>
      <w:pPr>
        <w:pStyle w:val="BookText"/>
        <w:rPr/>
      </w:pPr>
      <w:r>
        <w:rPr>
          <w:rFonts w:ascii="Amiri" w:hAnsi="Amiri" w:eastAsia="Amiri" w:cs="Amiri"/>
          <w:color w:val="111111"/>
          <w:sz w:val="28"/>
          <w:sz w:val="28"/>
          <w:szCs w:val="28"/>
          <w:rtl w:val="true"/>
          <w:lang w:bidi="ar-SA"/>
        </w:rPr>
        <w:t xml:space="preserve">وهامان و نمرود وأبي لهب وأبي جهل من الظلمة والظالمين هل لديهم وكالة للدفاع عن هؤلاء الظلمة والظالمين حتى يكونوا محامين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أيضاً لهؤلاء المدافعين هل إنّ الصحابة هم ظلمة فإذا كانوا غير ظلمة فاللعن لا يشملهم لأنّهم غير ظلمة واللعن جاء على الظلمة والظالمين فإصرارهم على إنكم تسبّون الصحابة هو إهانة للصحابة لأنهم لا يتصفون بهذه الصفة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يتأدبون بآداب أمير المؤمنين الا وهو قد نهى عن اللعن والسب مع الأعداء وإن كان جائزاً وذلك حينما سمع جماعة من أفراد جيشه يسبّون ويلعنون جيش معاوية في واقعة صفّين فابتدر إليهم كما هو موجود في نهج البلاغة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لكم أن تكونوا شتامين لعانين فلو قلتم مكان شتمكم لهم ولعنكم إيَّاهم كان من فعلهم كذا وكذا كان أصوب في القول وأبلغ في العذر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سنتأدب بأدبك يا أمير المؤمنين </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إنّ الحرب تراق فيه الدماء وتطير فيه الرؤوس ولكن على يريد من اصحابه أن يلتزموا بتعاليم الإسلام و آدابه حتّى فى القول والفعل</w:t>
      </w:r>
      <w:r>
        <w:rPr>
          <w:rFonts w:eastAsia="Amiri" w:cs="Amiri" w:ascii="Amiri" w:hAnsi="Amiri"/>
          <w:color w:val="111111"/>
          <w:sz w:val="28"/>
          <w:szCs w:val="28"/>
          <w:rtl w:val="true"/>
          <w:lang w:bidi="ar-SA"/>
        </w:rPr>
        <w:t xml:space="preserve">. </w:t>
      </w:r>
      <w:bookmarkStart w:id="18" w:name="pg1089_6982"/>
    </w:p>
    <w:p>
      <w:pPr>
        <w:pStyle w:val="Heading2"/>
        <w:numPr>
          <w:ilvl w:val="1"/>
          <w:numId w:val="1"/>
        </w:numPr>
        <w:rPr/>
      </w:pPr>
      <w:bookmarkStart w:id="19" w:name="__RefHeading___Toc2009629_373438147"/>
      <w:bookmarkStart w:id="20" w:name="_Toc6"/>
      <w:bookmarkEnd w:id="18"/>
      <w:bookmarkEnd w:id="19"/>
      <w:r>
        <w:rPr>
          <w:rtl w:val="true"/>
        </w:rPr>
        <w:t>المصادر</w:t>
      </w:r>
      <w:bookmarkEnd w:id="20"/>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النصائح الوافية لإتباع والسلفية</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Amiri" w:hAnsi="Amiri" w:eastAsia="Amiri" w:cs="Amiri"/>
          <w:color w:val="111111"/>
          <w:sz w:val="28"/>
          <w:sz w:val="28"/>
          <w:szCs w:val="28"/>
          <w:rtl w:val="true"/>
          <w:lang w:bidi="ar-SA"/>
        </w:rPr>
        <w:t>الاصابة في تمييز الصحابة</w:t>
      </w:r>
    </w:p>
    <w:p>
      <w:pPr>
        <w:pStyle w:val="Heading2"/>
        <w:numPr>
          <w:ilvl w:val="1"/>
          <w:numId w:val="1"/>
        </w:numPr>
        <w:rPr/>
      </w:pPr>
      <w:bookmarkStart w:id="21" w:name="__RefHeading___Toc2009631_373438147"/>
      <w:bookmarkStart w:id="22" w:name="_Toc7"/>
      <w:bookmarkEnd w:id="21"/>
      <w:r>
        <w:rPr>
          <w:rtl w:val="true"/>
        </w:rPr>
        <w:t>محتويات الكتاب</w:t>
      </w:r>
      <w:bookmarkEnd w:id="22"/>
    </w:p>
    <w:p>
      <w:pPr>
        <w:pStyle w:val="BookText"/>
        <w:rPr/>
      </w:pPr>
      <w:r>
        <w:rPr>
          <w:rFonts w:ascii="Amiri" w:hAnsi="Amiri" w:eastAsia="Amiri" w:cs="Amiri"/>
          <w:color w:val="111111"/>
          <w:sz w:val="28"/>
          <w:sz w:val="28"/>
          <w:szCs w:val="28"/>
          <w:rtl w:val="true"/>
          <w:lang w:bidi="ar-SA"/>
        </w:rPr>
        <w:t>الصحابة في القرآن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النظرية الأولى الصحبة في المفهوم القرآني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النبوي للصحابة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الشخصي للصحابة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النظرية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نغمة أنّ الشيعة يسبّون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في كتابنا النصائح الوافية لأتباع الوهابية والسلفية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في صحيحه كتاب الرقاق باب الحوض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تفصيل ذلك في كتابنا الصحابة في الكتاب والسنة النظرية الخامسة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إذا زلزلت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لابن حجر الصحابة لابن حجر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المكتبة التجارية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إذا زلزلت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البخاري كتاب التفسير تفسير سورة المائدة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وكنت عليهم شهيداً ما دمت فيهم فلمّا توفّيتنى وكتاب الأنبياء باب واتخذ الله إبراهيم خليلاً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الرقاق باب الحوض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باب إثبات حوض نبينا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10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إذا زلزلت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3588</Words>
  <Characters>15643</Characters>
  <CharactersWithSpaces>19080</CharactersWithSpaces>
  <Paragraphs>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2026-08-16T12:01:30Z</dcterms:created>
  <dc:creator>ghaemiyeh.com</dc:creator>
  <dc:description/>
  <dc:language>en-US</dc:language>
  <cp:lastModifiedBy/>
  <dcterms:modified xsi:type="dcterms:W3CDTF">2026-08-16T15:31:32Z</dcterms:modified>
  <cp:revision>1</cp:revision>
  <dc:subject/>
  <dc:title>مفهوم الصحابة فی الکتاب و السنة</dc:title>
</cp:coreProperties>
</file>

<file path=docProps/custom.xml><?xml version="1.0" encoding="utf-8"?>
<Properties xmlns="http://schemas.openxmlformats.org/officeDocument/2006/custom-properties" xmlns:vt="http://schemas.openxmlformats.org/officeDocument/2006/docPropsVTypes"/>
</file>