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واقع الشیعه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9257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69259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69261_373438147">
            <w:r>
              <w:rPr>
                <w:webHidden/>
                <w:rStyle w:val="IndexLink"/>
                <w:rtl w:val="true"/>
              </w:rPr>
              <w:t>کلمة الناشر</w:t>
            </w:r>
            <w:r>
              <w:rPr>
                <w:rStyle w:val="IndexLink"/>
                <w:rtl w:val="true"/>
              </w:rPr>
              <w:tab/>
            </w:r>
            <w:r>
              <w:rPr>
                <w:rStyle w:val="IndexLink"/>
              </w:rPr>
              <w:t>6</w:t>
            </w:r>
          </w:hyperlink>
        </w:p>
        <w:p>
          <w:pPr>
            <w:pStyle w:val="Contents2"/>
            <w:tabs>
              <w:tab w:val="clear" w:pos="8743"/>
              <w:tab w:val="right" w:pos="9026" w:leader="dot"/>
            </w:tabs>
            <w:rPr/>
          </w:pPr>
          <w:hyperlink w:anchor="__RefHeading___Toc1269263_373438147">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269265_373438147">
            <w:r>
              <w:rPr>
                <w:webHidden/>
                <w:rStyle w:val="IndexLink"/>
                <w:rtl w:val="true"/>
              </w:rPr>
              <w:t>الشیعة</w:t>
            </w:r>
            <w:r>
              <w:rPr>
                <w:rStyle w:val="IndexLink"/>
                <w:rtl w:val="true"/>
              </w:rPr>
              <w:tab/>
            </w:r>
            <w:r>
              <w:rPr>
                <w:rStyle w:val="IndexLink"/>
              </w:rPr>
              <w:t>10</w:t>
            </w:r>
          </w:hyperlink>
        </w:p>
        <w:p>
          <w:pPr>
            <w:pStyle w:val="Contents2"/>
            <w:tabs>
              <w:tab w:val="clear" w:pos="8743"/>
              <w:tab w:val="right" w:pos="9026" w:leader="dot"/>
            </w:tabs>
            <w:rPr/>
          </w:pPr>
          <w:hyperlink w:anchor="__RefHeading___Toc1269267_373438147">
            <w:r>
              <w:rPr>
                <w:webHidden/>
                <w:rStyle w:val="IndexLink"/>
                <w:rtl w:val="true"/>
              </w:rPr>
              <w:t>عقائد الشیعة</w:t>
            </w:r>
            <w:r>
              <w:rPr>
                <w:rStyle w:val="IndexLink"/>
                <w:rtl w:val="true"/>
              </w:rPr>
              <w:tab/>
            </w:r>
            <w:r>
              <w:rPr>
                <w:rStyle w:val="IndexLink"/>
              </w:rPr>
              <w:t>10</w:t>
            </w:r>
          </w:hyperlink>
        </w:p>
        <w:p>
          <w:pPr>
            <w:pStyle w:val="Contents2"/>
            <w:tabs>
              <w:tab w:val="clear" w:pos="8743"/>
              <w:tab w:val="right" w:pos="9026" w:leader="dot"/>
            </w:tabs>
            <w:rPr/>
          </w:pPr>
          <w:hyperlink w:anchor="__RefHeading___Toc1269269_373438147">
            <w:r>
              <w:rPr>
                <w:webHidden/>
                <w:rStyle w:val="IndexLink"/>
                <w:rtl w:val="true"/>
              </w:rPr>
              <w:t>خاتمة</w:t>
            </w:r>
            <w:r>
              <w:rPr>
                <w:rStyle w:val="IndexLink"/>
                <w:rtl w:val="true"/>
              </w:rPr>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4_9823"/>
      <w:bookmarkStart w:id="1" w:name="pg1004_9823"/>
      <w:bookmarkEnd w:id="1"/>
    </w:p>
    <w:p>
      <w:pPr>
        <w:pStyle w:val="Heading2"/>
        <w:numPr>
          <w:ilvl w:val="1"/>
          <w:numId w:val="1"/>
        </w:numPr>
        <w:rPr/>
      </w:pPr>
      <w:bookmarkStart w:id="2" w:name="pg1004_9823"/>
      <w:bookmarkStart w:id="3" w:name="__RefHeading___Toc1269257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الشیعة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شیرازی، محمد</w:t>
      </w:r>
    </w:p>
    <w:p>
      <w:pPr>
        <w:pStyle w:val="BookText"/>
        <w:rPr/>
      </w:pPr>
      <w:r>
        <w:rPr>
          <w:rFonts w:ascii="IRNazanin" w:hAnsi="IRNazanin" w:eastAsia="IRNazanin"/>
          <w:color w:val="111111"/>
          <w:sz w:val="28"/>
          <w:sz w:val="28"/>
          <w:szCs w:val="28"/>
          <w:rtl w:val="true"/>
          <w:lang w:bidi="fa-IR"/>
        </w:rPr>
        <w:t>تاریخ وفاة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 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pStyle w:val="BookText"/>
        <w:rPr/>
      </w:pPr>
      <w:r>
        <w:rPr>
          <w:rFonts w:ascii="IRNazanin" w:hAnsi="IRNazanin" w:eastAsia="IRNazanin"/>
          <w:color w:val="111111"/>
          <w:sz w:val="28"/>
          <w:sz w:val="28"/>
          <w:szCs w:val="28"/>
          <w:rtl w:val="true"/>
          <w:lang w:bidi="fa-IR"/>
        </w:rPr>
        <w:t>صراط الذین أنعمت علیهم</w:t>
      </w:r>
    </w:p>
    <w:p>
      <w:pPr>
        <w:pStyle w:val="BookText"/>
        <w:rPr/>
      </w:pPr>
      <w:r>
        <w:rPr>
          <w:rFonts w:ascii="IRNazanin" w:hAnsi="IRNazanin" w:eastAsia="IRNazanin"/>
          <w:color w:val="111111"/>
          <w:sz w:val="28"/>
          <w:sz w:val="28"/>
          <w:szCs w:val="28"/>
          <w:rtl w:val="true"/>
          <w:lang w:bidi="fa-IR"/>
        </w:rPr>
        <w:t>غیر المغضوب علیهم</w:t>
      </w:r>
    </w:p>
    <w:p>
      <w:pPr>
        <w:pStyle w:val="BookText"/>
        <w:rPr/>
      </w:pPr>
      <w:r>
        <w:rPr>
          <w:rFonts w:ascii="IRNazanin" w:hAnsi="IRNazanin" w:eastAsia="IRNazanin"/>
          <w:color w:val="111111"/>
          <w:sz w:val="28"/>
          <w:sz w:val="28"/>
          <w:szCs w:val="28"/>
          <w:rtl w:val="true"/>
          <w:lang w:bidi="fa-IR"/>
        </w:rPr>
        <w:t>ولا الضالین</w:t>
      </w:r>
    </w:p>
    <w:p>
      <w:pPr>
        <w:pStyle w:val="BookText"/>
        <w:rPr/>
      </w:pPr>
      <w:r>
        <w:rPr>
          <w:rFonts w:ascii="IRNazanin" w:hAnsi="IRNazanin" w:eastAsia="IRNazanin"/>
          <w:color w:val="111111"/>
          <w:sz w:val="28"/>
          <w:sz w:val="28"/>
          <w:szCs w:val="28"/>
          <w:rtl w:val="true"/>
          <w:lang w:bidi="fa-IR"/>
        </w:rPr>
        <w:t>صدق الله العلی العظیم</w:t>
      </w:r>
    </w:p>
    <w:p>
      <w:pPr>
        <w:pStyle w:val="Heading2"/>
        <w:numPr>
          <w:ilvl w:val="1"/>
          <w:numId w:val="1"/>
        </w:numPr>
        <w:rPr/>
      </w:pPr>
      <w:bookmarkStart w:id="5" w:name="__RefHeading___Toc1269259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واقع الشیعة</w:t>
      </w:r>
    </w:p>
    <w:p>
      <w:pPr>
        <w:pStyle w:val="BookText"/>
        <w:rPr/>
      </w:pPr>
      <w:r>
        <w:rPr>
          <w:rFonts w:ascii="IRNazanin" w:hAnsi="IRNazanin" w:eastAsia="IRNazanin"/>
          <w:color w:val="111111"/>
          <w:sz w:val="28"/>
          <w:sz w:val="28"/>
          <w:szCs w:val="28"/>
          <w:rtl w:val="true"/>
          <w:lang w:bidi="fa-IR"/>
        </w:rPr>
        <w:t>آیة الله العظمی</w:t>
      </w:r>
    </w:p>
    <w:p>
      <w:pPr>
        <w:pStyle w:val="BookText"/>
        <w:rPr/>
      </w:pPr>
      <w:r>
        <w:rPr>
          <w:rFonts w:ascii="IRNazanin" w:hAnsi="IRNazanin" w:eastAsia="IRNazanin"/>
          <w:color w:val="111111"/>
          <w:sz w:val="28"/>
          <w:sz w:val="28"/>
          <w:szCs w:val="28"/>
          <w:rtl w:val="true"/>
          <w:lang w:bidi="fa-IR"/>
        </w:rPr>
        <w:t>الامام السید محمد الحسینی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 والنشر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بیروت ـ لبنان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5951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 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pStyle w:val="BookText"/>
        <w:rPr/>
      </w:pPr>
      <w:r>
        <w:rPr>
          <w:rFonts w:ascii="IRNazanin" w:hAnsi="IRNazanin" w:eastAsia="IRNazanin"/>
          <w:color w:val="111111"/>
          <w:sz w:val="28"/>
          <w:sz w:val="28"/>
          <w:szCs w:val="28"/>
          <w:rtl w:val="true"/>
          <w:lang w:bidi="fa-IR"/>
        </w:rPr>
        <w:t>صراط الذین أنعمت علیهم</w:t>
      </w:r>
    </w:p>
    <w:p>
      <w:pPr>
        <w:pStyle w:val="BookText"/>
        <w:rPr/>
      </w:pPr>
      <w:r>
        <w:rPr>
          <w:rFonts w:ascii="IRNazanin" w:hAnsi="IRNazanin" w:eastAsia="IRNazanin"/>
          <w:color w:val="111111"/>
          <w:sz w:val="28"/>
          <w:sz w:val="28"/>
          <w:szCs w:val="28"/>
          <w:rtl w:val="true"/>
          <w:lang w:bidi="fa-IR"/>
        </w:rPr>
        <w:t>غیر المغضوب علیهم</w:t>
      </w:r>
    </w:p>
    <w:p>
      <w:pPr>
        <w:pStyle w:val="BookText"/>
        <w:rPr/>
      </w:pPr>
      <w:r>
        <w:rPr>
          <w:rFonts w:ascii="IRNazanin" w:hAnsi="IRNazanin" w:eastAsia="IRNazanin"/>
          <w:color w:val="111111"/>
          <w:sz w:val="28"/>
          <w:sz w:val="28"/>
          <w:szCs w:val="28"/>
          <w:rtl w:val="true"/>
          <w:lang w:bidi="fa-IR"/>
        </w:rPr>
        <w:t>ولا الضالین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العلی العظیم</w:t>
      </w:r>
      <w:bookmarkStart w:id="7" w:name="pg1004_9827"/>
    </w:p>
    <w:p>
      <w:pPr>
        <w:pStyle w:val="Heading2"/>
        <w:numPr>
          <w:ilvl w:val="1"/>
          <w:numId w:val="1"/>
        </w:numPr>
        <w:rPr/>
      </w:pPr>
      <w:bookmarkStart w:id="8" w:name="__RefHeading___Toc1269261_373438147"/>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إن من یرید أن یبلّغ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یستوعبها جیداً، وأن یشعر بالمسؤولیة تجاهها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والمبلّغ الناجح هو الذی یعطی الصورة الحقیقیة للرسالة التی یبلّغها، فعلیه أن یجسّدها فی شخصه کما هو شأن الرسالات السماویة والرسل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کل واحد منهم کان یجسّد رسالته فی شخصه فیکون الرسول هو الصورة الحیّة والمتحرّکة فی الواقع للرسالة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یدل علیه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لنا بغیر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بأعمالکم وأخلاقکم …</w:t>
      </w:r>
    </w:p>
    <w:p>
      <w:pPr>
        <w:pStyle w:val="BookText"/>
        <w:rPr/>
      </w:pPr>
      <w:r>
        <w:rPr>
          <w:rFonts w:ascii="IRNazanin" w:hAnsi="IRNazanin" w:eastAsia="IRNazanin"/>
          <w:color w:val="111111"/>
          <w:sz w:val="28"/>
          <w:sz w:val="28"/>
          <w:szCs w:val="28"/>
          <w:rtl w:val="true"/>
          <w:lang w:bidi="fa-IR"/>
        </w:rPr>
        <w:t xml:space="preserve">ومن هذا المنطلق انبری سماحة المرجع الدینی الأعلی الإمام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الموسوعی فی علمه، والعالمی فی فکره وتطلّعه، والإسلامی فی طرحه … للتعریف بمذهب أهل البیت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بشکل عام حتی تعرف الدنیا نهجهم القویم ورسالتهم السماویة السمحة… وللمسلمین بصورة خاصة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المنطلق کان سماحته یکتب فی کل عام کرّاسا مبسّطا وسهلا یوزع فی أکبر مؤتمر إسلامی ألا وهو موسم الحج إلی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ثلث قرن، ویعتقد أن لو أجدنا استثمار هذا المؤتمر کما یجب أو ینبغی لحلّت أکثر مشاکل العالم الإسلامی ولعادت الأمة إلی سابق عهدها فی وحدة الکلمة ووحدة الموقف علی مستوی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کراساً توزعت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متتالیة تقریباً</w:t>
      </w:r>
      <w:r>
        <w:rPr>
          <w:rStyle w:val="FootnoteAnchor"/>
          <w:rtl w:val="true"/>
        </w:rPr>
        <w:footnoteReference w:id="2"/>
      </w:r>
      <w:r>
        <w:rPr>
          <w:rFonts w:ascii="IRNazanin" w:hAnsi="IRNazanin" w:eastAsia="IRNazanin"/>
          <w:color w:val="111111"/>
          <w:sz w:val="28"/>
          <w:sz w:val="28"/>
          <w:szCs w:val="28"/>
          <w:rtl w:val="true"/>
          <w:lang w:bidi="fa-IR"/>
        </w:rPr>
        <w:t xml:space="preserve">،وکانت تطبع کل واحدة منها ما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نسخة توزّع جمیعها مجانا وفی موسم الحج، وفیها عناوین للمراسلة لمن یرید التعرّف الأکثر علی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مردود تلک النشرات ـ الکرّاسات ـ إیجابیا جداً، وهذا ما تبیّن من خلال الرسائل والمراسلات التی کانت تعقب موسم الحج استفساراً واستفهاماً عن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وساعدت فی دحض الکثیر من الشبهات التی کانت تنشر حول ذاک المذهب الحق…</w:t>
      </w:r>
    </w:p>
    <w:p>
      <w:pPr>
        <w:pStyle w:val="BookText"/>
        <w:rPr/>
      </w:pPr>
      <w:r>
        <w:rPr>
          <w:rFonts w:ascii="IRNazanin" w:hAnsi="IRNazanin" w:eastAsia="IRNazanin"/>
          <w:color w:val="111111"/>
          <w:sz w:val="28"/>
          <w:sz w:val="28"/>
          <w:szCs w:val="28"/>
          <w:rtl w:val="true"/>
          <w:lang w:bidi="fa-IR"/>
        </w:rPr>
        <w:t xml:space="preserve">ونحن فی 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أن نحیی تلک الکرّاسات ونعید طباعتها تباعا لنفس الغایة التی کتبت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راجین من الله السداد والقبول، وأن یوفّقنا جمیعاً للعمل الصالح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 والنشر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 ـ لبنان ص ب</w:t>
      </w:r>
      <w:r>
        <w:rPr>
          <w:rFonts w:eastAsia="IRNazanin" w:cs="IRNazanin"/>
          <w:color w:val="111111"/>
          <w:sz w:val="28"/>
          <w:szCs w:val="28"/>
          <w:rtl w:val="true"/>
          <w:lang w:bidi="fa-IR"/>
        </w:rPr>
        <w:t xml:space="preserve">: </w:t>
      </w:r>
      <w:r>
        <w:rPr>
          <w:rFonts w:eastAsia="IRNazanin" w:cs="IRNazanin"/>
          <w:color w:val="111111"/>
          <w:sz w:val="28"/>
          <w:szCs w:val="28"/>
          <w:lang w:bidi="fa-IR"/>
        </w:rPr>
        <w:t>5951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bookmarkStart w:id="10" w:name="pg1004_9831"/>
    </w:p>
    <w:p>
      <w:pPr>
        <w:pStyle w:val="Heading2"/>
        <w:numPr>
          <w:ilvl w:val="1"/>
          <w:numId w:val="1"/>
        </w:numPr>
        <w:rPr/>
      </w:pPr>
      <w:bookmarkStart w:id="11" w:name="__RefHeading___Toc1269263_373438147"/>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 فمن فرض فیهنّ الحج فلا رفث ولا فسوق ولا جدال فی الحج</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جاءت الأشهر المعلومات، وحضرنا الحج ـ والحمد لله رب العالمین ـ فما هو الشیء الذی یجب أن نتزوّده من الحج ؟</w:t>
      </w:r>
    </w:p>
    <w:p>
      <w:pPr>
        <w:pStyle w:val="BookText"/>
        <w:rPr/>
      </w:pPr>
      <w:r>
        <w:rPr>
          <w:rFonts w:ascii="IRNazanin" w:hAnsi="IRNazanin" w:eastAsia="IRNazanin"/>
          <w:color w:val="111111"/>
          <w:sz w:val="28"/>
          <w:sz w:val="28"/>
          <w:szCs w:val="28"/>
          <w:rtl w:val="true"/>
          <w:lang w:bidi="fa-IR"/>
        </w:rPr>
        <w:t>تقول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منافع دنیویة وأخرویة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منافع الدنیا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والفضیلة، والعمل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منافع الآخرة،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والجنة، ورضوان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فلنأت لنصحّح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لنحظی ـ فی أثر ذلک ـ بمنافع الآخرة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ذقنا ألف مرارة ومرارة، من جرّاء ترک العمل بالإسلام، ولا یخفی علی أحد ما نحن فیه الآن من المآسی والویلات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علی أیّ مسلم طریق النجاة وسبیل العلاج أعنی الرجوع إلی الإسلام، کما أنزله الله فی کتابه الکریم وبیّنه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فلنعالج أوضاعنا الفردیة والاجتماعیة علی 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أودعها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أهل بیتی ما إن تمسّکتم بهما لن تضلّوا بعدی أبدا</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أهم الأمور بادئ ذی بدء، أن نوحّد صفوفنا ویتعارف بعضنا علی بعض،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وجعلناکم شعوباً وقبائل لتعارفوا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ثم بعد ذلک نسیر إلی الأمام ونعید مجد الإسلام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المسؤول أن یوفّقنا جمیعاً لما یحبّ ویرضی وهو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کربلاء المقدسة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المهدی الحسینی الشیرازی</w:t>
      </w:r>
      <w:bookmarkStart w:id="13" w:name="pg1004_9835"/>
    </w:p>
    <w:p>
      <w:pPr>
        <w:pStyle w:val="Heading2"/>
        <w:numPr>
          <w:ilvl w:val="1"/>
          <w:numId w:val="1"/>
        </w:numPr>
        <w:rPr/>
      </w:pPr>
      <w:bookmarkStart w:id="14" w:name="__RefHeading___Toc1269265_373438147"/>
      <w:bookmarkStart w:id="15" w:name="_Toc5"/>
      <w:bookmarkEnd w:id="13"/>
      <w:bookmarkEnd w:id="14"/>
      <w:r>
        <w:rPr>
          <w:rtl w:val="true"/>
        </w:rPr>
        <w:t>الشیعة</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من المشایعة بمعنی المتابعة، وتسمی بهذا الاسم لأنهم یشایعون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الاسم کما رواه المؤرّخون فی کتبهم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1269267_373438147"/>
      <w:bookmarkStart w:id="17" w:name="_Toc6"/>
      <w:bookmarkEnd w:id="16"/>
      <w:r>
        <w:rPr>
          <w:rtl w:val="true"/>
        </w:rPr>
        <w:t>عقائد الشیعة</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یعتقدون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من بعده لمقام الخلافة والإمامة اثنی عشر خلیفة بأمر الله تعالی وهم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أمیر المؤمنین، الإمام الحسن، الإمام الحسین، الإمام زین العابدین، الإمام محمد الباقر، الإمام جعفر الصادق، الإمام موسی الکاظم، الإمام علی الرضا، الإمام محمد التقی، الإمام علی الهادی، الإمام الحسن العسکری، الإمام الحجة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یعتقدون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معصومون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یعتقدون بأن الإسلام هو الدین الحق الذی لا یقبل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یبتغ غیر الإسلام دیناً فلن یقبل منه وهو فی الآخرة من الخاسرین</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الإسلام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من أنکر الأصول کان کافراً نجساً، ومن أنکر الضروری من الأقسام الثلاثة بلا جهل أو شبهة کان کافراً، ویعبّرون عن ذلک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 للضروری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توابع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توابع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فروع الإسلام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 لله وأولیائه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 من أعداء الله وأعداء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یلحق بذلک من سائر أقسام العبادات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سائر الأنظمة والقوانین التی جاء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تعالی، کأحکام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یعتقدون أن الإسلام لم یترک شیئاً إلا بیّنه، فالسیاسة والاقتصاد، والثقافة والتربیة والاجتماع، والسلم والحرب، والزراعة والصناعة، والعائلة والحکومة، وسائر الشؤون المربوطة بالإنسان من ولادته إلی یوم مماته کلها مبیّنة فی الإسلام،</w:t>
      </w:r>
    </w:p>
    <w:p>
      <w:pPr>
        <w:pStyle w:val="BookText"/>
        <w:rPr/>
      </w:pPr>
      <w:r>
        <w:rPr>
          <w:rFonts w:ascii="IRNazanin" w:hAnsi="IRNazanin" w:eastAsia="IRNazanin"/>
          <w:color w:val="111111"/>
          <w:sz w:val="28"/>
          <w:sz w:val="28"/>
          <w:szCs w:val="28"/>
          <w:rtl w:val="true"/>
          <w:lang w:bidi="fa-IR"/>
        </w:rPr>
        <w:t xml:space="preserve">ولها أنظمة خاصة وأحکام عادلة، لو أخذ البشر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لأکلوا من فوقهم ومن تحت أرجلهم</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إلی یوم القیامة وحرامه حرام إلی یوم القیامة</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أخلاق الإسلام هی التی ندب الإسلام إلیها أو أوجبها،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إفشاء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الإسلام حذّر عن بعض الأخلاق والأعمال کراهة أو تحریماً،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 الیوم أکثر من مائة وثلاثین ملیون نسمة منتشرة فی شرق الأرض وغربها</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فی طول التاریخ الإسلامی إلی الیوم حکومات وعلماء و کتّاب وشعراء وفلاسفة ومفکّرون ومدارس ومؤلّفات ومکتبات وخطباء ومرشدون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یعتنون بالقرآن الحکیم أکبر اهتمام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والشیعة تسمّی بالجعفریة أیضاً، لأن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من نشر علوم الرسول أکثر من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وضعت الشیعة أسس العلوم الإسلامیة</w:t>
      </w:r>
      <w:r>
        <w:rPr>
          <w:rStyle w:val="FootnoteAnchor"/>
          <w:rtl w:val="true"/>
        </w:rPr>
        <w:footnoteReference w:id="14"/>
      </w:r>
      <w:r>
        <w:rPr>
          <w:rFonts w:ascii="IRNazanin" w:hAnsi="IRNazanin" w:eastAsia="IRNazanin"/>
          <w:color w:val="111111"/>
          <w:sz w:val="28"/>
          <w:sz w:val="28"/>
          <w:szCs w:val="28"/>
          <w:rtl w:val="true"/>
          <w:lang w:bidi="fa-IR"/>
        </w:rPr>
        <w:t>، وذلک مثل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الأسود الدؤلی</w:t>
      </w:r>
      <w:r>
        <w:rPr>
          <w:rStyle w:val="FootnoteAnchor"/>
          <w:rtl w:val="true"/>
        </w:rPr>
        <w:footnoteReference w:id="15"/>
      </w:r>
      <w:r>
        <w:rPr>
          <w:rFonts w:ascii="IRNazanin" w:hAnsi="IRNazanin" w:eastAsia="IRNazanin"/>
          <w:color w:val="111111"/>
          <w:sz w:val="28"/>
          <w:sz w:val="28"/>
          <w:szCs w:val="28"/>
          <w:rtl w:val="true"/>
          <w:lang w:bidi="fa-IR"/>
        </w:rPr>
        <w:t xml:space="preserve">، أول من کتب فی النحو بإرشاد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والخلیل بن أحمد</w:t>
      </w:r>
      <w:r>
        <w:rPr>
          <w:rStyle w:val="FootnoteAnchor"/>
          <w:rtl w:val="true"/>
        </w:rPr>
        <w:footnoteReference w:id="16"/>
      </w:r>
      <w:r>
        <w:rPr>
          <w:rFonts w:ascii="IRNazanin" w:hAnsi="IRNazanin" w:eastAsia="IRNazanin"/>
          <w:color w:val="111111"/>
          <w:sz w:val="28"/>
          <w:sz w:val="28"/>
          <w:szCs w:val="28"/>
          <w:rtl w:val="true"/>
          <w:lang w:bidi="fa-IR"/>
        </w:rPr>
        <w:t xml:space="preserve">، الذی وضع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وجابر بن حیّان</w:t>
      </w:r>
      <w:r>
        <w:rPr>
          <w:rStyle w:val="FootnoteAnchor"/>
          <w:rtl w:val="true"/>
        </w:rPr>
        <w:footnoteReference w:id="17"/>
      </w:r>
      <w:r>
        <w:rPr>
          <w:rFonts w:ascii="IRNazanin" w:hAnsi="IRNazanin" w:eastAsia="IRNazanin"/>
          <w:color w:val="111111"/>
          <w:sz w:val="28"/>
          <w:sz w:val="28"/>
          <w:szCs w:val="28"/>
          <w:rtl w:val="true"/>
          <w:lang w:bidi="fa-IR"/>
        </w:rPr>
        <w:t xml:space="preserve">، تلمیذ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اکتشف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الکیمیاء الحدیثة، فقد تناولت کتاباته التی تربو علی السبعمائة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الفلزّات وأکاسیدها، وأملاحها، وأحماض النتریک والکبریتیک والخلیک،کما عالجت القلویات تحضیراً وتنقیة بالبلورة والتقطیر والترشیح والتصعید، وأدخل فی الکیمیاء عنصری التجربة والعمل، وبذلک یعتبره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للکیمیاء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انبعاث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الرادیو اکتیو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الأجسام، فقد وضعه بصورة مبهمة ـ کما یقول عبد الرحمن المصری 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اکتشف وجود عناصر أخری غیر التی کانت مشهورة عند القدماء،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عرفت فی تجاربی أن هناک عناصر أخری فی التراب غیر إنی لا أملک الوسائل الکافیة لاستخراجها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التلفون أو التلغراف حیث یقول المؤرّخون إنه کان لجابر بن حیان شبه صندوق صغیر یتصل طرف منه إلی صندوق آخر بالأسلاک وکان یتکلم به مع بعض الناس مع أن الفاصلة بینه وبین الطرف الآخر کانت 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واخترع طائرة صغیرة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فیها ویطیر فی الهواء وکان بوسع هذه الطائرة أن تستقرّ فی الهواء مدة مدیدة وربما کانت من نوع الهیلوکبتر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واخترع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أوتوماتیکیاً من الحدید ووضعه بوّاباً علی مقرّ أحد</w:t>
      </w:r>
    </w:p>
    <w:p>
      <w:pPr>
        <w:pStyle w:val="BookText"/>
        <w:rPr/>
      </w:pPr>
      <w:r>
        <w:rPr>
          <w:rFonts w:ascii="IRNazanin" w:hAnsi="IRNazanin" w:eastAsia="IRNazanin"/>
          <w:color w:val="111111"/>
          <w:sz w:val="28"/>
          <w:sz w:val="28"/>
          <w:szCs w:val="28"/>
          <w:rtl w:val="true"/>
          <w:lang w:bidi="fa-IR"/>
        </w:rPr>
        <w:t xml:space="preserve">الوزراء، وکان هذا الحاجب یتحرک ویمشی کما کان یقتل المتسلّلین الذین لا یراعون القواعد التی 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للدخول علی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لجابر بن حیان تأثیراً بالغ الأهمیة علی أکثر الاختراعات الحدیثة وله الفضل الکبیر علی هذا العصر کله بتأسیسه علم الکیمیاء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ونصیر الدین الطوسی</w:t>
      </w:r>
      <w:r>
        <w:rPr>
          <w:rStyle w:val="FootnoteAnchor"/>
          <w:rtl w:val="true"/>
        </w:rPr>
        <w:footnoteReference w:id="18"/>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مرصد مراغة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وقد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أبدی آراءً جدیدة فی الدوائر الفلکیة، وانتقد الهیئة البطلیموسیة انتقاداً علمیاً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من وضع أصول علم المثلّثات، وبذلک یعتبره الغرب واضع أسس علم الصواریخ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له آراء جدیدة ونافعة فی باقی فروع علم الریاضیات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اخترع الأدوات الجدیدة التی کانت تستعمل فی مرصده وکانت عظیمة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العاملی</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اکتشف بعض قوانین الانعکاسات الصوتیة واستعملها فی بعض مساجد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استفاد من قوانین ضغط الماء وتساوی سطوحه فی حدیقة فین بکاشان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قواعد جدیدة فی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وغیرهم من العلماء المفکرین الذین زخرت بهم الکتب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یرون وجوب تطهیر البلاد من المنکرات التی حرّمها الإسلام، کالخمر والغناء والقمار والزنا والربا والاحتکار والغش والسرقة والقتل وما إلی ذلک من المناهی الواردة فی الکتاب والسنة، ویرون لزوم تظافر الجهود من الحکام والشعوب</w:t>
      </w:r>
    </w:p>
    <w:p>
      <w:pPr>
        <w:pStyle w:val="BookText"/>
        <w:rPr/>
      </w:pPr>
      <w:r>
        <w:rPr>
          <w:rFonts w:ascii="IRNazanin" w:hAnsi="IRNazanin" w:eastAsia="IRNazanin"/>
          <w:color w:val="111111"/>
          <w:sz w:val="28"/>
          <w:sz w:val="28"/>
          <w:szCs w:val="28"/>
          <w:rtl w:val="true"/>
          <w:lang w:bidi="fa-IR"/>
        </w:rPr>
        <w:t>لإزالة هذه المنکرات،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وتنهون عن المنکر</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یرون أن إعادة مجد الإسلام فی البلاد ممکن بل إن الله وعد ذلک حیث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ذلک مشروط بالإیمان الصحیح والعمل الصالح، ومن العمل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 التفرقة والتشتّت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فی سبیل الله بالمال واللسان 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مهما توفّر هذان الشرطان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النتیجة التی وعدها الله سبحانه محتومة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یرون وجوب الدعوة إلی الإسلام فی شرق الأرض وغربها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هدایة إنسان واحد إلی الإسلام خیر عند الله مما طلعت علیه الشمس، کما قاله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الضروری تشکیل الهیئات، وجمع التبرّعات، وبعث المبلّغین، ونشر الکتب، والصدّ أمام الهجمات التی تشنّها الأعداء علی الإسلام سواء فی داخل البلاد</w:t>
      </w:r>
    </w:p>
    <w:p>
      <w:pPr>
        <w:pStyle w:val="BookText"/>
        <w:rPr/>
      </w:pPr>
      <w:r>
        <w:rPr>
          <w:rFonts w:ascii="IRNazanin" w:hAnsi="IRNazanin" w:eastAsia="IRNazanin"/>
          <w:color w:val="111111"/>
          <w:sz w:val="28"/>
          <w:sz w:val="28"/>
          <w:szCs w:val="28"/>
          <w:rtl w:val="true"/>
          <w:lang w:bidi="fa-IR"/>
        </w:rPr>
        <w:t>الإسلامیة أو خارجها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یرون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الثانی عشر من الأئمة، الذین هم من ذریة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وأن یظهر فی آخر الزمان لیملأ الأرض عدلاً وقسطاً بعد أن ملئت ظلماً وجوراً، کما أخبر بذلک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وزخرت بأخباره حول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الأحادیث </w:t>
      </w:r>
      <w:r>
        <w:rPr>
          <w:rStyle w:val="FootnoteAnchor"/>
          <w:rtl w:val="true"/>
        </w:rPr>
        <w:footnoteReference w:id="25"/>
      </w:r>
      <w:r>
        <w:rPr>
          <w:rFonts w:ascii="IRNazanin" w:hAnsi="IRNazanin" w:eastAsia="IRNazanin"/>
          <w:color w:val="111111"/>
          <w:sz w:val="28"/>
          <w:sz w:val="28"/>
          <w:szCs w:val="28"/>
          <w:rtl w:val="true"/>
          <w:lang w:bidi="fa-IR"/>
        </w:rPr>
        <w:t>ـ وما ذلک علی الله بعزیز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فالواجب علی المسلمین ترقّب ظهوره وانتظار فرجه والدعاء له لیل نهار فإنه منقذ العالم من الدمار، والفساد،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 وسهّل مخرجه، واجعلنا من أنصاره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ویجوّزون السجود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المأکول والملبوس، وغالباً ما یحتفظون علی قطعة من التربة الطاهرة النظیفة لیسجدوا علیها أوقات الصلاة لأنه لا یتیسّر فی کل مکان تراب نظیف،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وکثیراً ما یکون ذلک التراب من أرض کربلاء مشهد الإمام الحسین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یذکّر بوجوب نصرة الإسلام والتضحیة فی سبیل الدین کما ثار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الظلم والطغیان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والتقیة بمعناها الصحیح، من الإسلام ومعناها وجوب حفظ الإنسان</w:t>
      </w:r>
    </w:p>
    <w:p>
      <w:pPr>
        <w:pStyle w:val="BookText"/>
        <w:rPr/>
      </w:pPr>
      <w:r>
        <w:rPr>
          <w:rFonts w:ascii="IRNazanin" w:hAnsi="IRNazanin" w:eastAsia="IRNazanin"/>
          <w:color w:val="111111"/>
          <w:sz w:val="28"/>
          <w:sz w:val="28"/>
          <w:szCs w:val="28"/>
          <w:rtl w:val="true"/>
          <w:lang w:bidi="fa-IR"/>
        </w:rPr>
        <w:t xml:space="preserve">لنفسه وماله وعرضه ولنفس سائر المؤمنین وأموالهم وأعراضهم عن الکفار والظالمین، وقد أمر بذلک القرآن الحکیم والرسول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القرآن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یتّخذ المؤمنون الکافرین أولیاء من دون المؤمنین ومن یفعل ذلک فلیس من الله فی شئ إلا أن تتقوا منهم تقاة</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ویرون جواز الجمع بین الصلاتین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الظهرین والعشائین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ویجوّزون التفریق بینهما، فإن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بعض الأحیان یجمع بینهما کما ورد بذلک الأحادیث</w:t>
      </w:r>
      <w:r>
        <w:rPr>
          <w:rStyle w:val="FootnoteAnchor"/>
          <w:rtl w:val="true"/>
        </w:rPr>
        <w:footnoteReference w:id="29"/>
      </w:r>
      <w:r>
        <w:rPr>
          <w:rFonts w:ascii="IRNazanin" w:hAnsi="IRNazanin" w:eastAsia="IRNazanin"/>
          <w:color w:val="111111"/>
          <w:sz w:val="28"/>
          <w:sz w:val="28"/>
          <w:szCs w:val="28"/>
          <w:rtl w:val="true"/>
          <w:lang w:bidi="fa-IR"/>
        </w:rPr>
        <w:t>، وفی الجمع تعجیل للخیر کما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وسارعوا إلی مغفرة من ربکم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ویرون جواز بناء القبور واستحباب بناء المساجد والقباب والأضرحة حول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یعظّم شعائر الله فإنها من تقوی القلوب</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غلبوا علی أمرهم لنتّخذنّ علیهم مسجداً</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ورد من الأحادیث الشریفة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جرت سیرة المسلمین خلفاً عن سلف بالبناء والإشادة منذ أول الإسلام، وقبر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المنورة وقبور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والصالحین فی مختلف البلاد الإسلامیة من أصدق الشواهد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ویرون جواز البکاء بل استحبابه علی مصائب النبی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یعقدون المآتم وخصوصاً علی الإمام الشهید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بالبکاء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أحد، کما جرت بذلک عادة المسلمین منذ صدر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ویرون جواز التبرّک بالأضرحة والأبنیة المنسوبة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تقبیلها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ذلک لیس عبادةً لغیر الله، وإنما هو احترام لصاحب الضریح، کما یحترم الإنسان جلد المصحف الشریف لا لأنه جلد شاة، بل باعتبار انتسابه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أمر الإسلام باحترام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وتقبیله لأنه من شعائر الله ولیس ذلک عبادة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یرون جواز التوسّل بالنبی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والاستمداد منهم فی الحوائج فإنهم أحیاء عند ربهم یرزقون کما ورد فی الآیة الکریمة</w:t>
      </w:r>
      <w:r>
        <w:rPr>
          <w:rStyle w:val="FootnoteAnchor"/>
          <w:rtl w:val="true"/>
        </w:rPr>
        <w:footnoteReference w:id="34"/>
      </w:r>
      <w:r>
        <w:rPr>
          <w:rFonts w:ascii="IRNazanin" w:hAnsi="IRNazanin" w:eastAsia="IRNazanin"/>
          <w:color w:val="111111"/>
          <w:sz w:val="28"/>
          <w:sz w:val="28"/>
          <w:szCs w:val="28"/>
          <w:rtl w:val="true"/>
          <w:lang w:bidi="fa-IR"/>
        </w:rPr>
        <w:t xml:space="preserve">بالنسبة إلی الشهداء الذین هم دون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الصحابة کانوا یتوسّلون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ویطلبون منه الحاجة حینما کان حیّاً فی الدنیا کذلک یجوز للمسلمین أن یتوسّلوا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ویطلبوا منه حوائجهم فی هذا الحین الذی هو حیّ فی دار الآخرة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الله تعالی، ومعنی البداء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الإظهار بعد الإخفاء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نطق بذلک القرآن الکریم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ویثبت وعنده أم</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الله لم یکن یعلم ثم علم فإنه کفر صریح لایقول به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یعلمون الماضی والحاضر والمستقبل بتعلیم الله سبحانه لهم، کما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یظهر علی غیبه أحداً إلا من ارتضی من رسول</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فالله سبحانه یظهر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غیبه،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لمن یشاء بأمر الله تعالی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بل أمر بین الأمرین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کما ورد فی الحدیث الشریف، ومعناه أن الإنسان لیس مجبوراً فی أفعاله کما أنه لیس مختاراً مطلقاً، بل الأعضاء والجوارح والقوی من الله سبحانه وإرادة فعل الخیر أو الشرّ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أحسن فبتوفیق الله تعالی وإن أساء فمن نفسه</w:t>
      </w:r>
      <w:r>
        <w:rPr>
          <w:rFonts w:eastAsia="IRNazanin" w:cs="IRNazanin"/>
          <w:color w:val="111111"/>
          <w:sz w:val="28"/>
          <w:szCs w:val="28"/>
          <w:rtl w:val="true"/>
          <w:lang w:bidi="fa-IR"/>
        </w:rPr>
        <w:t>.</w:t>
      </w:r>
      <w:bookmarkStart w:id="18" w:name="pg1004_9855"/>
    </w:p>
    <w:p>
      <w:pPr>
        <w:pStyle w:val="Heading2"/>
        <w:numPr>
          <w:ilvl w:val="1"/>
          <w:numId w:val="1"/>
        </w:numPr>
        <w:rPr/>
      </w:pPr>
      <w:bookmarkStart w:id="19" w:name="__RefHeading___Toc1269269_373438147"/>
      <w:bookmarkStart w:id="20" w:name="_Toc7"/>
      <w:bookmarkEnd w:id="18"/>
      <w:bookmarkEnd w:id="19"/>
      <w:r>
        <w:rPr>
          <w:rtl w:val="true"/>
        </w:rPr>
        <w:t>خاتمة</w:t>
      </w:r>
      <w:bookmarkEnd w:id="20"/>
    </w:p>
    <w:p>
      <w:pPr>
        <w:pStyle w:val="BookText"/>
        <w:rPr/>
      </w:pPr>
      <w:r>
        <w:rPr>
          <w:rFonts w:ascii="IRNazanin" w:hAnsi="IRNazanin" w:eastAsia="IRNazanin"/>
          <w:color w:val="111111"/>
          <w:sz w:val="28"/>
          <w:sz w:val="28"/>
          <w:szCs w:val="28"/>
          <w:rtl w:val="true"/>
          <w:lang w:bidi="fa-IR"/>
        </w:rPr>
        <w:t>قد کان ابتعاد بعض أهل السنة عن الشیعة شیئاً علی خلاف الإسلام الذی ینصّ بوجوب وحدة المسلمین، کما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هذه أمتکم أمة واحدة وأنا ربکم فاتقون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خلاف رغبة علماء السنة العظام قدیماً وحدیثاً، فانظر إلی کلام العلامة الذهبی الذی هو من أعاظم العلماء إذ یقول فی میزان الاعتدال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ـ أی التشیّع ـ کثر فی التابعین وتابعیهم مع الدین والورع والصدق فلو ردّ حدیث هؤلاء ـ أی الشیعة ـ لذهبت جملة الآثار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العلامة الأجلّ شرف الدین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مائة من رجال الشیعة الذین أخذت عنهم العلماء فی کتب الحدیث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اقتفی آثار أولئک السابقین من العلماء فی هذا الأمر العلماء الحاضرون، فهذا شیخ الجامع الأزهر السابق الأستاذ الأکبر الشیخ محمود شلتوت أفتی صریحاً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الشیعة المعروف بمذهب الإمامیة الإثنی عشریة مذهب یجوز التعبّد به شرعاً کسائر المذاهب فینبغی للمسلمین أن یعرفوا ذلک وأن یتخلّصوا من العصبیة بغیر الحق لمذاهب معیّنة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شیخ الجامع الأزهر الحالی یقول فی فتواه التی نشرتها مطبعة دار البصری ببغداد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فی کتاب المؤتمر الإسلامی العراقی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عملت منذ تقلّدی منصبی فی العام الماضی علی جمع کلمة المسلمین وإزالة ما بینهم من</w:t>
      </w:r>
    </w:p>
    <w:p>
      <w:pPr>
        <w:pStyle w:val="BookText"/>
        <w:rPr/>
      </w:pPr>
      <w:r>
        <w:rPr>
          <w:rFonts w:ascii="IRNazanin" w:hAnsi="IRNazanin" w:eastAsia="IRNazanin"/>
          <w:color w:val="111111"/>
          <w:sz w:val="28"/>
          <w:sz w:val="28"/>
          <w:szCs w:val="28"/>
          <w:rtl w:val="true"/>
          <w:lang w:bidi="fa-IR"/>
        </w:rPr>
        <w:t>خلافات مذهبیة وقد سرّنی أن یلبّی الدعوة ـ أی دعوة المؤتمر ـ علماء خمس وثلاثین دولة إسلامیة وفی مقدمتهم علماء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أنه تشرّف برئاسة موسوعة فی الفقه تعد موسوعة فقهیة للمذاهب الإسلامیة بما فیها المذاهب الأربعة المعروفة ومذهب الزیدیة والشیعة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عبد الله القلقیلی المفتی العام لمملکة الأردن فی کلام له فی نفس المصدر السابق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الذین قاموا فی مصر من العلماء والفضلاء بتألیف جمعیة للتقارب بین الفریقین قد سلکوا بذلک سبیل الرشاد ونهجوا نهج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أردنا بیانه فی هذا الکتاب والله الموفّق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کربلاء المقدسة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المهدی الحسینی الشیرازی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منذ حج عام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هـ حتی الحج من عام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هـ</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المیمنیة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کنـز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أیضاً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وعترتی ولن یفترقا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مشیراً الی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نفسی بیده ان هذا وشیعته لهم الفائزون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شواهد التنزیل للحسکانی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للکنجی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للمناوی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للسبط ابن الجوزی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الإحصاءات الأخیرة تقول بأن الشیعة أکثر من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ملیون نسمة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العلامة السید حسن الصدر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هـ 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ت نحو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البصرة، معلم سیبویه والأصمعی،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معجم عربی علی الحروف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ت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فی الکوفة،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الکیمیاء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الکیمیاء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 مؤلفاته الی اللاتینیة واعتمد علیها علماء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الأعلام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بالفلک والریاضیات والکلام، أسس مرصداً مشهوراً ومکتبة کبیرة فی مراغة، له مؤلفات کثیرة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 القطاع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الاشارات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أصول اقلیدس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المحصل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ت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بعلبک وتوفی باصفهان، أصله من جبل عامل، له مؤلفات بالعربیة والفارسیة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الکشکول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تشریح الأفلاک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وتعبر کتبه فی الریاضیات والفلک من المراجع الهامة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فی الدین،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الیمن فقال یا علی لا تقاتل أحداً حتی تدعوه إلی الله، لئن یهدی الله علی یدیک رجلاً خیر مما طلعت علیه الشمس أو غربت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ولدی اسمه اسمی وکنیته کنیتی أشبه الناس بی خَلْقاً وخُلْقاً تکون له غیبة وحیدة حتی تضل الخلق عن أدیانهم فعند ذلک یقبل کالشهاب الثاقب فیملأها قسطاً وعدلاً کما ملئت ظلماً وجوراً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فی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لآیة الله السید صادق الشیرازی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الظهر والعصر فی مکان واحد من غیر علة ولاسبب، فقال له عمر وکان أجرأ القوم علیه أحدث فی الصلاة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ولکن أردت أن أوسِّع علی أمتی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جلَّت قدرته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تحسبن الذین قتلوا فی سبیل الله أمواتاً بل أحیاء عند ربهم یرزقون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أل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2.jpeg"/><Relationship Id="rId25" Type="http://schemas.openxmlformats.org/officeDocument/2006/relationships/image" Target="media/image2.jpeg"/><Relationship Id="rId26" Type="http://schemas.openxmlformats.org/officeDocument/2006/relationships/footer" Target="footer19.xml"/><Relationship Id="rId27" Type="http://schemas.openxmlformats.org/officeDocument/2006/relationships/footnotes" Target="footnotes.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Pages>
  <Words>3435</Words>
  <Characters>16216</Characters>
  <CharactersWithSpaces>19485</CharactersWithSpaces>
  <Paragraphs>214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2026-08-16T11:12:23Z</dcterms:created>
  <dc:creator>ghaemiyeh.com</dc:creator>
  <dc:description/>
  <dc:language>en-US</dc:language>
  <cp:lastModifiedBy/>
  <dcterms:modified xsi:type="dcterms:W3CDTF">2026-08-16T14:42:24Z</dcterms:modified>
  <cp:revision>1</cp:revision>
  <dc:subject/>
  <dc:title>واقع الشیعه</dc:title>
</cp:coreProperties>
</file>

<file path=docProps/custom.xml><?xml version="1.0" encoding="utf-8"?>
<Properties xmlns="http://schemas.openxmlformats.org/officeDocument/2006/custom-properties" xmlns:vt="http://schemas.openxmlformats.org/officeDocument/2006/docPropsVTypes"/>
</file>