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حجاب و عفت در گلستان مرجعیت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401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5403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5405_37343814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45407_373438147">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45409_373438147">
            <w:r>
              <w:rPr>
                <w:webHidden/>
                <w:rStyle w:val="IndexLink"/>
                <w:rtl w:val="true"/>
              </w:rPr>
              <w:t>فصل اول</w:t>
            </w:r>
            <w:r>
              <w:rPr>
                <w:rStyle w:val="IndexLink"/>
                <w:rtl w:val="true"/>
              </w:rPr>
              <w:t>:</w:t>
            </w:r>
            <w:r>
              <w:rPr>
                <w:rStyle w:val="IndexLink"/>
                <w:rtl w:val="true"/>
              </w:rPr>
              <w:t xml:space="preserve">اصل مسأله </w:t>
            </w:r>
            <w:r>
              <w:rPr>
                <w:rStyle w:val="IndexLink"/>
                <w:rtl w:val="true"/>
              </w:rPr>
              <w:t>«</w:t>
            </w:r>
            <w:r>
              <w:rPr>
                <w:rStyle w:val="IndexLink"/>
                <w:rtl w:val="true"/>
              </w:rPr>
              <w:t>حجاب و عفّت</w:t>
            </w:r>
            <w:r>
              <w:rPr>
                <w:rStyle w:val="IndexLink"/>
                <w:rtl w:val="true"/>
              </w:rPr>
              <w:t>»</w:t>
              <w:tab/>
            </w:r>
            <w:r>
              <w:rPr>
                <w:rStyle w:val="IndexLink"/>
              </w:rPr>
              <w:t>23</w:t>
            </w:r>
          </w:hyperlink>
        </w:p>
        <w:p>
          <w:pPr>
            <w:pStyle w:val="Contents3"/>
            <w:tabs>
              <w:tab w:val="clear" w:pos="8459"/>
              <w:tab w:val="right" w:pos="9026" w:leader="dot"/>
            </w:tabs>
            <w:rPr/>
          </w:pPr>
          <w:hyperlink w:anchor="__RefHeading___Toc245411_373438147">
            <w:r>
              <w:rPr>
                <w:webHidden/>
                <w:rStyle w:val="IndexLink"/>
                <w:rtl w:val="true"/>
              </w:rPr>
              <w:t>(</w:t>
            </w:r>
            <w:r>
              <w:rPr>
                <w:rStyle w:val="IndexLink"/>
                <w:rtl w:val="true"/>
              </w:rPr>
              <w:t>الف</w:t>
            </w:r>
            <w:r>
              <w:rPr>
                <w:rStyle w:val="IndexLink"/>
                <w:rtl w:val="true"/>
              </w:rPr>
              <w:t>)</w:t>
              <w:tab/>
            </w:r>
            <w:r>
              <w:rPr>
                <w:rStyle w:val="IndexLink"/>
              </w:rPr>
              <w:t>23</w:t>
            </w:r>
          </w:hyperlink>
        </w:p>
        <w:p>
          <w:pPr>
            <w:pStyle w:val="Contents3"/>
            <w:tabs>
              <w:tab w:val="clear" w:pos="8459"/>
              <w:tab w:val="right" w:pos="9026" w:leader="dot"/>
            </w:tabs>
            <w:rPr/>
          </w:pPr>
          <w:hyperlink w:anchor="__RefHeading___Toc245413_373438147">
            <w:r>
              <w:rPr>
                <w:webHidden/>
                <w:rStyle w:val="IndexLink"/>
                <w:rtl w:val="true"/>
              </w:rPr>
              <w:t>(</w:t>
            </w:r>
            <w:r>
              <w:rPr>
                <w:rStyle w:val="IndexLink"/>
                <w:rtl w:val="true"/>
              </w:rPr>
              <w:t>ب</w:t>
            </w:r>
            <w:r>
              <w:rPr>
                <w:rStyle w:val="IndexLink"/>
                <w:rtl w:val="true"/>
              </w:rPr>
              <w:t>)</w:t>
              <w:tab/>
            </w:r>
            <w:r>
              <w:rPr>
                <w:rStyle w:val="IndexLink"/>
              </w:rPr>
              <w:t>27</w:t>
            </w:r>
          </w:hyperlink>
        </w:p>
        <w:p>
          <w:pPr>
            <w:pStyle w:val="Contents2"/>
            <w:tabs>
              <w:tab w:val="clear" w:pos="8743"/>
              <w:tab w:val="right" w:pos="9026" w:leader="dot"/>
            </w:tabs>
            <w:rPr/>
          </w:pPr>
          <w:hyperlink w:anchor="__RefHeading___Toc245415_373438147">
            <w:r>
              <w:rPr>
                <w:webHidden/>
                <w:rStyle w:val="IndexLink"/>
                <w:rtl w:val="true"/>
              </w:rPr>
              <w:t>فصل دوم</w:t>
            </w:r>
            <w:r>
              <w:rPr>
                <w:rStyle w:val="IndexLink"/>
                <w:rtl w:val="true"/>
              </w:rPr>
              <w:t>:</w:t>
            </w:r>
            <w:r>
              <w:rPr>
                <w:rStyle w:val="IndexLink"/>
                <w:rtl w:val="true"/>
              </w:rPr>
              <w:t>احکام مربوط به بلوغ دختران</w:t>
            </w:r>
            <w:r>
              <w:rPr>
                <w:rStyle w:val="IndexLink"/>
                <w:rtl w:val="true"/>
              </w:rPr>
              <w:tab/>
            </w:r>
            <w:r>
              <w:rPr>
                <w:rStyle w:val="IndexLink"/>
              </w:rPr>
              <w:t>33</w:t>
            </w:r>
          </w:hyperlink>
        </w:p>
        <w:p>
          <w:pPr>
            <w:pStyle w:val="Contents3"/>
            <w:tabs>
              <w:tab w:val="clear" w:pos="8459"/>
              <w:tab w:val="right" w:pos="9026" w:leader="dot"/>
            </w:tabs>
            <w:rPr/>
          </w:pPr>
          <w:hyperlink w:anchor="__RefHeading___Toc245417_373438147">
            <w:r>
              <w:rPr>
                <w:webHidden/>
                <w:rStyle w:val="IndexLink"/>
                <w:rtl w:val="true"/>
              </w:rPr>
              <w:t>(</w:t>
            </w:r>
            <w:r>
              <w:rPr>
                <w:rStyle w:val="IndexLink"/>
                <w:rtl w:val="true"/>
              </w:rPr>
              <w:t>الف</w:t>
            </w:r>
            <w:r>
              <w:rPr>
                <w:rStyle w:val="IndexLink"/>
                <w:rtl w:val="true"/>
              </w:rPr>
              <w:t>)</w:t>
              <w:tab/>
            </w:r>
            <w:r>
              <w:rPr>
                <w:rStyle w:val="IndexLink"/>
              </w:rPr>
              <w:t>33</w:t>
            </w:r>
          </w:hyperlink>
        </w:p>
        <w:p>
          <w:pPr>
            <w:pStyle w:val="Contents3"/>
            <w:tabs>
              <w:tab w:val="clear" w:pos="8459"/>
              <w:tab w:val="right" w:pos="9026" w:leader="dot"/>
            </w:tabs>
            <w:rPr/>
          </w:pPr>
          <w:hyperlink w:anchor="__RefHeading___Toc245419_373438147">
            <w:r>
              <w:rPr>
                <w:webHidden/>
                <w:rStyle w:val="IndexLink"/>
                <w:rtl w:val="true"/>
              </w:rPr>
              <w:t>(</w:t>
            </w:r>
            <w:r>
              <w:rPr>
                <w:rStyle w:val="IndexLink"/>
                <w:rtl w:val="true"/>
              </w:rPr>
              <w:t>ب</w:t>
            </w:r>
            <w:r>
              <w:rPr>
                <w:rStyle w:val="IndexLink"/>
                <w:rtl w:val="true"/>
              </w:rPr>
              <w:t>)</w:t>
              <w:tab/>
            </w:r>
            <w:r>
              <w:rPr>
                <w:rStyle w:val="IndexLink"/>
              </w:rPr>
              <w:t>38</w:t>
            </w:r>
          </w:hyperlink>
        </w:p>
        <w:p>
          <w:pPr>
            <w:pStyle w:val="Contents2"/>
            <w:tabs>
              <w:tab w:val="clear" w:pos="8743"/>
              <w:tab w:val="right" w:pos="9026" w:leader="dot"/>
            </w:tabs>
            <w:rPr/>
          </w:pPr>
          <w:hyperlink w:anchor="__RefHeading___Toc245421_373438147">
            <w:r>
              <w:rPr>
                <w:webHidden/>
                <w:rStyle w:val="IndexLink"/>
                <w:rtl w:val="true"/>
              </w:rPr>
              <w:t>فصل سوم</w:t>
            </w:r>
            <w:r>
              <w:rPr>
                <w:rStyle w:val="IndexLink"/>
                <w:rtl w:val="true"/>
              </w:rPr>
              <w:t>:</w:t>
            </w:r>
            <w:r>
              <w:rPr>
                <w:rStyle w:val="IndexLink"/>
                <w:rtl w:val="true"/>
              </w:rPr>
              <w:t>احکام مربوط به</w:t>
            </w:r>
            <w:r>
              <w:rPr>
                <w:rStyle w:val="IndexLink"/>
                <w:rtl w:val="true"/>
              </w:rPr>
              <w:tab/>
            </w:r>
            <w:r>
              <w:rPr>
                <w:rStyle w:val="IndexLink"/>
              </w:rPr>
              <w:t>41</w:t>
            </w:r>
          </w:hyperlink>
        </w:p>
        <w:p>
          <w:pPr>
            <w:pStyle w:val="Contents3"/>
            <w:tabs>
              <w:tab w:val="clear" w:pos="8459"/>
              <w:tab w:val="right" w:pos="9026" w:leader="dot"/>
            </w:tabs>
            <w:rPr/>
          </w:pPr>
          <w:hyperlink w:anchor="__RefHeading___Toc245423_373438147">
            <w:r>
              <w:rPr>
                <w:webHidden/>
                <w:rStyle w:val="IndexLink"/>
                <w:rtl w:val="true"/>
              </w:rPr>
              <w:t>(</w:t>
            </w:r>
            <w:r>
              <w:rPr>
                <w:rStyle w:val="IndexLink"/>
                <w:rtl w:val="true"/>
              </w:rPr>
              <w:t>الف</w:t>
            </w:r>
            <w:r>
              <w:rPr>
                <w:rStyle w:val="IndexLink"/>
                <w:rtl w:val="true"/>
              </w:rPr>
              <w:t>)</w:t>
              <w:tab/>
            </w:r>
            <w:r>
              <w:rPr>
                <w:rStyle w:val="IndexLink"/>
              </w:rPr>
              <w:t>41</w:t>
            </w:r>
          </w:hyperlink>
        </w:p>
        <w:p>
          <w:pPr>
            <w:pStyle w:val="Contents3"/>
            <w:tabs>
              <w:tab w:val="clear" w:pos="8459"/>
              <w:tab w:val="right" w:pos="9026" w:leader="dot"/>
            </w:tabs>
            <w:rPr/>
          </w:pPr>
          <w:hyperlink w:anchor="__RefHeading___Toc245425_373438147">
            <w:r>
              <w:rPr>
                <w:webHidden/>
                <w:rStyle w:val="IndexLink"/>
                <w:rtl w:val="true"/>
              </w:rPr>
              <w:t>(</w:t>
            </w:r>
            <w:r>
              <w:rPr>
                <w:rStyle w:val="IndexLink"/>
                <w:rtl w:val="true"/>
              </w:rPr>
              <w:t>ب</w:t>
            </w:r>
            <w:r>
              <w:rPr>
                <w:rStyle w:val="IndexLink"/>
                <w:rtl w:val="true"/>
              </w:rPr>
              <w:t>)</w:t>
              <w:tab/>
            </w:r>
            <w:r>
              <w:rPr>
                <w:rStyle w:val="IndexLink"/>
              </w:rPr>
              <w:t>46</w:t>
            </w:r>
          </w:hyperlink>
        </w:p>
        <w:p>
          <w:pPr>
            <w:pStyle w:val="Contents3"/>
            <w:tabs>
              <w:tab w:val="clear" w:pos="8459"/>
              <w:tab w:val="right" w:pos="9026" w:leader="dot"/>
            </w:tabs>
            <w:rPr/>
          </w:pPr>
          <w:hyperlink w:anchor="__RefHeading___Toc245427_373438147">
            <w:r>
              <w:rPr>
                <w:webHidden/>
                <w:rStyle w:val="IndexLink"/>
                <w:rtl w:val="true"/>
              </w:rPr>
              <w:t>(</w:t>
            </w:r>
            <w:r>
              <w:rPr>
                <w:rStyle w:val="IndexLink"/>
                <w:rtl w:val="true"/>
              </w:rPr>
              <w:t>ج</w:t>
            </w:r>
            <w:r>
              <w:rPr>
                <w:rStyle w:val="IndexLink"/>
                <w:rtl w:val="true"/>
              </w:rPr>
              <w:t>)</w:t>
              <w:tab/>
            </w:r>
            <w:r>
              <w:rPr>
                <w:rStyle w:val="IndexLink"/>
              </w:rPr>
              <w:t>48</w:t>
            </w:r>
          </w:hyperlink>
        </w:p>
        <w:p>
          <w:pPr>
            <w:pStyle w:val="Contents3"/>
            <w:tabs>
              <w:tab w:val="clear" w:pos="8459"/>
              <w:tab w:val="right" w:pos="9026" w:leader="dot"/>
            </w:tabs>
            <w:rPr/>
          </w:pPr>
          <w:hyperlink w:anchor="__RefHeading___Toc245429_373438147">
            <w:r>
              <w:rPr>
                <w:webHidden/>
                <w:rStyle w:val="IndexLink"/>
                <w:rtl w:val="true"/>
              </w:rPr>
              <w:t>(</w:t>
            </w:r>
            <w:r>
              <w:rPr>
                <w:rStyle w:val="IndexLink"/>
                <w:rtl w:val="true"/>
              </w:rPr>
              <w:t>د</w:t>
            </w:r>
            <w:r>
              <w:rPr>
                <w:rStyle w:val="IndexLink"/>
                <w:rtl w:val="true"/>
              </w:rPr>
              <w:t>)</w:t>
              <w:tab/>
            </w:r>
            <w:r>
              <w:rPr>
                <w:rStyle w:val="IndexLink"/>
              </w:rPr>
              <w:t>49</w:t>
            </w:r>
          </w:hyperlink>
        </w:p>
        <w:p>
          <w:pPr>
            <w:pStyle w:val="Contents2"/>
            <w:tabs>
              <w:tab w:val="clear" w:pos="8743"/>
              <w:tab w:val="right" w:pos="9026" w:leader="dot"/>
            </w:tabs>
            <w:rPr/>
          </w:pPr>
          <w:hyperlink w:anchor="__RefHeading___Toc245431_373438147">
            <w:r>
              <w:rPr>
                <w:webHidden/>
                <w:rStyle w:val="IndexLink"/>
                <w:rtl w:val="true"/>
              </w:rPr>
              <w:t>فصل چهارم</w:t>
            </w:r>
            <w:r>
              <w:rPr>
                <w:rStyle w:val="IndexLink"/>
                <w:rtl w:val="true"/>
              </w:rPr>
              <w:t>:</w:t>
            </w:r>
            <w:r>
              <w:rPr>
                <w:rStyle w:val="IndexLink"/>
                <w:rtl w:val="true"/>
              </w:rPr>
              <w:t>احکام مربوط به</w:t>
            </w:r>
            <w:r>
              <w:rPr>
                <w:rStyle w:val="IndexLink"/>
                <w:rtl w:val="true"/>
              </w:rPr>
              <w:tab/>
            </w:r>
            <w:r>
              <w:rPr>
                <w:rStyle w:val="IndexLink"/>
              </w:rPr>
              <w:t>53</w:t>
            </w:r>
          </w:hyperlink>
        </w:p>
        <w:p>
          <w:pPr>
            <w:pStyle w:val="Contents3"/>
            <w:tabs>
              <w:tab w:val="clear" w:pos="8459"/>
              <w:tab w:val="right" w:pos="9026" w:leader="dot"/>
            </w:tabs>
            <w:rPr/>
          </w:pPr>
          <w:hyperlink w:anchor="__RefHeading___Toc245433_373438147">
            <w:r>
              <w:rPr>
                <w:webHidden/>
                <w:rStyle w:val="IndexLink"/>
                <w:rtl w:val="true"/>
              </w:rPr>
              <w:t>(</w:t>
            </w:r>
            <w:r>
              <w:rPr>
                <w:rStyle w:val="IndexLink"/>
                <w:rtl w:val="true"/>
              </w:rPr>
              <w:t>الف</w:t>
            </w:r>
            <w:r>
              <w:rPr>
                <w:rStyle w:val="IndexLink"/>
                <w:rtl w:val="true"/>
              </w:rPr>
              <w:t>)</w:t>
              <w:tab/>
            </w:r>
            <w:r>
              <w:rPr>
                <w:rStyle w:val="IndexLink"/>
              </w:rPr>
              <w:t>53</w:t>
            </w:r>
          </w:hyperlink>
        </w:p>
        <w:p>
          <w:pPr>
            <w:pStyle w:val="Contents3"/>
            <w:tabs>
              <w:tab w:val="clear" w:pos="8459"/>
              <w:tab w:val="right" w:pos="9026" w:leader="dot"/>
            </w:tabs>
            <w:rPr/>
          </w:pPr>
          <w:hyperlink w:anchor="__RefHeading___Toc245435_373438147">
            <w:r>
              <w:rPr>
                <w:webHidden/>
                <w:rStyle w:val="IndexLink"/>
                <w:rtl w:val="true"/>
              </w:rPr>
              <w:t>(</w:t>
            </w:r>
            <w:r>
              <w:rPr>
                <w:rStyle w:val="IndexLink"/>
                <w:rtl w:val="true"/>
              </w:rPr>
              <w:t>ب</w:t>
            </w:r>
            <w:r>
              <w:rPr>
                <w:rStyle w:val="IndexLink"/>
                <w:rtl w:val="true"/>
              </w:rPr>
              <w:t>)</w:t>
              <w:tab/>
            </w:r>
            <w:r>
              <w:rPr>
                <w:rStyle w:val="IndexLink"/>
              </w:rPr>
              <w:t>58</w:t>
            </w:r>
          </w:hyperlink>
        </w:p>
        <w:p>
          <w:pPr>
            <w:pStyle w:val="Contents2"/>
            <w:tabs>
              <w:tab w:val="clear" w:pos="8743"/>
              <w:tab w:val="right" w:pos="9026" w:leader="dot"/>
            </w:tabs>
            <w:rPr/>
          </w:pPr>
          <w:hyperlink w:anchor="__RefHeading___Toc245437_373438147">
            <w:r>
              <w:rPr>
                <w:webHidden/>
                <w:rStyle w:val="IndexLink"/>
                <w:rtl w:val="true"/>
              </w:rPr>
              <w:t>فصل پنجم</w:t>
            </w:r>
            <w:r>
              <w:rPr>
                <w:rStyle w:val="IndexLink"/>
                <w:rtl w:val="true"/>
              </w:rPr>
              <w:t xml:space="preserve">: </w:t>
            </w:r>
            <w:r>
              <w:rPr>
                <w:rStyle w:val="IndexLink"/>
                <w:rtl w:val="true"/>
              </w:rPr>
              <w:t>احکام مربوط به</w:t>
            </w:r>
            <w:r>
              <w:rPr>
                <w:rStyle w:val="IndexLink"/>
                <w:rtl w:val="true"/>
              </w:rPr>
              <w:tab/>
            </w:r>
            <w:r>
              <w:rPr>
                <w:rStyle w:val="IndexLink"/>
              </w:rPr>
              <w:t>69</w:t>
            </w:r>
          </w:hyperlink>
        </w:p>
        <w:p>
          <w:pPr>
            <w:pStyle w:val="Contents3"/>
            <w:tabs>
              <w:tab w:val="clear" w:pos="8459"/>
              <w:tab w:val="right" w:pos="9026" w:leader="dot"/>
            </w:tabs>
            <w:rPr/>
          </w:pPr>
          <w:hyperlink w:anchor="__RefHeading___Toc245439_373438147">
            <w:r>
              <w:rPr>
                <w:webHidden/>
                <w:rStyle w:val="IndexLink"/>
                <w:rtl w:val="true"/>
              </w:rPr>
              <w:t>(</w:t>
            </w:r>
            <w:r>
              <w:rPr>
                <w:rStyle w:val="IndexLink"/>
                <w:rtl w:val="true"/>
              </w:rPr>
              <w:t>الف</w:t>
            </w:r>
            <w:r>
              <w:rPr>
                <w:rStyle w:val="IndexLink"/>
                <w:rtl w:val="true"/>
              </w:rPr>
              <w:t>)</w:t>
              <w:tab/>
            </w:r>
            <w:r>
              <w:rPr>
                <w:rStyle w:val="IndexLink"/>
              </w:rPr>
              <w:t>69</w:t>
            </w:r>
          </w:hyperlink>
        </w:p>
        <w:p>
          <w:pPr>
            <w:pStyle w:val="Contents3"/>
            <w:tabs>
              <w:tab w:val="clear" w:pos="8459"/>
              <w:tab w:val="right" w:pos="9026" w:leader="dot"/>
            </w:tabs>
            <w:rPr/>
          </w:pPr>
          <w:hyperlink w:anchor="__RefHeading___Toc245441_373438147">
            <w:r>
              <w:rPr>
                <w:webHidden/>
                <w:rStyle w:val="IndexLink"/>
                <w:rtl w:val="true"/>
              </w:rPr>
              <w:t>(</w:t>
            </w:r>
            <w:r>
              <w:rPr>
                <w:rStyle w:val="IndexLink"/>
                <w:rtl w:val="true"/>
              </w:rPr>
              <w:t>ب</w:t>
            </w:r>
            <w:r>
              <w:rPr>
                <w:rStyle w:val="IndexLink"/>
                <w:rtl w:val="true"/>
              </w:rPr>
              <w:t>)</w:t>
              <w:tab/>
            </w:r>
            <w:r>
              <w:rPr>
                <w:rStyle w:val="IndexLink"/>
              </w:rPr>
              <w:t>77</w:t>
            </w:r>
          </w:hyperlink>
        </w:p>
        <w:p>
          <w:pPr>
            <w:pStyle w:val="Contents3"/>
            <w:tabs>
              <w:tab w:val="clear" w:pos="8459"/>
              <w:tab w:val="right" w:pos="9026" w:leader="dot"/>
            </w:tabs>
            <w:rPr/>
          </w:pPr>
          <w:hyperlink w:anchor="__RefHeading___Toc245443_373438147">
            <w:r>
              <w:rPr>
                <w:webHidden/>
                <w:rStyle w:val="IndexLink"/>
                <w:rtl w:val="true"/>
              </w:rPr>
              <w:t>(</w:t>
            </w:r>
            <w:r>
              <w:rPr>
                <w:rStyle w:val="IndexLink"/>
                <w:rtl w:val="true"/>
              </w:rPr>
              <w:t>ج</w:t>
            </w:r>
            <w:r>
              <w:rPr>
                <w:rStyle w:val="IndexLink"/>
                <w:rtl w:val="true"/>
              </w:rPr>
              <w:t>)</w:t>
              <w:tab/>
            </w:r>
            <w:r>
              <w:rPr>
                <w:rStyle w:val="IndexLink"/>
              </w:rPr>
              <w:t>81</w:t>
            </w:r>
          </w:hyperlink>
        </w:p>
        <w:p>
          <w:pPr>
            <w:pStyle w:val="Contents2"/>
            <w:tabs>
              <w:tab w:val="clear" w:pos="8743"/>
              <w:tab w:val="right" w:pos="9026" w:leader="dot"/>
            </w:tabs>
            <w:rPr/>
          </w:pPr>
          <w:hyperlink w:anchor="__RefHeading___Toc245445_373438147">
            <w:r>
              <w:rPr>
                <w:webHidden/>
                <w:rStyle w:val="IndexLink"/>
                <w:rtl w:val="true"/>
              </w:rPr>
              <w:t>فصل ششم</w:t>
            </w:r>
            <w:r>
              <w:rPr>
                <w:rStyle w:val="IndexLink"/>
                <w:rtl w:val="true"/>
              </w:rPr>
              <w:t xml:space="preserve">: </w:t>
            </w:r>
            <w:r>
              <w:rPr>
                <w:rStyle w:val="IndexLink"/>
                <w:rtl w:val="true"/>
              </w:rPr>
              <w:t>احکام مربوط به</w:t>
            </w:r>
            <w:r>
              <w:rPr>
                <w:rStyle w:val="IndexLink"/>
                <w:rtl w:val="true"/>
              </w:rPr>
              <w:tab/>
            </w:r>
            <w:r>
              <w:rPr>
                <w:rStyle w:val="IndexLink"/>
              </w:rPr>
              <w:t>89</w:t>
            </w:r>
          </w:hyperlink>
        </w:p>
        <w:p>
          <w:pPr>
            <w:pStyle w:val="Contents3"/>
            <w:tabs>
              <w:tab w:val="clear" w:pos="8459"/>
              <w:tab w:val="right" w:pos="9026" w:leader="dot"/>
            </w:tabs>
            <w:rPr/>
          </w:pPr>
          <w:hyperlink w:anchor="__RefHeading___Toc245447_373438147">
            <w:r>
              <w:rPr>
                <w:webHidden/>
                <w:rStyle w:val="IndexLink"/>
                <w:rtl w:val="true"/>
              </w:rPr>
              <w:t>(</w:t>
            </w:r>
            <w:r>
              <w:rPr>
                <w:rStyle w:val="IndexLink"/>
                <w:rtl w:val="true"/>
              </w:rPr>
              <w:t>الف</w:t>
            </w:r>
            <w:r>
              <w:rPr>
                <w:rStyle w:val="IndexLink"/>
                <w:rtl w:val="true"/>
              </w:rPr>
              <w:t>)</w:t>
              <w:tab/>
            </w:r>
            <w:r>
              <w:rPr>
                <w:rStyle w:val="IndexLink"/>
              </w:rPr>
              <w:t>89</w:t>
            </w:r>
          </w:hyperlink>
        </w:p>
        <w:p>
          <w:pPr>
            <w:pStyle w:val="Contents3"/>
            <w:tabs>
              <w:tab w:val="clear" w:pos="8459"/>
              <w:tab w:val="right" w:pos="9026" w:leader="dot"/>
            </w:tabs>
            <w:rPr/>
          </w:pPr>
          <w:hyperlink w:anchor="__RefHeading___Toc245449_373438147">
            <w:r>
              <w:rPr>
                <w:webHidden/>
                <w:rStyle w:val="IndexLink"/>
                <w:rtl w:val="true"/>
              </w:rPr>
              <w:t>(</w:t>
            </w:r>
            <w:r>
              <w:rPr>
                <w:rStyle w:val="IndexLink"/>
                <w:rtl w:val="true"/>
              </w:rPr>
              <w:t>ب</w:t>
            </w:r>
            <w:r>
              <w:rPr>
                <w:rStyle w:val="IndexLink"/>
                <w:rtl w:val="true"/>
              </w:rPr>
              <w:t>)</w:t>
              <w:tab/>
            </w:r>
            <w:r>
              <w:rPr>
                <w:rStyle w:val="IndexLink"/>
              </w:rPr>
              <w:t>96</w:t>
            </w:r>
          </w:hyperlink>
        </w:p>
        <w:p>
          <w:pPr>
            <w:pStyle w:val="Contents2"/>
            <w:tabs>
              <w:tab w:val="clear" w:pos="8743"/>
              <w:tab w:val="right" w:pos="9026" w:leader="dot"/>
            </w:tabs>
            <w:rPr/>
          </w:pPr>
          <w:hyperlink w:anchor="__RefHeading___Toc245451_373438147">
            <w:r>
              <w:rPr>
                <w:webHidden/>
                <w:rStyle w:val="IndexLink"/>
                <w:rtl w:val="true"/>
              </w:rPr>
              <w:t>فصل هفتم</w:t>
            </w:r>
            <w:r>
              <w:rPr>
                <w:rStyle w:val="IndexLink"/>
                <w:rtl w:val="true"/>
              </w:rPr>
              <w:t xml:space="preserve">: </w:t>
            </w:r>
            <w:r>
              <w:rPr>
                <w:rStyle w:val="IndexLink"/>
                <w:rtl w:val="true"/>
              </w:rPr>
              <w:t>احکام مربوط به</w:t>
            </w:r>
            <w:r>
              <w:rPr>
                <w:rStyle w:val="IndexLink"/>
                <w:rtl w:val="true"/>
              </w:rPr>
              <w:tab/>
            </w:r>
            <w:r>
              <w:rPr>
                <w:rStyle w:val="IndexLink"/>
              </w:rPr>
              <w:t>99</w:t>
            </w:r>
          </w:hyperlink>
        </w:p>
        <w:p>
          <w:pPr>
            <w:pStyle w:val="Contents3"/>
            <w:tabs>
              <w:tab w:val="clear" w:pos="8459"/>
              <w:tab w:val="right" w:pos="9026" w:leader="dot"/>
            </w:tabs>
            <w:rPr/>
          </w:pPr>
          <w:hyperlink w:anchor="__RefHeading___Toc245453_373438147">
            <w:r>
              <w:rPr>
                <w:webHidden/>
                <w:rStyle w:val="IndexLink"/>
                <w:rtl w:val="true"/>
              </w:rPr>
              <w:t>(</w:t>
            </w:r>
            <w:r>
              <w:rPr>
                <w:rStyle w:val="IndexLink"/>
                <w:rtl w:val="true"/>
              </w:rPr>
              <w:t>الف</w:t>
            </w:r>
            <w:r>
              <w:rPr>
                <w:rStyle w:val="IndexLink"/>
                <w:rtl w:val="true"/>
              </w:rPr>
              <w:t>)</w:t>
              <w:tab/>
            </w:r>
            <w:r>
              <w:rPr>
                <w:rStyle w:val="IndexLink"/>
              </w:rPr>
              <w:t>99</w:t>
            </w:r>
          </w:hyperlink>
        </w:p>
        <w:p>
          <w:pPr>
            <w:pStyle w:val="Contents3"/>
            <w:tabs>
              <w:tab w:val="clear" w:pos="8459"/>
              <w:tab w:val="right" w:pos="9026" w:leader="dot"/>
            </w:tabs>
            <w:rPr/>
          </w:pPr>
          <w:hyperlink w:anchor="__RefHeading___Toc245455_373438147">
            <w:r>
              <w:rPr>
                <w:webHidden/>
                <w:rStyle w:val="IndexLink"/>
                <w:rtl w:val="true"/>
              </w:rPr>
              <w:t>(</w:t>
            </w:r>
            <w:r>
              <w:rPr>
                <w:rStyle w:val="IndexLink"/>
                <w:rtl w:val="true"/>
              </w:rPr>
              <w:t>ب</w:t>
            </w:r>
            <w:r>
              <w:rPr>
                <w:rStyle w:val="IndexLink"/>
                <w:rtl w:val="true"/>
              </w:rPr>
              <w:t>)</w:t>
              <w:tab/>
            </w:r>
            <w:r>
              <w:rPr>
                <w:rStyle w:val="IndexLink"/>
              </w:rPr>
              <w:t>103</w:t>
            </w:r>
          </w:hyperlink>
        </w:p>
        <w:p>
          <w:pPr>
            <w:pStyle w:val="Contents2"/>
            <w:tabs>
              <w:tab w:val="clear" w:pos="8743"/>
              <w:tab w:val="right" w:pos="9026" w:leader="dot"/>
            </w:tabs>
            <w:rPr/>
          </w:pPr>
          <w:hyperlink w:anchor="__RefHeading___Toc245457_373438147">
            <w:r>
              <w:rPr>
                <w:webHidden/>
                <w:rStyle w:val="IndexLink"/>
                <w:rtl w:val="true"/>
              </w:rPr>
              <w:t>فصل هشتم</w:t>
            </w:r>
            <w:r>
              <w:rPr>
                <w:rStyle w:val="IndexLink"/>
                <w:rtl w:val="true"/>
              </w:rPr>
              <w:t xml:space="preserve">: </w:t>
            </w:r>
            <w:r>
              <w:rPr>
                <w:rStyle w:val="IndexLink"/>
                <w:rtl w:val="true"/>
              </w:rPr>
              <w:t>احکام مربوط به</w:t>
            </w:r>
            <w:r>
              <w:rPr>
                <w:rStyle w:val="IndexLink"/>
                <w:rtl w:val="true"/>
              </w:rPr>
              <w:tab/>
            </w:r>
            <w:r>
              <w:rPr>
                <w:rStyle w:val="IndexLink"/>
              </w:rPr>
              <w:t>109</w:t>
            </w:r>
          </w:hyperlink>
        </w:p>
        <w:p>
          <w:pPr>
            <w:pStyle w:val="Contents3"/>
            <w:tabs>
              <w:tab w:val="clear" w:pos="8459"/>
              <w:tab w:val="right" w:pos="9026" w:leader="dot"/>
            </w:tabs>
            <w:rPr/>
          </w:pPr>
          <w:hyperlink w:anchor="__RefHeading___Toc245459_373438147">
            <w:r>
              <w:rPr>
                <w:webHidden/>
                <w:rStyle w:val="IndexLink"/>
                <w:rtl w:val="true"/>
              </w:rPr>
              <w:t>(</w:t>
            </w:r>
            <w:r>
              <w:rPr>
                <w:rStyle w:val="IndexLink"/>
                <w:rtl w:val="true"/>
              </w:rPr>
              <w:t>الف</w:t>
            </w:r>
            <w:r>
              <w:rPr>
                <w:rStyle w:val="IndexLink"/>
                <w:rtl w:val="true"/>
              </w:rPr>
              <w:t>)</w:t>
              <w:tab/>
            </w:r>
            <w:r>
              <w:rPr>
                <w:rStyle w:val="IndexLink"/>
              </w:rPr>
              <w:t>109</w:t>
            </w:r>
          </w:hyperlink>
        </w:p>
        <w:p>
          <w:pPr>
            <w:pStyle w:val="Contents3"/>
            <w:tabs>
              <w:tab w:val="clear" w:pos="8459"/>
              <w:tab w:val="right" w:pos="9026" w:leader="dot"/>
            </w:tabs>
            <w:rPr/>
          </w:pPr>
          <w:hyperlink w:anchor="__RefHeading___Toc245461_373438147">
            <w:r>
              <w:rPr>
                <w:webHidden/>
                <w:rStyle w:val="IndexLink"/>
                <w:rtl w:val="true"/>
              </w:rPr>
              <w:t>(</w:t>
            </w:r>
            <w:r>
              <w:rPr>
                <w:rStyle w:val="IndexLink"/>
                <w:rtl w:val="true"/>
              </w:rPr>
              <w:t>ب</w:t>
            </w:r>
            <w:r>
              <w:rPr>
                <w:rStyle w:val="IndexLink"/>
                <w:rtl w:val="true"/>
              </w:rPr>
              <w:t>)</w:t>
              <w:tab/>
            </w:r>
            <w:r>
              <w:rPr>
                <w:rStyle w:val="IndexLink"/>
              </w:rPr>
              <w:t>113</w:t>
            </w:r>
          </w:hyperlink>
        </w:p>
        <w:p>
          <w:pPr>
            <w:pStyle w:val="Contents2"/>
            <w:tabs>
              <w:tab w:val="clear" w:pos="8743"/>
              <w:tab w:val="right" w:pos="9026" w:leader="dot"/>
            </w:tabs>
            <w:rPr/>
          </w:pPr>
          <w:hyperlink w:anchor="__RefHeading___Toc245463_373438147">
            <w:r>
              <w:rPr>
                <w:webHidden/>
                <w:rStyle w:val="IndexLink"/>
                <w:rtl w:val="true"/>
              </w:rPr>
              <w:t>فصل نهم</w:t>
            </w:r>
            <w:r>
              <w:rPr>
                <w:rStyle w:val="IndexLink"/>
                <w:rtl w:val="true"/>
              </w:rPr>
              <w:t xml:space="preserve">: </w:t>
            </w:r>
            <w:r>
              <w:rPr>
                <w:rStyle w:val="IndexLink"/>
                <w:rtl w:val="true"/>
              </w:rPr>
              <w:t>احکام مربوط به</w:t>
            </w:r>
            <w:r>
              <w:rPr>
                <w:rStyle w:val="IndexLink"/>
                <w:rtl w:val="true"/>
              </w:rPr>
              <w:tab/>
            </w:r>
            <w:r>
              <w:rPr>
                <w:rStyle w:val="IndexLink"/>
              </w:rPr>
              <w:t>121</w:t>
            </w:r>
          </w:hyperlink>
        </w:p>
        <w:p>
          <w:pPr>
            <w:pStyle w:val="Contents3"/>
            <w:tabs>
              <w:tab w:val="clear" w:pos="8459"/>
              <w:tab w:val="right" w:pos="9026" w:leader="dot"/>
            </w:tabs>
            <w:rPr/>
          </w:pPr>
          <w:hyperlink w:anchor="__RefHeading___Toc245465_373438147">
            <w:r>
              <w:rPr>
                <w:webHidden/>
                <w:rStyle w:val="IndexLink"/>
                <w:rtl w:val="true"/>
              </w:rPr>
              <w:t>(</w:t>
            </w:r>
            <w:r>
              <w:rPr>
                <w:rStyle w:val="IndexLink"/>
                <w:rtl w:val="true"/>
              </w:rPr>
              <w:t>الف</w:t>
            </w:r>
            <w:r>
              <w:rPr>
                <w:rStyle w:val="IndexLink"/>
                <w:rtl w:val="true"/>
              </w:rPr>
              <w:t>)</w:t>
              <w:tab/>
            </w:r>
            <w:r>
              <w:rPr>
                <w:rStyle w:val="IndexLink"/>
              </w:rPr>
              <w:t>121</w:t>
            </w:r>
          </w:hyperlink>
        </w:p>
        <w:p>
          <w:pPr>
            <w:pStyle w:val="Contents3"/>
            <w:tabs>
              <w:tab w:val="clear" w:pos="8459"/>
              <w:tab w:val="right" w:pos="9026" w:leader="dot"/>
            </w:tabs>
            <w:rPr/>
          </w:pPr>
          <w:hyperlink w:anchor="__RefHeading___Toc245467_373438147">
            <w:r>
              <w:rPr>
                <w:webHidden/>
                <w:rStyle w:val="IndexLink"/>
                <w:rtl w:val="true"/>
              </w:rPr>
              <w:t>(</w:t>
            </w:r>
            <w:r>
              <w:rPr>
                <w:rStyle w:val="IndexLink"/>
                <w:rtl w:val="true"/>
              </w:rPr>
              <w:t>ب</w:t>
            </w:r>
            <w:r>
              <w:rPr>
                <w:rStyle w:val="IndexLink"/>
                <w:rtl w:val="true"/>
              </w:rPr>
              <w:t>)</w:t>
              <w:tab/>
            </w:r>
            <w:r>
              <w:rPr>
                <w:rStyle w:val="IndexLink"/>
              </w:rPr>
              <w:t>126</w:t>
            </w:r>
          </w:hyperlink>
        </w:p>
        <w:p>
          <w:pPr>
            <w:pStyle w:val="Contents2"/>
            <w:tabs>
              <w:tab w:val="clear" w:pos="8743"/>
              <w:tab w:val="right" w:pos="9026" w:leader="dot"/>
            </w:tabs>
            <w:rPr/>
          </w:pPr>
          <w:hyperlink w:anchor="__RefHeading___Toc245469_373438147">
            <w:r>
              <w:rPr>
                <w:webHidden/>
                <w:rStyle w:val="IndexLink"/>
                <w:rtl w:val="true"/>
              </w:rPr>
              <w:t>فصل دهم</w:t>
            </w:r>
            <w:r>
              <w:rPr>
                <w:rStyle w:val="IndexLink"/>
                <w:rtl w:val="true"/>
              </w:rPr>
              <w:t xml:space="preserve">: </w:t>
            </w:r>
            <w:r>
              <w:rPr>
                <w:rStyle w:val="IndexLink"/>
                <w:rtl w:val="true"/>
              </w:rPr>
              <w:t>احکام مربوط به</w:t>
            </w:r>
            <w:r>
              <w:rPr>
                <w:rStyle w:val="IndexLink"/>
                <w:rtl w:val="true"/>
              </w:rPr>
              <w:tab/>
            </w:r>
            <w:r>
              <w:rPr>
                <w:rStyle w:val="IndexLink"/>
              </w:rPr>
              <w:t>131</w:t>
            </w:r>
          </w:hyperlink>
        </w:p>
        <w:p>
          <w:pPr>
            <w:pStyle w:val="Contents3"/>
            <w:tabs>
              <w:tab w:val="clear" w:pos="8459"/>
              <w:tab w:val="right" w:pos="9026" w:leader="dot"/>
            </w:tabs>
            <w:rPr/>
          </w:pPr>
          <w:hyperlink w:anchor="__RefHeading___Toc245471_373438147">
            <w:r>
              <w:rPr>
                <w:webHidden/>
                <w:rStyle w:val="IndexLink"/>
                <w:rtl w:val="true"/>
              </w:rPr>
              <w:t>فتاوا و استفتائات کلّی</w:t>
            </w:r>
            <w:r>
              <w:rPr>
                <w:rStyle w:val="IndexLink"/>
                <w:rtl w:val="true"/>
              </w:rPr>
              <w:tab/>
            </w:r>
            <w:r>
              <w:rPr>
                <w:rStyle w:val="IndexLink"/>
              </w:rPr>
              <w:t>131</w:t>
            </w:r>
          </w:hyperlink>
        </w:p>
        <w:p>
          <w:pPr>
            <w:pStyle w:val="Contents2"/>
            <w:tabs>
              <w:tab w:val="clear" w:pos="8743"/>
              <w:tab w:val="right" w:pos="9026" w:leader="dot"/>
            </w:tabs>
            <w:rPr/>
          </w:pPr>
          <w:hyperlink w:anchor="__RefHeading___Toc245473_373438147">
            <w:r>
              <w:rPr>
                <w:webHidden/>
                <w:rStyle w:val="IndexLink"/>
                <w:rtl w:val="true"/>
              </w:rPr>
              <w:t>فصل یازدهم</w:t>
            </w:r>
            <w:r>
              <w:rPr>
                <w:rStyle w:val="IndexLink"/>
                <w:rtl w:val="true"/>
              </w:rPr>
              <w:t xml:space="preserve">: </w:t>
            </w:r>
            <w:r>
              <w:rPr>
                <w:rStyle w:val="IndexLink"/>
                <w:rtl w:val="true"/>
              </w:rPr>
              <w:t>احکام مربوط به</w:t>
            </w:r>
            <w:r>
              <w:rPr>
                <w:rStyle w:val="IndexLink"/>
                <w:rtl w:val="true"/>
              </w:rPr>
              <w:tab/>
            </w:r>
            <w:r>
              <w:rPr>
                <w:rStyle w:val="IndexLink"/>
              </w:rPr>
              <w:t>137</w:t>
            </w:r>
          </w:hyperlink>
        </w:p>
        <w:p>
          <w:pPr>
            <w:pStyle w:val="Contents3"/>
            <w:tabs>
              <w:tab w:val="clear" w:pos="8459"/>
              <w:tab w:val="right" w:pos="9026" w:leader="dot"/>
            </w:tabs>
            <w:rPr/>
          </w:pPr>
          <w:hyperlink w:anchor="__RefHeading___Toc245475_373438147">
            <w:r>
              <w:rPr>
                <w:webHidden/>
                <w:rStyle w:val="IndexLink"/>
                <w:rtl w:val="true"/>
              </w:rPr>
              <w:t>(</w:t>
            </w:r>
            <w:r>
              <w:rPr>
                <w:rStyle w:val="IndexLink"/>
                <w:rtl w:val="true"/>
              </w:rPr>
              <w:t>الف</w:t>
            </w:r>
            <w:r>
              <w:rPr>
                <w:rStyle w:val="IndexLink"/>
                <w:rtl w:val="true"/>
              </w:rPr>
              <w:t>)</w:t>
              <w:tab/>
            </w:r>
            <w:r>
              <w:rPr>
                <w:rStyle w:val="IndexLink"/>
              </w:rPr>
              <w:t>137</w:t>
            </w:r>
          </w:hyperlink>
        </w:p>
        <w:p>
          <w:pPr>
            <w:pStyle w:val="Contents3"/>
            <w:tabs>
              <w:tab w:val="clear" w:pos="8459"/>
              <w:tab w:val="right" w:pos="9026" w:leader="dot"/>
            </w:tabs>
            <w:rPr/>
          </w:pPr>
          <w:hyperlink w:anchor="__RefHeading___Toc245477_373438147">
            <w:r>
              <w:rPr>
                <w:webHidden/>
                <w:rStyle w:val="IndexLink"/>
                <w:rtl w:val="true"/>
              </w:rPr>
              <w:t>(</w:t>
            </w:r>
            <w:r>
              <w:rPr>
                <w:rStyle w:val="IndexLink"/>
                <w:rtl w:val="true"/>
              </w:rPr>
              <w:t>ب</w:t>
            </w:r>
            <w:r>
              <w:rPr>
                <w:rStyle w:val="IndexLink"/>
                <w:rtl w:val="true"/>
              </w:rPr>
              <w:t>)</w:t>
              <w:tab/>
            </w:r>
            <w:r>
              <w:rPr>
                <w:rStyle w:val="IndexLink"/>
              </w:rPr>
              <w:t>141</w:t>
            </w:r>
          </w:hyperlink>
        </w:p>
        <w:p>
          <w:pPr>
            <w:pStyle w:val="Contents3"/>
            <w:tabs>
              <w:tab w:val="clear" w:pos="8459"/>
              <w:tab w:val="right" w:pos="9026" w:leader="dot"/>
            </w:tabs>
            <w:rPr/>
          </w:pPr>
          <w:hyperlink w:anchor="__RefHeading___Toc245479_373438147">
            <w:r>
              <w:rPr>
                <w:webHidden/>
                <w:rStyle w:val="IndexLink"/>
                <w:rtl w:val="true"/>
              </w:rPr>
              <w:t>(</w:t>
            </w:r>
            <w:r>
              <w:rPr>
                <w:rStyle w:val="IndexLink"/>
                <w:rtl w:val="true"/>
              </w:rPr>
              <w:t>ج</w:t>
            </w:r>
            <w:r>
              <w:rPr>
                <w:rStyle w:val="IndexLink"/>
                <w:rtl w:val="true"/>
              </w:rPr>
              <w:t>)</w:t>
              <w:tab/>
            </w:r>
            <w:r>
              <w:rPr>
                <w:rStyle w:val="IndexLink"/>
              </w:rPr>
              <w:t>143</w:t>
            </w:r>
          </w:hyperlink>
        </w:p>
        <w:p>
          <w:pPr>
            <w:pStyle w:val="Contents3"/>
            <w:tabs>
              <w:tab w:val="clear" w:pos="8459"/>
              <w:tab w:val="right" w:pos="9026" w:leader="dot"/>
            </w:tabs>
            <w:rPr/>
          </w:pPr>
          <w:hyperlink w:anchor="__RefHeading___Toc245481_373438147">
            <w:r>
              <w:rPr>
                <w:webHidden/>
                <w:rStyle w:val="IndexLink"/>
                <w:rtl w:val="true"/>
              </w:rPr>
              <w:t>(</w:t>
            </w:r>
            <w:r>
              <w:rPr>
                <w:rStyle w:val="IndexLink"/>
                <w:rtl w:val="true"/>
              </w:rPr>
              <w:t>د</w:t>
            </w:r>
            <w:r>
              <w:rPr>
                <w:rStyle w:val="IndexLink"/>
                <w:rtl w:val="true"/>
              </w:rPr>
              <w:t>)</w:t>
              <w:tab/>
            </w:r>
            <w:r>
              <w:rPr>
                <w:rStyle w:val="IndexLink"/>
              </w:rPr>
              <w:t>146</w:t>
            </w:r>
          </w:hyperlink>
        </w:p>
        <w:p>
          <w:pPr>
            <w:pStyle w:val="Contents3"/>
            <w:tabs>
              <w:tab w:val="clear" w:pos="8459"/>
              <w:tab w:val="right" w:pos="9026" w:leader="dot"/>
            </w:tabs>
            <w:rPr/>
          </w:pPr>
          <w:hyperlink w:anchor="__RefHeading___Toc245483_373438147">
            <w:r>
              <w:rPr>
                <w:webHidden/>
                <w:rStyle w:val="IndexLink"/>
                <w:rtl w:val="true"/>
              </w:rPr>
              <w:t>(</w:t>
            </w:r>
            <w:r>
              <w:rPr>
                <w:rStyle w:val="IndexLink"/>
                <w:rtl w:val="true"/>
              </w:rPr>
              <w:t>هـ</w:t>
            </w:r>
            <w:r>
              <w:rPr>
                <w:rStyle w:val="IndexLink"/>
                <w:rtl w:val="true"/>
              </w:rPr>
              <w:t>)</w:t>
              <w:tab/>
            </w:r>
            <w:r>
              <w:rPr>
                <w:rStyle w:val="IndexLink"/>
              </w:rPr>
              <w:t>148</w:t>
            </w:r>
          </w:hyperlink>
        </w:p>
        <w:p>
          <w:pPr>
            <w:pStyle w:val="Contents2"/>
            <w:tabs>
              <w:tab w:val="clear" w:pos="8743"/>
              <w:tab w:val="right" w:pos="9026" w:leader="dot"/>
            </w:tabs>
            <w:rPr/>
          </w:pPr>
          <w:hyperlink w:anchor="__RefHeading___Toc245485_373438147">
            <w:r>
              <w:rPr>
                <w:webHidden/>
                <w:rStyle w:val="IndexLink"/>
                <w:rtl w:val="true"/>
              </w:rPr>
              <w:t>فصل دوازدهم</w:t>
            </w:r>
            <w:r>
              <w:rPr>
                <w:rStyle w:val="IndexLink"/>
                <w:rtl w:val="true"/>
              </w:rPr>
              <w:t xml:space="preserve">: </w:t>
            </w:r>
            <w:r>
              <w:rPr>
                <w:rStyle w:val="IndexLink"/>
                <w:rtl w:val="true"/>
              </w:rPr>
              <w:t>مسائل متفرّقه مربوط به</w:t>
            </w:r>
            <w:r>
              <w:rPr>
                <w:rStyle w:val="IndexLink"/>
                <w:rtl w:val="true"/>
              </w:rPr>
              <w:tab/>
            </w:r>
            <w:r>
              <w:rPr>
                <w:rStyle w:val="IndexLink"/>
              </w:rPr>
              <w:t>153</w:t>
            </w:r>
          </w:hyperlink>
        </w:p>
        <w:p>
          <w:pPr>
            <w:pStyle w:val="Contents3"/>
            <w:tabs>
              <w:tab w:val="clear" w:pos="8459"/>
              <w:tab w:val="right" w:pos="9026" w:leader="dot"/>
            </w:tabs>
            <w:rPr/>
          </w:pPr>
          <w:hyperlink w:anchor="__RefHeading___Toc245487_373438147">
            <w:r>
              <w:rPr>
                <w:webHidden/>
                <w:rStyle w:val="IndexLink"/>
                <w:rtl w:val="true"/>
              </w:rPr>
              <w:t>(</w:t>
            </w:r>
            <w:r>
              <w:rPr>
                <w:rStyle w:val="IndexLink"/>
                <w:rtl w:val="true"/>
              </w:rPr>
              <w:t>الف</w:t>
            </w:r>
            <w:r>
              <w:rPr>
                <w:rStyle w:val="IndexLink"/>
                <w:rtl w:val="true"/>
              </w:rPr>
              <w:t>)</w:t>
              <w:tab/>
            </w:r>
            <w:r>
              <w:rPr>
                <w:rStyle w:val="IndexLink"/>
              </w:rPr>
              <w:t>153</w:t>
            </w:r>
          </w:hyperlink>
        </w:p>
        <w:p>
          <w:pPr>
            <w:pStyle w:val="Contents3"/>
            <w:tabs>
              <w:tab w:val="clear" w:pos="8459"/>
              <w:tab w:val="right" w:pos="9026" w:leader="dot"/>
            </w:tabs>
            <w:rPr/>
          </w:pPr>
          <w:hyperlink w:anchor="__RefHeading___Toc245489_373438147">
            <w:r>
              <w:rPr>
                <w:webHidden/>
                <w:rStyle w:val="IndexLink"/>
                <w:rtl w:val="true"/>
              </w:rPr>
              <w:t>[</w:t>
            </w:r>
            <w:r>
              <w:rPr>
                <w:rStyle w:val="IndexLink"/>
                <w:rtl w:val="true"/>
              </w:rPr>
              <w:t>تکمیلات</w:t>
            </w:r>
            <w:r>
              <w:rPr>
                <w:rStyle w:val="IndexLink"/>
                <w:rtl w:val="true"/>
              </w:rPr>
              <w:t>]</w:t>
              <w:tab/>
            </w:r>
            <w:r>
              <w:rPr>
                <w:rStyle w:val="IndexLink"/>
              </w:rPr>
              <w:t>156</w:t>
            </w:r>
          </w:hyperlink>
        </w:p>
        <w:p>
          <w:pPr>
            <w:pStyle w:val="Contents3"/>
            <w:tabs>
              <w:tab w:val="clear" w:pos="8459"/>
              <w:tab w:val="right" w:pos="9026" w:leader="dot"/>
            </w:tabs>
            <w:rPr/>
          </w:pPr>
          <w:hyperlink w:anchor="__RefHeading___Toc245491_373438147">
            <w:r>
              <w:rPr>
                <w:webHidden/>
                <w:rStyle w:val="IndexLink"/>
                <w:rtl w:val="true"/>
              </w:rPr>
              <w:t>(</w:t>
            </w:r>
            <w:r>
              <w:rPr>
                <w:rStyle w:val="IndexLink"/>
                <w:rtl w:val="true"/>
              </w:rPr>
              <w:t>ب</w:t>
            </w:r>
            <w:r>
              <w:rPr>
                <w:rStyle w:val="IndexLink"/>
                <w:rtl w:val="true"/>
              </w:rPr>
              <w:t>)</w:t>
              <w:tab/>
            </w:r>
            <w:r>
              <w:rPr>
                <w:rStyle w:val="IndexLink"/>
              </w:rPr>
              <w:t>158</w:t>
            </w:r>
          </w:hyperlink>
        </w:p>
        <w:p>
          <w:pPr>
            <w:pStyle w:val="Contents3"/>
            <w:tabs>
              <w:tab w:val="clear" w:pos="8459"/>
              <w:tab w:val="right" w:pos="9026" w:leader="dot"/>
            </w:tabs>
            <w:rPr/>
          </w:pPr>
          <w:hyperlink w:anchor="__RefHeading___Toc245493_373438147">
            <w:r>
              <w:rPr>
                <w:webHidden/>
                <w:rStyle w:val="IndexLink"/>
                <w:rtl w:val="true"/>
              </w:rPr>
              <w:t>(</w:t>
            </w:r>
            <w:r>
              <w:rPr>
                <w:rStyle w:val="IndexLink"/>
                <w:rtl w:val="true"/>
              </w:rPr>
              <w:t>ج</w:t>
            </w:r>
            <w:r>
              <w:rPr>
                <w:rStyle w:val="IndexLink"/>
                <w:rtl w:val="true"/>
              </w:rPr>
              <w:t>)</w:t>
              <w:tab/>
            </w:r>
            <w:r>
              <w:rPr>
                <w:rStyle w:val="IndexLink"/>
              </w:rPr>
              <w:t>160</w:t>
            </w:r>
          </w:hyperlink>
        </w:p>
        <w:p>
          <w:pPr>
            <w:pStyle w:val="Contents3"/>
            <w:tabs>
              <w:tab w:val="clear" w:pos="8459"/>
              <w:tab w:val="right" w:pos="9026" w:leader="dot"/>
            </w:tabs>
            <w:rPr/>
          </w:pPr>
          <w:hyperlink w:anchor="__RefHeading___Toc245495_373438147">
            <w:r>
              <w:rPr>
                <w:webHidden/>
                <w:rStyle w:val="IndexLink"/>
                <w:rtl w:val="true"/>
              </w:rPr>
              <w:t>[</w:t>
            </w:r>
            <w:r>
              <w:rPr>
                <w:rStyle w:val="IndexLink"/>
                <w:rtl w:val="true"/>
              </w:rPr>
              <w:t>تکمیلات</w:t>
            </w:r>
            <w:r>
              <w:rPr>
                <w:rStyle w:val="IndexLink"/>
                <w:rtl w:val="true"/>
              </w:rPr>
              <w:t>]</w:t>
              <w:tab/>
            </w:r>
            <w:r>
              <w:rPr>
                <w:rStyle w:val="IndexLink"/>
              </w:rPr>
              <w:t>162</w:t>
            </w:r>
          </w:hyperlink>
        </w:p>
        <w:p>
          <w:pPr>
            <w:pStyle w:val="Contents3"/>
            <w:tabs>
              <w:tab w:val="clear" w:pos="8459"/>
              <w:tab w:val="right" w:pos="9026" w:leader="dot"/>
            </w:tabs>
            <w:rPr/>
          </w:pPr>
          <w:hyperlink w:anchor="__RefHeading___Toc245497_373438147">
            <w:r>
              <w:rPr>
                <w:webHidden/>
                <w:rStyle w:val="IndexLink"/>
                <w:rtl w:val="true"/>
              </w:rPr>
              <w:t>[</w:t>
            </w:r>
            <w:r>
              <w:rPr>
                <w:rStyle w:val="IndexLink"/>
                <w:rtl w:val="true"/>
              </w:rPr>
              <w:t>تتمّه</w:t>
            </w:r>
            <w:r>
              <w:rPr>
                <w:rStyle w:val="IndexLink"/>
                <w:rtl w:val="true"/>
              </w:rPr>
              <w:t>]</w:t>
              <w:tab/>
            </w:r>
            <w:r>
              <w:rPr>
                <w:rStyle w:val="IndexLink"/>
              </w:rPr>
              <w:t>163</w:t>
            </w:r>
          </w:hyperlink>
        </w:p>
        <w:p>
          <w:pPr>
            <w:pStyle w:val="Contents2"/>
            <w:tabs>
              <w:tab w:val="clear" w:pos="8743"/>
              <w:tab w:val="right" w:pos="9026" w:leader="dot"/>
            </w:tabs>
            <w:rPr/>
          </w:pPr>
          <w:hyperlink w:anchor="__RefHeading___Toc245499_373438147">
            <w:r>
              <w:rPr>
                <w:webHidden/>
                <w:rStyle w:val="IndexLink"/>
                <w:rtl w:val="true"/>
              </w:rPr>
              <w:t>فصل پایانی</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_3728"/>
      <w:bookmarkStart w:id="1" w:name="pg897_3728"/>
      <w:bookmarkEnd w:id="1"/>
    </w:p>
    <w:p>
      <w:pPr>
        <w:pStyle w:val="Heading2"/>
        <w:numPr>
          <w:ilvl w:val="1"/>
          <w:numId w:val="1"/>
        </w:numPr>
        <w:rPr/>
      </w:pPr>
      <w:bookmarkStart w:id="2" w:name="pg897_3728"/>
      <w:bookmarkStart w:id="3" w:name="__RefHeading___Toc24540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حجاب و عفت در گلستان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9646401937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۳۰۱۹۷</w:t>
      </w:r>
    </w:p>
    <w:p>
      <w:pPr>
        <w:pStyle w:val="Heading2"/>
        <w:numPr>
          <w:ilvl w:val="1"/>
          <w:numId w:val="1"/>
        </w:numPr>
        <w:rPr/>
      </w:pPr>
      <w:bookmarkStart w:id="5" w:name="__RefHeading___Toc245403_373438147"/>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حضرات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مرحوم گلپایگانی، مرحوم اراکی، مرحوم خوئی، خامنه‌ای، بهجت، تبریزی، صافی، سیستانی، مکارم، فاضل لنکرانی، اردبیلی، صانعی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احکام حجاب و عفت در گلستان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964-6401-93-7</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9/183</w:t>
      </w:r>
      <w:r>
        <w:rPr>
          <w:rFonts w:eastAsia="Times New Roman" w:cs="Times New Roman" w:ascii="Times New Roman" w:hAnsi="Times New Roman"/>
          <w:color w:val="111111"/>
          <w:sz w:val="28"/>
          <w:szCs w:val="28"/>
          <w:lang w:val="en-US" w:bidi="en-US"/>
        </w:rPr>
        <w:t>BP3422/297</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30197</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حجاب و عفت، در گلستان مرجعیت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احمدی جلفائی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ـ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ـ 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 ـ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ولایت مُفْهَم است بر دو پایه دین زن مستحکم است</w:t>
      </w:r>
    </w:p>
    <w:p>
      <w:pPr>
        <w:pStyle w:val="BookText"/>
        <w:rPr/>
      </w:pPr>
      <w:r>
        <w:rPr>
          <w:rFonts w:ascii="IRNazanin" w:hAnsi="IRNazanin" w:eastAsia="IRNazanin"/>
          <w:color w:val="111111"/>
          <w:sz w:val="28"/>
          <w:sz w:val="28"/>
          <w:szCs w:val="28"/>
          <w:rtl w:val="true"/>
          <w:lang w:bidi="fa-IR"/>
        </w:rPr>
        <w:t>حکم اوّل عفّت و دوّم حجاب غیر این زن را تکامل مبهم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عفیفه مکرّمه و محتجبه مطهّره، طاهره بتول و بضعه رسول صلی‌الله‌علیه‌و‌آله‌وسلم ، بانوی عصمت و الگوی حجاب و عفّت، حضرت فاطمه زهرا ـ سلام اللّه و صلواته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پیک هدایت، منجی أهل طهارت، سفینه نجات، آب حیات، محیی احکام قرآنی، احیاگر فرائض آسمانی، نور چشمان فاطمه أطهر، یوسف دلهای منتظر، حضرت ابا صالح المهدی ـ روحی و ارواح العالمین له الفداء ـ </w:t>
      </w:r>
      <w:r>
        <w:rPr>
          <w:rFonts w:eastAsia="IRNazanin" w:cs="IRNazanin"/>
          <w:color w:val="111111"/>
          <w:sz w:val="28"/>
          <w:szCs w:val="28"/>
          <w:rtl w:val="true"/>
          <w:lang w:bidi="fa-IR"/>
        </w:rPr>
        <w:t xml:space="preserve">. </w:t>
      </w:r>
      <w:bookmarkStart w:id="7" w:name="pg897_3732"/>
    </w:p>
    <w:p>
      <w:pPr>
        <w:pStyle w:val="Heading2"/>
        <w:numPr>
          <w:ilvl w:val="1"/>
          <w:numId w:val="1"/>
        </w:numPr>
        <w:rPr/>
      </w:pPr>
      <w:bookmarkStart w:id="8" w:name="__RefHeading___Toc245405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بلوغ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شرعی جهت رعایت حجاب و عفّت</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پیرامون سنّ بلوغ و نشانه‌های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محارم زن و متفرّقات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بواسطه شیر بر انسان مَحرم می‌شوند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بواسطه ازدواج بر انسان مَحرم می‌شوند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سنّ تمییز در روابط زن و مرد برای بچّه‌ها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محدوده حجاب و پوشش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پوشش بدن و موی زن در میان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کیفیّت و شرایط لباس زن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کلی لباس و پوشش زن در مواجهه با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چادرزن</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عفّت چشم برای زن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عفّت چشم برای زن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عفّت زن در دهان و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پیرامون عفّت زن در زبان ودهان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عفّت زن در آرایش و زینت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عفّت زن در اختلاط با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عفّت زن در خلوت با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فتاوا و استفتائات کلّی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پیرامون عفّت زن در خلوت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احکام‌مربوط‌به‌عفّت‌زن‌درلمس‌وتماس‌بانامحرم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واستفتائات‌کلی‌پیرامون‌عفّت‌زن‌درتماس‌ولمس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واستفتائات‌کلّی‌پیرامون‌دست‌دادن‌زن‌بامردنامحرم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پیرامون مراجعه به پزشک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کلی پیرامون مراجعه زن به عکّاس مرد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جانبی و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مربوط به حجاب و عفّت زن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خودنمایی و عفّت در رفتار و کردار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تکمیلات</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برخی‌ازفتاواواستفتائات‌پیرامون‌فعالیت‌های‌اجتماعی‌زنان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رقص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تکمیلات</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مآخذ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7_3736"/>
      <w:bookmarkStart w:id="11" w:name="pg897_3736"/>
      <w:bookmarkEnd w:id="11"/>
    </w:p>
    <w:p>
      <w:pPr>
        <w:pStyle w:val="Heading2"/>
        <w:numPr>
          <w:ilvl w:val="1"/>
          <w:numId w:val="1"/>
        </w:numPr>
        <w:rPr/>
      </w:pPr>
      <w:bookmarkStart w:id="12" w:name="pg897_3736"/>
      <w:bookmarkStart w:id="13" w:name="__RefHeading___Toc245407_373438147"/>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به تو از فاطمه اینگونه خطاب است ارزنده‌ترین زینت زن حفظ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مسائلی که از ضروریات و شعائر اساسی دین مبین اسلام محسوب می‌شود، و در روایات مربوط به آخرالزمان چهره بسیار نامطلوبی برای آن ترسیم شده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یا در میان نامحرمان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بسیار وخیمی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روحیه ایمان و تقوا، شهوت سالاری، تسلّط ظالمین بر ممالک اسلامی، کاهش برکات آسمانی، افزایش مرگهای ناگهانی و زودهنگام، نبود امنیّت لازم برای زنان حتّی از دست محارم و پدران و برادران خود، و غیره، همگی از پیامدهای منفی آن در آیات و روایات اسلامی معرفی شده‌اند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از دیرباز، در کشور خودمان هم شاهد یک حرکت منفی در این خصوص بوده و هستیم، و مخصوصا در سالهای اخیر، این انحطاط، شتاب بسیار زیادی به خود گرفته است، بگونه‌ای که هر روزش بدتر از دیروز دیده می‌شود، و روز به روز زنان و دختران ایرانی از این آرمان مهمّ علوی و فاطمی علیهماالسلام فاصله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مهمترین عواملی را که می‌توان در این حرکت منفی از همه عوامل دیگر مؤثّرتر دانست و بلکه در تاریخ حجاب و عفّت کشور ما، همچون سایر کشورهای مسلمان می‌توان آنها را بوضوح دید، و در بسیاری از اخبار و روایات اسلامی هم تقریبا اشاره‌هایی به آنها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تهاجمات و القائات فرهنگی دشمنان خارجی و داخلی اسلام و مسلمین؛ که درست از همان زمانی که متوجّه اهمّیت این ارزشها در جوامع اسلامی شده‌اند از هیچ کوششی در فریب مردم، دولتها و سایر تأثیرگذاران در این امر دریغ نکرده‌اند، و در تضعیف این شعار اسلامی سرمایه‌گذاریهای کلانی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تاریخی این مسأله در ایران و همچنین در بسیاری از کشورهای اسلامی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الجزایر،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می‌بینیم که حدأقل تا دوره محمّد شاه قاجار در ایران، مسأله حجاب و عفّت در غالب این کشورها در کاملترین شکل خود یعنی در قالب چادر و نقاب و روبند رایج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انگیزه‌ای که از این دوره به بعد دشمنان خارجی را متوجّه مبارزه با حجاب و عفّت در کشورهای اسلامی نمود، یافتن بازارهایی مناسب برای فروش تولیدات پوشاک آنها بود، آنها برای اینکه بتوانند انواع تولیدات خود را در این کشورها به فروش برسانند ناچار بودند این التزام به چادر و نقاب را در میان زنان و دختران ایرانی در هم شکنند و آنها را به تنوّع طلبی در امر پوشش، مخصوصا از نوع غربی و </w:t>
      </w:r>
    </w:p>
    <w:p>
      <w:pPr>
        <w:pStyle w:val="BookText"/>
        <w:rPr/>
      </w:pPr>
      <w:r>
        <w:rPr>
          <w:rFonts w:ascii="IRNazanin" w:hAnsi="IRNazanin" w:eastAsia="IRNazanin"/>
          <w:color w:val="111111"/>
          <w:sz w:val="28"/>
          <w:sz w:val="28"/>
          <w:szCs w:val="28"/>
          <w:rtl w:val="true"/>
          <w:lang w:bidi="fa-IR"/>
        </w:rPr>
        <w:t>اروپائی عادت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علاوه بر این مسأله، متوجّه عظمت تأثیر این ارزش‌های اسلامی در قوام سیاسی و اجتماعی و اقتصادی ممالک متدین و مخصوصا اسلامی شدند، و با انگیزه‌ها و اهداف جامعتر و حسّاستری وارد مبارزه با این مقدّسات شدند، خواه با سیاستهای تبلیغی ـ القائی و ترویجی ـ و خواه با مبارزات علنی در قالب طرحهایی همچون رفع حجاب و کشف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جاسوسان انگلیسی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ناصرالدین شاه مرتبط با همین موضوع در ایران فعالیّت می‌کرد در گزارشی به اربابان خود چنین می‌نویسد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بی‌حجابی زنان باید کوشش فوق العاده‌ای به عمل آوریم تا زنان مسلمان به بی‌حجابی و رها کردن چادر مشتاق شوند، باید با استفاده شواهد و دلایل تاریخی اثبات کنیم که پوشیدگی زن از دوران بنی‌عبّاس متداول شده و مطلقا سنّت اسلام نیست، مردم همسران پیامبر را بدون حجاب می‌دیده‌اند، و زنان صدراسلام در تمام شئون زندگی دوش به دوش مردان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حجاب با تبلیغات وسیعی از میان رفت، وظیفه مأموران ما آن است که جوانان را به عشق بازی و روابط نامشروع با زنان تشویق کنند و بدین وسیله فساد را در </w:t>
      </w:r>
    </w:p>
    <w:p>
      <w:pPr>
        <w:pStyle w:val="BookText"/>
        <w:rPr/>
      </w:pPr>
      <w:r>
        <w:rPr>
          <w:rFonts w:ascii="IRNazanin" w:hAnsi="IRNazanin" w:eastAsia="IRNazanin"/>
          <w:color w:val="111111"/>
          <w:sz w:val="28"/>
          <w:sz w:val="28"/>
          <w:szCs w:val="28"/>
          <w:rtl w:val="true"/>
          <w:lang w:bidi="fa-IR"/>
        </w:rPr>
        <w:t>جوامع اسلامی گسترش دهند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اکنون هم این مبارزات در گسترده‌ترین شکل خود در جوامع اسلامی و حتّی ایران، با سوء استفاده از موقعیّت بسیاری از روشنفکران و مسئولین کج فهم داخلی انجام می‌گیرد، و این فعالیّت‌های زیرزمینی و مدرن بر علیه حجاب و عفّت اسلامی روز به روز در انواع برنامه‌ها و سیاستها و گفتارهای برخی از نهادها و مسئولین و صاحبان گفتار و قلم، مخصوصا در انواع برنامه‌ها و ترویجات رسانه‌های گروهی ما مثل تلویزیون، سینما، ادارات،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آشکارتری بخود می‌گیرند، و همه اینها، علاوه بر تبلیغات منفی و مستقیم دیگر آنها هستند که از طریق شبکه‌های غیر قانونی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پیکره فرهنگ اسلامی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امروزه همه دشمنان اسلام به این موضوع و آرمان اسلامی بعنوان یک نماد اساسی برای دین اسلام و علی الخصوص انقلاب اسلامی ایران و همچنین بعنوان رمز هویّت ممالک اسلامی و موجب استحکام آنها نگاه می‌کنند، و بهتر از خود ما می‌دانند که چگونه تضعیف آن در این کشورها هویّت اسلامی و حتّی سیاسی و اقتصادی آنها را به خطر انداخته و نفوذ پذیر خواهد نمود؛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کرکت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که مسئول سابق شبکه جاسوسی سیاه در ایران بود چنین گفته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 نمادی است که وجود انقلاب را در سر هر چهار راه به نمایش می‌گذارد، با چادر می‌توان این احساس را </w:t>
      </w:r>
    </w:p>
    <w:p>
      <w:pPr>
        <w:pStyle w:val="BookText"/>
        <w:rPr/>
      </w:pPr>
      <w:r>
        <w:rPr>
          <w:rFonts w:ascii="IRNazanin" w:hAnsi="IRNazanin" w:eastAsia="IRNazanin"/>
          <w:color w:val="111111"/>
          <w:sz w:val="28"/>
          <w:sz w:val="28"/>
          <w:szCs w:val="28"/>
          <w:rtl w:val="true"/>
          <w:lang w:bidi="fa-IR"/>
        </w:rPr>
        <w:t>پدیدآورد که انقلاب اسلامی هنوز زنده و جاوید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افسوس که این نماد اسلام و انقلاب و این شعار مهمّ اسلامی را که دشمنان اسلام نتوانستند با چوب و چماق نابودش کنند، عده‌ای به اسم دفاع از اسلام و انقلاب و جوانان و با انواع ترفندها و روشنفکر مآبی‌ها و شعارها و ترویجات و مغالطات توانستند آن را درهم بکوبند و آن را امری بسیار قابل تسامح جلوه دهند و بالاخره زنان و دختران مسلمان را روز به روز با حجاب و عفّت واقعی اسلامی و موازین آن بیگانه‌تر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تأثیرگذار دیگر، سیاستهای ناسنجیده و یا گاها ضد اسلامی و حتّی بعضا عمدی برخی از نهادها و مسئولین مربوطه داخلی است که مخصوصا در سالهای اخیر انقلاب با انواع برنامه‌ها و سیاستها و ترویجات منفی به ریش بسیاری از آرمانها و سنّتهای اسلامی پوزخند زده 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نهادی و یا هر مسئولی برای خودش یک مرجع تقلید شده و هرچه دلش می‌خواهد عمل و یا ترویج می‌کند، و روز به روز اصل حجاب و عفّت و شاخه‌های اساسی آن را در اذهان مردم و خصوصا زنان و دختران ایرانی مشتبه و تسامح بار جلوه می‌دهد و</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سیاستها و تبلیغات و ترویجات وزارت ارشاد و فرهنگ، گاها نه تنها مشوّق به سمت این ارزشها نیست، بلکه معارض با آنها هم </w:t>
      </w:r>
    </w:p>
    <w:p>
      <w:pPr>
        <w:pStyle w:val="BookText"/>
        <w:rPr/>
      </w:pPr>
      <w:r>
        <w:rPr>
          <w:rFonts w:ascii="IRNazanin" w:hAnsi="IRNazanin" w:eastAsia="IRNazanin"/>
          <w:color w:val="111111"/>
          <w:sz w:val="28"/>
          <w:sz w:val="28"/>
          <w:szCs w:val="28"/>
          <w:rtl w:val="true"/>
          <w:lang w:bidi="fa-IR"/>
        </w:rPr>
        <w:t xml:space="preserve">هست؛ نظام آموزشی ما از سطوح ابتدائی گرفته تا سطوح عالیه از هرگونه تأثیرگذاری مثبت در این خصوص تقریبا خالی است، اختلاطهای موجود در دانشگاهها و برخی از ادارات ما به اوج خود رسیده‌اند و روز به روز دامنه زیادتری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امروزه بسیاری از کشورهای خارجی و حتّی غیر اسلامی متوجّه عواقب منفی این اختلاطها شده‌اند و حرف از جداسازی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سیما و سینمای کشور ما که گویا اصلاً بویی از اسلام و ارزشهای اسلامی در این خصوص به دماغش نرسیده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دیاثت و بی‌غیرتی برخی از مردان مسلمان ـ که در این کتاب هم، ما به برخی از اخبار و روایات اسلامی در این خصوص پرداخته‌ایم، و بالجمله یکی از مهمترین عواملی است که امروزه دشمنان اسلام روی آن حساب بازکرده‌اند ـ از عوامل مهم دیگر در ازدیاد و تعمّق هر چه بیشتر بی‌حجابی و بی‌عفّتی است؛ اینکه پدران و مادران مسلمان نه تنها دختران خود را به حجاب و عفّت اسلامی تشویق نکنند و یا مردان و پدران نه تنها به حفظ ناموس خود و کنترل حجاب و عفّت آنان ارزشی قائل نباشند، بلکه از گرایش زنان و دختران خود به سمت بی‌حجابی و بی‌عفّتی احساس لذّت و فخر و مباهات هم بکنند، و همه ارزشهای اسلامی را پوچ و کهنه پنداشته و بی‌حجابی و بی‌عفّتی نوامیس خود را به حساب ترقّی زمان و پیشرفت علم و صنعت و تمدّن بگذارند، بگونه‌ای که مرد مسلمان از اینکه ناموس او بگونه‌ای لباس پوشیده و یا بزک نموده که بیشترین</w:t>
      </w:r>
    </w:p>
    <w:p>
      <w:pPr>
        <w:pStyle w:val="BookText"/>
        <w:rPr/>
      </w:pPr>
      <w:r>
        <w:rPr>
          <w:rFonts w:ascii="IRNazanin" w:hAnsi="IRNazanin" w:eastAsia="IRNazanin"/>
          <w:color w:val="111111"/>
          <w:sz w:val="28"/>
          <w:sz w:val="28"/>
          <w:szCs w:val="28"/>
          <w:rtl w:val="true"/>
          <w:lang w:bidi="fa-IR"/>
        </w:rPr>
        <w:t>چشمهای نامحرمان را به سمت خود جذب نموده است نه تنها احساس شرم و غیرت نکند و بلکه برخود ببالد، اللّه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بسیار مهم و تأثیرگذار دیگر، سکوت علماء و مبلّغین و تقریبا تعطیلی تریبونهای دینی در بیان این مسائل به مردم و رسوانمودن فعالیتهای خلاف شرع در این خصوص، و یا حتّی گاها سرپوش شرعی گذاشتن و یا توجیه نمودن سیاستها و ترویجات بیمار برخی از نهادها و مسئولین و رسانه‌ها، و همچنین بیان مبهم و چند پهلوی این مسائل در رساله‌های عملیّه و آنهم بصورت متفرّق و پراکنده، و بالأخره برخوردهای سیاسی و جناحی برخی از مسئولین و یا حتّی برخی از اقشار مردم با گویندگان این مسائل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همگان می‌دانیم آنگاه که رسول خدا صلی‌الله‌علیه‌و‌آله‌وسلم دار فانی را وداع می‌گفتند دو امانت بسیار مهمّ را برای رهایی مردان و زنان مسلمان از انواع فتنه‌ها و گمراهیها معرفی فرمودند و آنها را تا روز قیامت دو عنصر کافی و دو حجّت معتبر و منجی در همه مسائل مربوط به انسان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اهل بیت عصمت و طهارت علیهم‌السلام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آنگاه که امام معصوم علیه‌السلام در پس پرده غیبت باشد و دسترسی به او ناممکن باشد وظیفه ما مسلمانان چیست؟ و از کجا باید مسائل و احکام مورد نیاز خود را بفهمیم و عمل کنیم؟ قرآن کریم که بنابر فرمایش خودش، قابل فهم و درک بصورت دقیق و کامل برای همه نیست، و مفسّران اصلی و عالمان به بطون آن همان امامان معصوم علیهم‌السلام هستند، و بدون کشف امام در بسیاری از مسائل بشری، </w:t>
      </w:r>
    </w:p>
    <w:p>
      <w:pPr>
        <w:pStyle w:val="BookText"/>
        <w:rPr/>
      </w:pPr>
      <w:r>
        <w:rPr>
          <w:rFonts w:ascii="IRNazanin" w:hAnsi="IRNazanin" w:eastAsia="IRNazanin"/>
          <w:color w:val="111111"/>
          <w:sz w:val="28"/>
          <w:sz w:val="28"/>
          <w:szCs w:val="28"/>
          <w:rtl w:val="true"/>
          <w:lang w:bidi="fa-IR"/>
        </w:rPr>
        <w:t>علی الخصوص در حوادث و پیامدهای جدید، پای بشر خواهد 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اعتقاد ما مسلمانان، تحریف معنوی و مفهومی قرآن کریم علی رغم تحریف لفظی آن در هر زمانی امکان پذیر است، و اگر آن موازین حقیقت و معنا و آن راسخان در کتاب حاضر نباشند معانی قرآن به هر سمتی قابل تحریف و انحراف هستند، و در بین نظرات و آراء و مغالطاتِ بسیاری از انسانهای مریض و گمراه ممکن است حقیقت و مطلوب واقعی قرآن کریم زیر سؤال برود و بالأخره خلاف رضایت خداوند و قرآن و اهل بیت علیهم‌السلام عمل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مشخّص‌ترین عبارت در این خصوص است که در روایات اسلامی هم بشدّت تقبیح شده است؛ اینکه هر کسی ایده و عقیده شخصی خودش را که ممکن است ریشه در هر یک از لجنزارهای هوسبازی و شهرت دوستی و شهوت طلبی داشته باشد در پشت آیات قرآن و مخصوصا متشابهات آن کتمان کند و موجب گمراهی خیل کثیری از بندگان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آخرین نماینده این ناوگان هدایت، حضرت مهدی علیه‌السلام ، خود چاره‌ای برای این مشکل اندیشیده است و وعده فرموده است که در صورت عمل به این دستور، مسلمانان می‌توانند راه گمراهی را مسدود کنند، آنجا که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فِیها إِلی رُواةِ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در حوادث و وقایع و مسائل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تشخیص حلال از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غیبت، به راویان حدیث و علما و مراجع دین </w:t>
      </w:r>
    </w:p>
    <w:p>
      <w:pPr>
        <w:pStyle w:val="BookText"/>
        <w:rPr/>
      </w:pPr>
      <w:r>
        <w:rPr>
          <w:rFonts w:ascii="IRNazanin" w:hAnsi="IRNazanin" w:eastAsia="IRNazanin"/>
          <w:color w:val="111111"/>
          <w:sz w:val="28"/>
          <w:sz w:val="28"/>
          <w:szCs w:val="28"/>
          <w:rtl w:val="true"/>
          <w:lang w:bidi="fa-IR"/>
        </w:rPr>
        <w:t>رجوع کنید، آنها حجّت من بر شما هستند، و من حجّت خدا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مراجع عظام شیعه امروزه در بسیاری از مباحث مربوط به حجاب و عفّت زن، حکم اسلامی را از آیات و روایات اسلامی بیرون کشیده و آنها را در قالب فتاوا و استفتائات در اختیار مردم قرار داده‌اند، ولی متأسّفانه، حتّی در داخل کشور خودمان هم امروزه عمل به این فتاوا که از احکام مسلّم دینی هستند روز به روز کمرنگ‌تر می‌شود، و هر کسی و یا هر نهادی برای خودش مجتهدی شده، و حکم می‌دهد و عمل می‌کند، و بالأخره اذهان و افکار مردان و زنان مسلمان و مخصوصا نسل جوان در این خصوص، بازیچه دست برخی از بیانات و قلمهای بیمار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نوشته مختصر احکام مربوط به حجاب و عفّت یک زن مسلمان را از نظر مراجع معاصر که هر یک از زنان و دختران مسلمان در هر درجه و مقامی که باشند، موظّفند در شرایط فعلی از یکی از آنها تقلید کنند جمع نموده‌ایم و آنها را با فصول و ابواب و دسته‌بندیهای منظّم و مفید به همه بانوان مسلمان و ایرانی تقدیم می‌کنیم، تا مبادا عدّه‌ای عذر آورده و بگویند ما از این احکام دینی بی‌اطّلاع بودیم و نمی‌دانستیم، و یا خدای نکرده فریب یک عدّه افکار بیمار و عنود که معمولاً ریشه در قدرت دوستی و شهوت پرستی و جاه دوستی و یا حتّی کفر و شرک آنها دارد را بخورند و از مسیر رضایت حق تعالی و اهل بیت عصمت و طهارت علیهم‌السلام منحرف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که این زحمت مختصر بتواند در این منظور مؤثّر باشد، و موجبات عنایت و رضایت حضرت منتظر ـ روحی و ارواح العالمین له الفداء ـ را برای حقیر و شما خوانندگان گرامی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مقدّمه از زحمات برادر محترم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عبّاس پورخویی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و نشر این کتاب کمال تشکّر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تقبّل سعیی و عملی، بحقّ محمّد و علی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جلفائی </w:t>
      </w:r>
      <w:bookmarkStart w:id="15" w:name="pg897_3746"/>
    </w:p>
    <w:p>
      <w:pPr>
        <w:pStyle w:val="Heading2"/>
        <w:numPr>
          <w:ilvl w:val="1"/>
          <w:numId w:val="1"/>
        </w:numPr>
        <w:rPr/>
      </w:pPr>
      <w:bookmarkStart w:id="16" w:name="__RefHeading___Toc245409_373438147"/>
      <w:bookmarkStart w:id="17" w:name="_Toc5"/>
      <w:bookmarkEnd w:id="15"/>
      <w:bookmarkEnd w:id="16"/>
      <w:r>
        <w:rPr>
          <w:rtl w:val="true"/>
        </w:rPr>
        <w:t>فصل اول</w:t>
      </w:r>
      <w:r>
        <w:rPr>
          <w:rtl w:val="true"/>
        </w:rPr>
        <w:t>:</w:t>
      </w:r>
      <w:r>
        <w:rPr>
          <w:rtl w:val="true"/>
        </w:rPr>
        <w:t xml:space="preserve">اصل مسأله </w:t>
      </w:r>
      <w:r>
        <w:rPr>
          <w:rtl w:val="true"/>
        </w:rPr>
        <w:t>«</w:t>
      </w:r>
      <w:r>
        <w:rPr>
          <w:rtl w:val="true"/>
        </w:rPr>
        <w:t>حجاب و عفّت</w:t>
      </w:r>
      <w:r>
        <w:rPr>
          <w:rtl w:val="true"/>
        </w:rPr>
        <w:t>»</w:t>
      </w:r>
      <w:bookmarkEnd w:id="17"/>
    </w:p>
    <w:p>
      <w:pPr>
        <w:pStyle w:val="Heading3"/>
        <w:numPr>
          <w:ilvl w:val="2"/>
          <w:numId w:val="1"/>
        </w:numPr>
        <w:rPr/>
      </w:pPr>
      <w:bookmarkStart w:id="18" w:name="__RefHeading___Toc245411_373438147"/>
      <w:bookmarkStart w:id="19" w:name="_Toc6"/>
      <w:bookmarkEnd w:id="18"/>
      <w:r>
        <w:rPr>
          <w:rtl w:val="true"/>
        </w:rPr>
        <w:t>(</w:t>
      </w:r>
      <w:r>
        <w:rPr>
          <w:rtl w:val="true"/>
        </w:rPr>
        <w:t>الف</w:t>
      </w:r>
      <w:r>
        <w:rPr>
          <w:rtl w:val="true"/>
        </w:rPr>
        <w:t>)</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و استفتائات کلّی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 و استفتائات کلّی</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حکم حجاب از ضروریّات است، و منکر آن حکم منکر ضروری را دارد، و منکر ضروری محکوم به کفر است، مگر اینکه معلوم باشد منکر خدا یا رسول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حجاب ضروری دین محسوب است، ولی بعضی فروع آن ممکن است ضروری نباشد، و بی‌اعتنایی به اصل حجاب و عدم رعایت آن معصیت و گناه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به حجاب گناه است و داشتن حجاب واجب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حجاب برای زنان از ضروریات دین است و حکم کسانی که به آن بی‌اعتنایی نمایند، حکم بی‌اعتنایی به سایر تکالیف دینی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حجاب فی‌الجمله از ضروریات اسلام است و منکر آن مرتد است، ولی بی‌اعتنایی به آن با عدم انکار وجوب آن باعث فسق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حجاب از مسلّمات شریعت است و در قرآن آمده است، ولی کسانی که توجّه به وضوح آن ندارند، انکار آنها مستلزم انکار نبوّت نیست، و بی‌اعتنایی عملی گناه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ضروریات دین است، ولی انکار آن برای کسانی که از ضروری بودن آن آگاهی ندارند موجب ارتداد نمی‌شود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لزوم حجاب برای زن از ضروریات اسلام است، هر چند بعضی از جزئیات آن از ضروریات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ظاهرا جزء ضروریّات دین است</w:t>
      </w:r>
      <w:r>
        <w:rPr>
          <w:rFonts w:eastAsia="IRNazanin" w:cs="IRNazanin"/>
          <w:color w:val="111111"/>
          <w:sz w:val="28"/>
          <w:szCs w:val="28"/>
          <w:rtl w:val="true"/>
          <w:lang w:bidi="fa-IR"/>
        </w:rPr>
        <w:t>... .</w:t>
      </w:r>
      <w:r>
        <w:rPr>
          <w:rStyle w:val="FootnoteAnchor"/>
          <w:rtl w:val="true"/>
        </w:rPr>
        <w:footnoteReference w:id="12"/>
      </w:r>
      <w:bookmarkStart w:id="20" w:name="pg897_3750"/>
    </w:p>
    <w:p>
      <w:pPr>
        <w:pStyle w:val="Heading3"/>
        <w:numPr>
          <w:ilvl w:val="2"/>
          <w:numId w:val="1"/>
        </w:numPr>
        <w:rPr/>
      </w:pPr>
      <w:bookmarkStart w:id="21" w:name="__RefHeading___Toc245413_373438147"/>
      <w:bookmarkStart w:id="22" w:name="_Toc7"/>
      <w:bookmarkEnd w:id="20"/>
      <w:bookmarkEnd w:id="21"/>
      <w:r>
        <w:rPr>
          <w:rtl w:val="true"/>
        </w:rPr>
        <w:t>(</w:t>
      </w:r>
      <w:r>
        <w:rPr>
          <w:rtl w:val="true"/>
        </w:rPr>
        <w:t>ب</w:t>
      </w:r>
      <w:r>
        <w:rPr>
          <w:rtl w:val="true"/>
        </w:rPr>
        <w:t>)</w:t>
      </w:r>
      <w:bookmarkEnd w:id="22"/>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و اختیار دارد که همسر خود را مجبور به برداشتن چادر و رفع حجاب بنماید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زن حجاب واجب است، بر مرد جایز نیست او را اجبار به بی‌حجابی و خلاف شرع نماید، و بر زن هم واجب نیست اطاعت شوهر در معصیت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مرد باید از داشتن چنین همسری با عفّت و نجابت شکر خداوند متعال را بجا آورد، در این زمان که مفاسد اختلاط زن و مرد در روشهای غیر انسانی، زن را ـ اگر چه آزادی شمرده می‌شود ـ به انحطاط اخلاقی گرفتار کرده و از آزادی حقیقی و ارزش انسانی یک زن محروم کرده و روز به روز در همه نقاط دنیا آثار شوم اوضاع و روابط نامشروع کنونی زن توسعه پیدا می‌کند، و چون از تعالیم نجات بخش اسلام که مرد و زن را در مسیر عالی‌ترین کمالات مخصوص به خود قرار داده منحرف شده‌اند و راهی برای جبران این همه خسارات معنوی پیدا نمی‌کنند اینگونه زنان مؤمنه و ملتزم به تعالیم اسلام باید مورد تقدیر باشند، و شهامت آنها در این موقع که بسیاری از مردها و زنها در برابر هجوم کالاهای فساد اجانب خود باخته شده و حقارت و </w:t>
      </w:r>
    </w:p>
    <w:p>
      <w:pPr>
        <w:pStyle w:val="BookText"/>
        <w:rPr/>
      </w:pPr>
      <w:r>
        <w:rPr>
          <w:rFonts w:ascii="IRNazanin" w:hAnsi="IRNazanin" w:eastAsia="IRNazanin"/>
          <w:color w:val="111111"/>
          <w:sz w:val="28"/>
          <w:sz w:val="28"/>
          <w:szCs w:val="28"/>
          <w:rtl w:val="true"/>
          <w:lang w:bidi="fa-IR"/>
        </w:rPr>
        <w:t>کمبودهایی را که در خود احساس می‌کنند به داروئی که بر درد می‌افزاید و شدّت می‌دهد جبران می‌کنند غیر قابل وصف می‌باشد، و در اجتماعی که خروج از سنن اسلامی و شرف و عفّت، تقدّم و به جلو رفتن شمرده می‌شود، زنانیکه ملتزم به احکام خدا باشند و با قدرت و با ایمان به خدا در برابر تمام مظاهر دروغ و مخرّب مقاومت دارند و احساس ناراحتی نمی‌کنند و اگر چه تنها بمانند ثابت و پایدارند در درگاه خداوند و در نظر اولیاء اسلام و هر کسی که ارزشهای واقعی انسانی را می‌شناسد قدر و افتخارشان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بانوان را در جامعه مسلمان زیاد کند، و شخصیّت اسلامی آنها را حفظ فرماید، و از عهده امتحانات ـ که در اخبار اهل بیت عصمت و طهارت علیهم‌السلام از آن خبر داده شده ـ پاک و خالص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دارم که شوهر یک بانوی محترمه مسلمان نیز اینگونه توقّعات را از او نداشته باشد، و اگر تا حال هم چنین توقّعی بوده از این تاریخ به بعد به احترام تعالیم و آداب اسلامی در روش خود تجدیدنظر نماید، إن شاء اللّه مأجور خواهند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مادران، فرزندان دختر خود را که به بلوغ شرعی نرسیده‌اند با سروپای برهنه در خیابانها و مجالس در حضور نامحرمان می‌آورند، مستدعی است وظیفه والدین را در قبال فرزندان خود بفرمایید، و این بی‌اعتنایی چه صورت دارد؟ </w:t>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اطفال بر وظایف شرعیّه به عهده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بر دختران نابالغ واجب نیست؛ لکن وظیفه والدین است که دخترانشان را به پوشش اسلامی عادت دهند و فرزندانشان را با احکام اسلامی تربیت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صحیحی نیست و والدین موظّف‌اند دختر را از کودکی به رعایت حجاب و گریز از نامحرم عادت دهند و اگر در این امر مسامحه کنند و دختر را نسبت به نامحرم بی‌تفاوت نمایند، شریک در معاصی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 که در مجلسی که حضرت رضا علیه‌السلام تشریف داشتند و عدّه‌ای نیز حضور داشتند، دختر بچّه‌ای وارد شد، حضّار در مجلس یکی یکی دختر را مورد نوازش قرار دادند، تا رسید به حضرت رضا علیه‌السلام ، آن حضرت از سنّ دختر سؤال کردند؛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دارد؛ حضرت دختر را از خود دور کرد و رفتاری که دیگران کرده بودند ننمودند؛ و اعمال آن بزرگوار باید برای زن مسلمان سرمشق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سیستانی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غیر بالغ، پوشیدن واجب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لازم است که فرزند خود را به رعایت آداب و شئون اسلامی وادار نمایند و در تربیت صحیح شرعی آنان بکوشند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 و مادر لازم است فرزندان خود را به مسائل اسلامی از زمان طفولیّت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 و مادر است که فرزندان خود را با آداب و رسوم اسلامی و وظایف شرعی آشنا کنند و چنانچه موارد مذکور موجب تهییج و مفسده شود، اگر چه بچّه ممیّز نباشد، باید آنان را بپوشانند و حفظ کنند تا جامعه آلوده و بی‌بند و بار نشود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زنش را به حجاب اسلامی ملتزم نکند آیا فاسق محسوب می‌شود؟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امر به معروف و نهی از منکر او تأثیر دارد ولی اهمیّت نمی‌دهد و امر و نهی نمی‌کند فاسق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می‌تواند مانع بی‌حجابی زنش باشد و از بی‌مبالاتی مانع نشود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منع می‌کند و علاقه‌مند به محجّبه بودن اوست لیکن زنش به حرف او گوش نمی‌کند فاسق محسوب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مسلمان بداند و در مصاحبه تلویزیونی رسما اعلام نماید که در اسلام حجاب واجب نیست، و منکر حجاب بعنوان ضروری دین شود، آیا از نظر اسلامی چه حکمی دارد، و وظیفه مسلمین در این زمینه چیست؟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حرفی تحقیقا بی‌اساس و ناشی از ناآگاهی یا عناد با فرائض الهی است، و عمل چنین انسانی مردود و احیانا موجب استحقاق تعزیر است، ولی صرف انکار یکی از ضروریات دین تا بازگشت به انکار رسالت یا به تنقیص دین مبین اسلام نکند موجب ارتداد و کفر نیست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وجوب حجاب یا وجوب روزه و یا حرمت شراب یا غیر آن را که از ضروریّات دین هستند انکار کنند، و نگویند که این احکام شرعی ثابت نیستند، و بلکه بعد از تسلیم شدن در برابر این احکام و علم به صدور آنها، آنها را ردّ می‌کنند، آیا این انکار همان انکار کلّ رسالت است یا جزء آن، و آیا از دین خارج می‌شوند اینگونه افراد؟ </w:t>
      </w:r>
    </w:p>
    <w:p>
      <w:pPr>
        <w:pStyle w:val="BookText"/>
        <w:rPr/>
      </w:pPr>
      <w:r>
        <w:rPr>
          <w:rFonts w:ascii="IRNazanin" w:hAnsi="IRNazanin" w:eastAsia="IRNazanin"/>
          <w:color w:val="111111"/>
          <w:sz w:val="28"/>
          <w:sz w:val="28"/>
          <w:szCs w:val="28"/>
          <w:rtl w:val="true"/>
          <w:lang w:bidi="fa-IR"/>
        </w:rPr>
        <w:t>جواب مرحوم آیة‌اللّه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کننده متوجّه باشد که این مسائل جز ضروریّات هستند بگونه‌ای که انکارش منجر به انکار اصل رسالت شود کافر شده است، ولی اگر متوجّه نباشد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جزء ضروری دین است یا جزء ضروری مذهب؟ و حکم افراد بی‌اعتنا به آن چیست؟ و رفت و آمد با اینگونه افراد به چه صورت می‌باشد؟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ظاهرا جزء ضروریات دین است، و وظیفه، برابر آن ارشاد است و نصیحت با همه شرایط نهی از منکر که در رساله‌های عملیّه نوشته شده؛ و رفت و آمد اگر موجب ترویج بی‌حجابی نباشد و خود شخص هم تحت تأثیر قرار نگیرد مانعی ندارد</w:t>
      </w:r>
      <w:r>
        <w:rPr>
          <w:rFonts w:eastAsia="IRNazanin" w:cs="IRNazanin"/>
          <w:color w:val="111111"/>
          <w:sz w:val="28"/>
          <w:szCs w:val="28"/>
          <w:rtl w:val="true"/>
          <w:lang w:bidi="fa-IR"/>
        </w:rPr>
        <w:t>.</w:t>
      </w:r>
      <w:r>
        <w:rPr>
          <w:rStyle w:val="FootnoteAnchor"/>
          <w:rtl w:val="true"/>
        </w:rPr>
        <w:footnoteReference w:id="19"/>
      </w:r>
      <w:bookmarkStart w:id="23" w:name="pg897_3756"/>
    </w:p>
    <w:p>
      <w:pPr>
        <w:pStyle w:val="Heading2"/>
        <w:numPr>
          <w:ilvl w:val="1"/>
          <w:numId w:val="1"/>
        </w:numPr>
        <w:rPr/>
      </w:pPr>
      <w:bookmarkStart w:id="24" w:name="__RefHeading___Toc245415_373438147"/>
      <w:bookmarkStart w:id="25" w:name="_Toc8"/>
      <w:bookmarkEnd w:id="23"/>
      <w:bookmarkEnd w:id="24"/>
      <w:r>
        <w:rPr>
          <w:rtl w:val="true"/>
        </w:rPr>
        <w:t>فصل دوم</w:t>
      </w:r>
      <w:r>
        <w:rPr>
          <w:rtl w:val="true"/>
        </w:rPr>
        <w:t>:</w:t>
      </w:r>
      <w:r>
        <w:rPr>
          <w:rtl w:val="true"/>
        </w:rPr>
        <w:t>احکام مربوط به بلوغ دختران</w:t>
      </w:r>
      <w:bookmarkEnd w:id="25"/>
    </w:p>
    <w:p>
      <w:pPr>
        <w:pStyle w:val="Heading3"/>
        <w:numPr>
          <w:ilvl w:val="2"/>
          <w:numId w:val="1"/>
        </w:numPr>
        <w:rPr/>
      </w:pPr>
      <w:bookmarkStart w:id="26" w:name="__RefHeading___Toc245417_373438147"/>
      <w:bookmarkStart w:id="27" w:name="_Toc9"/>
      <w:bookmarkEnd w:id="26"/>
      <w:r>
        <w:rPr>
          <w:rtl w:val="true"/>
        </w:rPr>
        <w:t>(</w:t>
      </w:r>
      <w:r>
        <w:rPr>
          <w:rtl w:val="true"/>
        </w:rPr>
        <w:t>الف</w:t>
      </w:r>
      <w:r>
        <w:rPr>
          <w:rtl w:val="true"/>
        </w:rPr>
        <w:t>)</w:t>
      </w:r>
      <w:bookmarkEnd w:id="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پیرامون سنّ بلوغ و نشانه‌های آن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بالغ شدن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زیر شکم بالای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مطابق با نظر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اختلاف در ترتیب شمارش سه نشانه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سه نشانه به تنهایی علامت بلوغ و رسیدن به حدّ </w:t>
      </w:r>
    </w:p>
    <w:p>
      <w:pPr>
        <w:pStyle w:val="BookText"/>
        <w:rPr/>
      </w:pPr>
      <w:r>
        <w:rPr>
          <w:rFonts w:ascii="IRNazanin" w:hAnsi="IRNazanin" w:eastAsia="IRNazanin"/>
          <w:color w:val="111111"/>
          <w:sz w:val="28"/>
          <w:sz w:val="28"/>
          <w:szCs w:val="28"/>
          <w:rtl w:val="true"/>
          <w:lang w:bidi="fa-IR"/>
        </w:rPr>
        <w:t>تکلیف شرعی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زیر شکم بالای عورت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در خواب یا بیداری، با اختیار یابی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مرد و تمام شدن نه سال قمری در زن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مطابق با نظر مرحوم آیة‌اللّه گلپایگانی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بلوغ در دختر تمام شدن نه سال قمری است و در پسر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روئیدن موی درشت در زیر شکم بالای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ـ بیرون آمدن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ـ تمام شدن پانزده سال بنابر مشهور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نظر مرحوم آیة‌اللّه گلپایگانی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نظر حضرت امام رحمه‌الله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بالغ شدن یکی از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موی درشت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منی، هر چند گفته می‌شود که منی از زن خارج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خون حیض در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هیچ یک از علایم مذکور محقّق نشد، ملاک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مرد و تمام شدن سیزده سال قمری در زن</w:t>
      </w:r>
      <w:r>
        <w:rPr>
          <w:rFonts w:eastAsia="IRNazanin" w:cs="IRNazanin"/>
          <w:color w:val="111111"/>
          <w:sz w:val="28"/>
          <w:szCs w:val="28"/>
          <w:rtl w:val="true"/>
          <w:lang w:bidi="fa-IR"/>
        </w:rPr>
        <w:t>.</w:t>
      </w:r>
      <w:r>
        <w:rPr>
          <w:rStyle w:val="FootnoteAnchor"/>
          <w:rtl w:val="true"/>
        </w:rPr>
        <w:footnoteReference w:id="31"/>
      </w:r>
      <w:bookmarkStart w:id="28" w:name="pg897_3761"/>
    </w:p>
    <w:p>
      <w:pPr>
        <w:pStyle w:val="Heading3"/>
        <w:numPr>
          <w:ilvl w:val="2"/>
          <w:numId w:val="1"/>
        </w:numPr>
        <w:rPr/>
      </w:pPr>
      <w:bookmarkStart w:id="29" w:name="__RefHeading___Toc245419_373438147"/>
      <w:bookmarkStart w:id="30" w:name="_Toc10"/>
      <w:bookmarkEnd w:id="28"/>
      <w:bookmarkEnd w:id="29"/>
      <w:r>
        <w:rPr>
          <w:rtl w:val="true"/>
        </w:rPr>
        <w:t>(</w:t>
      </w:r>
      <w:r>
        <w:rPr>
          <w:rtl w:val="true"/>
        </w:rPr>
        <w:t>ب</w:t>
      </w:r>
      <w:r>
        <w:rPr>
          <w:rtl w:val="true"/>
        </w:rPr>
        <w:t>)</w:t>
      </w:r>
      <w:bookmarkEnd w:id="30"/>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پسری که قبل از پانزده سالگی محتلم شده، حکم به بلوغ او می‌شود؟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احتلام، حکم به بلوغ او می‌شود زیرا احتلام شرعا از نشانه‌های بلوغ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دانش‌آموزان دختر و پسر مؤسّسه ما طبق تاریخ تولّدشان به سنّ بلوغ رسیده‌اند و بر اثر مشاهده اختلال در حافظه و ضعف آن، مورد معاینات پزشکی قرار گرفتند تا هوش و حافظه آنان آزمایش شود، نتیجه آن بررسی‌ها اثبات عقب‌ماندگی ذهنی آنان از یک سال پیش یا بیشتر بود، ولی بعضی از آنان را نمی‌توان مجنون محسوب کرد زیرا در حدّی هستند که مسائل اجتماعی و دینی را درک می‌کنند، آیا تشخیص این مرکز مانند تشخیص پزشکان اعتبار دارد و برای آن دانش آموزان ملاک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توجّه تکالیف شرعی به انسان این است که او شرعا بالغ و از </w:t>
      </w:r>
    </w:p>
    <w:p>
      <w:pPr>
        <w:pStyle w:val="BookText"/>
        <w:rPr/>
      </w:pPr>
      <w:r>
        <w:rPr>
          <w:rFonts w:ascii="IRNazanin" w:hAnsi="IRNazanin" w:eastAsia="IRNazanin"/>
          <w:color w:val="111111"/>
          <w:sz w:val="28"/>
          <w:sz w:val="28"/>
          <w:szCs w:val="28"/>
          <w:rtl w:val="true"/>
          <w:lang w:bidi="fa-IR"/>
        </w:rPr>
        <w:t>نظر عرف عاقل باشد، ولی درجات درک و هوش معتبر نیست و در این رابطه تأثیری 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خونی که دارای صفات حیض است توسّط دختر قبل از اتمام نه سالگی علامت بلوغ اوست؟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خون علامت شرعی بلوغ دختر نیست و حکم حیض را ندارد هر چند صفات آن را داشته 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97_3764"/>
      <w:bookmarkStart w:id="32" w:name="pg897_3764"/>
      <w:bookmarkEnd w:id="32"/>
    </w:p>
    <w:p>
      <w:pPr>
        <w:pStyle w:val="Heading2"/>
        <w:numPr>
          <w:ilvl w:val="1"/>
          <w:numId w:val="1"/>
        </w:numPr>
        <w:rPr/>
      </w:pPr>
      <w:bookmarkStart w:id="33" w:name="pg897_3764"/>
      <w:bookmarkStart w:id="34" w:name="__RefHeading___Toc245421_373438147"/>
      <w:bookmarkStart w:id="35" w:name="_Toc11"/>
      <w:bookmarkEnd w:id="33"/>
      <w:bookmarkEnd w:id="34"/>
      <w:r>
        <w:rPr>
          <w:rtl w:val="true"/>
        </w:rPr>
        <w:t>فصل سوم</w:t>
      </w:r>
      <w:r>
        <w:rPr>
          <w:rtl w:val="true"/>
        </w:rPr>
        <w:t>:</w:t>
      </w:r>
      <w:r>
        <w:rPr>
          <w:rtl w:val="true"/>
        </w:rPr>
        <w:t>احکام مربوط به</w:t>
      </w:r>
      <w:bookmarkEnd w:id="35"/>
    </w:p>
    <w:p>
      <w:pPr>
        <w:pStyle w:val="Heading3"/>
        <w:numPr>
          <w:ilvl w:val="2"/>
          <w:numId w:val="1"/>
        </w:numPr>
        <w:rPr/>
      </w:pPr>
      <w:bookmarkStart w:id="36" w:name="__RefHeading___Toc245423_373438147"/>
      <w:bookmarkStart w:id="37" w:name="_Toc12"/>
      <w:bookmarkEnd w:id="36"/>
      <w:r>
        <w:rPr>
          <w:rtl w:val="true"/>
        </w:rPr>
        <w:t>(</w:t>
      </w:r>
      <w:r>
        <w:rPr>
          <w:rtl w:val="true"/>
        </w:rPr>
        <w:t>الف</w:t>
      </w:r>
      <w:r>
        <w:rPr>
          <w:rtl w:val="true"/>
        </w:rPr>
        <w:t>)</w:t>
      </w:r>
      <w:bookmarkEnd w:id="37"/>
    </w:p>
    <w:p>
      <w:pPr>
        <w:pStyle w:val="BookText"/>
        <w:rPr/>
      </w:pPr>
      <w:r>
        <w:rPr>
          <w:rFonts w:ascii="IRNazanin" w:hAnsi="IRNazanin" w:eastAsia="IRNazanin"/>
          <w:color w:val="111111"/>
          <w:sz w:val="28"/>
          <w:sz w:val="28"/>
          <w:szCs w:val="28"/>
          <w:rtl w:val="true"/>
          <w:lang w:bidi="fa-IR"/>
        </w:rPr>
        <w:t>کسانی که بواسطه شیر بر انسان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می‌شوند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گفته خواهد شد شیر دهد، آن بچّه به این عدّه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زن و آن را مادر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شیرمال اوست و آن را پدر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 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آمده‌اند، یا به دنیا می‌آیند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 چه پائین روند، چه از اولاد او به دنیا آمده، یا اولاد او آن بچّه‌ها را شیر داده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 چه رضاعی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بواسطه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 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آن زن اگر چه رضاعی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 چه پائین روند، اگر 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شیرمال آن شوهر است،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شیرمال او است اگر 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شوهری که شیر مال او است هر چه بالا روند، اگر چه رضاعی باشند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نظر امام خمینی رحمه‌الله ، با اندکی اختلاف در الفاظ</w:t>
      </w:r>
      <w:r>
        <w:rPr>
          <w:rFonts w:eastAsia="IRNazanin" w:cs="IRNazanin"/>
          <w:color w:val="111111"/>
          <w:sz w:val="28"/>
          <w:szCs w:val="28"/>
          <w:rtl w:val="true"/>
          <w:lang w:bidi="fa-IR"/>
        </w:rPr>
        <w:t>.</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7"/>
      </w:r>
      <w:bookmarkStart w:id="38" w:name="pg897_3769"/>
    </w:p>
    <w:p>
      <w:pPr>
        <w:pStyle w:val="Heading3"/>
        <w:numPr>
          <w:ilvl w:val="2"/>
          <w:numId w:val="1"/>
        </w:numPr>
        <w:rPr/>
      </w:pPr>
      <w:bookmarkStart w:id="39" w:name="__RefHeading___Toc245425_373438147"/>
      <w:bookmarkStart w:id="40" w:name="_Toc13"/>
      <w:bookmarkEnd w:id="38"/>
      <w:bookmarkEnd w:id="39"/>
      <w:r>
        <w:rPr>
          <w:rtl w:val="true"/>
        </w:rPr>
        <w:t>(</w:t>
      </w:r>
      <w:r>
        <w:rPr>
          <w:rtl w:val="true"/>
        </w:rPr>
        <w:t>ب</w:t>
      </w:r>
      <w:r>
        <w:rPr>
          <w:rtl w:val="true"/>
        </w:rPr>
        <w:t>)</w:t>
      </w:r>
      <w:bookmarkEnd w:id="40"/>
    </w:p>
    <w:p>
      <w:pPr>
        <w:pStyle w:val="BookText"/>
        <w:rPr/>
      </w:pPr>
      <w:r>
        <w:rPr>
          <w:rFonts w:ascii="IRNazanin" w:hAnsi="IRNazanin" w:eastAsia="IRNazanin"/>
          <w:color w:val="111111"/>
          <w:sz w:val="28"/>
          <w:sz w:val="28"/>
          <w:szCs w:val="28"/>
          <w:rtl w:val="true"/>
          <w:lang w:bidi="fa-IR"/>
        </w:rPr>
        <w:t>کسانی که بواسطه ازدواج بر انسان</w:t>
      </w:r>
    </w:p>
    <w:p>
      <w:pPr>
        <w:pStyle w:val="BookText"/>
        <w:rPr/>
      </w:pPr>
      <w:r>
        <w:rPr>
          <w:rFonts w:ascii="IRNazanin" w:hAnsi="IRNazanin" w:eastAsia="IRNazanin"/>
          <w:color w:val="111111"/>
          <w:sz w:val="28"/>
          <w:sz w:val="28"/>
          <w:szCs w:val="28"/>
          <w:rtl w:val="true"/>
          <w:lang w:bidi="fa-IR"/>
        </w:rPr>
        <w:t>مَحرم می‌شوند</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زنی را برای خود عقد نماید، اگر چه با او نزدیکی نکند مادر و مادرِ مادر آن زن و مادر پدر او هر چه بالاروند به آن مرد مَحرم می‌شوند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جدّ شوهر، هر چه بالا روند و پسر و نوه پسری و دختری او هر چه پائین آیند چه در موقع عقد باشند، یا بعدا به دنیا بیایند به زن او محرم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 با اندکی اختلاف در </w:t>
      </w:r>
    </w:p>
    <w:p>
      <w:pPr>
        <w:pStyle w:val="BookText"/>
        <w:rPr/>
      </w:pP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60"/>
      </w:r>
      <w:bookmarkStart w:id="41" w:name="pg897_3771"/>
    </w:p>
    <w:p>
      <w:pPr>
        <w:pStyle w:val="Heading3"/>
        <w:numPr>
          <w:ilvl w:val="2"/>
          <w:numId w:val="1"/>
        </w:numPr>
        <w:rPr/>
      </w:pPr>
      <w:bookmarkStart w:id="42" w:name="__RefHeading___Toc245427_373438147"/>
      <w:bookmarkStart w:id="43" w:name="_Toc14"/>
      <w:bookmarkEnd w:id="41"/>
      <w:bookmarkEnd w:id="42"/>
      <w:r>
        <w:rPr>
          <w:rtl w:val="true"/>
        </w:rPr>
        <w:t>(</w:t>
      </w:r>
      <w:r>
        <w:rPr>
          <w:rtl w:val="true"/>
        </w:rPr>
        <w:t>ج</w:t>
      </w:r>
      <w:r>
        <w:rPr>
          <w:rtl w:val="true"/>
        </w:rPr>
        <w:t>)</w:t>
      </w:r>
      <w:bookmarkEnd w:id="43"/>
    </w:p>
    <w:p>
      <w:pPr>
        <w:pStyle w:val="BookText"/>
        <w:rPr/>
      </w:pPr>
      <w:r>
        <w:rPr>
          <w:rFonts w:ascii="IRNazanin" w:hAnsi="IRNazanin" w:eastAsia="IRNazanin"/>
          <w:color w:val="111111"/>
          <w:sz w:val="28"/>
          <w:sz w:val="28"/>
          <w:szCs w:val="28"/>
          <w:rtl w:val="true"/>
          <w:lang w:bidi="fa-IR"/>
        </w:rPr>
        <w:t>منظور از سنّ تمییز</w:t>
      </w:r>
    </w:p>
    <w:p>
      <w:pPr>
        <w:pStyle w:val="BookText"/>
        <w:rPr/>
      </w:pPr>
      <w:r>
        <w:rPr>
          <w:rFonts w:ascii="IRNazanin" w:hAnsi="IRNazanin" w:eastAsia="IRNazanin"/>
          <w:color w:val="111111"/>
          <w:sz w:val="28"/>
          <w:sz w:val="28"/>
          <w:szCs w:val="28"/>
          <w:rtl w:val="true"/>
          <w:lang w:bidi="fa-IR"/>
        </w:rPr>
        <w:t>در روابط زن و مرد برای بچّه‌ها</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که بچّه در آن وقت روابط بین مرد و زن را درک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آیة‌اللّه گلبایگانی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که بچّه در آن سنّ خوب و بد را در خصوص روابط بین زن و مرد درک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نظر مرحوم آیة‌اللّه گلپایگانی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خوب و بد چیزی است که عرف آن را خوب یا بد می‌داند و باید در این رابطه، شرایط زندگی کودک و عادات و آداب و سنّت‌های محلّی هم ملاحظه شود و امّا سنّ تمییز، به تبع اختلاف اشخاص در استعداد و درک و هوش، مختلف است</w:t>
      </w:r>
      <w:r>
        <w:rPr>
          <w:rFonts w:eastAsia="IRNazanin" w:cs="IRNazanin"/>
          <w:color w:val="111111"/>
          <w:sz w:val="28"/>
          <w:szCs w:val="28"/>
          <w:rtl w:val="true"/>
          <w:lang w:bidi="fa-IR"/>
        </w:rPr>
        <w:t>.</w:t>
      </w:r>
      <w:r>
        <w:rPr>
          <w:rStyle w:val="FootnoteAnchor"/>
          <w:rtl w:val="true"/>
        </w:rPr>
        <w:footnoteReference w:id="64"/>
      </w:r>
      <w:bookmarkStart w:id="44" w:name="pg897_3772"/>
    </w:p>
    <w:p>
      <w:pPr>
        <w:pStyle w:val="Heading3"/>
        <w:numPr>
          <w:ilvl w:val="2"/>
          <w:numId w:val="1"/>
        </w:numPr>
        <w:rPr/>
      </w:pPr>
      <w:bookmarkStart w:id="45" w:name="__RefHeading___Toc245429_373438147"/>
      <w:bookmarkStart w:id="46" w:name="_Toc15"/>
      <w:bookmarkEnd w:id="44"/>
      <w:bookmarkEnd w:id="45"/>
      <w:r>
        <w:rPr>
          <w:rtl w:val="true"/>
        </w:rPr>
        <w:t>(</w:t>
      </w:r>
      <w:r>
        <w:rPr>
          <w:rtl w:val="true"/>
        </w:rPr>
        <w:t>د</w:t>
      </w:r>
      <w:r>
        <w:rPr>
          <w:rtl w:val="true"/>
        </w:rPr>
        <w:t>)</w:t>
      </w:r>
      <w:bookmarkEnd w:id="46"/>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اشخاصیکه در یک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طبقه عمارت باشند، ولی اقوام هستند و هیچگونه خطری از جهت ریبه و غیرها در کار نیست و همیشه با هم نشست و برخواست دارند و از لحاظ خورد و خواب و خرید لوازم منزل مخلوط هستند دست و صورت باز و از حیث حجاب محجوب نیستند و چون از این حیث برایشان دشوار است آیا ترخیص هست و یا باید مثل خارج منزل وظیفه نامحرم که اجنبیّه باید از اجنبی مستور باشد در اینجا هم جاری شود؟</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تفاوت حکم بین غیر محارم به نظر نرسیده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پدر زن به داماد محرم است یا خیر؟</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پدر زن مادرِ زنِ انسان نباشد به او محرم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پدرِ رضاعی محرم است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محرم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عروس خواهر و عروس برادر بر انسان محرم است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خواهر و عروس برادر به برادر با این عنوان محرم نیست، مگر بعنوان دیگر؛ مثل اینکه عروس خواهر یا برادر، برادر زاده یا خواهر زاده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زن می‌تواند جلو دامادِ خود بدون روسروی و یا با پای بی‌پوشش باشد؟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زن به داماد خود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بودن مادر زن نزد داماد بدون روسروی و جوراب مانعی ندارد و مادر زن حکم مادر را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موی سر یا مصافحه کردن با خواهر زن، بدون قصد لذّت و ریبه چه حکمی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و خواهر زن نامحرم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نامزدهایی که شیرینی نامزدی خورده‌اند ولی صیغه عقد نخوانده‌اند، محرم یکدیگرند؟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اجراء عقد محرمیّت حاصل نمی‌شود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مربوط به مسائل محرم و نامحرم بیش از این است که در رساله‌های عملیّه آمده‌اند و لازم است ملاحظه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97_3776"/>
      <w:bookmarkStart w:id="48" w:name="pg897_3776"/>
      <w:bookmarkEnd w:id="48"/>
    </w:p>
    <w:p>
      <w:pPr>
        <w:pStyle w:val="Heading2"/>
        <w:numPr>
          <w:ilvl w:val="1"/>
          <w:numId w:val="1"/>
        </w:numPr>
        <w:rPr/>
      </w:pPr>
      <w:bookmarkStart w:id="49" w:name="pg897_3776"/>
      <w:bookmarkStart w:id="50" w:name="__RefHeading___Toc245431_373438147"/>
      <w:bookmarkStart w:id="51" w:name="_Toc16"/>
      <w:bookmarkEnd w:id="49"/>
      <w:bookmarkEnd w:id="50"/>
      <w:r>
        <w:rPr>
          <w:rtl w:val="true"/>
        </w:rPr>
        <w:t>فصل چهارم</w:t>
      </w:r>
      <w:r>
        <w:rPr>
          <w:rtl w:val="true"/>
        </w:rPr>
        <w:t>:</w:t>
      </w:r>
      <w:r>
        <w:rPr>
          <w:rtl w:val="true"/>
        </w:rPr>
        <w:t>احکام مربوط به</w:t>
      </w:r>
      <w:bookmarkEnd w:id="51"/>
    </w:p>
    <w:p>
      <w:pPr>
        <w:pStyle w:val="Heading3"/>
        <w:numPr>
          <w:ilvl w:val="2"/>
          <w:numId w:val="1"/>
        </w:numPr>
        <w:rPr/>
      </w:pPr>
      <w:bookmarkStart w:id="52" w:name="__RefHeading___Toc245433_373438147"/>
      <w:bookmarkStart w:id="53" w:name="_Toc17"/>
      <w:bookmarkEnd w:id="52"/>
      <w:r>
        <w:rPr>
          <w:rtl w:val="true"/>
        </w:rPr>
        <w:t>(</w:t>
      </w:r>
      <w:r>
        <w:rPr>
          <w:rtl w:val="true"/>
        </w:rPr>
        <w:t>الف</w:t>
      </w:r>
      <w:r>
        <w:rPr>
          <w:rtl w:val="true"/>
        </w:rPr>
        <w:t>)</w:t>
      </w:r>
      <w:bookmarkEnd w:id="53"/>
    </w:p>
    <w:p>
      <w:pPr>
        <w:pStyle w:val="BookText"/>
        <w:rPr/>
      </w:pPr>
      <w:r>
        <w:rPr>
          <w:rFonts w:ascii="IRNazanin" w:hAnsi="IRNazanin" w:eastAsia="IRNazanin"/>
          <w:color w:val="111111"/>
          <w:sz w:val="28"/>
          <w:sz w:val="28"/>
          <w:szCs w:val="28"/>
          <w:rtl w:val="true"/>
          <w:lang w:bidi="fa-IR"/>
        </w:rPr>
        <w:t>محدوده پوشش بدن و موی زن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نامحرمان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بدن و موی خود را از پسری هم که بالغ نشده ولی خوب و بد را می‌فهمد و به حدّی رسیده که مورد نظر شهوانی است بپوشاند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از پسری هم که بالغ نشده ولی خوب و بد را می‌فهمد و از نگاه کردن، تحریک و تهییج شهوت او عادتا ممکن باشد بدن و موی خود را بپوشاند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باید بدن و موی خود را از مرد نامحرم بپوشاند ولی پوشاندن صورت و دستها از مچ به پائین واجب نیست و احتیاط واجب آن است که بدن و موی خود را از پسری هم که بالغ نشده ولی خوب و بد </w:t>
      </w:r>
    </w:p>
    <w:p>
      <w:pPr>
        <w:pStyle w:val="BookText"/>
        <w:rPr/>
      </w:pPr>
      <w:r>
        <w:rPr>
          <w:rFonts w:ascii="IRNazanin" w:hAnsi="IRNazanin" w:eastAsia="IRNazanin"/>
          <w:color w:val="111111"/>
          <w:sz w:val="28"/>
          <w:sz w:val="28"/>
          <w:szCs w:val="28"/>
          <w:rtl w:val="true"/>
          <w:lang w:bidi="fa-IR"/>
        </w:rPr>
        <w:t>را می‌فهمد و به حدّی رسیده که موردِنظر شهوانی است بپوشاند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سر خود را از مرد نامحرم بپوشاند، و بهتر آن است که بدن و موی خود را از پسری هم که بالغ نشده ولی خوب و بد را می‌فهمد بپوشاند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 اگر چه کمک به حرام و قصد لذّتی در بین نباشد، بلکه احتیاط واجب آن است که از پسر غیر بالغ که خوب و بد را می‌فهمد نیز خود را بپوشاند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با فتوای مرحوم آیة‌اللّه خوئی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با فتوای مرحوم آیة‌اللّه گلپایگانی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باید موی سر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مرد نامحرم بپوشاند، و احتیاط لازم آن است که بدن و موی خود را از پسری هم که بالغ نشده ولی خوب و بد را می‌فهمد و احتمال می‌رود که نگاهش به بدن زن موجب تحریک شهوتش شود بپوشاند، ولی زن می‌تواند صورت و دستهایش را تا مچ از مرد نامحرم نپوشاند مگر در </w:t>
      </w:r>
    </w:p>
    <w:p>
      <w:pPr>
        <w:pStyle w:val="BookText"/>
        <w:rPr/>
      </w:pPr>
      <w:r>
        <w:rPr>
          <w:rFonts w:ascii="IRNazanin" w:hAnsi="IRNazanin" w:eastAsia="IRNazanin"/>
          <w:color w:val="111111"/>
          <w:sz w:val="28"/>
          <w:sz w:val="28"/>
          <w:szCs w:val="28"/>
          <w:rtl w:val="true"/>
          <w:lang w:bidi="fa-IR"/>
        </w:rPr>
        <w:t>صورتیکه بترسد به حرام بیفتد یا بقصد مبتلا کردن مرد به نگاه حرام باشد که نپوشانیدن در این دو صورت جائز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زن بدن و موی خود را از نامحرم بپوشاند و احتیاط مستحبّ آن است که از پسر نابالغ که خوب و بد را می‌فهمد و به حدّی رسیده که موردِنظر شهوانی است مستور دارد، ولی پوشانیدن صورت و دستها تا مچ واجب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 بلکه احتیاط آن است که بدن و موی خود را از پسری هم که بالغ نشده ولی خوب و بد را می‌فهمد و به حدّی رسیده که ممکن است به قصد لذّت نگاه کند بپوشاند، لکن پوشاندن صورت و دستها تا مچ اگر به قصد نشان دادن به مردها و لذّت بردن آنها نباشد لازم نیست، هر چند خوب است، ولی بنابر احتیاط قدمهای خود را بپوشاند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83"/>
      </w:r>
      <w:bookmarkStart w:id="54" w:name="pg897_3781"/>
    </w:p>
    <w:p>
      <w:pPr>
        <w:pStyle w:val="Heading3"/>
        <w:numPr>
          <w:ilvl w:val="2"/>
          <w:numId w:val="1"/>
        </w:numPr>
        <w:rPr/>
      </w:pPr>
      <w:bookmarkStart w:id="55" w:name="__RefHeading___Toc245435_373438147"/>
      <w:bookmarkStart w:id="56" w:name="_Toc18"/>
      <w:bookmarkEnd w:id="54"/>
      <w:bookmarkEnd w:id="55"/>
      <w:r>
        <w:rPr>
          <w:rtl w:val="true"/>
        </w:rPr>
        <w:t>(</w:t>
      </w:r>
      <w:r>
        <w:rPr>
          <w:rtl w:val="true"/>
        </w:rPr>
        <w:t>ب</w:t>
      </w:r>
      <w:r>
        <w:rPr>
          <w:rtl w:val="true"/>
        </w:rPr>
        <w:t>)</w:t>
      </w:r>
      <w:bookmarkEnd w:id="56"/>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و دستها برای زنان چه احکامی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و دستها بر زن واجب نیست، مگر در شرایطی که در دستان و یا صورت زن زینتی باشد، و یا نامحرم با قصد تلذّذ و یا ریبه به صورت و دستهای او نگاه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که می‌گویند صورت و دو دست خانمها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پیدا باشند، امّا جوانها بهتر است که کمی بیشتر را بپوشانند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زن باید صورت و دستهای خود را هم از نامحرمان بپوشاند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مطابق با نظر حضرت امام </w:t>
      </w:r>
    </w:p>
    <w:p>
      <w:pPr>
        <w:pStyle w:val="BookText"/>
        <w:rPr/>
      </w:pPr>
      <w:r>
        <w:rPr>
          <w:rFonts w:ascii="IRNazanin" w:hAnsi="IRNazanin" w:eastAsia="IRNazanin"/>
          <w:color w:val="111111"/>
          <w:sz w:val="28"/>
          <w:sz w:val="28"/>
          <w:szCs w:val="28"/>
          <w:rtl w:val="true"/>
          <w:lang w:bidi="fa-IR"/>
        </w:rPr>
        <w:t xml:space="preserve">خمینی رحمه‌الله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جواب مرحوم آیة‌اللّه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مطابق با نظر مرحوم آیة‌اللّه گلپایگانی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دست و صورت مطلقا بنابر احتیاط لازم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صورت بنابر احتیاط واجب باید پوشیده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نپوشاندن وجه 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برای زن در جامعه ببار آورد آیا پوشاندن وجه و کفّین واجب می‌شود یا نه؟</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واجب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می‌داند مرد نامحرم به قصد لذّت به صورت و دستهای معمولی زینت نشده او نگاه می‌کند، در این فرض پوشاندن صورت و دستها لازم است یا نه؟ </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باید حتّی وجه و کفّین خود را هم بپوشاند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این صورت بنابر احتیاط پوشاندن لازم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پوشاندن آن لازم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قدمها برای زنان و رو و پشت آن از مردان نامحرم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نظرامام خمینی رحمه‌الله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نظرامام خمینی رحمه‌الله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102"/>
      </w:r>
      <w:r>
        <w:rPr>
          <w:rFonts w:ascii="IRNazanin" w:hAnsi="IRNazanin" w:eastAsia="IRNazanin"/>
          <w:color w:val="111111"/>
          <w:sz w:val="28"/>
          <w:sz w:val="28"/>
          <w:szCs w:val="28"/>
          <w:rtl w:val="true"/>
          <w:lang w:bidi="fa-IR"/>
        </w:rPr>
        <w:t>پوشیدن جوراب نازک و بدن نما برای خانم‌ها در بیرون از منزل و انظار نامحرمان چه صورت دارد؟ و بیرون گذاشتن موهای سر از چادر و مقنعه توسط خانم‌ها در دید نامحرمان چگونه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جواب مرحوم آیة‌اللّه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پوشانیدن بدن از نامحرمان بر زن واجب است و چنین جورابهایی برای حجاب شرعی واجب، کفایت نمی‌کند و پوشیدن تمام موی سر </w:t>
      </w:r>
    </w:p>
    <w:p>
      <w:pPr>
        <w:pStyle w:val="BookText"/>
        <w:rPr/>
      </w:pPr>
      <w:r>
        <w:rPr>
          <w:rFonts w:ascii="IRNazanin" w:hAnsi="IRNazanin" w:eastAsia="IRNazanin"/>
          <w:color w:val="111111"/>
          <w:sz w:val="28"/>
          <w:sz w:val="28"/>
          <w:szCs w:val="28"/>
          <w:rtl w:val="true"/>
          <w:lang w:bidi="fa-IR"/>
        </w:rPr>
        <w:t>در برابر نامحرمان واجب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جواب آیة‌اللّه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جواب آیة‌اللّه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جایز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نپوشاندن قسمتهایی از بدن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چانه، گردن، گوشها، سینه، دستها تا بازو برای زن جایز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ازدواج دارد آیا می‌تواند جهت اطلاع از خصوصیّات دختر به او نگاه کند و آیا نگاه، منحصر به صورت و دستها و قسمتی از موهای اوست، یا سایر اعضای بدن غیر از عورت را نیز می‌تواند نگاه کند، و آیا از روی لباس نازک باید باشد؟</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ازدواج یکمرتبه بصورت نگاه کردن برای زن و مرد بدون قصد ریبه و التذاذ جایز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نامحرم حرام است، و اگر بخواهد بدن یک زن را برای ازدواج ببیند می‌تواند با اجازه زن صیغه بخوانند ولی فقط حقّ نگاه را داشته باشند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مرد به صورت زنی که می‌خواهد با او ازدواج کند جایز است 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مانع شرعی از ازدواج با او نیست، و احتمال هم بدهد که زن ازدواج او را قبول می‌کند، و احتمال هم بدهد که با این نگاه کردن اطلاع تازه‌ای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شرایط نگاه </w:t>
      </w:r>
    </w:p>
    <w:p>
      <w:pPr>
        <w:pStyle w:val="BookText"/>
        <w:rPr/>
      </w:pPr>
      <w:r>
        <w:rPr>
          <w:rFonts w:ascii="IRNazanin" w:hAnsi="IRNazanin" w:eastAsia="IRNazanin"/>
          <w:color w:val="111111"/>
          <w:sz w:val="28"/>
          <w:sz w:val="28"/>
          <w:szCs w:val="28"/>
          <w:rtl w:val="true"/>
          <w:lang w:bidi="fa-IR"/>
        </w:rPr>
        <w:t>کردن فقط برای این مرد جایز است، اگر چه چند مرتبه باشد، بلکه چنین نگاه کردنی برای جلوگیری از نزاع بعد از عقد مستحب نیز هست و اجازه زن هم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اظهر نگاه کردن به مو و محاسن دیگر آن زن هم با همین شرایط جایز است و وجهی دارد که زن هم بتواند به مردی که می‌خواهد با او ازدواج کند با شرایطی که گفته شد نگاه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ازدواج دارد بدون ریبه می‌تواند به غیر از عورتین به بدن دختر مورد نظر نگاه کند، به شرط اینکه نگاه کردن برای دست یافتن به اطمینان باشد و قصد جدّی برای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شرط اینکه احتمال توافق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مذکور، نیز احتیاط این است که به وجه و کفّین و مو و محاسن اکتفا نماید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شهرهای بزرگ بیرون بودن مقداری از موی سر امری عادی شده، آیا می‌توان از این رو که این مقدار از موی سر عرفا بیرون است به آن نگاه کرد، همانند برخی از قبائل که موی سر زنان آنها معمولاً مقداری در معرض دید است؟</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در این گونه موارد حکم به جواز نمود، و باید در عمل و </w:t>
      </w:r>
    </w:p>
    <w:p>
      <w:pPr>
        <w:pStyle w:val="BookText"/>
        <w:rPr/>
      </w:pPr>
      <w:r>
        <w:rPr>
          <w:rFonts w:ascii="IRNazanin" w:hAnsi="IRNazanin" w:eastAsia="IRNazanin"/>
          <w:color w:val="111111"/>
          <w:sz w:val="28"/>
          <w:sz w:val="28"/>
          <w:szCs w:val="28"/>
          <w:rtl w:val="true"/>
          <w:lang w:bidi="fa-IR"/>
        </w:rPr>
        <w:t>فتوا احتیاط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زن آنجا که نامحرم او را ببیند چگونه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آنجا وضو بگیرد، چنانچه گرفت وضو صحیح است ولی گناه کرده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بودن زیرگلو و مقداری از مو و برآمدگی‌های سینه و قسمتهای از پائین بدن برای هنرپیشه‌های زن چه حکمی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همه بدنش عورت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النِّسآءَ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زن واجب است که تمام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موضعی که وجوب ستر آن و عدمش مورد اختلاف بین فقها است گردی صورت است و دستان تا مچ، هر چند تحقّق احتیاط به نظر همه آنان پوشانیدن آنها هم می‌باشد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مراجعه زن به پزشک مرد در صورتیکه بتواند پزشک زن در آن رشته بیابد جایز است؟ البتّه با توجّه به اینکه غالبا به او نگاه شده و گاهی هم از او معالجه به عمل می‌آید؟ </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پزشک مجبور باشد به اعضایی از بدن زن اجنبیّه در هنگام ضرورت نگاه کند باید به همان اعضا اکتفا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به زن نامحرم آمپول بزند که مستلزم نگاه به بدن اوست و اگر در رگ زده شود چه طور؟</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اضطرار و یا نبودن آمپول زن هم جنس و یا محرم اشکالی ندارد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زن به مراکزی که مرد متصدّی اینکارهاست در اموری مثل گرفتن خون و آزمایشهای آن، سونوگرافی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مراکزی که می‌تواند در آنها با زن آن امور را انجام دهد و با نا محرم و نگاه و احیانا لمس او مواجه نشود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97_3792"/>
      <w:bookmarkStart w:id="58" w:name="pg897_3792"/>
      <w:bookmarkEnd w:id="58"/>
    </w:p>
    <w:p>
      <w:pPr>
        <w:pStyle w:val="Heading2"/>
        <w:numPr>
          <w:ilvl w:val="1"/>
          <w:numId w:val="1"/>
        </w:numPr>
        <w:rPr/>
      </w:pPr>
      <w:bookmarkStart w:id="59" w:name="pg897_3792"/>
      <w:bookmarkStart w:id="60" w:name="__RefHeading___Toc245437_373438147"/>
      <w:bookmarkStart w:id="61" w:name="_Toc19"/>
      <w:bookmarkEnd w:id="59"/>
      <w:bookmarkEnd w:id="60"/>
      <w:r>
        <w:rPr>
          <w:rtl w:val="true"/>
        </w:rPr>
        <w:t>فصل پنجم</w:t>
      </w:r>
      <w:r>
        <w:rPr>
          <w:rtl w:val="true"/>
        </w:rPr>
        <w:t xml:space="preserve">: </w:t>
      </w:r>
      <w:r>
        <w:rPr>
          <w:rtl w:val="true"/>
        </w:rPr>
        <w:t>احکام مربوط به</w:t>
      </w:r>
      <w:bookmarkEnd w:id="61"/>
    </w:p>
    <w:p>
      <w:pPr>
        <w:pStyle w:val="Heading3"/>
        <w:numPr>
          <w:ilvl w:val="2"/>
          <w:numId w:val="1"/>
        </w:numPr>
        <w:rPr/>
      </w:pPr>
      <w:bookmarkStart w:id="62" w:name="__RefHeading___Toc245439_373438147"/>
      <w:bookmarkStart w:id="63" w:name="_Toc20"/>
      <w:bookmarkEnd w:id="62"/>
      <w:r>
        <w:rPr>
          <w:rtl w:val="true"/>
        </w:rPr>
        <w:t>(</w:t>
      </w:r>
      <w:r>
        <w:rPr>
          <w:rtl w:val="true"/>
        </w:rPr>
        <w:t>الف</w:t>
      </w:r>
      <w:r>
        <w:rPr>
          <w:rtl w:val="true"/>
        </w:rPr>
        <w:t>)</w:t>
      </w:r>
      <w:bookmarkEnd w:id="63"/>
    </w:p>
    <w:p>
      <w:pPr>
        <w:pStyle w:val="BookText"/>
        <w:rPr/>
      </w:pPr>
      <w:r>
        <w:rPr>
          <w:rFonts w:ascii="IRNazanin" w:hAnsi="IRNazanin" w:eastAsia="IRNazanin"/>
          <w:color w:val="111111"/>
          <w:sz w:val="28"/>
          <w:sz w:val="28"/>
          <w:szCs w:val="28"/>
          <w:rtl w:val="true"/>
          <w:lang w:bidi="fa-IR"/>
        </w:rPr>
        <w:t>شرایط کلی لباس و پوشش زن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مواجهه با نامحرمان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لباسهایی که توجّه نامحرم را جلب می‌کند باید اجتناب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انسان از پوشیدن لباس شهرت که پارچه یا رنگ یا دوخت آن برای کسی که می‌خواهد آن را بپوشد معمول نیست خودداری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پوشیدن هرگونه لباس مهیّج باید خودداری نماید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هرنوع لباسی که از نظر عرف تهییج کننده شهوات باشد و موجب جلب توجه نامحرمان شود برای زن حرام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لباسی که موجب فساد در جامعه گردد بر زن حرام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لباسهایی که معمولاً کفّار و دشمنان اسلام آنها را می‌پوشند برای مسلمان حرام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شهرت که بارچه یا رنگ یا دوخت آن برای کسی که می‌خواهد آن را بپوشد معمول نیست حرام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لباسی که از لحاظ عرفی موجب تهییج شهوات مردان و جلب توجّه آنها باشد حرام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لباسی که معمولاً کفار از آنها استفاده می‌کنند و یا تولید می‌کنند حرام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لباسی که پارچه یا رنگ یا دوخت آن برای کسی که می‌خواهد آن را بپوشد معمول نیست، مثل آنکه اهل علم لباس نظامی بپوشد در صورتی که موجب هتک حرمت باشد حرام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لباس زنانه و زن لباس مردانه بپوشد، در صورتی که زیّ خود قرار دهد بنابر احتیاط حرام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از پوشیدن هر نوع لباسی که از جهت رنگ یا شکل موجب جلب توجه نامحرمان می‌شود اجتناب نماید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چیزی که از جهت رنگ یا شکل و یا نحوه پوشیدن باعث جلب توجّه اجنبی شود و موجب فساد و ارتکاب حرام گردد جائز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پوشیدن لباس شهرت برای زن و مرد از هر جهت که باشد حرام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هر نوع لباسی که عرفا تحریک کننده باشد و موجب جلب توجّه جنس مخالف به نامحرم گردد حرام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مخصوص زنان برای مرد، و هم چنین پوشیدن لباس مخصوص مردان برای زن حرام است، اگر چه حرام بودن تا موقعی که داخل در لباس شهرت نباشد مورد تأمّل است، و نیز تزیین هر یک از مرد و زن به زینت دیگری حرام است، و لباس شهرت عبارت از لباسی است که از جهت جنس یا رنگ یا نحوه برش و دوخت آن خلاف شأن و زیّ پوشنده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فتوای اوّل مرحوم آیة‌اللّه خوئی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 سزاوار نیست لباسی بپوشد که او را از زیّ مؤمنین خارج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مخصوص به مردها بر زنها و لباس مخصوص به زنها بر مردها حرام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لباسی که پارچه یا رنگ یا دوخت آن برای کسیکه می‌خواهد آن را بپوشد معمول نیست و موجب توهین یا شهرت او می‌شود حرام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خصوص لباس شهرت و لباس مخصوص مردها فتاوای ایشان با نظرات مرحوم آیة‌اللّه خوئی موافق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پوشش زنها به شکلی باید باشد که برجستگی‌های بدن آنان نیز نمایان نباشد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نازک و لباسی که در صورت تابش نور، بدن از زیر آن نمایان می‌شود، در جائی که نامحرم باشد اشکال دارد، همچنین پوشیدن لباس رنگین و چشمگیر در صورتی که برای زن زینت حساب شود و نامحرم او را ببیند محل اشکال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زنها از کلاه گیسهای معمول مانعی ندارد، اما از نامحرم باید پوشانده شود، زیرا کلاه گیس معمولاً برای زنها نوعی زینت حساب می‌شود و زینت زن باید از نامحرم پوشیده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مقصود از آن لباسی است که عرفا زننده است و از جهت زنندگی، انسان انگشت نما می‌شود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هر لباسی که در نظر عرف، لباس زنانه باشد به عنوان لباس رسمی و ظاهر شدن با آن در اجتماع برای مردها حرام است، همچنین پوشیدن هر لباسی که عرفا لباس مردانه باشد به عنوان لباس رسمی برای زنها حرام می‌باشد، و در این حکم فرقی بین زن و شوهر و نیز بین اینکه لباس، ملکی شخصی باشد یا نباشد نیست ولی پوشیدن لباس مشترک، یعنی لباسی که هم زنان و هم مردان می‌پوشند اشکال 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مخصوص کفّار، و یا آویختن صلیب و مانند آن و نیز لباسی که ترویج کننده یک نوع فرهنگ یا اندیشه ضدّ اخلاقی و یا بی‌بند و باری باشد جائز نیست و تولید کنندگان و فروشندگان لباس نیز باید از تولید و فروش چنین پوشاکی پرهیز 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لباسهای تنگ و چسبان و همچنین لباسهای زینتی اشکال دارد</w:t>
      </w:r>
      <w:r>
        <w:rPr>
          <w:rFonts w:eastAsia="IRNazanin" w:cs="IRNazanin"/>
          <w:color w:val="111111"/>
          <w:sz w:val="28"/>
          <w:szCs w:val="28"/>
          <w:rtl w:val="true"/>
          <w:lang w:bidi="fa-IR"/>
        </w:rPr>
        <w:t>.</w:t>
      </w:r>
      <w:r>
        <w:rPr>
          <w:rStyle w:val="FootnoteAnchor"/>
          <w:rtl w:val="true"/>
        </w:rPr>
        <w:footnoteReference w:id="165"/>
      </w:r>
      <w:bookmarkStart w:id="64" w:name="pg897_3800"/>
    </w:p>
    <w:p>
      <w:pPr>
        <w:pStyle w:val="Heading3"/>
        <w:numPr>
          <w:ilvl w:val="2"/>
          <w:numId w:val="1"/>
        </w:numPr>
        <w:rPr/>
      </w:pPr>
      <w:bookmarkStart w:id="65" w:name="__RefHeading___Toc245441_373438147"/>
      <w:bookmarkStart w:id="66" w:name="_Toc21"/>
      <w:bookmarkEnd w:id="64"/>
      <w:bookmarkEnd w:id="65"/>
      <w:r>
        <w:rPr>
          <w:rtl w:val="true"/>
        </w:rPr>
        <w:t>(</w:t>
      </w:r>
      <w:r>
        <w:rPr>
          <w:rtl w:val="true"/>
        </w:rPr>
        <w:t>ب</w:t>
      </w:r>
      <w:r>
        <w:rPr>
          <w:rtl w:val="true"/>
        </w:rPr>
        <w:t>)</w:t>
      </w:r>
      <w:bookmarkEnd w:id="66"/>
    </w:p>
    <w:p>
      <w:pPr>
        <w:pStyle w:val="BookText"/>
        <w:rPr/>
      </w:pPr>
      <w:r>
        <w:rPr>
          <w:rFonts w:ascii="IRNazanin" w:hAnsi="IRNazanin" w:eastAsia="IRNazanin"/>
          <w:color w:val="111111"/>
          <w:sz w:val="28"/>
          <w:sz w:val="28"/>
          <w:szCs w:val="28"/>
          <w:rtl w:val="true"/>
          <w:lang w:bidi="fa-IR"/>
        </w:rPr>
        <w:t xml:space="preserve">فتاوا و استفتائات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پوشش و حجاب برای زن مسلمان چادر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چادر برای زن بهترین پوشش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که چادر در نماز ترک نشود، و همچنین در غیر نماز، چون در ایران و بعضی بلاد اسلامی چادر جز شعائر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چادر خصوصیتش این است که جاهای حسّاس و تهییج کننده و بلندی و پستی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سینه و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می‌پوشاند و مخفی می‌کند، غیر چادر اگر پوششی پیدا شد که همین خصوصیت را داشت اشکالی ندارد، اگر چه با فرض پیدا شدن چنین لباسی باز هم برای یک زن مسلمان شایسته است که از چادر استفاده 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کنار گذاشتن چادر موجب جلب نظر نامحرمان شود جائز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نوع پوشش و حجاب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بهترین نوع حجاب و نشانه ملّی ماست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حجاب، پوشش چادر است، و چادر سیاه، هم بی‌اشکال است و کراهت ندارد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پسندیده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بدن خود را در غیر وجه و کفّین، از نامحرم بپوشاند، و نیز باید زینت خود را بپوشاند، و با چادر بهتر می‌تواند بدن و زینت را بپوشاند و چادر سیاه، مثل عبای سیاه کراهت ندارد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پوشش واجب، همان چادر مشکلی است که زنهای مؤمنه خود را با آن می‌پوشانند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بهترین پوشش برای خانم‌هاست، چون تمامی مفاتن بدن</w:t>
      </w:r>
    </w:p>
    <w:p>
      <w:pPr>
        <w:pStyle w:val="BookText"/>
        <w:rPr/>
      </w:pPr>
      <w:r>
        <w:rPr>
          <w:rFonts w:ascii="IRNazanin" w:hAnsi="IRNazanin" w:eastAsia="IRNazanin"/>
          <w:color w:val="111111"/>
          <w:sz w:val="28"/>
          <w:sz w:val="28"/>
          <w:szCs w:val="28"/>
          <w:rtl w:val="true"/>
          <w:lang w:bidi="fa-IR"/>
        </w:rPr>
        <w:t>را می‌پوشاند، خانمهای مسلمان باید آداب و سنن اسلامی را در لباس پوشیدن مراعات کنند و از تجدّدگرایی مضرّ پرهیز کنند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و پوشش اسلامی داشتن،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بهتر است و سزاوار نیست زنهای مؤمن بدون چادر خارج شوند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چادر حجاب برتر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بهترین وسیله پوشش برای بانوان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مشکی بهترین نوع حجاب است، و پوشیدن لباسهایی که جلب توجّه کند حرام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خانمها از چادر استفاده کنند، چون چادر در کشور اسلامی ایران از مظاهر و شعائر اسلام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کلّی دختران و زنان باید در مقابل مردان نامحرم به نحوی لباس بپوشند و راه بروند و صحبت کنند که موجب توجّه و نگاه سوء و تهییج مردان نشوند و اگر کردند گناه بزرگ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7" w:name="pg897_3804"/>
    </w:p>
    <w:p>
      <w:pPr>
        <w:pStyle w:val="Heading3"/>
        <w:numPr>
          <w:ilvl w:val="2"/>
          <w:numId w:val="1"/>
        </w:numPr>
        <w:rPr/>
      </w:pPr>
      <w:bookmarkStart w:id="68" w:name="__RefHeading___Toc245443_373438147"/>
      <w:bookmarkStart w:id="69" w:name="_Toc22"/>
      <w:bookmarkEnd w:id="67"/>
      <w:bookmarkEnd w:id="68"/>
      <w:r>
        <w:rPr>
          <w:rtl w:val="true"/>
        </w:rPr>
        <w:t>(</w:t>
      </w:r>
      <w:r>
        <w:rPr>
          <w:rtl w:val="true"/>
        </w:rPr>
        <w:t>ج</w:t>
      </w:r>
      <w:r>
        <w:rPr>
          <w:rtl w:val="true"/>
        </w:rPr>
        <w:t>)</w:t>
      </w:r>
      <w:bookmarkEnd w:id="69"/>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لباسی که برای تزیین، قسمتهایی از آن تور دوزی شده برای زنها جایز است؟</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زینت محسوب شود جائز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با زن مسلمان بی‌چادر حرام است، منظور اینکه در صورتی که این امر انجام شد مرد فعل حرام کرده است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احتمال آنکه بواسطه ازدواج با او ممکن است او را ارشاد و از معصیت بازداشت مانعی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زنان پوشیدن مدلهای خارجی مینی رُوب و ماکسی رُوب و غیره، که اکنون در ایران معمول شده در زیر چادر می‌پوشند، و یا شلوارهای تقریبا مردانه که از زیر چادر بیرون می‌آید اشکال دارد یا نه؟ </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اطوار و کردار و رفتار زنان مسلمان که امروز به متابعت کفّار تماما محرّک شهوات جوانان و موجب انحراف آنان از حیاء و حجاب و عصمت و عفّت است، و طرز لباس و زینت کردن که حتّی باعث تجاوز محارم به محارم می‌شود ضربه بزرگی است که دانسته یا ندانسته به اسلام وارد شده، فإنّا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کسی بتواند متعلّقین و منسوبین خود را به مواعظ و نصایح وادار به حجاب و عصمت و عفّت و رفتار موافق با دستورات شرع و عمل به واجبات و مستحبّات و ترک محرّمات و مکروهات بنماید، فی الحقیقة حکم جهاد فی سبیل اللّه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لباسهای تنگ که حجم و برآمدگیهای بدن زن را مشخص می‌کند، و یا لباسهای محرّک در عروسیها و غیره چه حکمی دارند؟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از نگاه مردان نامحرم بدور باشد و مفسده‌ای بر آن مترتّب نشود اشکالی ندارد، و الاّ جایز نیست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مقابله با تهاجمات فرهنگی دشمنان بر علیه مملکت اسلامی چه کاری بر زن واجب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واجبات زن حفظ حجاب اسلامی و دوری از لباسهایی است که تقلید از غرب محسوب می‌شود و دشمنان آنها را برای هجوم به فرهنگ می‌خواهند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لباس شهرت چیست؟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شهرت لباسی است که پوشیدن آن برای شخص، بخاطر رنگ یا کیفیّت دوخت یا مندرس بودن آن و علل دیگر مناسب نیست، بطوریکه اگر آن را در برابر مردم بپوشند توجه آنان را به خود جلب نموده و انگشت نما می‌شود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می‌توانند لباسی که رنگ آن مایل به آبی پر رنگ است بپوشند؟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نفسه اشکال ندارد، به شرطی که منجر به جلب توجّه دیگران </w:t>
      </w:r>
    </w:p>
    <w:p>
      <w:pPr>
        <w:pStyle w:val="BookText"/>
        <w:rPr/>
      </w:pPr>
      <w:r>
        <w:rPr>
          <w:rFonts w:ascii="IRNazanin" w:hAnsi="IRNazanin" w:eastAsia="IRNazanin"/>
          <w:color w:val="111111"/>
          <w:sz w:val="28"/>
          <w:sz w:val="28"/>
          <w:szCs w:val="28"/>
          <w:rtl w:val="true"/>
          <w:lang w:bidi="fa-IR"/>
        </w:rPr>
        <w:t>و ترتّب مفسده نشود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چیزی که مخصوص زنان است توسّط مردان و بر عکس، در خانه بدون قصد تشبّه به جنس مخالف جایز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آن را به عنوان لباس برای خود انتخاب نکرده باشند، اشکال ندارد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پوشیدن لباسهایی که عکس یا علامت مربوط به کشورهای غربی روی آن نقش بسته است چیست؟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گونه لباسها که ترویج فرهنگ غیر مسلمین مهاجم بر مسلمین است اشکال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مؤمن سزاوار نیست لباسی بپوشد که او را از زیّ مؤمنین خارج 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این گونه لباسها استفاده نکنند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جواب 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سبب ترویج فرهنگ بیگانگان گردد اشکال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این نوع لباسها استفاده نکنند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زنان در خیابانها و بیرون گذاشتن مقداری از موها و پوشیدن جوراب بدن نما و لباسهای محرّک چه صورت دارد؟</w:t>
      </w:r>
    </w:p>
    <w:p>
      <w:pPr>
        <w:pStyle w:val="BookText"/>
        <w:rPr/>
      </w:pPr>
      <w:r>
        <w:rPr>
          <w:rFonts w:ascii="IRNazanin" w:hAnsi="IRNazanin" w:eastAsia="IRNazanin"/>
          <w:color w:val="111111"/>
          <w:sz w:val="28"/>
          <w:sz w:val="28"/>
          <w:szCs w:val="28"/>
          <w:rtl w:val="true"/>
          <w:lang w:bidi="fa-IR"/>
        </w:rPr>
        <w:t>جواب 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جایز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نما باشد و نامحرم ببیند حرام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همراه با تبلیغات فرهنگی دشمن، در روزنامه‌ها و سخنرانی‌هایشان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مشکی برای بانوان مکروه است، و باید پوشش جدید، مانند مانتو و کت و دامن با رنگهای متنوع، جایگزین چادر مشکی شود، آیا چنین حرف و اقدامی صحیح است یا نه؟</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صحیح نیست، و بهترین حجاب، پوشش چادر است و چادر سیاه، هم بی‌اشکال است و کراهت ندارد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باطل است، چادر حجاب پسندیده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باید بدن خود را در غیر وجه و کفّین، از نامحرم بپوشاند، و نیز باید زینت خود را بپوشاند، و لباسی که زینت حساب می‌شود باید آن را هم بپوشاند، و با چادر بهتر می‌تواند بدن و زینت را بپوشاند، وچادر سیاه، مثل عبای سیاه کراهت ندارد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مذکور صحیح نیست و مفاسد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زمان عدّه‌ای اصرار بر آشکار شدن مفاتن زن و خروج او از ستر و عفاف، که حافظ شخصیّت و ارزش و متانت اوست دارند، و مع الأسف می‌خواهند این امر را اسلامی جلوه دهند، در حالیکه بر خلاف اسلام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جواب 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بهتر است و سزاوار نیست زنهای مؤمن بدون چادر خارج 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نمایشهایی که در مدارس داده می‌شود، آیا جائز است دختران لباس مردانه بپوشند، یا خود را به واسطه گریم به شکل مرد درآورند؟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مقابل مرد نامحرم باشد جائز نیست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لباسهای جذّاب و تحریک کننده، در عروسیهایی که نامحرم می‌بیند چه حکمی دارد؟ </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و پوشیدن لباس مهیّج در منظر نامحرم حرام است، چه عروس باشد و داماد، یا غیر عروس و داماد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میان برخی از جوانان مدل مو و لباسهایی از آنها مد شده است که از کشورهای اروپائی و بلاد بیگانه ارائه می‌گردد، نظر به اینکه پوشیدن این لباسها و خود اینگونه آرایش کردن، عرفا از مصادیق تشبّه به کفّار است، آیا شرعا حرام است یا حلال؟</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ترویج فرهنگ معاندین و محاربین و دشمنان اسلام است حرام و غیر جائز می‌باشد</w:t>
      </w:r>
      <w:r>
        <w:rPr>
          <w:rFonts w:eastAsia="IRNazanin" w:cs="IRNazanin"/>
          <w:color w:val="111111"/>
          <w:sz w:val="28"/>
          <w:szCs w:val="28"/>
          <w:rtl w:val="true"/>
          <w:lang w:bidi="fa-IR"/>
        </w:rPr>
        <w:t>.</w:t>
      </w:r>
      <w:r>
        <w:rPr>
          <w:rStyle w:val="FootnoteAnchor"/>
          <w:rtl w:val="true"/>
        </w:rPr>
        <w:footnoteReference w:id="207"/>
      </w:r>
      <w:bookmarkStart w:id="70" w:name="pg897_3812"/>
    </w:p>
    <w:p>
      <w:pPr>
        <w:pStyle w:val="Heading2"/>
        <w:numPr>
          <w:ilvl w:val="1"/>
          <w:numId w:val="1"/>
        </w:numPr>
        <w:rPr/>
      </w:pPr>
      <w:bookmarkStart w:id="71" w:name="__RefHeading___Toc245445_373438147"/>
      <w:bookmarkStart w:id="72" w:name="_Toc23"/>
      <w:bookmarkEnd w:id="70"/>
      <w:bookmarkEnd w:id="71"/>
      <w:r>
        <w:rPr>
          <w:rtl w:val="true"/>
        </w:rPr>
        <w:t>فصل ششم</w:t>
      </w:r>
      <w:r>
        <w:rPr>
          <w:rtl w:val="true"/>
        </w:rPr>
        <w:t xml:space="preserve">: </w:t>
      </w:r>
      <w:r>
        <w:rPr>
          <w:rtl w:val="true"/>
        </w:rPr>
        <w:t>احکام مربوط به</w:t>
      </w:r>
      <w:bookmarkEnd w:id="72"/>
    </w:p>
    <w:p>
      <w:pPr>
        <w:pStyle w:val="Heading3"/>
        <w:numPr>
          <w:ilvl w:val="2"/>
          <w:numId w:val="1"/>
        </w:numPr>
        <w:rPr/>
      </w:pPr>
      <w:bookmarkStart w:id="73" w:name="__RefHeading___Toc245447_373438147"/>
      <w:bookmarkStart w:id="74" w:name="_Toc24"/>
      <w:bookmarkEnd w:id="73"/>
      <w:r>
        <w:rPr>
          <w:rtl w:val="true"/>
        </w:rPr>
        <w:t>(</w:t>
      </w:r>
      <w:r>
        <w:rPr>
          <w:rtl w:val="true"/>
        </w:rPr>
        <w:t>الف</w:t>
      </w:r>
      <w:r>
        <w:rPr>
          <w:rtl w:val="true"/>
        </w:rPr>
        <w:t>)</w:t>
      </w:r>
      <w:bookmarkEnd w:id="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و استفتائات کلّی عفّت چشم برای زن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 و استفتائات کلّی عفّت چشم برای زن</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نامحرم حرام می‌باشد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هم به بدن زن دیگر با قصد لذّت حرام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مرد نامحرم بجز صورت و دستها تا مچ حرام است با قصد لذّت یا بدون قصد، امّا نگاه کردن به صورت و دستها تا مچ چنانچه با قصد لذّت باشد حرام است، و اگر بی‌قصد باشد اشکال ندارد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فسادی در پی نداشته باشد، زن می‌تواند بدون قصد ریبة و بدون قصد لذّت بردن از روی لباسهای مرد نامحرم به حجم بدن او نگاه 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 مطابق با نظرات امام خمینی رحمه‌الله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مرد نامحرم حرام می‌باشد بنابر احتیاط در غیر صورت و دستها و سروگردن و پا، و امّا نظر زن به این مواضع از مرد، ظاهر آن است که جائز است بدون قصد لذت، اگر چه احوط نیز ترک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هم به بدن زن دیگر با قصد لذت حرام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بازوان، سینه و مواضع دیگری از بدن مرد نامحرم که با لباس مناسبی خوب پوشیده نشده‌اند، مثلاً آستین کوتاه پوشیده و یا دگمه‌اش را نبسته است و یا لباس نازکی که بدنش را نشان می‌دهد پوشیده است، حتّی اگر با قصد لذّت و ریبه نباشد حرام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چهارم مطابق با نظر امام خمینی رحمه‌الله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مرد نامحرم،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نگاه کردن زن به بدن پسری که بالغ نشده ولی خوب و بد را می‌فهمد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نگاه کردن زن به قسمتی از بدن مرد نامحرم که غالبا باز است، مثل سر، خالی از وجه نیست، مگر اینکه این نگاه کردن کمک به معصیت 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نگاه کردن زن به بدن زن دیگر با قصد لذت حرام است، ولی بدون قصد لذت جایز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مرد نامحرم با قصد لذّت حرام می‌باشد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هم به بدن زن دیگر با قصد لذّت نباید نگاه 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مسأله اوّل عینا مطابق با نظرات امام خمینی رحمه‌الله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زن به بدن مرد نامحرم حرام می‌باشد، مگر به جاهایی از بدن که در متعارف، التزام به پوشانیدنش نیست مثل</w:t>
      </w:r>
    </w:p>
    <w:p>
      <w:pPr>
        <w:pStyle w:val="BookText"/>
        <w:rPr/>
      </w:pPr>
      <w:r>
        <w:rPr>
          <w:rFonts w:ascii="IRNazanin" w:hAnsi="IRNazanin" w:eastAsia="IRNazanin"/>
          <w:color w:val="111111"/>
          <w:sz w:val="28"/>
          <w:sz w:val="28"/>
          <w:szCs w:val="28"/>
          <w:rtl w:val="true"/>
          <w:lang w:bidi="fa-IR"/>
        </w:rPr>
        <w:t>سرودستها و ساق پاها که نگاه کردن زن به این جاها اگر بدون لذت و خوف وقوع در حرام باشد اشکال ندارد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نگاه زن به بدن مرد نامحرم، خواه با قصد لذت باشد یا بدون آن حرام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نگاه کردن به بدن مرد نامحرم به آن مقدار که معمولاً آن را نمی‌پوشانند مانند سر و صورت و گردن و مقداری از پا و دست اشکال ندارد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زن دیگر با قصد لذّت حرام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مسأله اول و سوّم عینا مطابق با نظرات آیة‌اللّه مکارم شیرازی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زن به بدن مرد نامحرم حرام است، مگر مانند سر و</w:t>
      </w:r>
    </w:p>
    <w:p>
      <w:pPr>
        <w:pStyle w:val="BookText"/>
        <w:rPr/>
      </w:pPr>
      <w:r>
        <w:rPr>
          <w:rFonts w:ascii="IRNazanin" w:hAnsi="IRNazanin" w:eastAsia="IRNazanin"/>
          <w:color w:val="111111"/>
          <w:sz w:val="28"/>
          <w:sz w:val="28"/>
          <w:szCs w:val="28"/>
          <w:rtl w:val="true"/>
          <w:lang w:bidi="fa-IR"/>
        </w:rPr>
        <w:t>صورت و دستها که معمولاً آن را نمی‌پوشانند در صورتی که بدون قصد لذّت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نگاه کردن زن به بدن زن دیگر با قصد شهوانی حرام است، و بدون آن مانعی ندارد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می‌توانند هنگام سینه زدن سینه خود را برهنه کنند، ولی نگاه کردن زنان به سینه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مردها بدانند که زنها عمدا به بدنشان نگاه می‌کنند احوط آن است که سینه خود را برهنه نکنند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مسأله اول عینا مطابق با نظرات امام خمینی رحمه‌الله </w:t>
      </w:r>
      <w:r>
        <w:rPr>
          <w:rFonts w:eastAsia="IRNazanin" w:cs="IRNazanin"/>
          <w:color w:val="111111"/>
          <w:sz w:val="28"/>
          <w:szCs w:val="28"/>
          <w:rtl w:val="true"/>
          <w:lang w:bidi="fa-IR"/>
        </w:rPr>
        <w:t>.</w:t>
      </w:r>
      <w:r>
        <w:rPr>
          <w:rStyle w:val="FootnoteAnchor"/>
          <w:rtl w:val="true"/>
        </w:rPr>
        <w:footnoteReference w:id="231"/>
      </w:r>
      <w:bookmarkStart w:id="75" w:name="pg897_3819"/>
    </w:p>
    <w:p>
      <w:pPr>
        <w:pStyle w:val="Heading3"/>
        <w:numPr>
          <w:ilvl w:val="2"/>
          <w:numId w:val="1"/>
        </w:numPr>
        <w:rPr/>
      </w:pPr>
      <w:bookmarkStart w:id="76" w:name="__RefHeading___Toc245449_373438147"/>
      <w:bookmarkStart w:id="77" w:name="_Toc25"/>
      <w:bookmarkEnd w:id="75"/>
      <w:bookmarkEnd w:id="76"/>
      <w:r>
        <w:rPr>
          <w:rtl w:val="true"/>
        </w:rPr>
        <w:t>(</w:t>
      </w:r>
      <w:r>
        <w:rPr>
          <w:rtl w:val="true"/>
        </w:rPr>
        <w:t>ب</w:t>
      </w:r>
      <w:r>
        <w:rPr>
          <w:rtl w:val="true"/>
        </w:rPr>
        <w:t>)</w:t>
      </w:r>
      <w:bookmarkEnd w:id="77"/>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 برای تزریق آمپول و یا سایر عملیات پزشکی، بدون قصد لذّت به بدت مرد نامحرم نگاه کند؟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مگر در مواردی که ضرورت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تصویر مردان و عکسهای نامحرمان جایز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زن به عکس مرد نامحرم، اگر از روی لذت نباشد، و خوف </w:t>
      </w:r>
    </w:p>
    <w:p>
      <w:pPr>
        <w:pStyle w:val="BookText"/>
        <w:rPr/>
      </w:pPr>
      <w:r>
        <w:rPr>
          <w:rFonts w:ascii="IRNazanin" w:hAnsi="IRNazanin" w:eastAsia="IRNazanin"/>
          <w:color w:val="111111"/>
          <w:sz w:val="28"/>
          <w:sz w:val="28"/>
          <w:szCs w:val="28"/>
          <w:rtl w:val="true"/>
          <w:lang w:bidi="fa-IR"/>
        </w:rPr>
        <w:t>وقوع در حرام در بین نباشد جائز است، چه آن مرد را بشناسد و چه نشناسد، و چه از محارم او باشد چه از غیر محارم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 اجنبیّه حرام است ولی در موقع ازدواج با زن چه دائم و چه انقطاعی می‌شود او را نگاه کرد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مخصوصی را که قصد دارد ازدواج کند جایز است نگاه کند، به مقداری که زشتی و زیبائی او را تشخیص دهد و امّا اگر بخواهد زنهای متعدّد را نگاه کند که هر کدام را پسندید انتخاب کند جایز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ازدواج یکمرتبه بصورت نگاه کردن برای زن و مرد بدون قصد ریبه و التذاذ جایز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دختران به دبیر مرد، پسران به دبیر زن چه حکمی دارد؟ </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نظر به صورت بدون لذّت بردن و بدون ترتّب مفسده ظاهرا جایز می‌باشد لکن کمال دقّت بر اکتفا به ضرورت لازم است</w:t>
      </w:r>
      <w:r>
        <w:rPr>
          <w:rFonts w:eastAsia="IRNazanin" w:cs="IRNazanin"/>
          <w:color w:val="111111"/>
          <w:sz w:val="28"/>
          <w:szCs w:val="28"/>
          <w:rtl w:val="true"/>
          <w:lang w:bidi="fa-IR"/>
        </w:rPr>
        <w:t>.</w:t>
      </w:r>
      <w:r>
        <w:rPr>
          <w:rStyle w:val="FootnoteAnchor"/>
          <w:rtl w:val="true"/>
        </w:rPr>
        <w:footnoteReference w:id="240"/>
      </w:r>
      <w:bookmarkStart w:id="78" w:name="pg897_3822"/>
    </w:p>
    <w:p>
      <w:pPr>
        <w:pStyle w:val="Heading2"/>
        <w:numPr>
          <w:ilvl w:val="1"/>
          <w:numId w:val="1"/>
        </w:numPr>
        <w:rPr/>
      </w:pPr>
      <w:bookmarkStart w:id="79" w:name="__RefHeading___Toc245451_373438147"/>
      <w:bookmarkStart w:id="80" w:name="_Toc26"/>
      <w:bookmarkEnd w:id="78"/>
      <w:bookmarkEnd w:id="79"/>
      <w:r>
        <w:rPr>
          <w:rtl w:val="true"/>
        </w:rPr>
        <w:t>فصل هفتم</w:t>
      </w:r>
      <w:r>
        <w:rPr>
          <w:rtl w:val="true"/>
        </w:rPr>
        <w:t xml:space="preserve">: </w:t>
      </w:r>
      <w:r>
        <w:rPr>
          <w:rtl w:val="true"/>
        </w:rPr>
        <w:t>احکام مربوط به</w:t>
      </w:r>
      <w:bookmarkEnd w:id="80"/>
    </w:p>
    <w:p>
      <w:pPr>
        <w:pStyle w:val="Heading3"/>
        <w:numPr>
          <w:ilvl w:val="2"/>
          <w:numId w:val="1"/>
        </w:numPr>
        <w:rPr/>
      </w:pPr>
      <w:bookmarkStart w:id="81" w:name="__RefHeading___Toc245453_373438147"/>
      <w:bookmarkStart w:id="82" w:name="_Toc27"/>
      <w:bookmarkEnd w:id="81"/>
      <w:r>
        <w:rPr>
          <w:rtl w:val="true"/>
        </w:rPr>
        <w:t>(</w:t>
      </w:r>
      <w:r>
        <w:rPr>
          <w:rtl w:val="true"/>
        </w:rPr>
        <w:t>الف</w:t>
      </w:r>
      <w:r>
        <w:rPr>
          <w:rtl w:val="true"/>
        </w:rPr>
        <w:t>)</w:t>
      </w:r>
      <w:bookmarkEnd w:id="82"/>
    </w:p>
    <w:p>
      <w:pPr>
        <w:pStyle w:val="BookText"/>
        <w:rPr/>
      </w:pPr>
      <w:r>
        <w:rPr>
          <w:rFonts w:ascii="IRNazanin" w:hAnsi="IRNazanin" w:eastAsia="IRNazanin"/>
          <w:color w:val="111111"/>
          <w:sz w:val="28"/>
          <w:sz w:val="28"/>
          <w:szCs w:val="28"/>
          <w:rtl w:val="true"/>
          <w:lang w:bidi="fa-IR"/>
        </w:rPr>
        <w:t>فتاوا و استفتائات کلّی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عفّت زن در زبان ودهان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تحت شرایط زیر می‌تواند با مرد نامحرم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قصد لذت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وقوع در حرام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به حرام انداختن مرد نامحرم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تهییج کننده و شهوت‌آمیز حرف نزند، مثلاً صوتش را نازک و کلامش را نرم و مهربان نسازد تا موجب طمع نامحرم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تهییج کننده و شهوت‌آور نگوید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 سخن گفتن زن با مرد نامحرم در غیر موارد ضرورت مکروه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مطابق با نظرات امام خمینی رحمه‌الله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اگر با قصد انداختن نامحرم به حرام با او حرف بزند، چه از </w:t>
      </w:r>
    </w:p>
    <w:p>
      <w:pPr>
        <w:pStyle w:val="BookText"/>
        <w:rPr/>
      </w:pPr>
      <w:r>
        <w:rPr>
          <w:rFonts w:ascii="IRNazanin" w:hAnsi="IRNazanin" w:eastAsia="IRNazanin"/>
          <w:color w:val="111111"/>
          <w:sz w:val="28"/>
          <w:sz w:val="28"/>
          <w:szCs w:val="28"/>
          <w:rtl w:val="true"/>
          <w:lang w:bidi="fa-IR"/>
        </w:rPr>
        <w:t>اموری سخن بگوید که سبب افتادن او در حرام باشد، و چه بصورت تهییج کننده با او سخن بگوید تا در قلبش شهوت تولید شود، مثلاً از مسائل شهوت انگیز سخن بگوید حرام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مطابق با نظرات امام خمینی رحمه‌الله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نباید لحن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 با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کند که هوس‌انگیز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می‌تواند در جایی که نامحرم هست با صدای بلند صحبت کند مگر اینکه صدای او موجب تحریک مردهای نامحرم باشد که در این صورت جایز نیست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نامحرم می‌توانند صدای یکدیگر را بدون قصد لذّت بشنوند، خواه به صورت صحبت کردن باشد یا به شکل دیگر، و خواه به طور مستقیم باشد یا غیر مستقیم، ولی اگر صدای زن نازک و مهیّج باشد بنابر احتیاط از گوش دادن به آن اجتناب شود</w:t>
      </w:r>
      <w:r>
        <w:rPr>
          <w:rFonts w:eastAsia="IRNazanin" w:cs="IRNazanin"/>
          <w:color w:val="111111"/>
          <w:sz w:val="28"/>
          <w:szCs w:val="28"/>
          <w:rtl w:val="true"/>
          <w:lang w:bidi="fa-IR"/>
        </w:rPr>
        <w:t>.</w:t>
      </w:r>
      <w:r>
        <w:rPr>
          <w:rStyle w:val="FootnoteAnchor"/>
          <w:rtl w:val="true"/>
        </w:rPr>
        <w:footnoteReference w:id="248"/>
      </w:r>
      <w:bookmarkStart w:id="83" w:name="pg897_3826"/>
    </w:p>
    <w:p>
      <w:pPr>
        <w:pStyle w:val="Heading3"/>
        <w:numPr>
          <w:ilvl w:val="2"/>
          <w:numId w:val="1"/>
        </w:numPr>
        <w:rPr/>
      </w:pPr>
      <w:bookmarkStart w:id="84" w:name="__RefHeading___Toc245455_373438147"/>
      <w:bookmarkStart w:id="85" w:name="_Toc28"/>
      <w:bookmarkEnd w:id="83"/>
      <w:bookmarkEnd w:id="84"/>
      <w:r>
        <w:rPr>
          <w:rtl w:val="true"/>
        </w:rPr>
        <w:t>(</w:t>
      </w:r>
      <w:r>
        <w:rPr>
          <w:rtl w:val="true"/>
        </w:rPr>
        <w:t>ب</w:t>
      </w:r>
      <w:r>
        <w:rPr>
          <w:rtl w:val="true"/>
        </w:rPr>
        <w:t>)</w:t>
      </w:r>
      <w:bookmarkEnd w:id="85"/>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هنگام تکلّم با نامحرمان اگر چه از امور عادّی و معمولی حرف بزند، صدایش را نازک و کلامش را نرم کند بگونه‌ای که موجب تحریک قلب نامحرم گردد، حرام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حرام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رحمه‌الله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رحمه‌الله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معمولاً با زن نامحرم از روی شهوت و لذّت حرف می‌زند، آیا زن با اینکه می‌داند خودش در حرام نمی‌افتد می‌تواند با او حرف بزند؟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اذان یا تکبیر یا صلوات زن در نزد نامحرمان چگونه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شنیدن صدای نامحرم حرام نیست، و هیچ منع شرعی از صلوات یا تکبیر زنان در نزد مردان وجود ندارد، مگر آنکه به مفسده‌ای بینجامد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در مقابل نامحرمان قرآن را با ترتیل یا غیر آن قرائت کند؟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بشرطی که موجب تحریک نامحرمان نبوده و مفسده‌ای در پی نداشته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بشرطی که تحریک کننده و موجب مفسده‌ای نباشد اشکالی ندارد، ولی زنان جوان قرآن را اصلاً در مقابل نامحرم نخوانند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مرحوم آیة‌اللّه گلپایگانی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زن با مرد نامحرم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اگر مهیّج باشد حرام است، و اگر مهیّج نبوده و خوف فتنه هم در کار نباشد احتیاط مستحب آن است که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ضرورتی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طرف سخن جوان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قصد تلذّذ و ریبه باشد و خوف فتنه در بین نباشد اشکال ندارد، اگر چه احوط ترک است در غیر مقام ضرورت مخصوصا با زن جوان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نامحرمی نسبت فامیلی با مردی دارد آیا می‌توانند بدون قصد لذّت با هم صحبت کنند در حالیکه همدیگر را نگاه نکنند یا نه؟</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قصد التذاذ، و با وجود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مانعی ندارد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مجلس عزای مردانه و زنانه در یک حیاط تشکیل شود، چنانچه زنی با سواد در مجلس عزای زنانه قرآن و روضه و مصیبت و نوحه بخواند که صدای او را بعض مردها که در آنجا هستند بشنوند چه صورت دارد؟</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فَاسْئَلُوهُنَّ مِنْ وَرآءِ حِجابٍ</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خوب است که مجلس زنانه طوری باشد که کاملاً مراعات عفّت بشود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بانوان صاحب نظر در میزگردهای علمی در کنار مردان و سخنرانی آنها در برابر زنان و مردان نامحرم با رعایت عفّت و حجاب اسلامی چه حکمی دارد؟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صلاحیّت علمی، و رعایت جهات شرعی اشکال ندارد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زن چه حکمی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که به زنان بی‌حجاب سلام داده نشود، تا سلام دادن موجب ترویج ترک حجاب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سلام دادن به زن حرام نیست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97_3832"/>
      <w:bookmarkStart w:id="87" w:name="pg897_3832"/>
      <w:bookmarkEnd w:id="87"/>
    </w:p>
    <w:p>
      <w:pPr>
        <w:pStyle w:val="Heading2"/>
        <w:numPr>
          <w:ilvl w:val="1"/>
          <w:numId w:val="1"/>
        </w:numPr>
        <w:rPr/>
      </w:pPr>
      <w:bookmarkStart w:id="88" w:name="pg897_3832"/>
      <w:bookmarkStart w:id="89" w:name="__RefHeading___Toc245457_373438147"/>
      <w:bookmarkStart w:id="90" w:name="_Toc29"/>
      <w:bookmarkEnd w:id="88"/>
      <w:bookmarkEnd w:id="89"/>
      <w:r>
        <w:rPr>
          <w:rtl w:val="true"/>
        </w:rPr>
        <w:t>فصل هشتم</w:t>
      </w:r>
      <w:r>
        <w:rPr>
          <w:rtl w:val="true"/>
        </w:rPr>
        <w:t xml:space="preserve">: </w:t>
      </w:r>
      <w:r>
        <w:rPr>
          <w:rtl w:val="true"/>
        </w:rPr>
        <w:t>احکام مربوط به</w:t>
      </w:r>
      <w:bookmarkEnd w:id="90"/>
    </w:p>
    <w:p>
      <w:pPr>
        <w:pStyle w:val="Heading3"/>
        <w:numPr>
          <w:ilvl w:val="2"/>
          <w:numId w:val="1"/>
        </w:numPr>
        <w:rPr/>
      </w:pPr>
      <w:bookmarkStart w:id="91" w:name="__RefHeading___Toc245459_373438147"/>
      <w:bookmarkStart w:id="92" w:name="_Toc30"/>
      <w:bookmarkEnd w:id="91"/>
      <w:r>
        <w:rPr>
          <w:rtl w:val="true"/>
        </w:rPr>
        <w:t>(</w:t>
      </w:r>
      <w:r>
        <w:rPr>
          <w:rtl w:val="true"/>
        </w:rPr>
        <w:t>الف</w:t>
      </w:r>
      <w:r>
        <w:rPr>
          <w:rtl w:val="true"/>
        </w:rPr>
        <w:t>)</w:t>
      </w:r>
      <w:bookmarkEnd w:id="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و استفتائات کلی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نظر عرف مردم زینت محسوب می‌شود اظهار آن در برابر نامحرم جایز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جایز نیست در مقابل نامحرمان زینتی داشته باشد مگر زینتهایی مثل سرمه و انگشتر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نازک و لباسی که در صورت تابش نور، بدن زن</w:t>
      </w:r>
    </w:p>
    <w:p>
      <w:pPr>
        <w:pStyle w:val="BookText"/>
        <w:rPr/>
      </w:pPr>
      <w:r>
        <w:rPr>
          <w:rFonts w:ascii="IRNazanin" w:hAnsi="IRNazanin" w:eastAsia="IRNazanin"/>
          <w:color w:val="111111"/>
          <w:sz w:val="28"/>
          <w:sz w:val="28"/>
          <w:szCs w:val="28"/>
          <w:rtl w:val="true"/>
          <w:lang w:bidi="fa-IR"/>
        </w:rPr>
        <w:t>نمایان می‌شود در جایی که نامحرم باشد اشکال دارد، همچنین پوشیدن لباس رنگین و چشمگیر در صورتی که برای زن زینت حساب شود و نامحرم او را ببیند محلّ اشکال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کردن هر آنچه در نظر عرف زینت و آرایش برای زن محسوب می‌شود در برابر مرد نامحرم جایز نیست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زن زینت خود را که احتمال دارد موجب تحریک نامحرمان گردد، اگر چه در صورت یا دستهای او باشد ظاهر 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نمودن زن در انظار عمومی و نامحرمان جایز نمی‌باشد</w:t>
      </w:r>
      <w:r>
        <w:rPr>
          <w:rFonts w:eastAsia="IRNazanin" w:cs="IRNazanin"/>
          <w:color w:val="111111"/>
          <w:sz w:val="28"/>
          <w:szCs w:val="28"/>
          <w:rtl w:val="true"/>
          <w:lang w:bidi="fa-IR"/>
        </w:rPr>
        <w:t>.</w:t>
      </w:r>
      <w:r>
        <w:rPr>
          <w:rStyle w:val="FootnoteAnchor"/>
          <w:rtl w:val="true"/>
        </w:rPr>
        <w:footnoteReference w:id="273"/>
      </w:r>
      <w:bookmarkStart w:id="93" w:name="pg897_3836"/>
    </w:p>
    <w:p>
      <w:pPr>
        <w:pStyle w:val="Heading3"/>
        <w:numPr>
          <w:ilvl w:val="2"/>
          <w:numId w:val="1"/>
        </w:numPr>
        <w:rPr/>
      </w:pPr>
      <w:bookmarkStart w:id="94" w:name="__RefHeading___Toc245461_373438147"/>
      <w:bookmarkStart w:id="95" w:name="_Toc31"/>
      <w:bookmarkEnd w:id="93"/>
      <w:bookmarkEnd w:id="94"/>
      <w:r>
        <w:rPr>
          <w:rtl w:val="true"/>
        </w:rPr>
        <w:t>(</w:t>
      </w:r>
      <w:r>
        <w:rPr>
          <w:rtl w:val="true"/>
        </w:rPr>
        <w:t>ب</w:t>
      </w:r>
      <w:r>
        <w:rPr>
          <w:rtl w:val="true"/>
        </w:rPr>
        <w:t>)</w:t>
      </w:r>
      <w:bookmarkEnd w:id="95"/>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زینت و آرایش زن چیست؟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عرفا زینت محسوب شود، و در عرف مردم بر آن زینت اطلاق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چشم خود سرمه بگذارد، نه با هدف زینت و آرایش و بلکه بخاطر فوائد پزشکی که سرمه دارد، آیا در این مورد زن باید آن را از نامحرم بپوشاند؟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عرفا زینت حساب شود واجب است آن را بپوشاند چه با قصد </w:t>
      </w:r>
    </w:p>
    <w:p>
      <w:pPr>
        <w:pStyle w:val="BookText"/>
        <w:rPr/>
      </w:pPr>
      <w:r>
        <w:rPr>
          <w:rFonts w:ascii="IRNazanin" w:hAnsi="IRNazanin" w:eastAsia="IRNazanin"/>
          <w:color w:val="111111"/>
          <w:sz w:val="28"/>
          <w:sz w:val="28"/>
          <w:szCs w:val="28"/>
          <w:rtl w:val="true"/>
          <w:lang w:bidi="fa-IR"/>
        </w:rPr>
        <w:t>زینت باشد چه نباشد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نمودن و خود را در دَیْدن مردان بیگانه قرار دادن که موجب فساد در جامعه گردد حرام می‌باشد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ابروان خود را می‌چینند، آیا برای رعایت حجاب کامل موظّفند ابروهای خود را بپوشانند یا اشکالی ندارد؟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درنظر عرف مردم زینت محسوب می‌شود واجب است پوشانده 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دستها و صورت هم مطلقا چه زینتی بر آن باشد و چه نباشد بنابر احتیاط بر زن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زینت باشد مسلّما</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ابروها زینت حساب می‌شود، و واجب است که از نامحرم پوشانده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نامحرم نگاه می‌کند و یا باعث تهییج شهوت می‌شود حرام است و گناه می‌کند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دهد منشأ فساد و موجب تهییج شهوت گردد حرام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و یا دستهای زن آرایش و یا زینت باشد، آیا پوشاندن آن همانگونه که در بین نامحرمان غیر فامیل و غریبه واجب است در بین خویشاوندان نامحرم هم واجب است؟ </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فرقی نمی‌کند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سرمه کشیدن، یا ابروچیدن، انگشتر عقیق، ساعت، عینک طبّی زیبا، برای زنان زینت حساب می‌آید که پوشش آنها لازم باشد؟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نظر عرف مردم زینت محسوب می‌شود اظهار آن در برابر نامحرم جایز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هستم که حلقه ازدواج را دستم می‌کنم در حالیکه قصد زینت هم از آن ندارم، بلکه بخاطر یادآوری ازدواج خود و نشان دادن وفاء به شوهرم می‌باشد، آیا پوشاندن آن از نامحرم واجب است؟ </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انگشتری، زینت حساب می‌شود و پوشاندن آن از نامحرم واجب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 زدن و خوشبو نمودن زن با انواع خوشبو کننده‌ها، در صورتی که بوی آن به مشام نامحرم می‌رسد اشکال شرعی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خوشبو نمودن اشکالی ندارد، ولی اگر خوشبو نمودن زن خود را موجب فساد و تحریک شهوت نامحرمان گردد جایز نیست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عطرهایی که موجب جلب توجه نامحرمان به زن می‌شود در بین نامحرمان جایز نیست، مگر اینکه در خانه خودش زده ولی بوی آن در خارج هم به ناچار مانده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خوشبو نمودن با قصد جلب توجّه نامحرمان باشد اشکال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موجب جلب نظر نامحرم یا منشأ خوف از افتادن در فتنه و فساد باشد جائز نیست و گر نه حرمت شرعی ندارد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 برای غیر شوهرش در بعض از مجالس زنانه مثل عروسیها و یا غیره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نامحرم نبیند اشکالی ندارد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زن کفشهایی را که دارای صدا هستند و هنگام راه رفتن صدای پای آنها را نامحرمان می‌شنوند چه حکمی دارند؟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مفسده‌ای به دنبال داشته باشند اشکال شرعی دارند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باعث جلب توجّه و ترتّب مفسده نشده است فی نفسه اشکال ندارد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حنای دست زن را اگر نامحرم ببیند چه صورت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نامحرم مستور کند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لباسی که برای تزیین، قسمتهایی از آن تور دوزی شده برای زنها جایز است؟</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زینت محسوب شود جایز نیست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کفش سیاه برّاق توسط زن مؤمن جائز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 مگر آنکه رنگ و شکل آن باعث جلب توجّه نامحرم و یا انگشت‌نما شدن او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مراسم ازدواج، عروسی با حجاب کامل باشد و تنها صورت ایشان بیرون باشد، عکس و فیلم‌برداری بوسیله برادر شوهر و یا نامحرم دیگر از نظر شرعی چه حکمی دارد؟ در ضمن اگر عکسِ زن بدون حجاب را محرمی بردارد آیا دادن فیلم به عکّاس نامحرم جهت ظهور و چاپ اشکالی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ازدواج، اگر عروسی آرایش کرده باشد که معمولاً هم چنین است، عکس برداری و فیلم بوسیله نامحرم خلاف است و نباید انجام گیرد و عکسی که بوسیله محرم گرفته می‌شود ظاهر کردنش بوسیله نامحرم، اگر باعث فساد و آبروریزی نباشد مانعی ندارد</w:t>
      </w:r>
      <w:r>
        <w:rPr>
          <w:rFonts w:eastAsia="IRNazanin" w:cs="IRNazanin"/>
          <w:color w:val="111111"/>
          <w:sz w:val="28"/>
          <w:szCs w:val="28"/>
          <w:rtl w:val="true"/>
          <w:lang w:bidi="fa-IR"/>
        </w:rPr>
        <w:t>.</w:t>
      </w:r>
      <w:r>
        <w:rPr>
          <w:rStyle w:val="FootnoteAnchor"/>
          <w:rtl w:val="true"/>
        </w:rPr>
        <w:footnoteReference w:id="312"/>
      </w:r>
      <w:bookmarkStart w:id="96" w:name="pg897_3844"/>
    </w:p>
    <w:p>
      <w:pPr>
        <w:pStyle w:val="Heading2"/>
        <w:numPr>
          <w:ilvl w:val="1"/>
          <w:numId w:val="1"/>
        </w:numPr>
        <w:rPr/>
      </w:pPr>
      <w:bookmarkStart w:id="97" w:name="__RefHeading___Toc245463_373438147"/>
      <w:bookmarkStart w:id="98" w:name="_Toc32"/>
      <w:bookmarkEnd w:id="96"/>
      <w:bookmarkEnd w:id="97"/>
      <w:r>
        <w:rPr>
          <w:rtl w:val="true"/>
        </w:rPr>
        <w:t>فصل نهم</w:t>
      </w:r>
      <w:r>
        <w:rPr>
          <w:rtl w:val="true"/>
        </w:rPr>
        <w:t xml:space="preserve">: </w:t>
      </w:r>
      <w:r>
        <w:rPr>
          <w:rtl w:val="true"/>
        </w:rPr>
        <w:t>احکام مربوط به</w:t>
      </w:r>
      <w:bookmarkEnd w:id="98"/>
    </w:p>
    <w:p>
      <w:pPr>
        <w:pStyle w:val="Heading3"/>
        <w:numPr>
          <w:ilvl w:val="2"/>
          <w:numId w:val="1"/>
        </w:numPr>
        <w:rPr/>
      </w:pPr>
      <w:bookmarkStart w:id="99" w:name="__RefHeading___Toc245465_373438147"/>
      <w:bookmarkStart w:id="100" w:name="_Toc33"/>
      <w:bookmarkEnd w:id="99"/>
      <w:r>
        <w:rPr>
          <w:rtl w:val="true"/>
        </w:rPr>
        <w:t>(</w:t>
      </w:r>
      <w:r>
        <w:rPr>
          <w:rtl w:val="true"/>
        </w:rPr>
        <w:t>الف</w:t>
      </w:r>
      <w:r>
        <w:rPr>
          <w:rtl w:val="true"/>
        </w:rPr>
        <w:t>)</w:t>
      </w:r>
      <w:bookmarkEnd w:id="1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و استفتائات کلی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زن به اماکن و مجامعی که می‌داند در آنها مردانی هستند که عمدا و با قصد لذّت به او نگاه می‌کنند جایز نیست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مدارس مختلط اعمّ از ابتدائی و عالی و تدریس در آن مدارس و فرستادن فرزندان به آن مدارس و همکاری با آنها جایز نیست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نمی‌تواند در مراکزی که می‌داند در آن اختلاط است مشغول تحصیل علم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دختر و پسر در حالیکه به سنّ مراهقه رسیده‌اند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زنان در مراکز آموزشی جهت تعلیم و تعلّم وارد شوند، ولی بر زنان و دختران واجب است که حجاب اسلامی را کاملاً مراعات نمایند، و همچنین بر مردان واجب است که از نگاه کردن به آنچه که حرام است بپرهیزند، و همچنین باید از اختلاطی که خوف فتنه و فساد در آن است دوری کنند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زن و مرد در مراکز و مجامع عمومی، به شکلی که در معرض فساد و گناه قرار بگیرند جائز نیست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واجب است مدرسه‌هایی را مهیّا کنند که دختران جوان در آنها بدون اختلاط با پسران بتوانند درس بخوانند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مدارس مختلط اعمّ از ابتدائی و عالی و تدریس در آن مدارس و فرستادن فرزندان به آن مدارس و همکاری با آنها جائز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شغلی داشته باشد و بخواهد کاری انجام دهد که در مقابل نامحرم مراعات حجاب برای او ممکن نباشد، باید آن را ترک کند و شغلی را انتخاب کند که بتواند حجاب شرعی را رعایت نماید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علمی و عملی بانوان در شئون گوناگون اجتماع اشکال ندارد به شرط آنکه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عمومی را رعایت کرده و مرتکب حرام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مستلزم تضییع حقوق شوهران و منافی حیثیّت و شئون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مطابق آنچه از کتاب و سنّت استفاده می‌شود بهتر است زنان در غیر موارد ضرورت و لزوم در اجتماعاتی که نامحرم وجود دارد ظاهر نشوند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زن و مرد در مراکز و مجامع عمومی به شکلی که در معرض فساد و گناه قرار بگیرند جایز نیست</w:t>
      </w:r>
      <w:r>
        <w:rPr>
          <w:rFonts w:eastAsia="IRNazanin" w:cs="IRNazanin"/>
          <w:color w:val="111111"/>
          <w:sz w:val="28"/>
          <w:szCs w:val="28"/>
          <w:rtl w:val="true"/>
          <w:lang w:bidi="fa-IR"/>
        </w:rPr>
        <w:t>.</w:t>
      </w:r>
      <w:r>
        <w:rPr>
          <w:rStyle w:val="FootnoteAnchor"/>
          <w:rtl w:val="true"/>
        </w:rPr>
        <w:footnoteReference w:id="323"/>
      </w:r>
      <w:bookmarkStart w:id="101" w:name="pg897_3849"/>
    </w:p>
    <w:p>
      <w:pPr>
        <w:pStyle w:val="Heading3"/>
        <w:numPr>
          <w:ilvl w:val="2"/>
          <w:numId w:val="1"/>
        </w:numPr>
        <w:rPr/>
      </w:pPr>
      <w:bookmarkStart w:id="102" w:name="__RefHeading___Toc245467_373438147"/>
      <w:bookmarkStart w:id="103" w:name="_Toc34"/>
      <w:bookmarkEnd w:id="101"/>
      <w:bookmarkEnd w:id="102"/>
      <w:r>
        <w:rPr>
          <w:rtl w:val="true"/>
        </w:rPr>
        <w:t>(</w:t>
      </w:r>
      <w:r>
        <w:rPr>
          <w:rtl w:val="true"/>
        </w:rPr>
        <w:t>ب</w:t>
      </w:r>
      <w:r>
        <w:rPr>
          <w:rtl w:val="true"/>
        </w:rPr>
        <w:t>)</w:t>
      </w:r>
      <w:bookmarkEnd w:id="103"/>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مرد با یک زن نامحرم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قصد لذّت باشد و یا احتمال وقوع در حرام باشد جائز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می‌خواهد به تحصیل خود ادامه دهد که بعدها شغلی حلال انتخاب کند، ولی فعلاً ادامه تحصیل ملازم با این است که با نامحرم روبرو شود، مثلاً نزد مرد درس بخواند، یا اینکه با مردها در یک جا باشند همچو تحصیل، جایز است یا خیر؟</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تحصیل در رشته‌های حلال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تستّر از </w:t>
      </w:r>
    </w:p>
    <w:p>
      <w:pPr>
        <w:pStyle w:val="BookText"/>
        <w:rPr/>
      </w:pPr>
      <w:r>
        <w:rPr>
          <w:rFonts w:ascii="IRNazanin" w:hAnsi="IRNazanin" w:eastAsia="IRNazanin"/>
          <w:color w:val="111111"/>
          <w:sz w:val="28"/>
          <w:sz w:val="28"/>
          <w:szCs w:val="28"/>
          <w:rtl w:val="true"/>
          <w:lang w:bidi="fa-IR"/>
        </w:rPr>
        <w:t xml:space="preserve">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اختلاط با آنها لازم است، و اگر ادامه تحصیل مستلزم اختلاط با اجانب باشد، و مفاسد دینی و اخلاقی در برداشته باشد ترک 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دختران و بانوان با مردان در ارگانهای انقلابی مانند جهاد سازندگی، بنیاد شهید، سپاه پاسداران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امور محوّله و نشست با هم که ناچار از تماس و برخورد با هم می‌باشند مشروع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وظایف شرعیه در امور مذکور مانع ندارد، ولی از اختلاط و تماسّ</w:t>
      </w:r>
      <w:r>
        <w:rPr>
          <w:rStyle w:val="FootnoteAnchor"/>
          <w:rtl w:val="true"/>
        </w:rPr>
        <w:footnoteReference w:id="330"/>
      </w:r>
      <w:r>
        <w:rPr>
          <w:rFonts w:ascii="IRNazanin" w:hAnsi="IRNazanin" w:eastAsia="IRNazanin"/>
          <w:color w:val="111111"/>
          <w:sz w:val="28"/>
          <w:sz w:val="28"/>
          <w:szCs w:val="28"/>
          <w:rtl w:val="true"/>
          <w:lang w:bidi="fa-IR"/>
        </w:rPr>
        <w:t>زیاد با نامحرم اجتناب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به نامحرم ومطرح کردن مسائل تهییج کننده جنسی در آن برای همدیگر چه حکمی دارد؟</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هر عملی که موجب مفسده باشد حرام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 شرکت در مراسم استقبال و خوش آمدگویی و تقدیم دسته گل که توسّط وزارت خانه‌ها و ادارات دولتی و غیر آنها ترتیب داده می‌شود جایز است؟ و آیا صحیح است که شرکت آنان را در این مراسم این‌گونه توجیه کنیم که هدف ما نشان دادن حرّیت و احترام زن در جوامع اسلامی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زنان برای مشارکت در مراسم استقبال و خوش آمدگویی به مهمانان خارجی وجهی ندارد و در صورتی که موجب فساد و ترویج فرهنگ غیر اسلامی شود جایز نیست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کارکردن زنانی که در ادارات کار می‌کنند و اغلب با نامحرم سروکار دارند در این مکانها چه حکمی دارد؟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کارکردن زن در اداره شرعا جایز است، ولی باید با نامحرم تماس نامشروع نداشته باشد، و اگر بدون تماس نامشروع ممکن نباشد کارکردن در ادارت جایز نیست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رعایت کامل حجاب و پای بند بودن به موازین شرعی مانعی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ضوابط شرعی اشتغال بانوان در اجتماع را بیان کنید؟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اشتغال آنان موجب خلاف شرع نباشد، مانند رابطه با نامحرم و مخالفت با شوهر و نظایر اینها، اشکال ندارد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معیار اساسی برای جواز روابط زن و مرد در عرصه هنر و سینما چیست؟</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زن و مرد اگر موجب تماس باشد یا مهیّج باشد یا موجب مفاسد اجتماعی باشد جایز نیست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امور آموزشی در دانشگاه، پسران و دختران جوان در کنار یکدیگر و یا عدّه‌ای از پسران جوان پشت سر دختران جوان بنشینند؟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کردن از این گونه اعمال در حدّ توان، مخصوصا در نظام جمهوری اسلامی لازم است، بلکه در کنار یکدیگر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زمینه تهمت و مفاسد را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به تکلیف رسیده، هنگامیکه پسر عمو و دایی یا ارحام نامحرم دیگر به منزل ما می‌آیند، در صورتی که خودم یا مادرش یا برادرش حضور داریم با حجاب اسلامی کامل می‌آید و از آنها احوالپرسی می‌کند، و گاهی هم می‌نشیند و با آنها صحبت می‌کند آیا این رفتار او اشکال شرعی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شنیدن صدای زن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او برای مرد بیگانه و نامحرم حرام نیست، و ترک آن هم بر زن واجب نیست، بنابر این گفتگو به آن ترتیب که ذکر شده و با رعایت حدود حجاب اسلامی فی حدّ نفسه حرام نمی‌باشد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خوانی برای اهل بیت علیهم‌السلام چه حکمی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خوانی فی حد نفسه حرام نیست، لکن نسبت دروغ، و اخلاط زن و مرد، و ایذاء افراد در همه جا حرام است و باید از آن اجتناب کرد</w:t>
      </w:r>
      <w:r>
        <w:rPr>
          <w:rFonts w:eastAsia="IRNazanin" w:cs="IRNazanin"/>
          <w:color w:val="111111"/>
          <w:sz w:val="28"/>
          <w:szCs w:val="28"/>
          <w:rtl w:val="true"/>
          <w:lang w:bidi="fa-IR"/>
        </w:rPr>
        <w:t>.</w:t>
      </w:r>
      <w:r>
        <w:rPr>
          <w:rStyle w:val="FootnoteAnchor"/>
          <w:rtl w:val="true"/>
        </w:rPr>
        <w:footnoteReference w:id="340"/>
      </w:r>
      <w:bookmarkStart w:id="104" w:name="pg897_3854"/>
    </w:p>
    <w:p>
      <w:pPr>
        <w:pStyle w:val="Heading2"/>
        <w:numPr>
          <w:ilvl w:val="1"/>
          <w:numId w:val="1"/>
        </w:numPr>
        <w:rPr/>
      </w:pPr>
      <w:bookmarkStart w:id="105" w:name="__RefHeading___Toc245469_373438147"/>
      <w:bookmarkStart w:id="106" w:name="_Toc35"/>
      <w:bookmarkEnd w:id="104"/>
      <w:bookmarkEnd w:id="105"/>
      <w:r>
        <w:rPr>
          <w:rtl w:val="true"/>
        </w:rPr>
        <w:t>فصل دهم</w:t>
      </w:r>
      <w:r>
        <w:rPr>
          <w:rtl w:val="true"/>
        </w:rPr>
        <w:t xml:space="preserve">: </w:t>
      </w:r>
      <w:r>
        <w:rPr>
          <w:rtl w:val="true"/>
        </w:rPr>
        <w:t>احکام مربوط به</w:t>
      </w:r>
      <w:bookmarkEnd w:id="1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45471_373438147"/>
      <w:bookmarkStart w:id="108" w:name="_Toc36"/>
      <w:bookmarkEnd w:id="107"/>
      <w:r>
        <w:rPr>
          <w:rtl w:val="true"/>
        </w:rPr>
        <w:t>فتاوا و استفتائات کلّی</w:t>
      </w:r>
      <w:bookmarkEnd w:id="1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پیرامون عفّت زن در خلوت</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و زن نامحرم در محلّ خلوتی باشند که کسی در آنجا نباشد و دیگری هم نمی‌تواند وارد شود چنانچه بترسند که به حرام بیفتند باید از آنجا خارج شوند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و زن نامحرم در محلّ خلوتی باشند که کسی در آنجا نیست و دیگری هم نمی‌تواند وارد شود حرام است چه به ذکر خدا مشغول باشند یا به صحبت دیگر، خواب باشند یا بیدار، و نمازشان هم در آنجا صحیح نیست ولی اگر طوری باشد که کسی دیگر بتواند وارد شود، یا بچه‌ای که خوب و بد را می‌فهمد در آنجا باشد اشکال ندارد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با فتوای مرحوم آیاللّه گلپایگانی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 مرد و زن نامحرم در محلّ خلوتی که کسی در آنجا نیست و </w:t>
      </w:r>
    </w:p>
    <w:p>
      <w:pPr>
        <w:pStyle w:val="BookText"/>
        <w:rPr/>
      </w:pPr>
      <w:r>
        <w:rPr>
          <w:rFonts w:ascii="IRNazanin" w:hAnsi="IRNazanin" w:eastAsia="IRNazanin"/>
          <w:color w:val="111111"/>
          <w:sz w:val="28"/>
          <w:sz w:val="28"/>
          <w:szCs w:val="28"/>
          <w:rtl w:val="true"/>
          <w:lang w:bidi="fa-IR"/>
        </w:rPr>
        <w:t>دیگری هم نمی‌تواند وارد شود در صورتیکه احتمال فساد برود حرام است، ولی اگر طوری باشد که کسی دیگر بتواند وارد شود، یا بچه‌ای که خوب و بد را می‌فهمد در آنجا باشد یا احتمال فساد نرود اشکال ندارد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با فتوای مرحوم آیة اللّه خوئی</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با فتوای مرحوم آیة اللّه گلپایگانی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مرد و زن نامحرم در محلّ خلوتی که کسی در آنجا نیست در صورتیکه احتمال فساد برود حرام است، هر چند طوری باشد که کس دیگر بتواند وارد شود، و اگر احتمال فساد نرود اشکال ندارد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مرد و زن نامحرم در محلّ خلوتی که کسی در آنجا نیست و دیگری هم نمی‌تواند وارد شود نمانند، حتّی اگر در آنجا نماز بخوانند نماز آنها اشکال 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مطابق با فتوای مرحوم آیة‌اللّه خویی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و زن نامحرمی در محلّ خلوتی باشند که کسی در آنجا نبوده و دیگری هم نتواند وارد شود چنانچه بترسند که به حرام بیفتند، باید از آنجا بیرون روند، بلکه احتیاط واجب آن است که مطلقا از خلوت کردن بپرهیزند هر چند خوف ارتکاب حرام نباشد، یا دیگری هم بتواند وارد شود، و صحّت نماز آنان نیز در حال خلوت و نبودن شخص سوّم، محلّ اشکال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کردن مرد و زن در یک اتومبیل به شکلی که شخص دیگری نباشد خلاف احتیاط است و اگر مظنّه فساد و گناه باشد حرام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فتوای امام خمینی رحمه‌الله </w:t>
      </w:r>
      <w:r>
        <w:rPr>
          <w:rFonts w:eastAsia="IRNazanin" w:cs="IRNazanin"/>
          <w:color w:val="111111"/>
          <w:sz w:val="28"/>
          <w:szCs w:val="28"/>
          <w:rtl w:val="true"/>
          <w:lang w:bidi="fa-IR"/>
        </w:rPr>
        <w:t>.</w:t>
      </w:r>
      <w:r>
        <w:rPr>
          <w:rStyle w:val="FootnoteAnchor"/>
          <w:rtl w:val="true"/>
        </w:rPr>
        <w:footnoteReference w:id="35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97_3860"/>
      <w:bookmarkStart w:id="110" w:name="pg897_3860"/>
      <w:bookmarkEnd w:id="110"/>
    </w:p>
    <w:p>
      <w:pPr>
        <w:pStyle w:val="Heading2"/>
        <w:numPr>
          <w:ilvl w:val="1"/>
          <w:numId w:val="1"/>
        </w:numPr>
        <w:rPr/>
      </w:pPr>
      <w:bookmarkStart w:id="111" w:name="pg897_3860"/>
      <w:bookmarkStart w:id="112" w:name="__RefHeading___Toc245473_373438147"/>
      <w:bookmarkStart w:id="113" w:name="_Toc37"/>
      <w:bookmarkEnd w:id="111"/>
      <w:bookmarkEnd w:id="112"/>
      <w:r>
        <w:rPr>
          <w:rtl w:val="true"/>
        </w:rPr>
        <w:t>فصل یازدهم</w:t>
      </w:r>
      <w:r>
        <w:rPr>
          <w:rtl w:val="true"/>
        </w:rPr>
        <w:t xml:space="preserve">: </w:t>
      </w:r>
      <w:r>
        <w:rPr>
          <w:rtl w:val="true"/>
        </w:rPr>
        <w:t>احکام مربوط به</w:t>
      </w:r>
      <w:bookmarkEnd w:id="113"/>
    </w:p>
    <w:p>
      <w:pPr>
        <w:pStyle w:val="Heading3"/>
        <w:numPr>
          <w:ilvl w:val="2"/>
          <w:numId w:val="1"/>
        </w:numPr>
        <w:rPr/>
      </w:pPr>
      <w:bookmarkStart w:id="114" w:name="__RefHeading___Toc245475_373438147"/>
      <w:bookmarkStart w:id="115" w:name="_Toc38"/>
      <w:bookmarkEnd w:id="114"/>
      <w:r>
        <w:rPr>
          <w:rtl w:val="true"/>
        </w:rPr>
        <w:t>(</w:t>
      </w:r>
      <w:r>
        <w:rPr>
          <w:rtl w:val="true"/>
        </w:rPr>
        <w:t>الف</w:t>
      </w:r>
      <w:r>
        <w:rPr>
          <w:rtl w:val="true"/>
        </w:rPr>
        <w:t>)</w:t>
      </w:r>
      <w:bookmarkEnd w:id="115"/>
    </w:p>
    <w:p>
      <w:pPr>
        <w:pStyle w:val="BookText"/>
        <w:rPr/>
      </w:pPr>
      <w:r>
        <w:rPr>
          <w:rFonts w:ascii="IRNazanin" w:hAnsi="IRNazanin" w:eastAsia="IRNazanin"/>
          <w:color w:val="111111"/>
          <w:sz w:val="28"/>
          <w:sz w:val="28"/>
          <w:szCs w:val="28"/>
          <w:rtl w:val="true"/>
          <w:lang w:bidi="fa-IR"/>
        </w:rPr>
        <w:t>فتاوا و استفتائات کلی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عفّت زن در تماس و لمس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نگاه کردن به آن حرام است، لمس آن هم با هر عضوی از اعضای بدن حرام است مگر از روی لباسی بدون قصد التذاذ و ریبه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نگاه کردن به صورت و دستهای زن مسلمان با حجاب و مقداری از بدن زنان کفّار که معمولاً بیرون می‌گذارند بدون قصد التذاذ و ریبه اشکالی ندارد ولی لمس آن مواضع حرام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3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زدن مرد به بدن زن نامحرم یا دست زدن زن به بدن مرد نامحرم مثل نگاه کردن حرام است، و دست زدن مرد به صورت و دستهای زن نامحرم و بالعکس نیز بنابر اظهر جایز نیست</w:t>
      </w:r>
      <w:r>
        <w:rPr>
          <w:rFonts w:eastAsia="IRNazanin" w:cs="IRNazanin"/>
          <w:color w:val="111111"/>
          <w:sz w:val="28"/>
          <w:szCs w:val="28"/>
          <w:rtl w:val="true"/>
          <w:lang w:bidi="fa-IR"/>
        </w:rPr>
        <w:t>.</w:t>
      </w:r>
      <w:r>
        <w:rPr>
          <w:rStyle w:val="FootnoteAnchor"/>
          <w:rtl w:val="true"/>
        </w:rPr>
        <w:footnoteReference w:id="358"/>
      </w:r>
      <w:bookmarkStart w:id="116" w:name="pg897_3864"/>
    </w:p>
    <w:p>
      <w:pPr>
        <w:pStyle w:val="Heading3"/>
        <w:numPr>
          <w:ilvl w:val="2"/>
          <w:numId w:val="1"/>
        </w:numPr>
        <w:rPr/>
      </w:pPr>
      <w:bookmarkStart w:id="117" w:name="__RefHeading___Toc245477_373438147"/>
      <w:bookmarkStart w:id="118" w:name="_Toc39"/>
      <w:bookmarkEnd w:id="116"/>
      <w:bookmarkEnd w:id="117"/>
      <w:r>
        <w:rPr>
          <w:rtl w:val="true"/>
        </w:rPr>
        <w:t>(</w:t>
      </w:r>
      <w:r>
        <w:rPr>
          <w:rtl w:val="true"/>
        </w:rPr>
        <w:t>ب</w:t>
      </w:r>
      <w:r>
        <w:rPr>
          <w:rtl w:val="true"/>
        </w:rPr>
        <w:t>)</w:t>
      </w:r>
      <w:bookmarkEnd w:id="118"/>
    </w:p>
    <w:p>
      <w:pPr>
        <w:pStyle w:val="BookText"/>
        <w:rPr/>
      </w:pPr>
      <w:r>
        <w:rPr>
          <w:rFonts w:ascii="IRNazanin" w:hAnsi="IRNazanin" w:eastAsia="IRNazanin"/>
          <w:color w:val="111111"/>
          <w:sz w:val="28"/>
          <w:sz w:val="28"/>
          <w:szCs w:val="28"/>
          <w:rtl w:val="true"/>
          <w:lang w:bidi="fa-IR"/>
        </w:rPr>
        <w:t>فتاوا و استفتائات کلّی</w:t>
      </w:r>
    </w:p>
    <w:p>
      <w:pPr>
        <w:pStyle w:val="BookText"/>
        <w:rPr/>
      </w:pPr>
      <w:r>
        <w:rPr>
          <w:rFonts w:ascii="IRNazanin" w:hAnsi="IRNazanin" w:eastAsia="IRNazanin"/>
          <w:color w:val="111111"/>
          <w:sz w:val="28"/>
          <w:sz w:val="28"/>
          <w:szCs w:val="28"/>
          <w:rtl w:val="true"/>
          <w:lang w:bidi="fa-IR"/>
        </w:rPr>
        <w:t>پیرامون دست دادن زن با مرد نامحرم</w:t>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با نامحرم جایز نیست مگر از روی لباس، و بدون آنکه دست او را بفشارد، و قصد التذاذ و احتمال وقوع در فساد هم نباشد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با نامحرم از روی لباس و بدون ریبه و شهوت اشکال ندارد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با زن نامحرم اگر موجب لمس دستان او باشد جایز نیست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نظر مرحوم آیة‌اللّه خویی</w:t>
      </w:r>
      <w:r>
        <w:rPr>
          <w:rFonts w:eastAsia="IRNazanin" w:cs="IRNazanin"/>
          <w:color w:val="111111"/>
          <w:sz w:val="28"/>
          <w:szCs w:val="28"/>
          <w:rtl w:val="true"/>
          <w:lang w:bidi="fa-IR"/>
        </w:rPr>
        <w:t>.</w:t>
      </w:r>
      <w:r>
        <w:rPr>
          <w:rStyle w:val="FootnoteAnchor"/>
          <w:rtl w:val="true"/>
        </w:rPr>
        <w:footnoteReference w:id="36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مصافحه با زنان نامحرم از مسلّمات فقه شیعه است، و غربیها اصرار دارند فرهنگ خود را به ما تحمیل کنند، و </w:t>
      </w:r>
    </w:p>
    <w:p>
      <w:pPr>
        <w:pStyle w:val="BookText"/>
        <w:rPr/>
      </w:pPr>
      <w:r>
        <w:rPr>
          <w:rFonts w:ascii="IRNazanin" w:hAnsi="IRNazanin" w:eastAsia="IRNazanin"/>
          <w:color w:val="111111"/>
          <w:sz w:val="28"/>
          <w:sz w:val="28"/>
          <w:szCs w:val="28"/>
          <w:rtl w:val="true"/>
          <w:lang w:bidi="fa-IR"/>
        </w:rPr>
        <w:t>استعلال فکری و فرهنگی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زیادی در منابع شیعه و اهل سنّت آمده که صراحت در تحریم دارند، از جمله پیامبر اکرم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زن نامحرمی مصافحه کند به غضب خداوند گرفتار خواهد شد و خود آن حضرت نیز به هنگام بیعت با زنان به آنها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مسلمان و غیر مسلمان و معتقد به حجاب و غیر معتقد، و در ملأ عام و غیر آن نیست، هر چند در مورد زنان مسلمان و در ملأ عام حرمت آن شدیدتر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اجنبی با اجنبیّه و بالعکس حرام بیّن است، و این مطلب از مسلّمات فقه اسلام است و در ملأ عام حرمت شدیدتر دارد و نیز فرقی نمی‌کند زن معتقد به حجاب باشد یا نباشد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با زن نامحرم جایز نیست، مگر اینکه از روی پوشش و لباس باشد، و لیکن از فشار دادن دست باید اجتناب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مصافحه با نامحرم اگر موجب لمس بدن نامحرم شود حرام است</w:t>
      </w:r>
      <w:r>
        <w:rPr>
          <w:rFonts w:eastAsia="IRNazanin" w:cs="IRNazanin"/>
          <w:color w:val="111111"/>
          <w:sz w:val="28"/>
          <w:szCs w:val="28"/>
          <w:rtl w:val="true"/>
          <w:lang w:bidi="fa-IR"/>
        </w:rPr>
        <w:t>.</w:t>
      </w:r>
      <w:r>
        <w:rPr>
          <w:rStyle w:val="FootnoteAnchor"/>
          <w:rtl w:val="true"/>
        </w:rPr>
        <w:footnoteReference w:id="366"/>
      </w:r>
      <w:bookmarkStart w:id="119" w:name="pg897_3866"/>
    </w:p>
    <w:p>
      <w:pPr>
        <w:pStyle w:val="Heading3"/>
        <w:numPr>
          <w:ilvl w:val="2"/>
          <w:numId w:val="1"/>
        </w:numPr>
        <w:rPr/>
      </w:pPr>
      <w:bookmarkStart w:id="120" w:name="__RefHeading___Toc245479_373438147"/>
      <w:bookmarkStart w:id="121" w:name="_Toc40"/>
      <w:bookmarkEnd w:id="119"/>
      <w:bookmarkEnd w:id="120"/>
      <w:r>
        <w:rPr>
          <w:rtl w:val="true"/>
        </w:rPr>
        <w:t>(</w:t>
      </w:r>
      <w:r>
        <w:rPr>
          <w:rtl w:val="true"/>
        </w:rPr>
        <w:t>ج</w:t>
      </w:r>
      <w:r>
        <w:rPr>
          <w:rtl w:val="true"/>
        </w:rPr>
        <w:t>)</w:t>
      </w:r>
      <w:bookmarkEnd w:id="121"/>
    </w:p>
    <w:p>
      <w:pPr>
        <w:pStyle w:val="BookText"/>
        <w:rPr/>
      </w:pPr>
      <w:r>
        <w:rPr>
          <w:rFonts w:ascii="IRNazanin" w:hAnsi="IRNazanin" w:eastAsia="IRNazanin"/>
          <w:color w:val="111111"/>
          <w:sz w:val="28"/>
          <w:sz w:val="28"/>
          <w:szCs w:val="28"/>
          <w:rtl w:val="true"/>
          <w:lang w:bidi="fa-IR"/>
        </w:rPr>
        <w:t>فتاوا و استفتائات کلی</w:t>
      </w:r>
    </w:p>
    <w:p>
      <w:pPr>
        <w:pStyle w:val="BookText"/>
        <w:rPr/>
      </w:pPr>
      <w:r>
        <w:rPr>
          <w:rFonts w:ascii="IRNazanin" w:hAnsi="IRNazanin" w:eastAsia="IRNazanin"/>
          <w:color w:val="111111"/>
          <w:sz w:val="28"/>
          <w:sz w:val="28"/>
          <w:szCs w:val="28"/>
          <w:rtl w:val="true"/>
          <w:lang w:bidi="fa-IR"/>
        </w:rPr>
        <w:t>پیرامون مراجعه به پزشک نامحرم</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برای معالجه زن نامحرم ناچار باشد که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زن بدون تفحّص برای پیدا کردن پزشک زن و عدم موفقیّت، به پزشک مرد مراجعه 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نظرات امام خمینی رحمه‌الله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آیة‌اللّه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برای معالجه زن نامحرم، با فرض نبودن زنی که کیفیّت معالجه و تحمّل درد با مرد مساوی باشد، ناچار شود که او را نگاه کند و دست به بدن او بزند اشکال ندارد، ولی اگر با نگاه کردن بتواند معالجه کند نباید دست به بدن او بزند و اگر با دست زدن بتواند</w:t>
      </w:r>
    </w:p>
    <w:p>
      <w:pPr>
        <w:pStyle w:val="BookText"/>
        <w:rPr/>
      </w:pPr>
      <w:r>
        <w:rPr>
          <w:rFonts w:ascii="IRNazanin" w:hAnsi="IRNazanin" w:eastAsia="IRNazanin"/>
          <w:color w:val="111111"/>
          <w:sz w:val="28"/>
          <w:sz w:val="28"/>
          <w:szCs w:val="28"/>
          <w:rtl w:val="true"/>
          <w:lang w:bidi="fa-IR"/>
        </w:rPr>
        <w:t>معالجه کند نباید او را نگاه 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زن بدون تفحّص برای یافتن پزشک زن و عدم موفقیّت، به پزشک مرد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آیة‌اللّه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اوّل مطابق با نظر امام خمینی رحمه‌الله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اول 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و دست زدن به بدن پیرزن و بچه غیر متمیّز که خوب و بد را نمی‌فهمد بدون قصد لذّت جایز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اول 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اول عینا مطابق با نظر امام خمینی رحمه‌الله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طبیب و پرستار مرد ناچار باشد دست به بدن زن بزند یا طبیب و پرستار زن دست به بدن مرد بزند باید دستکش یا مانند آن در دست </w:t>
      </w:r>
    </w:p>
    <w:p>
      <w:pPr>
        <w:pStyle w:val="BookText"/>
        <w:rPr/>
      </w:pPr>
      <w:r>
        <w:rPr>
          <w:rFonts w:ascii="IRNazanin" w:hAnsi="IRNazanin" w:eastAsia="IRNazanin"/>
          <w:color w:val="111111"/>
          <w:sz w:val="28"/>
          <w:sz w:val="28"/>
          <w:szCs w:val="28"/>
          <w:rtl w:val="true"/>
          <w:lang w:bidi="fa-IR"/>
        </w:rPr>
        <w:t>داشته باشد، ولی در صورت ضرورت و ناچاری اشکالی ندارد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اول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اول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اوّل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379"/>
      </w:r>
      <w:bookmarkStart w:id="122" w:name="pg897_3869"/>
    </w:p>
    <w:p>
      <w:pPr>
        <w:pStyle w:val="Heading3"/>
        <w:numPr>
          <w:ilvl w:val="2"/>
          <w:numId w:val="1"/>
        </w:numPr>
        <w:rPr/>
      </w:pPr>
      <w:bookmarkStart w:id="123" w:name="__RefHeading___Toc245481_373438147"/>
      <w:bookmarkStart w:id="124" w:name="_Toc41"/>
      <w:bookmarkEnd w:id="122"/>
      <w:bookmarkEnd w:id="123"/>
      <w:r>
        <w:rPr>
          <w:rtl w:val="true"/>
        </w:rPr>
        <w:t>(</w:t>
      </w:r>
      <w:r>
        <w:rPr>
          <w:rtl w:val="true"/>
        </w:rPr>
        <w:t>د</w:t>
      </w:r>
      <w:r>
        <w:rPr>
          <w:rtl w:val="true"/>
        </w:rPr>
        <w:t>)</w:t>
      </w:r>
      <w:bookmarkEnd w:id="124"/>
    </w:p>
    <w:p>
      <w:pPr>
        <w:pStyle w:val="BookText"/>
        <w:rPr/>
      </w:pPr>
      <w:r>
        <w:rPr>
          <w:rFonts w:ascii="IRNazanin" w:hAnsi="IRNazanin" w:eastAsia="IRNazanin"/>
          <w:color w:val="111111"/>
          <w:sz w:val="28"/>
          <w:sz w:val="28"/>
          <w:szCs w:val="28"/>
          <w:rtl w:val="true"/>
          <w:lang w:bidi="fa-IR"/>
        </w:rPr>
        <w:t>فتاوا و استفتائات کلی</w:t>
      </w:r>
    </w:p>
    <w:p>
      <w:pPr>
        <w:pStyle w:val="BookText"/>
        <w:rPr/>
      </w:pPr>
      <w:r>
        <w:rPr>
          <w:rFonts w:ascii="IRNazanin" w:hAnsi="IRNazanin" w:eastAsia="IRNazanin"/>
          <w:color w:val="111111"/>
          <w:sz w:val="28"/>
          <w:sz w:val="28"/>
          <w:szCs w:val="28"/>
          <w:rtl w:val="true"/>
          <w:lang w:bidi="fa-IR"/>
        </w:rPr>
        <w:t>پیرامون مراجعه زن به عکّاس مرد</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برداشتن مرد از زن نامحرم حرام نیست ولی اگر برای عکس برداشتن مجبور شود که حرام دیگری انجام دهد مثلاً دست به بدن او بزند نباید عکس او را بردارد، و اگر زن نامحرمی را بشناسد در صورتی که آن زن متهتّک نباشد نباید به عکس او نگاه 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عکس زن نامحرم را بیندازد، و اگر زن نامحرمی را بشناسد نباید به عکس او مخصوصا در مواردی که معرض هتک و فساد باشد نگاه 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مطابق با فتوای امام خمینی رحمه‌الله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مرحوم آیة‌اللّه خویی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نباید عکس زن نامحرم را بیندازد، و اگر زن نامحرمی را </w:t>
      </w:r>
    </w:p>
    <w:p>
      <w:pPr>
        <w:pStyle w:val="BookText"/>
        <w:rPr/>
      </w:pPr>
      <w:r>
        <w:rPr>
          <w:rFonts w:ascii="IRNazanin" w:hAnsi="IRNazanin" w:eastAsia="IRNazanin"/>
          <w:color w:val="111111"/>
          <w:sz w:val="28"/>
          <w:sz w:val="28"/>
          <w:szCs w:val="28"/>
          <w:rtl w:val="true"/>
          <w:lang w:bidi="fa-IR"/>
        </w:rPr>
        <w:t>بشناسد بنابر احتیاط نباید به عکس او نگاه کند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فتوای مرحوم آیة‌اللّه خوئی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مطابق فتوای مرحوم آیة‌اللّه گلپایگانی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برداشتن مرد از زنان نامحرم حرام نیست، مگر اینکه ناچار باشد که به بدن او غیر از صورت و دستها نگاه کند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فیلم و عکس توسّط مرد از زن نامحرم حرام نیست، ولی اگر برای عکس برداشتن مجبور شود که عمل حرام دیگری انجام دهد، مثلاً دست به بدن او بزند یا نظر او به صورت زینت شده زن یا به سایر بدن او بیفتد، نباید عکس او را بردارد، و اگر مرد، زن نامحرمی را بشناسد در صورتی که آن زن متهتّک نباشد ـ یعنی عفیف و نجیب باشد ـ نباید به کس او نگاه کند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آیة‌اللّه صانعی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فتوای آیة‌اللّه اردبیلی</w:t>
      </w:r>
      <w:r>
        <w:rPr>
          <w:rFonts w:eastAsia="IRNazanin" w:cs="IRNazanin"/>
          <w:color w:val="111111"/>
          <w:sz w:val="28"/>
          <w:szCs w:val="28"/>
          <w:rtl w:val="true"/>
          <w:lang w:bidi="fa-IR"/>
        </w:rPr>
        <w:t>.</w:t>
      </w:r>
      <w:r>
        <w:rPr>
          <w:rStyle w:val="FootnoteAnchor"/>
          <w:rtl w:val="true"/>
        </w:rPr>
        <w:footnoteReference w:id="388"/>
      </w:r>
      <w:bookmarkStart w:id="125" w:name="pg897_3871"/>
    </w:p>
    <w:p>
      <w:pPr>
        <w:pStyle w:val="Heading3"/>
        <w:numPr>
          <w:ilvl w:val="2"/>
          <w:numId w:val="1"/>
        </w:numPr>
        <w:rPr/>
      </w:pPr>
      <w:bookmarkStart w:id="126" w:name="__RefHeading___Toc245483_373438147"/>
      <w:bookmarkStart w:id="127" w:name="_Toc42"/>
      <w:bookmarkEnd w:id="125"/>
      <w:bookmarkEnd w:id="126"/>
      <w:r>
        <w:rPr>
          <w:rtl w:val="true"/>
        </w:rPr>
        <w:t>(</w:t>
      </w:r>
      <w:r>
        <w:rPr>
          <w:rtl w:val="true"/>
        </w:rPr>
        <w:t>هـ</w:t>
      </w:r>
      <w:r>
        <w:rPr>
          <w:rtl w:val="true"/>
        </w:rPr>
        <w:t>)</w:t>
      </w:r>
      <w:bookmarkEnd w:id="127"/>
    </w:p>
    <w:p>
      <w:pPr>
        <w:pStyle w:val="BookText"/>
        <w:rPr/>
      </w:pPr>
      <w:r>
        <w:rPr>
          <w:rFonts w:ascii="IRNazanin" w:hAnsi="IRNazanin" w:eastAsia="IRNazanin"/>
          <w:color w:val="111111"/>
          <w:sz w:val="28"/>
          <w:sz w:val="28"/>
          <w:szCs w:val="28"/>
          <w:rtl w:val="true"/>
          <w:lang w:bidi="fa-IR"/>
        </w:rPr>
        <w:t>پرسشهای جانبی و تکمیلی</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هستم که باید روزانه یک آمپول تزریق کنم، در نزدیکیهای خانه ما درمانگاهی است که در آن آمپول زن مردی وجوددارد، ولی درمانگاه دوری هم وجوددارد که آمپول زنِ زن در آنجا وجوددارد، ولی راهش دور است و باید ماشین سوار شد، آیا آمپول زدن در نزد آن مرد در درمانگاه نزدیک جایز است؟</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مگر در موارد 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ما هم طبیب مردی است و هم طبیب زنی، ولی طبیب مرد تخصّص بیشتری دارد، آیا زن می‌تواند به او مراجعه کند؟ </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طبیب زن توانایی بر درمان نداشته باشد اشکالی ندارد به طبیب مرد رجوع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امام خمینی رحمه‌الله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دختران نامحرم که به سنّ بلوغ نرسیده‌اند بدون قصد شهوانی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مرد، دختر نامحرمی را که شش سال دارد نبوسد و او را بغل نکند و به سینه نچسپاند و در دامنش ننشاند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جواب امام خمینی رحمه‌الله </w:t>
      </w:r>
      <w:r>
        <w:rPr>
          <w:rFonts w:eastAsia="IRNazanin" w:cs="IRNazanin"/>
          <w:color w:val="111111"/>
          <w:sz w:val="28"/>
          <w:szCs w:val="28"/>
          <w:rtl w:val="true"/>
          <w:lang w:bidi="fa-IR"/>
        </w:rPr>
        <w:t>.</w:t>
      </w:r>
      <w:r>
        <w:rPr>
          <w:rStyle w:val="FootnoteAnchor"/>
          <w:rtl w:val="true"/>
        </w:rPr>
        <w:footnoteReference w:id="3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جواب امام خمینی رحمه‌الله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غیر از زنش، سایر محارم خود را بدون قصد لذت و ترس از وقوع در حرام ببوسد؟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شرایط مذکور اشکالی ندارد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جواب امام خمینی رحمه‌الله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جواب امام خمینی رحمه‌الله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جواب 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زنان نامحرم پیر و مسنّ چه حکمی دارد؟</w:t>
      </w:r>
    </w:p>
    <w:p>
      <w:pPr>
        <w:pStyle w:val="BookText"/>
        <w:rPr/>
      </w:pPr>
      <w:r>
        <w:rPr>
          <w:rFonts w:ascii="IRNazanin" w:hAnsi="IRNazanin" w:eastAsia="IRNazanin"/>
          <w:color w:val="111111"/>
          <w:sz w:val="28"/>
          <w:sz w:val="28"/>
          <w:szCs w:val="28"/>
          <w:rtl w:val="true"/>
          <w:lang w:bidi="fa-IR"/>
        </w:rPr>
        <w:t>جواب مرحوم آیة‌اللّه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فاصله شدن پارچه‌ای و یا حائل دیگری جائز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نظر مرحوم آیة‌اللّه خوئی</w:t>
      </w:r>
      <w:r>
        <w:rPr>
          <w:rFonts w:eastAsia="IRNazanin" w:cs="IRNazanin"/>
          <w:color w:val="111111"/>
          <w:sz w:val="28"/>
          <w:szCs w:val="28"/>
          <w:rtl w:val="true"/>
          <w:lang w:bidi="fa-IR"/>
        </w:rPr>
        <w:t>.</w:t>
      </w:r>
      <w:r>
        <w:rPr>
          <w:rStyle w:val="FootnoteAnchor"/>
          <w:rtl w:val="true"/>
        </w:rPr>
        <w:footnoteReference w:id="4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وقتی کسی وارد مجلس می‌شود رسم </w:t>
      </w:r>
    </w:p>
    <w:p>
      <w:pPr>
        <w:pStyle w:val="BookText"/>
        <w:rPr/>
      </w:pPr>
      <w:r>
        <w:rPr>
          <w:rFonts w:ascii="IRNazanin" w:hAnsi="IRNazanin" w:eastAsia="IRNazanin"/>
          <w:color w:val="111111"/>
          <w:sz w:val="28"/>
          <w:sz w:val="28"/>
          <w:szCs w:val="28"/>
          <w:rtl w:val="true"/>
          <w:lang w:bidi="fa-IR"/>
        </w:rPr>
        <w:t>است تا به همه اهل مجلس حتّی زنان دست دهد، و اگر این کار را نکند نوعی غریب‌انگاری و یا بدبینی به زن و تحقیر آنها تلقّی می‌شود، آیا می‌توان برای رفع این توهّم با زنان آن مجالس دست داد؟</w:t>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و این کار بر مسلمانان گناه است، چون دست ندادن با نامحرم از شعائر دین است و حفظ آن به هر نوعی واجب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پوشش نظیر دستکش و امثال آن اشکال دارد هر چند خلاف ادب یا خلاف احترام شمرده 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دادن با خواهر زن از نظر شرعی موجب گناه است؟</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 و جایز نیست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زنان با افرادی چون پسر عمو و پسر خاله و دیگر فامیل از نظر شرعی چه حکمی دارد؟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آقایان به دندان‌پزشک زن جهت کندن دندان و یا پر کردن و امثال آن چه حکمی دارد؟ با توجه به اینکه دندان پزشک مرد وجود دارد ولی این مراجعه به علّت اقتصادی است؟</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دندان‌پزشک مرد مراجعه به دندان پزشک زن غیر جایز است مگر آنکه پزشک ماهرتر و بهتر باشد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جنس مخالف برای آموزش دانشجویان پزشکی در شرایط خاصّ چه صورت دارد؟</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بشود باید پرهیز کرد، و به اندازه نیاز بسنده کرد، آن هم با توجّه به نیاز نظام علمی جمهوری اسلامی به آن، به هر حال همیشه باید متوجّه خطر گناه بود و از ریبه و التذاذ پرهیز نمود</w:t>
      </w:r>
      <w:r>
        <w:rPr>
          <w:rFonts w:eastAsia="IRNazanin" w:cs="IRNazanin"/>
          <w:color w:val="111111"/>
          <w:sz w:val="28"/>
          <w:szCs w:val="28"/>
          <w:rtl w:val="true"/>
          <w:lang w:bidi="fa-IR"/>
        </w:rPr>
        <w:t>.</w:t>
      </w:r>
      <w:r>
        <w:rPr>
          <w:rStyle w:val="FootnoteAnchor"/>
          <w:rtl w:val="true"/>
        </w:rPr>
        <w:footnoteReference w:id="411"/>
      </w:r>
      <w:bookmarkStart w:id="128" w:name="pg897_3876"/>
    </w:p>
    <w:p>
      <w:pPr>
        <w:pStyle w:val="Heading2"/>
        <w:numPr>
          <w:ilvl w:val="1"/>
          <w:numId w:val="1"/>
        </w:numPr>
        <w:rPr/>
      </w:pPr>
      <w:bookmarkStart w:id="129" w:name="__RefHeading___Toc245485_373438147"/>
      <w:bookmarkStart w:id="130" w:name="_Toc43"/>
      <w:bookmarkEnd w:id="128"/>
      <w:bookmarkEnd w:id="129"/>
      <w:r>
        <w:rPr>
          <w:rtl w:val="true"/>
        </w:rPr>
        <w:t>فصل دوازدهم</w:t>
      </w:r>
      <w:r>
        <w:rPr>
          <w:rtl w:val="true"/>
        </w:rPr>
        <w:t xml:space="preserve">: </w:t>
      </w:r>
      <w:r>
        <w:rPr>
          <w:rtl w:val="true"/>
        </w:rPr>
        <w:t>مسائل متفرّقه مربوط به</w:t>
      </w:r>
      <w:bookmarkEnd w:id="130"/>
    </w:p>
    <w:p>
      <w:pPr>
        <w:pStyle w:val="Heading3"/>
        <w:numPr>
          <w:ilvl w:val="2"/>
          <w:numId w:val="1"/>
        </w:numPr>
        <w:rPr/>
      </w:pPr>
      <w:bookmarkStart w:id="131" w:name="__RefHeading___Toc245487_373438147"/>
      <w:bookmarkStart w:id="132" w:name="_Toc44"/>
      <w:bookmarkEnd w:id="131"/>
      <w:r>
        <w:rPr>
          <w:rtl w:val="true"/>
        </w:rPr>
        <w:t>(</w:t>
      </w:r>
      <w:r>
        <w:rPr>
          <w:rtl w:val="true"/>
        </w:rPr>
        <w:t>الف</w:t>
      </w:r>
      <w:r>
        <w:rPr>
          <w:rtl w:val="true"/>
        </w:rPr>
        <w:t>)</w:t>
      </w:r>
      <w:bookmarkEnd w:id="132"/>
    </w:p>
    <w:p>
      <w:pPr>
        <w:pStyle w:val="BookText"/>
        <w:rPr/>
      </w:pPr>
      <w:r>
        <w:rPr>
          <w:rFonts w:ascii="IRNazanin" w:hAnsi="IRNazanin" w:eastAsia="IRNazanin"/>
          <w:color w:val="111111"/>
          <w:sz w:val="28"/>
          <w:sz w:val="28"/>
          <w:szCs w:val="28"/>
          <w:rtl w:val="true"/>
          <w:lang w:bidi="fa-IR"/>
        </w:rPr>
        <w:t>ترک خودنمایی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عفّت در رفتار و کردار اجتماعی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خودنمایی زن برای انداختن نامحرمان در حرام و بالعکس، حرام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موجب جلب توجّه نامحرم می‌شود باید پرهیز نمود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و خودنمایی مهیّج زنان مسلمان در برابر نامحرم جایز نیست</w:t>
      </w:r>
      <w:r>
        <w:rPr>
          <w:rFonts w:eastAsia="IRNazanin" w:cs="IRNazanin"/>
          <w:color w:val="111111"/>
          <w:sz w:val="28"/>
          <w:szCs w:val="28"/>
          <w:rtl w:val="true"/>
          <w:lang w:bidi="fa-IR"/>
        </w:rPr>
        <w:t>.</w:t>
      </w:r>
      <w:r>
        <w:rPr>
          <w:rStyle w:val="FootnoteAnchor"/>
          <w:rtl w:val="true"/>
        </w:rPr>
        <w:footnoteReference w:id="416"/>
      </w:r>
      <w:bookmarkStart w:id="133" w:name="pg897_3879"/>
    </w:p>
    <w:p>
      <w:pPr>
        <w:pStyle w:val="Heading3"/>
        <w:numPr>
          <w:ilvl w:val="2"/>
          <w:numId w:val="1"/>
        </w:numPr>
        <w:rPr/>
      </w:pPr>
      <w:bookmarkStart w:id="134" w:name="__RefHeading___Toc245489_373438147"/>
      <w:bookmarkStart w:id="135" w:name="_Toc45"/>
      <w:bookmarkEnd w:id="133"/>
      <w:bookmarkEnd w:id="134"/>
      <w:r>
        <w:rPr>
          <w:rtl w:val="true"/>
        </w:rPr>
        <w:t>[</w:t>
      </w:r>
      <w:r>
        <w:rPr>
          <w:rtl w:val="true"/>
        </w:rPr>
        <w:t>تکمیلات</w:t>
      </w:r>
      <w:r>
        <w:rPr>
          <w:rtl w:val="true"/>
        </w:rPr>
        <w:t>]</w:t>
      </w:r>
      <w:bookmarkEnd w:id="135"/>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زنان و دختران با صدای بلند در خیابان و یا انجام برخی حرکات دیگر که موجب جلب توجّه نامحرمان می‌شود چگونه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کاری که موجب جلب توجّه نامحرم می‌شود باید پرهیز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معرضیّت ریبه و یا فتنه در آن است جایز نیست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جواب آیة‌اللّه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عفیف این کار را نمی‌کند، بلکه اگر معرض تهییج شهوت برای یکی از طرفین باشد حرام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جواب آیة‌اللّه صافی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 نصّ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یَخْضَعْنَ بِالْقَوْلِ فَیَطْمَعَ الَّذِی فِی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جایز نیست</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جواب آیة‌اللّه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 و هنگام ضرورت نباید از مکالمات عادی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زنان و دختران مسلمان از این گونه کارها بپرهیزند و اگر منشأ فسادی شود جایز نیست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جواب آیة‌اللّه فاضل لنکرانی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دختران و زنان باید در مقابل مردان نامحرم به نحوی لباس بپوشند و راه بروند و صحبت کنند که موجب توجّه و نگاه سوء و تهییج مردان نشوند و اگر کردند گناه بزرگ است</w:t>
      </w:r>
      <w:r>
        <w:rPr>
          <w:rFonts w:eastAsia="IRNazanin" w:cs="IRNazanin"/>
          <w:color w:val="111111"/>
          <w:sz w:val="28"/>
          <w:szCs w:val="28"/>
          <w:rtl w:val="true"/>
          <w:lang w:bidi="fa-IR"/>
        </w:rPr>
        <w:t>.</w:t>
      </w:r>
      <w:r>
        <w:rPr>
          <w:rStyle w:val="FootnoteAnchor"/>
          <w:rtl w:val="true"/>
        </w:rPr>
        <w:footnoteReference w:id="422"/>
      </w:r>
      <w:bookmarkStart w:id="136" w:name="pg897_3881"/>
    </w:p>
    <w:p>
      <w:pPr>
        <w:pStyle w:val="Heading3"/>
        <w:numPr>
          <w:ilvl w:val="2"/>
          <w:numId w:val="1"/>
        </w:numPr>
        <w:rPr/>
      </w:pPr>
      <w:bookmarkStart w:id="137" w:name="__RefHeading___Toc245491_373438147"/>
      <w:bookmarkStart w:id="138" w:name="_Toc46"/>
      <w:bookmarkEnd w:id="136"/>
      <w:bookmarkEnd w:id="137"/>
      <w:r>
        <w:rPr>
          <w:rtl w:val="true"/>
        </w:rPr>
        <w:t>(</w:t>
      </w:r>
      <w:r>
        <w:rPr>
          <w:rtl w:val="true"/>
        </w:rPr>
        <w:t>ب</w:t>
      </w:r>
      <w:r>
        <w:rPr>
          <w:rtl w:val="true"/>
        </w:rPr>
        <w:t>)</w:t>
      </w:r>
      <w:bookmarkEnd w:id="138"/>
    </w:p>
    <w:p>
      <w:pPr>
        <w:pStyle w:val="BookText"/>
        <w:rPr/>
      </w:pPr>
      <w:r>
        <w:rPr>
          <w:rFonts w:ascii="IRNazanin" w:hAnsi="IRNazanin" w:eastAsia="IRNazanin"/>
          <w:color w:val="111111"/>
          <w:sz w:val="28"/>
          <w:sz w:val="28"/>
          <w:szCs w:val="28"/>
          <w:rtl w:val="true"/>
          <w:lang w:bidi="fa-IR"/>
        </w:rPr>
        <w:t>برخی از فتاوا و استفتائات پیرامون</w:t>
      </w:r>
    </w:p>
    <w:p>
      <w:pPr>
        <w:pStyle w:val="BookText"/>
        <w:rPr/>
      </w:pPr>
      <w:r>
        <w:rPr>
          <w:rFonts w:ascii="IRNazanin" w:hAnsi="IRNazanin" w:eastAsia="IRNazanin"/>
          <w:color w:val="111111"/>
          <w:sz w:val="28"/>
          <w:sz w:val="28"/>
          <w:szCs w:val="28"/>
          <w:rtl w:val="true"/>
          <w:lang w:bidi="fa-IR"/>
        </w:rPr>
        <w:t>فعالیت‌های اجتماعی زنان</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 می‌توانند آموزش فنون نظامی ببینند یا خیر؟</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نظامی برای بانوان با مراعات کامل وظایف شرعیّه مانع ندارد، و اگر موقوف است به اینکه نامحرم آنها را آموزش دهد احتراز نمایند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خود را در مورد ورزش بانوان در اماکن و معابر عمومی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بفرمائید تماشای این نوع برنامه‌ها از تلویزیون چه حکمی دارد؟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برجستگی‌های بدن نمایان نباشد، و حرکات محرّک و مهیّج و مخالف شئون اخلاقی بانوان نباشد مانعی ندارد، اما چنانچه این رعایت نشود جایز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ورزش بانوان ایرانی در برابر چشمان مردان و زنان خارجی جایز است؟</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و خودنمایی مهیّج زنان مسلمان در برابر نامحرم جایز نیست</w:t>
      </w:r>
      <w:r>
        <w:rPr>
          <w:rFonts w:eastAsia="IRNazanin" w:cs="IRNazanin"/>
          <w:color w:val="111111"/>
          <w:sz w:val="28"/>
          <w:szCs w:val="28"/>
          <w:rtl w:val="true"/>
          <w:lang w:bidi="fa-IR"/>
        </w:rPr>
        <w:t>.</w:t>
      </w:r>
      <w:r>
        <w:rPr>
          <w:rStyle w:val="FootnoteAnchor"/>
          <w:rtl w:val="true"/>
        </w:rPr>
        <w:footnoteReference w:id="425"/>
      </w:r>
      <w:bookmarkStart w:id="139" w:name="pg897_3883"/>
    </w:p>
    <w:p>
      <w:pPr>
        <w:pStyle w:val="Heading3"/>
        <w:numPr>
          <w:ilvl w:val="2"/>
          <w:numId w:val="1"/>
        </w:numPr>
        <w:rPr/>
      </w:pPr>
      <w:bookmarkStart w:id="140" w:name="__RefHeading___Toc245493_373438147"/>
      <w:bookmarkStart w:id="141" w:name="_Toc47"/>
      <w:bookmarkEnd w:id="139"/>
      <w:bookmarkEnd w:id="140"/>
      <w:r>
        <w:rPr>
          <w:rtl w:val="true"/>
        </w:rPr>
        <w:t>(</w:t>
      </w:r>
      <w:r>
        <w:rPr>
          <w:rtl w:val="true"/>
        </w:rPr>
        <w:t>ج</w:t>
      </w:r>
      <w:r>
        <w:rPr>
          <w:rtl w:val="true"/>
        </w:rPr>
        <w:t>)</w:t>
      </w:r>
      <w:bookmarkEnd w:id="141"/>
    </w:p>
    <w:p>
      <w:pPr>
        <w:pStyle w:val="BookText"/>
        <w:rPr/>
      </w:pPr>
      <w:r>
        <w:rPr>
          <w:rFonts w:ascii="IRNazanin" w:hAnsi="IRNazanin" w:eastAsia="IRNazanin"/>
          <w:color w:val="111111"/>
          <w:sz w:val="28"/>
          <w:sz w:val="28"/>
          <w:szCs w:val="28"/>
          <w:rtl w:val="true"/>
          <w:lang w:bidi="fa-IR"/>
        </w:rPr>
        <w:t>احکام مربوط به رقص زنان</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زن باید از رقصیدن در هر مکانی اعمّ از مجالس عقد و زفاف و مولودی‌ها پرهیز کند مگر رقص در مقابل شوهر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زن در مقابل نامحرمان که قطعا حرام است، و فرقی نمی‌کند که چه نوع رقصی باشد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مرحوم آیة‌اللّه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رقص مرد و چه رقص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رقص زن برای شوهرش</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مرحوم آیة‌اللّه اراکی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زن حتّی در مجالس زنانه و مرد در مجالس مردانه و همچنین زن برای شوهرش مطلقا از رقصیدن پرهیز 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رقص زنان در مقابل مردان قطعا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محارم و چه غیر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مقابل شوهرش؛ و هر نوع رقص دیگری اگر چه در نزد شوهر باشد، موجب تهییج شهوت و یا مستلزم فعل حرامی باشد حرام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رقص زن در مقابل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رقصیدن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زنان و یا مرد در مجالس مردان اشکال دارد، و احتیاط واجب در ترک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آیة‌اللّه اردبیلی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زن برای مرد و بالعکس، و همچنین رقص زن برای زن و مرد برای مرد، و حتّی رقص زن برای شوهرش احتیاطا خالی از اشکال نیست</w:t>
      </w:r>
      <w:r>
        <w:rPr>
          <w:rFonts w:eastAsia="IRNazanin" w:cs="IRNazanin"/>
          <w:color w:val="111111"/>
          <w:sz w:val="28"/>
          <w:szCs w:val="28"/>
          <w:rtl w:val="true"/>
          <w:lang w:bidi="fa-IR"/>
        </w:rPr>
        <w:t>.</w:t>
      </w:r>
      <w:r>
        <w:rPr>
          <w:rStyle w:val="FootnoteAnchor"/>
          <w:rtl w:val="true"/>
        </w:rPr>
        <w:footnoteReference w:id="432"/>
      </w:r>
      <w:bookmarkStart w:id="142" w:name="pg897_3885"/>
    </w:p>
    <w:p>
      <w:pPr>
        <w:pStyle w:val="Heading3"/>
        <w:numPr>
          <w:ilvl w:val="2"/>
          <w:numId w:val="1"/>
        </w:numPr>
        <w:rPr/>
      </w:pPr>
      <w:bookmarkStart w:id="143" w:name="__RefHeading___Toc245495_373438147"/>
      <w:bookmarkStart w:id="144" w:name="_Toc48"/>
      <w:bookmarkEnd w:id="142"/>
      <w:bookmarkEnd w:id="143"/>
      <w:r>
        <w:rPr>
          <w:rtl w:val="true"/>
        </w:rPr>
        <w:t>[</w:t>
      </w:r>
      <w:r>
        <w:rPr>
          <w:rtl w:val="true"/>
        </w:rPr>
        <w:t>تکمیلات</w:t>
      </w:r>
      <w:r>
        <w:rPr>
          <w:rtl w:val="true"/>
        </w:rPr>
        <w:t>]</w:t>
      </w:r>
      <w:bookmarkEnd w:id="144"/>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 زن برای شوهرش یامرد برای همسرش حرام است؟</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رقص زن برای شوهرش یا برعکس، همراه ارتکاب حرامی نباشد اشکال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مراکزی برای آموزش رقص چه حکمی دارد؟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مراکز تعلیم و ترویج رقص با اهداف نظام اسلامی منافات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کودک ممیّز در مجالس زنان یا مردان، اعمّ از اینکه پسر باشد یا دختر، چه حکمی دارد؟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غیر بالغ چه پسر و چه دختر تکلیفی ندارند، ولی سزاوار نیست افراد بالغ او را تشویق به رقص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45" w:name="pg897_3886"/>
    </w:p>
    <w:p>
      <w:pPr>
        <w:pStyle w:val="Heading3"/>
        <w:numPr>
          <w:ilvl w:val="2"/>
          <w:numId w:val="1"/>
        </w:numPr>
        <w:rPr/>
      </w:pPr>
      <w:bookmarkStart w:id="146" w:name="__RefHeading___Toc245497_373438147"/>
      <w:bookmarkStart w:id="147" w:name="_Toc49"/>
      <w:bookmarkEnd w:id="145"/>
      <w:bookmarkEnd w:id="146"/>
      <w:r>
        <w:rPr>
          <w:rtl w:val="true"/>
        </w:rPr>
        <w:t>[</w:t>
      </w:r>
      <w:r>
        <w:rPr>
          <w:rtl w:val="true"/>
        </w:rPr>
        <w:t>تتمّه</w:t>
      </w:r>
      <w:r>
        <w:rPr>
          <w:rtl w:val="true"/>
        </w:rPr>
        <w:t>]</w:t>
      </w:r>
      <w:bookmarkEnd w:id="147"/>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مردانه برای زنان 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بدهد از روی آن اندازه‌بگیرد و اندام او را اندازه نگیرد اشکال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مرد و یا زن با هر طریقی غیر از جماع،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 قضایای جنسی، رفتن به مکانهای شهوانی، دیدن تصاویر و فیلمها و صحنه‌های مبتذل، موسیقی‌های مبتذل، نگاه به نامحرمان، بازی با آلات جنسی خود و غیره موجب خارج شدن منی از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 xml:space="preserve">جواب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با هر طریقی صورت گیرد از گناهان کبیره است و دوری از آن واجب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امام خمینی رحمه‌الله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سؤال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و عکاسی از برخی مجالس عروسی که بعلّت لاابالی‌گری، مسائل محرم و نامحرم رعایت نمی‌شود، توسّط عکّاس زن که شغلش اینکار است چه حکمی دارد؟</w:t>
      </w:r>
    </w:p>
    <w:p>
      <w:pPr>
        <w:pStyle w:val="BookText"/>
        <w:rPr/>
      </w:pPr>
      <w:r>
        <w:rPr>
          <w:rFonts w:ascii="IRNazanin" w:hAnsi="IRNazanin" w:eastAsia="IRNazanin"/>
          <w:color w:val="111111"/>
          <w:sz w:val="28"/>
          <w:sz w:val="28"/>
          <w:szCs w:val="28"/>
          <w:rtl w:val="true"/>
          <w:lang w:bidi="fa-IR"/>
        </w:rPr>
        <w:t>جواب آیة‌اللّه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کامل حجاب اسلامی در برابر نامحرم در هر حال لازم است و فیلمبرداری از مجالس زنانه یا از مجالس مختلط اگر مستلزم نظر حرام و موجب اشاعه فساد و ترتّب مفاسد باشد جائز نیست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جذّاب بودن برنامه‌ها، زن و مرد نامحرم یا محرم، با سیمایی زیبا و صدایی دلربا، عواطف و احساسات خود را ابراز می‌دارند و با یکدیگر مزاح می‌کنند و این برنامه برای دیگران پخش می‌شود، این کار چه حکمی دارد؟</w:t>
      </w:r>
    </w:p>
    <w:p>
      <w:pPr>
        <w:pStyle w:val="BookText"/>
        <w:rPr/>
      </w:pPr>
      <w:r>
        <w:rPr>
          <w:rFonts w:ascii="IRNazanin" w:hAnsi="IRNazanin" w:eastAsia="IRNazanin"/>
          <w:color w:val="111111"/>
          <w:sz w:val="28"/>
          <w:sz w:val="28"/>
          <w:szCs w:val="28"/>
          <w:rtl w:val="true"/>
          <w:lang w:bidi="fa-IR"/>
        </w:rPr>
        <w:t>جواب آیة‌اللّه اردبیلی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برنامه‌ها گذشته از حرمت شرعی، از نظر اجتماعی هم خالی از فساد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هنرجویان رشته هنر از عکسها و مجلاّت خارجی که بدن زن و مرد را عریان نشان می‌دهد چه حکمی دارد؟ با توجّه به اینکه بعضی از اساتیدشان تأکید دارند که برای به دست آوردن تجربه هنری لازم است؟</w:t>
      </w:r>
    </w:p>
    <w:p>
      <w:pPr>
        <w:pStyle w:val="BookText"/>
        <w:rPr/>
      </w:pPr>
      <w:r>
        <w:rPr>
          <w:rFonts w:ascii="IRNazanin" w:hAnsi="IRNazanin" w:eastAsia="IRNazanin"/>
          <w:color w:val="111111"/>
          <w:sz w:val="28"/>
          <w:sz w:val="28"/>
          <w:szCs w:val="28"/>
          <w:rtl w:val="true"/>
          <w:lang w:bidi="fa-IR"/>
        </w:rPr>
        <w:t>جواب آیة‌اللّه صانعی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نگاه کرد چون مفسده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تجربه هنری باید راه دیگر و مشروع پیدا کرد و نیاز به تجربه، مُسوّغ و مجوّز حرام نمی‌باشد</w:t>
      </w:r>
      <w:r>
        <w:rPr>
          <w:rFonts w:eastAsia="IRNazanin" w:cs="IRNazanin"/>
          <w:color w:val="111111"/>
          <w:sz w:val="28"/>
          <w:szCs w:val="28"/>
          <w:rtl w:val="true"/>
          <w:lang w:bidi="fa-IR"/>
        </w:rPr>
        <w:t>.</w:t>
      </w:r>
      <w:r>
        <w:rPr>
          <w:rStyle w:val="FootnoteAnchor"/>
          <w:rtl w:val="true"/>
        </w:rPr>
        <w:footnoteReference w:id="4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97_3890"/>
      <w:bookmarkStart w:id="149" w:name="pg897_3890"/>
      <w:bookmarkEnd w:id="149"/>
    </w:p>
    <w:p>
      <w:pPr>
        <w:pStyle w:val="Heading2"/>
        <w:numPr>
          <w:ilvl w:val="1"/>
          <w:numId w:val="1"/>
        </w:numPr>
        <w:rPr/>
      </w:pPr>
      <w:bookmarkStart w:id="150" w:name="pg897_3890"/>
      <w:bookmarkStart w:id="151" w:name="__RefHeading___Toc245499_373438147"/>
      <w:bookmarkStart w:id="152" w:name="_Toc50"/>
      <w:bookmarkEnd w:id="150"/>
      <w:bookmarkEnd w:id="151"/>
      <w:r>
        <w:rPr>
          <w:rtl w:val="true"/>
        </w:rPr>
        <w:t>فصل پایانی</w:t>
      </w:r>
      <w:bookmarkEnd w:id="15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کتاب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عمومی کتاب</w:t>
      </w:r>
    </w:p>
    <w:p>
      <w:pPr>
        <w:pStyle w:val="BookText"/>
        <w:rPr/>
      </w:pPr>
      <w:r>
        <w:rPr>
          <w:rFonts w:ascii="IRNazanin" w:hAnsi="IRNazanin" w:eastAsia="IRNazanin"/>
          <w:color w:val="111111"/>
          <w:sz w:val="28"/>
          <w:sz w:val="28"/>
          <w:szCs w:val="28"/>
          <w:rtl w:val="true"/>
          <w:lang w:bidi="fa-IR"/>
        </w:rPr>
        <w:t xml:space="preserve">احکام علاقات المرأة مع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مسعود المعصومی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وحیدی خراسانی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موگهی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کامپیوتری معجم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کامپیوتری علوم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مهدی زاده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الیزدی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جدید از دیدگاه علماء و 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محمودی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امام خمینی رحمه‌الله</w:t>
      </w:r>
    </w:p>
    <w:p>
      <w:pPr>
        <w:pStyle w:val="BookText"/>
        <w:rPr/>
      </w:pP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مرحوم آیة‌اللّه گلپایگانی</w:t>
      </w:r>
    </w:p>
    <w:p>
      <w:pPr>
        <w:pStyle w:val="BookText"/>
        <w:rPr/>
      </w:pP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مرحوم آیة‌اللّه اراکی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اراکی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مأخوذة در آراء مرحوم آیة‌اللّه خوئی</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خوئی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تبریزی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خامنه‌ای</w:t>
      </w:r>
    </w:p>
    <w:p>
      <w:pPr>
        <w:pStyle w:val="BookText"/>
        <w:rPr/>
      </w:pPr>
      <w:r>
        <w:rPr>
          <w:rFonts w:ascii="IRNazanin" w:hAnsi="IRNazanin" w:eastAsia="IRNazanin"/>
          <w:color w:val="111111"/>
          <w:sz w:val="28"/>
          <w:sz w:val="28"/>
          <w:szCs w:val="28"/>
          <w:rtl w:val="true"/>
          <w:lang w:bidi="fa-IR"/>
        </w:rPr>
        <w:t xml:space="preserve">اجوبة الاستفتائات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بهجت</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بهجت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بهجت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تبریزی</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تبریزی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تبریزی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صافی</w:t>
      </w:r>
    </w:p>
    <w:p>
      <w:pPr>
        <w:pStyle w:val="BookText"/>
        <w:rPr/>
      </w:pPr>
      <w:r>
        <w:rPr>
          <w:rFonts w:ascii="IRNazanin" w:hAnsi="IRNazanin" w:eastAsia="IRNazanin"/>
          <w:color w:val="111111"/>
          <w:sz w:val="28"/>
          <w:sz w:val="28"/>
          <w:szCs w:val="28"/>
          <w:rtl w:val="true"/>
          <w:lang w:bidi="fa-IR"/>
        </w:rPr>
        <w:t xml:space="preserve">هدایة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لطف اللّه صافی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لطف اللّه صافی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لطف اللّه صافی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سیستانی</w:t>
      </w:r>
    </w:p>
    <w:p>
      <w:pPr>
        <w:pStyle w:val="BookText"/>
        <w:rPr/>
      </w:pPr>
      <w:r>
        <w:rPr>
          <w:rFonts w:ascii="IRNazanin" w:hAnsi="IRNazanin" w:eastAsia="IRNazanin"/>
          <w:color w:val="111111"/>
          <w:sz w:val="28"/>
          <w:sz w:val="28"/>
          <w:szCs w:val="28"/>
          <w:rtl w:val="true"/>
          <w:lang w:bidi="fa-IR"/>
        </w:rPr>
        <w:t xml:space="preserve">الفتاوی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المنتخبة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مکارم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ناصر مکارم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فاضل لنکرانی</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لنکرانی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اردبیلی</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اردبیلی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اردبیلی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مأخوذه در آراء آیة‌اللّه صانعی</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صانعی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صانعی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خاطرات همفر، حسن مؤیّدی،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هفته نامه فیضیّه، کشف حجاب به روش مدرن،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امام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مسائل جدید از دیدگاه علما و مراجع تقلید، سید محسن محمودی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مسائل جدید از دیدگاه علماء و مراجع تقلید، سید محسن محمودی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در جواب سؤال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 سؤال و هم جوابها عینا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 سید محسن محمودی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این مسأله بطور کلّی هشت شرط برای شیری که محرم می‌کند ذکر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مال زن زنده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زن از حرام مثل زنا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پستان بمکد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یک شوهر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بواسطه قی و غیره برنگردد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مرتبه، یا یک شبانه روز بصورت غالبی، و یا به اندازه‌ای که بتوان گفت استخوان بچّه از شیر آن زن محکم شده، از آن شیر بخورد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دو سالگی بچّه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این خصوص هم اختلافات اندکی در فتاوای برخی از مراجع دیده می‌شود که لازم است ملاحظه شوند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ارشاد السائل، س</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عروة الوثقی، ستر و ساتر، مسأله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کتاب احکام بانوان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استفتائاتی از وی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نقل از عاطفه اشراقی نوه حضرت امام؛ مهر و قهر از محمد رضا سبحانی نیا و سعید رضا علی عسکری، مجله حدیث زندگی،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السائل، سؤال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توضیح المسائل، مسأله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و توضیح المسائل، ص</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کتاب حجاب شناسی، حسین مهدی زاده،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 والساتر،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 والساتر،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 والساتر،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ازدواج، عبد الرحیم موگهی،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احکام علاقات المرأة مع الرجل، سید مسعود معصومی،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و کتاب احکام بانوان،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السترو الساتر،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السترو الساتر،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سید مسعود معصومی،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استفائات، سؤال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ص</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بانوان، وحیدی،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تحریر الوسیلة، النکاح،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عروة الوثقی، النکاح، مسأله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استفتاء، احکام علاقات المرأة مع الرجل،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مساله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استفاده از استفتاء، احکام علاقات المرأة مع الرجل،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مأخذ پیشین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والعروة الوثقی،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معصومی،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ازدواج،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بانوان، وحیدی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مسائل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الرجل مع المرأة،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استفتاءات، سؤال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احکام ازدواج،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مسأله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الرجل مع المرأة،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مأخذ پیشین،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تحریر الوسیله، مسأله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مجمع المسائل، سؤال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استفتاء، احکام علاقات الرجل مع المرأة،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استفتاء، احکام علاقات المرأة مع الرجل،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المرأه مع الرجل،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مأخذ پیشین، مسأله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مسائل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مسائل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مسسائل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النکاح،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استفتاء، احکام علاقات المرأة مع الرجل،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مأخذ پیشین، سؤال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تحریر الوسیلة، مسأله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العروة الوثقی، النکاح،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النکاح،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استفاده از 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احکام علاقات المرأة مع الرجل،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استفاده از احکام بانوان،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احکام بانوان، وحیدی،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مردان نامحرم با زنان کاری دارند، پرده‌ای میان آنها باشد و حریم بین زن و مرد محفوظ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بانوان، محمد وحیدی، سؤال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احکام علاقات المرأة مع الرجل، سؤال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مسائل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استفاده از استفتاء، کتاب احکام بانوان،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کتاب احکام ازدواج،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احکام ازدواج،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احکام بانوان، محمد وحیدی،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السائل، مسائل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توضیح المسائل، مسأله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استفتاء، احکام علاقات المرأة مع الرجل، سؤال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الرجل مع المرأة، مسائل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سؤالات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احکام بانوان، محمد وحیدی،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ازدواج،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ازدواج،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ازدواج،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بانوان، محمد وحیدی، سؤال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احکام بانوان، وحیدی، استفتاء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بانوان، محمد وحیدی،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از تماسّ در اینجا مواجهه و رودررو شدن و حرف زدن با همدیگر است، نه تماس بدنی که حکمش در فصلی جداگانه در آینده همین کتاب خواهد آمد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عروة الوثقی، النکاح، مسأله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تحریر الوسیلة، النکاح،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السائل، سؤال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ملاقات المرأه مع الرجل،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احکام علاقات المرأه مع الرجل،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احکام علاقات المرأة مع الرجل،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الستر والساتر؛ استفتاء، احکام علاقات المرأة مع الرجل،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النکاح، مسأله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تحریر الوسیلة، النکاح،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مأخذ پیشین،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مأخذ پیشین؛ سؤال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صراط النجاة، سؤال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المسائل، س</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علاقات المرأة مع الرجل،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سؤالات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حجاب شناسی، حسین مهدی زاده،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قبلی، استفتائات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نباید در هنگام سخن گفتن با نامحرمان صدای خود را نرم کنند تا مردان نامحرمی که در قلوبشان مرض شهوت وجود دارد در آنها طمع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قبلی، استفتائات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مأخذ قبلی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استفتاء، احکام بانوان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وحیدی، 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احکام ازدواج،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استفتاء در کتاب احکام علاقات المرأة مع الرجل، سؤالات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منابع پیشین؛ ارشاد السائل، سؤال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المسائل،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استفتاء در کتاب احکام علاقات المرأة مع الرجل، سؤالات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استفتائات، سؤال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مسأله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احکام بانوان، سؤال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استفتاء، احکام علاقات المرأة مع الرجل، سؤال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مأخذ پیشین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استفتائات، سؤال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استفتائات، 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المسائل، سؤال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20283</Words>
  <Characters>80980</Characters>
  <CharactersWithSpaces>99892</CharactersWithSpaces>
  <Paragraphs>1939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2026-08-16T09:34:10Z</dcterms:created>
  <dc:creator>ghaemiyeh.com</dc:creator>
  <dc:description/>
  <dc:language>en-US</dc:language>
  <cp:lastModifiedBy/>
  <dcterms:modified xsi:type="dcterms:W3CDTF">2026-08-16T13:04:15Z</dcterms:modified>
  <cp:revision>1</cp:revision>
  <dc:subject/>
  <dc:title>احکام حجاب و عفت در گلستان مرجعیت</dc:title>
</cp:coreProperties>
</file>

<file path=docProps/custom.xml><?xml version="1.0" encoding="utf-8"?>
<Properties xmlns="http://schemas.openxmlformats.org/officeDocument/2006/custom-properties" xmlns:vt="http://schemas.openxmlformats.org/officeDocument/2006/docPropsVTypes"/>
</file>