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ضمان 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447_37343814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05449_3734381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05451_37343814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05453_373438147">
            <w:r>
              <w:rPr>
                <w:webHidden/>
                <w:rStyle w:val="IndexLink"/>
                <w:rtl w:val="true"/>
              </w:rPr>
              <w:t>پیش 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05455_373438147">
            <w:r>
              <w:rPr>
                <w:webHidden/>
                <w:rStyle w:val="IndexLink"/>
                <w:rtl w:val="true"/>
              </w:rPr>
              <w:t>کلیّات</w:t>
            </w:r>
            <w:r>
              <w:rPr>
                <w:rStyle w:val="IndexLink"/>
                <w:rtl w:val="true"/>
              </w:rPr>
              <w:tab/>
            </w:r>
            <w:r>
              <w:rPr>
                <w:rStyle w:val="IndexLink"/>
              </w:rPr>
              <w:t>23</w:t>
            </w:r>
          </w:hyperlink>
        </w:p>
        <w:p>
          <w:pPr>
            <w:pStyle w:val="Contents3"/>
            <w:tabs>
              <w:tab w:val="clear" w:pos="8459"/>
              <w:tab w:val="right" w:pos="9026" w:leader="dot"/>
            </w:tabs>
            <w:rPr/>
          </w:pPr>
          <w:hyperlink w:anchor="__RefHeading___Toc105457_373438147">
            <w:r>
              <w:rPr>
                <w:webHidden/>
                <w:rStyle w:val="IndexLink"/>
              </w:rPr>
              <w:t>1</w:t>
            </w:r>
            <w:r>
              <w:rPr>
                <w:rStyle w:val="IndexLink"/>
                <w:rtl w:val="true"/>
              </w:rPr>
              <w:t xml:space="preserve"> - </w:t>
            </w:r>
            <w:r>
              <w:rPr>
                <w:rStyle w:val="IndexLink"/>
                <w:rtl w:val="true"/>
              </w:rPr>
              <w:t>نکات آغازین</w:t>
            </w:r>
            <w:r>
              <w:rPr>
                <w:rStyle w:val="IndexLink"/>
                <w:rtl w:val="true"/>
              </w:rPr>
              <w:tab/>
            </w:r>
            <w:r>
              <w:rPr>
                <w:rStyle w:val="IndexLink"/>
              </w:rPr>
              <w:t>23</w:t>
            </w:r>
          </w:hyperlink>
        </w:p>
        <w:p>
          <w:pPr>
            <w:pStyle w:val="Contents4"/>
            <w:tabs>
              <w:tab w:val="clear" w:pos="8176"/>
              <w:tab w:val="right" w:pos="9026" w:leader="dot"/>
            </w:tabs>
            <w:rPr/>
          </w:pPr>
          <w:hyperlink w:anchor="__RefHeading___Toc105459_37343814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05461_373438147">
            <w:r>
              <w:rPr>
                <w:webHidden/>
                <w:rStyle w:val="IndexLink"/>
                <w:rtl w:val="true"/>
              </w:rPr>
              <w:t>الف</w:t>
            </w:r>
            <w:r>
              <w:rPr>
                <w:rStyle w:val="IndexLink"/>
                <w:rtl w:val="true"/>
              </w:rPr>
              <w:t xml:space="preserve">: </w:t>
            </w:r>
            <w:r>
              <w:rPr>
                <w:rStyle w:val="IndexLink"/>
                <w:rtl w:val="true"/>
              </w:rPr>
              <w:t>مشروعیّت ضمان</w:t>
            </w:r>
            <w:r>
              <w:rPr>
                <w:rStyle w:val="IndexLink"/>
                <w:rtl w:val="true"/>
              </w:rPr>
              <w:tab/>
            </w:r>
            <w:r>
              <w:rPr>
                <w:rStyle w:val="IndexLink"/>
              </w:rPr>
              <w:t>24</w:t>
            </w:r>
          </w:hyperlink>
        </w:p>
        <w:p>
          <w:pPr>
            <w:pStyle w:val="Contents4"/>
            <w:tabs>
              <w:tab w:val="clear" w:pos="8176"/>
              <w:tab w:val="right" w:pos="9026" w:leader="dot"/>
            </w:tabs>
            <w:rPr/>
          </w:pPr>
          <w:hyperlink w:anchor="__RefHeading___Toc105463_373438147">
            <w:r>
              <w:rPr>
                <w:webHidden/>
                <w:rStyle w:val="IndexLink"/>
                <w:rtl w:val="true"/>
              </w:rPr>
              <w:t>ب</w:t>
            </w:r>
            <w:r>
              <w:rPr>
                <w:rStyle w:val="IndexLink"/>
                <w:rtl w:val="true"/>
              </w:rPr>
              <w:t xml:space="preserve">: </w:t>
            </w:r>
            <w:r>
              <w:rPr>
                <w:rStyle w:val="IndexLink"/>
                <w:rtl w:val="true"/>
              </w:rPr>
              <w:t>اسباب ضمان</w:t>
            </w:r>
            <w:r>
              <w:rPr>
                <w:rStyle w:val="IndexLink"/>
                <w:rtl w:val="true"/>
              </w:rPr>
              <w:tab/>
            </w:r>
            <w:r>
              <w:rPr>
                <w:rStyle w:val="IndexLink"/>
              </w:rPr>
              <w:t>24</w:t>
            </w:r>
          </w:hyperlink>
        </w:p>
        <w:p>
          <w:pPr>
            <w:pStyle w:val="Contents4"/>
            <w:tabs>
              <w:tab w:val="clear" w:pos="8176"/>
              <w:tab w:val="right" w:pos="9026" w:leader="dot"/>
            </w:tabs>
            <w:rPr/>
          </w:pPr>
          <w:hyperlink w:anchor="__RefHeading___Toc105465_373438147">
            <w:r>
              <w:rPr>
                <w:webHidden/>
                <w:rStyle w:val="IndexLink"/>
                <w:rtl w:val="true"/>
              </w:rPr>
              <w:t>ج</w:t>
            </w:r>
            <w:r>
              <w:rPr>
                <w:rStyle w:val="IndexLink"/>
                <w:rtl w:val="true"/>
              </w:rPr>
              <w:t xml:space="preserve">: </w:t>
            </w:r>
            <w:r>
              <w:rPr>
                <w:rStyle w:val="IndexLink"/>
                <w:rtl w:val="true"/>
              </w:rPr>
              <w:t>انواع ضمان</w:t>
            </w:r>
            <w:r>
              <w:rPr>
                <w:rStyle w:val="IndexLink"/>
                <w:rtl w:val="true"/>
              </w:rPr>
              <w:tab/>
            </w:r>
            <w:r>
              <w:rPr>
                <w:rStyle w:val="IndexLink"/>
              </w:rPr>
              <w:t>28</w:t>
            </w:r>
          </w:hyperlink>
        </w:p>
        <w:p>
          <w:pPr>
            <w:pStyle w:val="Contents4"/>
            <w:tabs>
              <w:tab w:val="clear" w:pos="8176"/>
              <w:tab w:val="right" w:pos="9026" w:leader="dot"/>
            </w:tabs>
            <w:rPr/>
          </w:pPr>
          <w:hyperlink w:anchor="__RefHeading___Toc105467_373438147">
            <w:r>
              <w:rPr>
                <w:webHidden/>
                <w:rStyle w:val="IndexLink"/>
                <w:rtl w:val="true"/>
              </w:rPr>
              <w:t>د</w:t>
            </w:r>
            <w:r>
              <w:rPr>
                <w:rStyle w:val="IndexLink"/>
                <w:rtl w:val="true"/>
              </w:rPr>
              <w:t xml:space="preserve">: </w:t>
            </w:r>
            <w:r>
              <w:rPr>
                <w:rStyle w:val="IndexLink"/>
                <w:rtl w:val="true"/>
              </w:rPr>
              <w:t>تفاوت قاعده ضمان ید و قاعده ید</w:t>
            </w:r>
            <w:r>
              <w:rPr>
                <w:rStyle w:val="IndexLink"/>
                <w:rtl w:val="true"/>
              </w:rPr>
              <w:tab/>
            </w:r>
            <w:r>
              <w:rPr>
                <w:rStyle w:val="IndexLink"/>
              </w:rPr>
              <w:t>28</w:t>
            </w:r>
          </w:hyperlink>
        </w:p>
        <w:p>
          <w:pPr>
            <w:pStyle w:val="Contents3"/>
            <w:tabs>
              <w:tab w:val="clear" w:pos="8459"/>
              <w:tab w:val="right" w:pos="9026" w:leader="dot"/>
            </w:tabs>
            <w:rPr/>
          </w:pPr>
          <w:hyperlink w:anchor="__RefHeading___Toc105469_373438147">
            <w:r>
              <w:rPr>
                <w:webHidden/>
                <w:rStyle w:val="IndexLink"/>
              </w:rPr>
              <w:t>2</w:t>
            </w:r>
            <w:r>
              <w:rPr>
                <w:rStyle w:val="IndexLink"/>
                <w:rtl w:val="true"/>
              </w:rPr>
              <w:t xml:space="preserve"> - </w:t>
            </w:r>
            <w:r>
              <w:rPr>
                <w:rStyle w:val="IndexLink"/>
                <w:rtl w:val="true"/>
              </w:rPr>
              <w:t>مدرک قاعده</w:t>
            </w:r>
            <w:r>
              <w:rPr>
                <w:rStyle w:val="IndexLink"/>
                <w:rtl w:val="true"/>
              </w:rPr>
              <w:tab/>
            </w:r>
            <w:r>
              <w:rPr>
                <w:rStyle w:val="IndexLink"/>
              </w:rPr>
              <w:t>30</w:t>
            </w:r>
          </w:hyperlink>
        </w:p>
        <w:p>
          <w:pPr>
            <w:pStyle w:val="Contents4"/>
            <w:tabs>
              <w:tab w:val="clear" w:pos="8176"/>
              <w:tab w:val="right" w:pos="9026" w:leader="dot"/>
            </w:tabs>
            <w:rPr/>
          </w:pPr>
          <w:hyperlink w:anchor="__RefHeading___Toc105471_37343814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05473_373438147">
            <w:r>
              <w:rPr>
                <w:webHidden/>
                <w:rStyle w:val="IndexLink"/>
                <w:rtl w:val="true"/>
              </w:rPr>
              <w:t>بررسی سندی حدیث علی الید</w:t>
            </w:r>
            <w:r>
              <w:rPr>
                <w:rStyle w:val="IndexLink"/>
                <w:rtl w:val="true"/>
              </w:rPr>
              <w:tab/>
            </w:r>
            <w:r>
              <w:rPr>
                <w:rStyle w:val="IndexLink"/>
              </w:rPr>
              <w:t>31</w:t>
            </w:r>
          </w:hyperlink>
        </w:p>
        <w:p>
          <w:pPr>
            <w:pStyle w:val="Contents4"/>
            <w:tabs>
              <w:tab w:val="clear" w:pos="8176"/>
              <w:tab w:val="right" w:pos="9026" w:leader="dot"/>
            </w:tabs>
            <w:rPr/>
          </w:pPr>
          <w:hyperlink w:anchor="__RefHeading___Toc105475_373438147">
            <w:r>
              <w:rPr>
                <w:webHidden/>
                <w:rStyle w:val="IndexLink"/>
                <w:rtl w:val="true"/>
              </w:rPr>
              <w:t>بررسی جبران ضعف سند به وسیله شهرت</w:t>
            </w:r>
            <w:r>
              <w:rPr>
                <w:rStyle w:val="IndexLink"/>
                <w:rtl w:val="true"/>
              </w:rPr>
              <w:tab/>
            </w:r>
            <w:r>
              <w:rPr>
                <w:rStyle w:val="IndexLink"/>
              </w:rPr>
              <w:t>33</w:t>
            </w:r>
          </w:hyperlink>
        </w:p>
        <w:p>
          <w:pPr>
            <w:pStyle w:val="Contents4"/>
            <w:tabs>
              <w:tab w:val="clear" w:pos="8176"/>
              <w:tab w:val="right" w:pos="9026" w:leader="dot"/>
            </w:tabs>
            <w:rPr/>
          </w:pPr>
          <w:hyperlink w:anchor="__RefHeading___Toc105477_373438147">
            <w:r>
              <w:rPr>
                <w:webHidden/>
                <w:rStyle w:val="IndexLink"/>
                <w:rtl w:val="true"/>
              </w:rPr>
              <w:t>اشکال امام خمینی رحمه الله در مورد استناد عمل مشهور به حدیث علی الید</w:t>
            </w:r>
            <w:r>
              <w:rPr>
                <w:rStyle w:val="IndexLink"/>
                <w:rtl w:val="true"/>
              </w:rPr>
              <w:tab/>
            </w:r>
            <w:r>
              <w:rPr>
                <w:rStyle w:val="IndexLink"/>
              </w:rPr>
              <w:t>35</w:t>
            </w:r>
          </w:hyperlink>
        </w:p>
        <w:p>
          <w:pPr>
            <w:pStyle w:val="Contents4"/>
            <w:tabs>
              <w:tab w:val="clear" w:pos="8176"/>
              <w:tab w:val="right" w:pos="9026" w:leader="dot"/>
            </w:tabs>
            <w:rPr/>
          </w:pPr>
          <w:hyperlink w:anchor="__RefHeading___Toc105479_373438147">
            <w:r>
              <w:rPr>
                <w:webHidden/>
                <w:rStyle w:val="IndexLink"/>
                <w:rtl w:val="true"/>
              </w:rPr>
              <w:t>پاسخ اشکال امام خمینی رحمه الله</w:t>
            </w:r>
            <w:r>
              <w:rPr>
                <w:rStyle w:val="IndexLink"/>
                <w:rtl w:val="true"/>
              </w:rPr>
              <w:tab/>
            </w:r>
            <w:r>
              <w:rPr>
                <w:rStyle w:val="IndexLink"/>
              </w:rPr>
              <w:t>38</w:t>
            </w:r>
          </w:hyperlink>
        </w:p>
        <w:p>
          <w:pPr>
            <w:pStyle w:val="Contents4"/>
            <w:tabs>
              <w:tab w:val="clear" w:pos="8176"/>
              <w:tab w:val="right" w:pos="9026" w:leader="dot"/>
            </w:tabs>
            <w:rPr/>
          </w:pPr>
          <w:hyperlink w:anchor="__RefHeading___Toc105481_373438147">
            <w:r>
              <w:rPr>
                <w:webHidden/>
                <w:rStyle w:val="IndexLink"/>
                <w:rtl w:val="true"/>
              </w:rPr>
              <w:t>فقدان روایت در کتب اربعه و تأثیر آن بر استدلال به حدیث</w:t>
            </w:r>
            <w:r>
              <w:rPr>
                <w:rStyle w:val="IndexLink"/>
                <w:rtl w:val="true"/>
              </w:rPr>
              <w:tab/>
            </w:r>
            <w:r>
              <w:rPr>
                <w:rStyle w:val="IndexLink"/>
              </w:rPr>
              <w:t>41</w:t>
            </w:r>
          </w:hyperlink>
        </w:p>
        <w:p>
          <w:pPr>
            <w:pStyle w:val="Contents2"/>
            <w:tabs>
              <w:tab w:val="clear" w:pos="8743"/>
              <w:tab w:val="right" w:pos="9026" w:leader="dot"/>
            </w:tabs>
            <w:rPr/>
          </w:pPr>
          <w:hyperlink w:anchor="__RefHeading___Toc105483_373438147">
            <w:r>
              <w:rPr>
                <w:webHidden/>
                <w:rStyle w:val="IndexLink"/>
                <w:rtl w:val="true"/>
              </w:rPr>
              <w:t>بخش اوّل</w:t>
            </w:r>
            <w:r>
              <w:rPr>
                <w:rStyle w:val="IndexLink"/>
                <w:rtl w:val="true"/>
              </w:rPr>
              <w:t xml:space="preserve">: </w:t>
            </w:r>
            <w:r>
              <w:rPr>
                <w:rStyle w:val="IndexLink"/>
                <w:rtl w:val="true"/>
              </w:rPr>
              <w:t xml:space="preserve">بررسی مفاد ترکیبی حدیث </w:t>
            </w:r>
            <w:r>
              <w:rPr>
                <w:rStyle w:val="IndexLink"/>
                <w:rtl w:val="true"/>
              </w:rPr>
              <w:t>«</w:t>
            </w:r>
            <w:r>
              <w:rPr>
                <w:rStyle w:val="IndexLink"/>
                <w:rtl w:val="true"/>
              </w:rPr>
              <w:t>علی الید</w:t>
            </w:r>
            <w:r>
              <w:rPr>
                <w:rStyle w:val="IndexLink"/>
                <w:rtl w:val="true"/>
              </w:rPr>
              <w:t>»</w:t>
              <w:tab/>
            </w:r>
            <w:r>
              <w:rPr>
                <w:rStyle w:val="IndexLink"/>
              </w:rPr>
              <w:t>44</w:t>
            </w:r>
          </w:hyperlink>
        </w:p>
        <w:p>
          <w:pPr>
            <w:pStyle w:val="Contents3"/>
            <w:tabs>
              <w:tab w:val="clear" w:pos="8459"/>
              <w:tab w:val="right" w:pos="9026" w:leader="dot"/>
            </w:tabs>
            <w:rPr/>
          </w:pPr>
          <w:hyperlink w:anchor="__RefHeading___Toc105485_373438147">
            <w:r>
              <w:rPr>
                <w:webHidden/>
                <w:rStyle w:val="IndexLink"/>
                <w:rtl w:val="true"/>
              </w:rPr>
              <w:t>فصل اوّل</w:t>
            </w:r>
            <w:r>
              <w:rPr>
                <w:rStyle w:val="IndexLink"/>
                <w:rtl w:val="true"/>
              </w:rPr>
              <w:t xml:space="preserve">: </w:t>
            </w:r>
            <w:r>
              <w:rPr>
                <w:rStyle w:val="IndexLink"/>
                <w:rtl w:val="true"/>
              </w:rPr>
              <w:t>نظریّات موجود در مفاد روایت</w:t>
            </w:r>
            <w:r>
              <w:rPr>
                <w:rStyle w:val="IndexLink"/>
                <w:rtl w:val="true"/>
              </w:rPr>
              <w:tab/>
            </w:r>
            <w:r>
              <w:rPr>
                <w:rStyle w:val="IndexLink"/>
              </w:rPr>
              <w:t>44</w:t>
            </w:r>
          </w:hyperlink>
        </w:p>
        <w:p>
          <w:pPr>
            <w:pStyle w:val="Contents4"/>
            <w:tabs>
              <w:tab w:val="clear" w:pos="8176"/>
              <w:tab w:val="right" w:pos="9026" w:leader="dot"/>
            </w:tabs>
            <w:rPr/>
          </w:pPr>
          <w:hyperlink w:anchor="__RefHeading___Toc105487_373438147">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05489_373438147">
            <w:r>
              <w:rPr>
                <w:webHidden/>
                <w:rStyle w:val="IndexLink"/>
                <w:rtl w:val="true"/>
              </w:rPr>
              <w:t>گفتار اوّل</w:t>
            </w:r>
            <w:r>
              <w:rPr>
                <w:rStyle w:val="IndexLink"/>
                <w:rtl w:val="true"/>
              </w:rPr>
              <w:t xml:space="preserve">: </w:t>
            </w:r>
            <w:r>
              <w:rPr>
                <w:rStyle w:val="IndexLink"/>
                <w:rtl w:val="true"/>
              </w:rPr>
              <w:t xml:space="preserve">بررسی تفاوت دلالت </w:t>
            </w:r>
            <w:r>
              <w:rPr>
                <w:rStyle w:val="IndexLink"/>
                <w:rtl w:val="true"/>
              </w:rPr>
              <w:t>«</w:t>
            </w:r>
            <w:r>
              <w:rPr>
                <w:rStyle w:val="IndexLink"/>
                <w:rtl w:val="true"/>
              </w:rPr>
              <w:t>علی الید</w:t>
            </w:r>
            <w:r>
              <w:rPr>
                <w:rStyle w:val="IndexLink"/>
                <w:rtl w:val="true"/>
              </w:rPr>
              <w:t xml:space="preserve">» </w:t>
            </w:r>
            <w:r>
              <w:rPr>
                <w:rStyle w:val="IndexLink"/>
                <w:rtl w:val="true"/>
              </w:rPr>
              <w:t>با توجه به متعلّق آن</w:t>
            </w:r>
            <w:r>
              <w:rPr>
                <w:rStyle w:val="IndexLink"/>
                <w:rtl w:val="true"/>
              </w:rPr>
              <w:tab/>
            </w:r>
            <w:r>
              <w:rPr>
                <w:rStyle w:val="IndexLink"/>
              </w:rPr>
              <w:t>45</w:t>
            </w:r>
          </w:hyperlink>
        </w:p>
        <w:p>
          <w:pPr>
            <w:pStyle w:val="Contents5"/>
            <w:tabs>
              <w:tab w:val="clear" w:pos="7892"/>
              <w:tab w:val="right" w:pos="9026" w:leader="dot"/>
            </w:tabs>
            <w:rPr/>
          </w:pPr>
          <w:hyperlink w:anchor="__RefHeading___Toc105491_373438147">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05493_373438147">
            <w:r>
              <w:rPr>
                <w:webHidden/>
                <w:rStyle w:val="IndexLink"/>
              </w:rPr>
              <w:t>1</w:t>
            </w:r>
            <w:r>
              <w:rPr>
                <w:rStyle w:val="IndexLink"/>
                <w:rtl w:val="true"/>
              </w:rPr>
              <w:t xml:space="preserve"> - </w:t>
            </w:r>
            <w:r>
              <w:rPr>
                <w:rStyle w:val="IndexLink"/>
                <w:rtl w:val="true"/>
              </w:rPr>
              <w:t>نظریّه شیخ انصاری رحمه الله</w:t>
            </w:r>
            <w:r>
              <w:rPr>
                <w:rStyle w:val="IndexLink"/>
                <w:rtl w:val="true"/>
              </w:rPr>
              <w:tab/>
            </w:r>
            <w:r>
              <w:rPr>
                <w:rStyle w:val="IndexLink"/>
              </w:rPr>
              <w:t>45</w:t>
            </w:r>
          </w:hyperlink>
        </w:p>
        <w:p>
          <w:pPr>
            <w:pStyle w:val="Contents5"/>
            <w:tabs>
              <w:tab w:val="clear" w:pos="7892"/>
              <w:tab w:val="right" w:pos="9026" w:leader="dot"/>
            </w:tabs>
            <w:rPr/>
          </w:pPr>
          <w:hyperlink w:anchor="__RefHeading___Toc105495_373438147">
            <w:r>
              <w:rPr>
                <w:webHidden/>
                <w:rStyle w:val="IndexLink"/>
              </w:rPr>
              <w:t>2</w:t>
            </w:r>
            <w:r>
              <w:rPr>
                <w:rStyle w:val="IndexLink"/>
                <w:rtl w:val="true"/>
              </w:rPr>
              <w:t xml:space="preserve"> - </w:t>
            </w:r>
            <w:r>
              <w:rPr>
                <w:rStyle w:val="IndexLink"/>
                <w:rtl w:val="true"/>
              </w:rPr>
              <w:t>نظریّه محقّق ایروانی رحمه الله</w:t>
            </w:r>
            <w:r>
              <w:rPr>
                <w:rStyle w:val="IndexLink"/>
                <w:rtl w:val="true"/>
              </w:rPr>
              <w:tab/>
            </w:r>
            <w:r>
              <w:rPr>
                <w:rStyle w:val="IndexLink"/>
              </w:rPr>
              <w:t>47</w:t>
            </w:r>
          </w:hyperlink>
        </w:p>
        <w:p>
          <w:pPr>
            <w:pStyle w:val="Contents5"/>
            <w:tabs>
              <w:tab w:val="clear" w:pos="7892"/>
              <w:tab w:val="right" w:pos="9026" w:leader="dot"/>
            </w:tabs>
            <w:rPr/>
          </w:pPr>
          <w:hyperlink w:anchor="__RefHeading___Toc105497_373438147">
            <w:r>
              <w:rPr>
                <w:webHidden/>
                <w:rStyle w:val="IndexLink"/>
              </w:rPr>
              <w:t>3</w:t>
            </w:r>
            <w:r>
              <w:rPr>
                <w:rStyle w:val="IndexLink"/>
                <w:rtl w:val="true"/>
              </w:rPr>
              <w:t xml:space="preserve"> - </w:t>
            </w:r>
            <w:r>
              <w:rPr>
                <w:rStyle w:val="IndexLink"/>
                <w:rtl w:val="true"/>
              </w:rPr>
              <w:t>نظریّه امام خمینی رحمه الله</w:t>
            </w:r>
            <w:r>
              <w:rPr>
                <w:rStyle w:val="IndexLink"/>
                <w:rtl w:val="true"/>
              </w:rPr>
              <w:tab/>
            </w:r>
            <w:r>
              <w:rPr>
                <w:rStyle w:val="IndexLink"/>
              </w:rPr>
              <w:t>49</w:t>
            </w:r>
          </w:hyperlink>
        </w:p>
        <w:p>
          <w:pPr>
            <w:pStyle w:val="Contents4"/>
            <w:tabs>
              <w:tab w:val="clear" w:pos="8176"/>
              <w:tab w:val="right" w:pos="9026" w:leader="dot"/>
            </w:tabs>
            <w:rPr/>
          </w:pPr>
          <w:hyperlink w:anchor="__RefHeading___Toc105499_373438147">
            <w:r>
              <w:rPr>
                <w:webHidden/>
                <w:rStyle w:val="IndexLink"/>
                <w:rtl w:val="true"/>
              </w:rPr>
              <w:t>گفتار دوّم</w:t>
            </w:r>
            <w:r>
              <w:rPr>
                <w:rStyle w:val="IndexLink"/>
                <w:rtl w:val="true"/>
              </w:rPr>
              <w:t xml:space="preserve">: </w:t>
            </w:r>
            <w:r>
              <w:rPr>
                <w:rStyle w:val="IndexLink"/>
                <w:rtl w:val="true"/>
              </w:rPr>
              <w:t xml:space="preserve">بررسی احتمالات موجود در متعلّق </w:t>
            </w:r>
            <w:r>
              <w:rPr>
                <w:rStyle w:val="IndexLink"/>
                <w:rtl w:val="true"/>
              </w:rPr>
              <w:t>«</w:t>
            </w:r>
            <w:r>
              <w:rPr>
                <w:rStyle w:val="IndexLink"/>
                <w:rtl w:val="true"/>
              </w:rPr>
              <w:t>علی الید</w:t>
            </w:r>
            <w:r>
              <w:rPr>
                <w:rStyle w:val="IndexLink"/>
                <w:rtl w:val="true"/>
              </w:rPr>
              <w:t>»</w:t>
              <w:tab/>
            </w:r>
            <w:r>
              <w:rPr>
                <w:rStyle w:val="IndexLink"/>
              </w:rPr>
              <w:t>51</w:t>
            </w:r>
          </w:hyperlink>
        </w:p>
        <w:p>
          <w:pPr>
            <w:pStyle w:val="Contents5"/>
            <w:tabs>
              <w:tab w:val="clear" w:pos="7892"/>
              <w:tab w:val="right" w:pos="9026" w:leader="dot"/>
            </w:tabs>
            <w:rPr/>
          </w:pPr>
          <w:hyperlink w:anchor="__RefHeading___Toc105501_373438147">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05503_373438147">
            <w:r>
              <w:rPr>
                <w:webHidden/>
                <w:rStyle w:val="IndexLink"/>
                <w:rtl w:val="true"/>
              </w:rPr>
              <w:t xml:space="preserve">احتمالات مطرح در متعلّق </w:t>
            </w:r>
            <w:r>
              <w:rPr>
                <w:rStyle w:val="IndexLink"/>
                <w:rtl w:val="true"/>
              </w:rPr>
              <w:t>«</w:t>
            </w:r>
            <w:r>
              <w:rPr>
                <w:rStyle w:val="IndexLink"/>
                <w:rtl w:val="true"/>
              </w:rPr>
              <w:t>علی الید</w:t>
            </w:r>
            <w:r>
              <w:rPr>
                <w:rStyle w:val="IndexLink"/>
                <w:rtl w:val="true"/>
              </w:rPr>
              <w:t>»</w:t>
              <w:tab/>
            </w:r>
            <w:r>
              <w:rPr>
                <w:rStyle w:val="IndexLink"/>
              </w:rPr>
              <w:t>52</w:t>
            </w:r>
          </w:hyperlink>
        </w:p>
        <w:p>
          <w:pPr>
            <w:pStyle w:val="Contents5"/>
            <w:tabs>
              <w:tab w:val="clear" w:pos="7892"/>
              <w:tab w:val="right" w:pos="9026" w:leader="dot"/>
            </w:tabs>
            <w:rPr/>
          </w:pPr>
          <w:hyperlink w:anchor="__RefHeading___Toc105505_373438147">
            <w:r>
              <w:rPr>
                <w:webHidden/>
                <w:rStyle w:val="IndexLink"/>
                <w:rtl w:val="true"/>
              </w:rPr>
              <w:t>احتمال اوّل، دیدگاه شیخ طوسی رحمه الله</w:t>
            </w:r>
            <w:r>
              <w:rPr>
                <w:rStyle w:val="IndexLink"/>
                <w:rtl w:val="true"/>
              </w:rPr>
              <w:tab/>
            </w:r>
            <w:r>
              <w:rPr>
                <w:rStyle w:val="IndexLink"/>
              </w:rPr>
              <w:t>54</w:t>
            </w:r>
          </w:hyperlink>
        </w:p>
        <w:p>
          <w:pPr>
            <w:pStyle w:val="Contents5"/>
            <w:tabs>
              <w:tab w:val="clear" w:pos="7892"/>
              <w:tab w:val="right" w:pos="9026" w:leader="dot"/>
            </w:tabs>
            <w:rPr/>
          </w:pPr>
          <w:hyperlink w:anchor="__RefHeading___Toc105507_373438147">
            <w:r>
              <w:rPr>
                <w:webHidden/>
                <w:rStyle w:val="IndexLink"/>
                <w:rtl w:val="true"/>
              </w:rPr>
              <w:t>احتمال دوّم، دیدگاه محقّق نراقی و محقّق ایروانی رحمهما الله</w:t>
            </w:r>
            <w:r>
              <w:rPr>
                <w:rStyle w:val="IndexLink"/>
                <w:rtl w:val="true"/>
              </w:rPr>
              <w:tab/>
            </w:r>
            <w:r>
              <w:rPr>
                <w:rStyle w:val="IndexLink"/>
              </w:rPr>
              <w:t>55</w:t>
            </w:r>
          </w:hyperlink>
        </w:p>
        <w:p>
          <w:pPr>
            <w:pStyle w:val="Contents6"/>
            <w:tabs>
              <w:tab w:val="clear" w:pos="7609"/>
              <w:tab w:val="right" w:pos="9026" w:leader="dot"/>
            </w:tabs>
            <w:rPr/>
          </w:pPr>
          <w:hyperlink w:anchor="__RefHeading___Toc105509_373438147">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105511_373438147">
            <w:r>
              <w:rPr>
                <w:webHidden/>
                <w:rStyle w:val="IndexLink"/>
                <w:rtl w:val="true"/>
              </w:rPr>
              <w:t xml:space="preserve">تبیین دیدگاه محقّق نراقی رحمه الله در مورد متعلّق </w:t>
            </w:r>
            <w:r>
              <w:rPr>
                <w:rStyle w:val="IndexLink"/>
                <w:rtl w:val="true"/>
              </w:rPr>
              <w:t>«</w:t>
            </w:r>
            <w:r>
              <w:rPr>
                <w:rStyle w:val="IndexLink"/>
                <w:rtl w:val="true"/>
              </w:rPr>
              <w:t>علی الید</w:t>
            </w:r>
            <w:r>
              <w:rPr>
                <w:rStyle w:val="IndexLink"/>
                <w:rtl w:val="true"/>
              </w:rPr>
              <w:t>»</w:t>
              <w:tab/>
            </w:r>
            <w:r>
              <w:rPr>
                <w:rStyle w:val="IndexLink"/>
              </w:rPr>
              <w:t>55</w:t>
            </w:r>
          </w:hyperlink>
        </w:p>
        <w:p>
          <w:pPr>
            <w:pStyle w:val="Contents6"/>
            <w:tabs>
              <w:tab w:val="clear" w:pos="7609"/>
              <w:tab w:val="right" w:pos="9026" w:leader="dot"/>
            </w:tabs>
            <w:rPr/>
          </w:pPr>
          <w:hyperlink w:anchor="__RefHeading___Toc105513_373438147">
            <w:r>
              <w:rPr>
                <w:webHidden/>
                <w:rStyle w:val="IndexLink"/>
                <w:rtl w:val="true"/>
              </w:rPr>
              <w:t>اشکالات وارد بر دیدگاه محقّق نراقی رحمه الله</w:t>
            </w:r>
            <w:r>
              <w:rPr>
                <w:rStyle w:val="IndexLink"/>
                <w:rtl w:val="true"/>
              </w:rPr>
              <w:tab/>
            </w:r>
            <w:r>
              <w:rPr>
                <w:rStyle w:val="IndexLink"/>
              </w:rPr>
              <w:t>59</w:t>
            </w:r>
          </w:hyperlink>
        </w:p>
        <w:p>
          <w:pPr>
            <w:pStyle w:val="Contents5"/>
            <w:tabs>
              <w:tab w:val="clear" w:pos="7892"/>
              <w:tab w:val="right" w:pos="9026" w:leader="dot"/>
            </w:tabs>
            <w:rPr/>
          </w:pPr>
          <w:hyperlink w:anchor="__RefHeading___Toc105515_373438147">
            <w:r>
              <w:rPr>
                <w:webHidden/>
                <w:rStyle w:val="IndexLink"/>
                <w:rtl w:val="true"/>
              </w:rPr>
              <w:t>احتمال سوم، دیدگاه مشهور فقها</w:t>
            </w:r>
            <w:r>
              <w:rPr>
                <w:rStyle w:val="IndexLink"/>
                <w:rtl w:val="true"/>
              </w:rPr>
              <w:tab/>
            </w:r>
            <w:r>
              <w:rPr>
                <w:rStyle w:val="IndexLink"/>
              </w:rPr>
              <w:t>62</w:t>
            </w:r>
          </w:hyperlink>
        </w:p>
        <w:p>
          <w:pPr>
            <w:pStyle w:val="Contents6"/>
            <w:tabs>
              <w:tab w:val="clear" w:pos="7609"/>
              <w:tab w:val="right" w:pos="9026" w:leader="dot"/>
            </w:tabs>
            <w:rPr/>
          </w:pPr>
          <w:hyperlink w:anchor="__RefHeading___Toc105517_373438147">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05519_373438147">
            <w:r>
              <w:rPr>
                <w:webHidden/>
                <w:rStyle w:val="IndexLink"/>
                <w:rtl w:val="true"/>
              </w:rPr>
              <w:t>الف</w:t>
            </w:r>
            <w:r>
              <w:rPr>
                <w:rStyle w:val="IndexLink"/>
                <w:rtl w:val="true"/>
              </w:rPr>
              <w:t xml:space="preserve">) </w:t>
            </w:r>
            <w:r>
              <w:rPr>
                <w:rStyle w:val="IndexLink"/>
                <w:rtl w:val="true"/>
              </w:rPr>
              <w:t>دلایل محقّق مراغی رحمه الله بر قول به ضمان</w:t>
            </w:r>
            <w:r>
              <w:rPr>
                <w:rStyle w:val="IndexLink"/>
                <w:rtl w:val="true"/>
              </w:rPr>
              <w:tab/>
            </w:r>
            <w:r>
              <w:rPr>
                <w:rStyle w:val="IndexLink"/>
              </w:rPr>
              <w:t>64</w:t>
            </w:r>
          </w:hyperlink>
        </w:p>
        <w:p>
          <w:pPr>
            <w:pStyle w:val="Contents6"/>
            <w:tabs>
              <w:tab w:val="clear" w:pos="7609"/>
              <w:tab w:val="right" w:pos="9026" w:leader="dot"/>
            </w:tabs>
            <w:rPr/>
          </w:pPr>
          <w:hyperlink w:anchor="__RefHeading___Toc105521_373438147">
            <w:r>
              <w:rPr>
                <w:webHidden/>
                <w:rStyle w:val="IndexLink"/>
                <w:rtl w:val="true"/>
              </w:rPr>
              <w:t>ب</w:t>
            </w:r>
            <w:r>
              <w:rPr>
                <w:rStyle w:val="IndexLink"/>
                <w:rtl w:val="true"/>
              </w:rPr>
              <w:t xml:space="preserve">) </w:t>
            </w:r>
            <w:r>
              <w:rPr>
                <w:rStyle w:val="IndexLink"/>
                <w:rtl w:val="true"/>
              </w:rPr>
              <w:t>دیدگاه محقّق اصفهانی رحمه الله در مورد قول به ضمان</w:t>
            </w:r>
            <w:r>
              <w:rPr>
                <w:rStyle w:val="IndexLink"/>
                <w:rtl w:val="true"/>
              </w:rPr>
              <w:tab/>
            </w:r>
            <w:r>
              <w:rPr>
                <w:rStyle w:val="IndexLink"/>
              </w:rPr>
              <w:t>67</w:t>
            </w:r>
          </w:hyperlink>
        </w:p>
        <w:p>
          <w:pPr>
            <w:pStyle w:val="Contents6"/>
            <w:tabs>
              <w:tab w:val="clear" w:pos="7609"/>
              <w:tab w:val="right" w:pos="9026" w:leader="dot"/>
            </w:tabs>
            <w:rPr/>
          </w:pPr>
          <w:hyperlink w:anchor="__RefHeading___Toc105523_373438147">
            <w:r>
              <w:rPr>
                <w:webHidden/>
                <w:rStyle w:val="IndexLink"/>
                <w:rtl w:val="true"/>
              </w:rPr>
              <w:t>ج</w:t>
            </w:r>
            <w:r>
              <w:rPr>
                <w:rStyle w:val="IndexLink"/>
                <w:rtl w:val="true"/>
              </w:rPr>
              <w:t xml:space="preserve">) </w:t>
            </w:r>
            <w:r>
              <w:rPr>
                <w:rStyle w:val="IndexLink"/>
                <w:rtl w:val="true"/>
              </w:rPr>
              <w:t>دیدگاه امام خمینی رحمه الله در مورد قول به ضمان</w:t>
            </w:r>
            <w:r>
              <w:rPr>
                <w:rStyle w:val="IndexLink"/>
                <w:rtl w:val="true"/>
              </w:rPr>
              <w:tab/>
            </w:r>
            <w:r>
              <w:rPr>
                <w:rStyle w:val="IndexLink"/>
              </w:rPr>
              <w:t>70</w:t>
            </w:r>
          </w:hyperlink>
        </w:p>
        <w:p>
          <w:pPr>
            <w:pStyle w:val="Contents4"/>
            <w:tabs>
              <w:tab w:val="clear" w:pos="8176"/>
              <w:tab w:val="right" w:pos="9026" w:leader="dot"/>
            </w:tabs>
            <w:rPr/>
          </w:pPr>
          <w:hyperlink w:anchor="__RefHeading___Toc105525_373438147">
            <w:r>
              <w:rPr>
                <w:webHidden/>
                <w:rStyle w:val="IndexLink"/>
                <w:rtl w:val="true"/>
              </w:rPr>
              <w:t>نتیجه فصل اوّل</w:t>
            </w:r>
            <w:r>
              <w:rPr>
                <w:rStyle w:val="IndexLink"/>
                <w:rtl w:val="true"/>
              </w:rPr>
              <w:tab/>
            </w:r>
            <w:r>
              <w:rPr>
                <w:rStyle w:val="IndexLink"/>
              </w:rPr>
              <w:t>71</w:t>
            </w:r>
          </w:hyperlink>
        </w:p>
        <w:p>
          <w:pPr>
            <w:pStyle w:val="Contents3"/>
            <w:tabs>
              <w:tab w:val="clear" w:pos="8459"/>
              <w:tab w:val="right" w:pos="9026" w:leader="dot"/>
            </w:tabs>
            <w:rPr/>
          </w:pPr>
          <w:hyperlink w:anchor="__RefHeading___Toc105527_373438147">
            <w:r>
              <w:rPr>
                <w:webHidden/>
                <w:rStyle w:val="IndexLink"/>
                <w:rtl w:val="true"/>
              </w:rPr>
              <w:t>فصل دوّم</w:t>
            </w:r>
            <w:r>
              <w:rPr>
                <w:rStyle w:val="IndexLink"/>
                <w:rtl w:val="true"/>
              </w:rPr>
              <w:t xml:space="preserve">: </w:t>
            </w:r>
            <w:r>
              <w:rPr>
                <w:rStyle w:val="IndexLink"/>
                <w:rtl w:val="true"/>
              </w:rPr>
              <w:t>حقیقت ضمان</w:t>
            </w:r>
            <w:r>
              <w:rPr>
                <w:rStyle w:val="IndexLink"/>
                <w:rtl w:val="true"/>
              </w:rPr>
              <w:tab/>
            </w:r>
            <w:r>
              <w:rPr>
                <w:rStyle w:val="IndexLink"/>
              </w:rPr>
              <w:t>71</w:t>
            </w:r>
          </w:hyperlink>
        </w:p>
        <w:p>
          <w:pPr>
            <w:pStyle w:val="Contents4"/>
            <w:tabs>
              <w:tab w:val="clear" w:pos="8176"/>
              <w:tab w:val="right" w:pos="9026" w:leader="dot"/>
            </w:tabs>
            <w:rPr/>
          </w:pPr>
          <w:hyperlink w:anchor="__RefHeading___Toc105529_373438147">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05531_373438147">
            <w:r>
              <w:rPr>
                <w:webHidden/>
                <w:rStyle w:val="IndexLink"/>
                <w:rtl w:val="true"/>
              </w:rPr>
              <w:t>گفتار اوّل</w:t>
            </w:r>
            <w:r>
              <w:rPr>
                <w:rStyle w:val="IndexLink"/>
                <w:rtl w:val="true"/>
              </w:rPr>
              <w:t xml:space="preserve">: </w:t>
            </w:r>
            <w:r>
              <w:rPr>
                <w:rStyle w:val="IndexLink"/>
                <w:rtl w:val="true"/>
              </w:rPr>
              <w:t>دیدگاه علمای امامیه در مورد ضمان</w:t>
            </w:r>
            <w:r>
              <w:rPr>
                <w:rStyle w:val="IndexLink"/>
                <w:rtl w:val="true"/>
              </w:rPr>
              <w:tab/>
            </w:r>
            <w:r>
              <w:rPr>
                <w:rStyle w:val="IndexLink"/>
              </w:rPr>
              <w:t>73</w:t>
            </w:r>
          </w:hyperlink>
        </w:p>
        <w:p>
          <w:pPr>
            <w:pStyle w:val="Contents5"/>
            <w:tabs>
              <w:tab w:val="clear" w:pos="7892"/>
              <w:tab w:val="right" w:pos="9026" w:leader="dot"/>
            </w:tabs>
            <w:rPr/>
          </w:pPr>
          <w:hyperlink w:anchor="__RefHeading___Toc105533_373438147">
            <w:r>
              <w:rPr>
                <w:webHidden/>
                <w:rStyle w:val="IndexLink"/>
              </w:rPr>
              <w:t>1</w:t>
            </w:r>
            <w:r>
              <w:rPr>
                <w:rStyle w:val="IndexLink"/>
                <w:rtl w:val="true"/>
              </w:rPr>
              <w:t xml:space="preserve"> - </w:t>
            </w:r>
            <w:r>
              <w:rPr>
                <w:rStyle w:val="IndexLink"/>
                <w:rtl w:val="true"/>
              </w:rPr>
              <w:t>دیدگاه شیخ انصاری رحمه الله</w:t>
            </w:r>
            <w:r>
              <w:rPr>
                <w:rStyle w:val="IndexLink"/>
                <w:rtl w:val="true"/>
              </w:rPr>
              <w:t xml:space="preserve">: </w:t>
            </w:r>
            <w:r>
              <w:rPr>
                <w:rStyle w:val="IndexLink"/>
                <w:rtl w:val="true"/>
              </w:rPr>
              <w:t>تدارک و خسارت شییء مضمون</w:t>
            </w:r>
            <w:r>
              <w:rPr>
                <w:rStyle w:val="IndexLink"/>
                <w:rtl w:val="true"/>
              </w:rPr>
              <w:tab/>
            </w:r>
            <w:r>
              <w:rPr>
                <w:rStyle w:val="IndexLink"/>
              </w:rPr>
              <w:t>73</w:t>
            </w:r>
          </w:hyperlink>
        </w:p>
        <w:p>
          <w:pPr>
            <w:pStyle w:val="Contents5"/>
            <w:tabs>
              <w:tab w:val="clear" w:pos="7892"/>
              <w:tab w:val="right" w:pos="9026" w:leader="dot"/>
            </w:tabs>
            <w:rPr/>
          </w:pPr>
          <w:hyperlink w:anchor="__RefHeading___Toc105535_373438147">
            <w:r>
              <w:rPr>
                <w:webHidden/>
                <w:rStyle w:val="IndexLink"/>
              </w:rPr>
              <w:t>2</w:t>
            </w:r>
            <w:r>
              <w:rPr>
                <w:rStyle w:val="IndexLink"/>
                <w:rtl w:val="true"/>
              </w:rPr>
              <w:t xml:space="preserve"> - </w:t>
            </w:r>
            <w:r>
              <w:rPr>
                <w:rStyle w:val="IndexLink"/>
                <w:rtl w:val="true"/>
              </w:rPr>
              <w:t>دیدگاه مرحوم علّامه رحمه الله</w:t>
            </w:r>
            <w:r>
              <w:rPr>
                <w:rStyle w:val="IndexLink"/>
                <w:rtl w:val="true"/>
              </w:rPr>
              <w:t xml:space="preserve">: </w:t>
            </w:r>
            <w:r>
              <w:rPr>
                <w:rStyle w:val="IndexLink"/>
                <w:rtl w:val="true"/>
              </w:rPr>
              <w:t>تحقّق معاوضه قهریّه</w:t>
            </w:r>
            <w:r>
              <w:rPr>
                <w:rStyle w:val="IndexLink"/>
                <w:rtl w:val="true"/>
              </w:rPr>
              <w:tab/>
            </w:r>
            <w:r>
              <w:rPr>
                <w:rStyle w:val="IndexLink"/>
              </w:rPr>
              <w:t>73</w:t>
            </w:r>
          </w:hyperlink>
        </w:p>
        <w:p>
          <w:pPr>
            <w:pStyle w:val="Contents5"/>
            <w:tabs>
              <w:tab w:val="clear" w:pos="7892"/>
              <w:tab w:val="right" w:pos="9026" w:leader="dot"/>
            </w:tabs>
            <w:rPr/>
          </w:pPr>
          <w:hyperlink w:anchor="__RefHeading___Toc105537_373438147">
            <w:r>
              <w:rPr>
                <w:webHidden/>
                <w:rStyle w:val="IndexLink"/>
              </w:rPr>
              <w:t>3</w:t>
            </w:r>
            <w:r>
              <w:rPr>
                <w:rStyle w:val="IndexLink"/>
                <w:rtl w:val="true"/>
              </w:rPr>
              <w:t xml:space="preserve"> - </w:t>
            </w:r>
            <w:r>
              <w:rPr>
                <w:rStyle w:val="IndexLink"/>
                <w:rtl w:val="true"/>
              </w:rPr>
              <w:t>دیدگاه محقّق نائینی رحمه الله</w:t>
            </w:r>
            <w:r>
              <w:rPr>
                <w:rStyle w:val="IndexLink"/>
                <w:rtl w:val="true"/>
              </w:rPr>
              <w:t xml:space="preserve">: </w:t>
            </w:r>
            <w:r>
              <w:rPr>
                <w:rStyle w:val="IndexLink"/>
                <w:rtl w:val="true"/>
              </w:rPr>
              <w:t>بودنِ مال در ذمّه</w:t>
            </w:r>
            <w:r>
              <w:rPr>
                <w:rStyle w:val="IndexLink"/>
                <w:rtl w:val="true"/>
              </w:rPr>
              <w:tab/>
            </w:r>
            <w:r>
              <w:rPr>
                <w:rStyle w:val="IndexLink"/>
              </w:rPr>
              <w:t>74</w:t>
            </w:r>
          </w:hyperlink>
        </w:p>
        <w:p>
          <w:pPr>
            <w:pStyle w:val="Contents5"/>
            <w:tabs>
              <w:tab w:val="clear" w:pos="7892"/>
              <w:tab w:val="right" w:pos="9026" w:leader="dot"/>
            </w:tabs>
            <w:rPr/>
          </w:pPr>
          <w:hyperlink w:anchor="__RefHeading___Toc105539_373438147">
            <w:r>
              <w:rPr>
                <w:webHidden/>
                <w:rStyle w:val="IndexLink"/>
              </w:rPr>
              <w:t>4</w:t>
            </w:r>
            <w:r>
              <w:rPr>
                <w:rStyle w:val="IndexLink"/>
                <w:rtl w:val="true"/>
              </w:rPr>
              <w:t xml:space="preserve"> - </w:t>
            </w:r>
            <w:r>
              <w:rPr>
                <w:rStyle w:val="IndexLink"/>
                <w:rtl w:val="true"/>
              </w:rPr>
              <w:t>قرار گرفتن مال در عهده‌ی ضامن</w:t>
            </w:r>
            <w:r>
              <w:rPr>
                <w:rStyle w:val="IndexLink"/>
                <w:rtl w:val="true"/>
              </w:rPr>
              <w:tab/>
            </w:r>
            <w:r>
              <w:rPr>
                <w:rStyle w:val="IndexLink"/>
              </w:rPr>
              <w:t>75</w:t>
            </w:r>
          </w:hyperlink>
        </w:p>
        <w:p>
          <w:pPr>
            <w:pStyle w:val="Contents6"/>
            <w:tabs>
              <w:tab w:val="clear" w:pos="7609"/>
              <w:tab w:val="right" w:pos="9026" w:leader="dot"/>
            </w:tabs>
            <w:rPr/>
          </w:pPr>
          <w:hyperlink w:anchor="__RefHeading___Toc105541_373438147">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05543_373438147">
            <w:r>
              <w:rPr>
                <w:webHidden/>
                <w:rStyle w:val="IndexLink"/>
                <w:rtl w:val="true"/>
              </w:rPr>
              <w:t>الف</w:t>
            </w:r>
            <w:r>
              <w:rPr>
                <w:rStyle w:val="IndexLink"/>
                <w:rtl w:val="true"/>
              </w:rPr>
              <w:t xml:space="preserve">) </w:t>
            </w:r>
            <w:r>
              <w:rPr>
                <w:rStyle w:val="IndexLink"/>
                <w:rtl w:val="true"/>
              </w:rPr>
              <w:t>نظریّه آخوند خراسانی رحمه الله</w:t>
            </w:r>
            <w:r>
              <w:rPr>
                <w:rStyle w:val="IndexLink"/>
                <w:rtl w:val="true"/>
              </w:rPr>
              <w:tab/>
            </w:r>
            <w:r>
              <w:rPr>
                <w:rStyle w:val="IndexLink"/>
              </w:rPr>
              <w:t>76</w:t>
            </w:r>
          </w:hyperlink>
        </w:p>
        <w:p>
          <w:pPr>
            <w:pStyle w:val="Contents6"/>
            <w:tabs>
              <w:tab w:val="clear" w:pos="7609"/>
              <w:tab w:val="right" w:pos="9026" w:leader="dot"/>
            </w:tabs>
            <w:rPr/>
          </w:pPr>
          <w:hyperlink w:anchor="__RefHeading___Toc105545_373438147">
            <w:r>
              <w:rPr>
                <w:webHidden/>
                <w:rStyle w:val="IndexLink"/>
                <w:rtl w:val="true"/>
              </w:rPr>
              <w:t>ب</w:t>
            </w:r>
            <w:r>
              <w:rPr>
                <w:rStyle w:val="IndexLink"/>
                <w:rtl w:val="true"/>
              </w:rPr>
              <w:t xml:space="preserve">) </w:t>
            </w:r>
            <w:r>
              <w:rPr>
                <w:rStyle w:val="IndexLink"/>
                <w:rtl w:val="true"/>
              </w:rPr>
              <w:t>نظریّه محقّق اصفهانی رحمه الله</w:t>
            </w:r>
            <w:r>
              <w:rPr>
                <w:rStyle w:val="IndexLink"/>
                <w:rtl w:val="true"/>
              </w:rPr>
              <w:tab/>
            </w:r>
            <w:r>
              <w:rPr>
                <w:rStyle w:val="IndexLink"/>
              </w:rPr>
              <w:t>77</w:t>
            </w:r>
          </w:hyperlink>
        </w:p>
        <w:p>
          <w:pPr>
            <w:pStyle w:val="Contents6"/>
            <w:tabs>
              <w:tab w:val="clear" w:pos="7609"/>
              <w:tab w:val="right" w:pos="9026" w:leader="dot"/>
            </w:tabs>
            <w:rPr/>
          </w:pPr>
          <w:hyperlink w:anchor="__RefHeading___Toc105547_373438147">
            <w:r>
              <w:rPr>
                <w:webHidden/>
                <w:rStyle w:val="IndexLink"/>
                <w:rtl w:val="true"/>
              </w:rPr>
              <w:t>ج</w:t>
            </w:r>
            <w:r>
              <w:rPr>
                <w:rStyle w:val="IndexLink"/>
                <w:rtl w:val="true"/>
              </w:rPr>
              <w:t xml:space="preserve">) </w:t>
            </w:r>
            <w:r>
              <w:rPr>
                <w:rStyle w:val="IndexLink"/>
                <w:rtl w:val="true"/>
              </w:rPr>
              <w:t>نظریّه محقّق بروجردی رحمه الله</w:t>
            </w:r>
            <w:r>
              <w:rPr>
                <w:rStyle w:val="IndexLink"/>
                <w:rtl w:val="true"/>
              </w:rPr>
              <w:tab/>
            </w:r>
            <w:r>
              <w:rPr>
                <w:rStyle w:val="IndexLink"/>
              </w:rPr>
              <w:t>79</w:t>
            </w:r>
          </w:hyperlink>
        </w:p>
        <w:p>
          <w:pPr>
            <w:pStyle w:val="Contents6"/>
            <w:tabs>
              <w:tab w:val="clear" w:pos="7609"/>
              <w:tab w:val="right" w:pos="9026" w:leader="dot"/>
            </w:tabs>
            <w:rPr/>
          </w:pPr>
          <w:hyperlink w:anchor="__RefHeading___Toc105549_373438147">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105551_373438147">
            <w:r>
              <w:rPr>
                <w:webHidden/>
                <w:rStyle w:val="IndexLink"/>
                <w:rtl w:val="true"/>
              </w:rPr>
              <w:t>اشکالات نظریّه محقّق بروجردی رحمه الله</w:t>
            </w:r>
            <w:r>
              <w:rPr>
                <w:rStyle w:val="IndexLink"/>
                <w:rtl w:val="true"/>
              </w:rPr>
              <w:tab/>
            </w:r>
            <w:r>
              <w:rPr>
                <w:rStyle w:val="IndexLink"/>
              </w:rPr>
              <w:t>86</w:t>
            </w:r>
          </w:hyperlink>
        </w:p>
        <w:p>
          <w:pPr>
            <w:pStyle w:val="Contents5"/>
            <w:tabs>
              <w:tab w:val="clear" w:pos="7892"/>
              <w:tab w:val="right" w:pos="9026" w:leader="dot"/>
            </w:tabs>
            <w:rPr/>
          </w:pPr>
          <w:hyperlink w:anchor="__RefHeading___Toc105553_373438147">
            <w:r>
              <w:rPr>
                <w:webHidden/>
                <w:rStyle w:val="IndexLink"/>
              </w:rPr>
              <w:t>5</w:t>
            </w:r>
            <w:r>
              <w:rPr>
                <w:rStyle w:val="IndexLink"/>
                <w:rtl w:val="true"/>
              </w:rPr>
              <w:t xml:space="preserve"> - </w:t>
            </w:r>
            <w:r>
              <w:rPr>
                <w:rStyle w:val="IndexLink"/>
                <w:rtl w:val="true"/>
              </w:rPr>
              <w:t>دیدگاه امام خمینی رحمه الله</w:t>
            </w:r>
            <w:r>
              <w:rPr>
                <w:rStyle w:val="IndexLink"/>
                <w:rtl w:val="true"/>
              </w:rPr>
              <w:t xml:space="preserve">: </w:t>
            </w:r>
            <w:r>
              <w:rPr>
                <w:rStyle w:val="IndexLink"/>
                <w:rtl w:val="true"/>
              </w:rPr>
              <w:t>قرار گرفتن عین مال بر عهده‌ی آخذ</w:t>
            </w:r>
            <w:r>
              <w:rPr>
                <w:rStyle w:val="IndexLink"/>
                <w:rtl w:val="true"/>
              </w:rPr>
              <w:tab/>
            </w:r>
            <w:r>
              <w:rPr>
                <w:rStyle w:val="IndexLink"/>
              </w:rPr>
              <w:t>87</w:t>
            </w:r>
          </w:hyperlink>
        </w:p>
        <w:p>
          <w:pPr>
            <w:pStyle w:val="Contents6"/>
            <w:tabs>
              <w:tab w:val="clear" w:pos="7609"/>
              <w:tab w:val="right" w:pos="9026" w:leader="dot"/>
            </w:tabs>
            <w:rPr/>
          </w:pPr>
          <w:hyperlink w:anchor="__RefHeading___Toc105555_373438147">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105557_373438147">
            <w:r>
              <w:rPr>
                <w:webHidden/>
                <w:rStyle w:val="IndexLink"/>
                <w:rtl w:val="true"/>
              </w:rPr>
              <w:t>اشکالات دیدگاه امام خمینی رحمه الله</w:t>
            </w:r>
            <w:r>
              <w:rPr>
                <w:rStyle w:val="IndexLink"/>
                <w:rtl w:val="true"/>
              </w:rPr>
              <w:tab/>
            </w:r>
            <w:r>
              <w:rPr>
                <w:rStyle w:val="IndexLink"/>
              </w:rPr>
              <w:t>92</w:t>
            </w:r>
          </w:hyperlink>
        </w:p>
        <w:p>
          <w:pPr>
            <w:pStyle w:val="Contents6"/>
            <w:tabs>
              <w:tab w:val="clear" w:pos="7609"/>
              <w:tab w:val="right" w:pos="9026" w:leader="dot"/>
            </w:tabs>
            <w:rPr/>
          </w:pPr>
          <w:hyperlink w:anchor="__RefHeading___Toc105559_373438147">
            <w:r>
              <w:rPr>
                <w:webHidden/>
                <w:rStyle w:val="IndexLink"/>
                <w:rtl w:val="true"/>
              </w:rPr>
              <w:t>تعریف برگزیده ضمان</w:t>
            </w:r>
            <w:r>
              <w:rPr>
                <w:rStyle w:val="IndexLink"/>
                <w:rtl w:val="true"/>
              </w:rPr>
              <w:tab/>
            </w:r>
            <w:r>
              <w:rPr>
                <w:rStyle w:val="IndexLink"/>
              </w:rPr>
              <w:t>95</w:t>
            </w:r>
          </w:hyperlink>
        </w:p>
        <w:p>
          <w:pPr>
            <w:pStyle w:val="Contents4"/>
            <w:tabs>
              <w:tab w:val="clear" w:pos="8176"/>
              <w:tab w:val="right" w:pos="9026" w:leader="dot"/>
            </w:tabs>
            <w:rPr/>
          </w:pPr>
          <w:hyperlink w:anchor="__RefHeading___Toc105561_373438147">
            <w:r>
              <w:rPr>
                <w:webHidden/>
                <w:rStyle w:val="IndexLink"/>
                <w:rtl w:val="true"/>
              </w:rPr>
              <w:t>گفتار دوّم</w:t>
            </w:r>
            <w:r>
              <w:rPr>
                <w:rStyle w:val="IndexLink"/>
                <w:rtl w:val="true"/>
              </w:rPr>
              <w:t xml:space="preserve">: </w:t>
            </w:r>
            <w:r>
              <w:rPr>
                <w:rStyle w:val="IndexLink"/>
                <w:rtl w:val="true"/>
              </w:rPr>
              <w:t>دیدگاه اهل سنّت در مورد ضمان</w:t>
            </w:r>
            <w:r>
              <w:rPr>
                <w:rStyle w:val="IndexLink"/>
                <w:rtl w:val="true"/>
              </w:rPr>
              <w:tab/>
            </w:r>
            <w:r>
              <w:rPr>
                <w:rStyle w:val="IndexLink"/>
              </w:rPr>
              <w:t>95</w:t>
            </w:r>
          </w:hyperlink>
        </w:p>
        <w:p>
          <w:pPr>
            <w:pStyle w:val="Contents2"/>
            <w:tabs>
              <w:tab w:val="clear" w:pos="8743"/>
              <w:tab w:val="right" w:pos="9026" w:leader="dot"/>
            </w:tabs>
            <w:rPr/>
          </w:pPr>
          <w:hyperlink w:anchor="__RefHeading___Toc105563_373438147">
            <w:r>
              <w:rPr>
                <w:webHidden/>
                <w:rStyle w:val="IndexLink"/>
                <w:rtl w:val="true"/>
              </w:rPr>
              <w:t>بخش دوم</w:t>
            </w:r>
            <w:r>
              <w:rPr>
                <w:rStyle w:val="IndexLink"/>
                <w:rtl w:val="true"/>
              </w:rPr>
              <w:t xml:space="preserve">: </w:t>
            </w:r>
            <w:r>
              <w:rPr>
                <w:rStyle w:val="IndexLink"/>
                <w:rtl w:val="true"/>
              </w:rPr>
              <w:t xml:space="preserve">بررسی مفردات حدیث </w:t>
            </w:r>
            <w:r>
              <w:rPr>
                <w:rStyle w:val="IndexLink"/>
                <w:rtl w:val="true"/>
              </w:rPr>
              <w:t>«</w:t>
            </w:r>
            <w:r>
              <w:rPr>
                <w:rStyle w:val="IndexLink"/>
                <w:rtl w:val="true"/>
              </w:rPr>
              <w:t>علی الید</w:t>
            </w:r>
            <w:r>
              <w:rPr>
                <w:rStyle w:val="IndexLink"/>
                <w:rtl w:val="true"/>
              </w:rPr>
              <w:t>»</w:t>
              <w:tab/>
            </w:r>
            <w:r>
              <w:rPr>
                <w:rStyle w:val="IndexLink"/>
              </w:rPr>
              <w:t>98</w:t>
            </w:r>
          </w:hyperlink>
        </w:p>
        <w:p>
          <w:pPr>
            <w:pStyle w:val="Contents3"/>
            <w:tabs>
              <w:tab w:val="clear" w:pos="8459"/>
              <w:tab w:val="right" w:pos="9026" w:leader="dot"/>
            </w:tabs>
            <w:rPr/>
          </w:pPr>
          <w:hyperlink w:anchor="__RefHeading___Toc105565_373438147">
            <w:r>
              <w:rPr>
                <w:webHidden/>
                <w:rStyle w:val="IndexLink"/>
                <w:rtl w:val="true"/>
              </w:rPr>
              <w:t>فصل اوّل</w:t>
            </w:r>
            <w:r>
              <w:rPr>
                <w:rStyle w:val="IndexLink"/>
                <w:rtl w:val="true"/>
              </w:rPr>
              <w:t xml:space="preserve">: </w:t>
            </w:r>
            <w:r>
              <w:rPr>
                <w:rStyle w:val="IndexLink"/>
                <w:rtl w:val="true"/>
              </w:rPr>
              <w:t>مفهوم ید و انواع آن</w:t>
            </w:r>
            <w:r>
              <w:rPr>
                <w:rStyle w:val="IndexLink"/>
                <w:rtl w:val="true"/>
              </w:rPr>
              <w:tab/>
            </w:r>
            <w:r>
              <w:rPr>
                <w:rStyle w:val="IndexLink"/>
              </w:rPr>
              <w:t>98</w:t>
            </w:r>
          </w:hyperlink>
        </w:p>
        <w:p>
          <w:pPr>
            <w:pStyle w:val="Contents4"/>
            <w:tabs>
              <w:tab w:val="clear" w:pos="8176"/>
              <w:tab w:val="right" w:pos="9026" w:leader="dot"/>
            </w:tabs>
            <w:rPr/>
          </w:pPr>
          <w:hyperlink w:anchor="__RefHeading___Toc105567_373438147">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05569_373438147">
            <w:r>
              <w:rPr>
                <w:webHidden/>
                <w:rStyle w:val="IndexLink"/>
                <w:rtl w:val="true"/>
              </w:rPr>
              <w:t>گفتار اوّل</w:t>
            </w:r>
            <w:r>
              <w:rPr>
                <w:rStyle w:val="IndexLink"/>
                <w:rtl w:val="true"/>
              </w:rPr>
              <w:t xml:space="preserve">: </w:t>
            </w:r>
            <w:r>
              <w:rPr>
                <w:rStyle w:val="IndexLink"/>
                <w:rtl w:val="true"/>
              </w:rPr>
              <w:t xml:space="preserve">معنای کلمه </w:t>
            </w:r>
            <w:r>
              <w:rPr>
                <w:rStyle w:val="IndexLink"/>
                <w:rtl w:val="true"/>
              </w:rPr>
              <w:t>«</w:t>
            </w:r>
            <w:r>
              <w:rPr>
                <w:rStyle w:val="IndexLink"/>
                <w:rtl w:val="true"/>
              </w:rPr>
              <w:t>ید</w:t>
            </w:r>
            <w:r>
              <w:rPr>
                <w:rStyle w:val="IndexLink"/>
                <w:rtl w:val="true"/>
              </w:rPr>
              <w:t>»</w:t>
              <w:tab/>
            </w:r>
            <w:r>
              <w:rPr>
                <w:rStyle w:val="IndexLink"/>
              </w:rPr>
              <w:t>98</w:t>
            </w:r>
          </w:hyperlink>
        </w:p>
        <w:p>
          <w:pPr>
            <w:pStyle w:val="Contents5"/>
            <w:tabs>
              <w:tab w:val="clear" w:pos="7892"/>
              <w:tab w:val="right" w:pos="9026" w:leader="dot"/>
            </w:tabs>
            <w:rPr/>
          </w:pPr>
          <w:hyperlink w:anchor="__RefHeading___Toc105571_373438147">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05573_373438147">
            <w:r>
              <w:rPr>
                <w:webHidden/>
                <w:rStyle w:val="IndexLink"/>
                <w:rtl w:val="true"/>
              </w:rPr>
              <w:t xml:space="preserve">شمول حدیث </w:t>
            </w:r>
            <w:r>
              <w:rPr>
                <w:rStyle w:val="IndexLink"/>
                <w:rtl w:val="true"/>
              </w:rPr>
              <w:t>«</w:t>
            </w:r>
            <w:r>
              <w:rPr>
                <w:rStyle w:val="IndexLink"/>
                <w:rtl w:val="true"/>
              </w:rPr>
              <w:t>علی الید</w:t>
            </w:r>
            <w:r>
              <w:rPr>
                <w:rStyle w:val="IndexLink"/>
                <w:rtl w:val="true"/>
              </w:rPr>
              <w:t xml:space="preserve">» </w:t>
            </w:r>
            <w:r>
              <w:rPr>
                <w:rStyle w:val="IndexLink"/>
                <w:rtl w:val="true"/>
              </w:rPr>
              <w:t>نسبت به موارد عدم استیلا</w:t>
            </w:r>
            <w:r>
              <w:rPr>
                <w:rStyle w:val="IndexLink"/>
                <w:rtl w:val="true"/>
              </w:rPr>
              <w:tab/>
            </w:r>
            <w:r>
              <w:rPr>
                <w:rStyle w:val="IndexLink"/>
              </w:rPr>
              <w:t>100</w:t>
            </w:r>
          </w:hyperlink>
        </w:p>
        <w:p>
          <w:pPr>
            <w:pStyle w:val="Contents5"/>
            <w:tabs>
              <w:tab w:val="clear" w:pos="7892"/>
              <w:tab w:val="right" w:pos="9026" w:leader="dot"/>
            </w:tabs>
            <w:rPr/>
          </w:pPr>
          <w:hyperlink w:anchor="__RefHeading___Toc105575_373438147">
            <w:r>
              <w:rPr>
                <w:webHidden/>
                <w:rStyle w:val="IndexLink"/>
                <w:rtl w:val="true"/>
              </w:rPr>
              <w:t>دیدگاه محقّق بجنوردی رحمه الله در مورد استیلا</w:t>
            </w:r>
            <w:r>
              <w:rPr>
                <w:rStyle w:val="IndexLink"/>
                <w:rtl w:val="true"/>
              </w:rPr>
              <w:tab/>
            </w:r>
            <w:r>
              <w:rPr>
                <w:rStyle w:val="IndexLink"/>
              </w:rPr>
              <w:t>103</w:t>
            </w:r>
          </w:hyperlink>
        </w:p>
        <w:p>
          <w:pPr>
            <w:pStyle w:val="Contents4"/>
            <w:tabs>
              <w:tab w:val="clear" w:pos="8176"/>
              <w:tab w:val="right" w:pos="9026" w:leader="dot"/>
            </w:tabs>
            <w:rPr/>
          </w:pPr>
          <w:hyperlink w:anchor="__RefHeading___Toc105577_373438147">
            <w:r>
              <w:rPr>
                <w:webHidden/>
                <w:rStyle w:val="IndexLink"/>
                <w:rtl w:val="true"/>
              </w:rPr>
              <w:t>گفتار دوّم</w:t>
            </w:r>
            <w:r>
              <w:rPr>
                <w:rStyle w:val="IndexLink"/>
                <w:rtl w:val="true"/>
              </w:rPr>
              <w:t xml:space="preserve">: </w:t>
            </w:r>
            <w:r>
              <w:rPr>
                <w:rStyle w:val="IndexLink"/>
                <w:rtl w:val="true"/>
              </w:rPr>
              <w:t>شمول روایت نسبت به ید مأذون و غیر مأذون</w:t>
            </w:r>
            <w:r>
              <w:rPr>
                <w:rStyle w:val="IndexLink"/>
                <w:rtl w:val="true"/>
              </w:rPr>
              <w:tab/>
            </w:r>
            <w:r>
              <w:rPr>
                <w:rStyle w:val="IndexLink"/>
              </w:rPr>
              <w:t>103</w:t>
            </w:r>
          </w:hyperlink>
        </w:p>
        <w:p>
          <w:pPr>
            <w:pStyle w:val="Contents5"/>
            <w:tabs>
              <w:tab w:val="clear" w:pos="7892"/>
              <w:tab w:val="right" w:pos="9026" w:leader="dot"/>
            </w:tabs>
            <w:rPr/>
          </w:pPr>
          <w:hyperlink w:anchor="__RefHeading___Toc105579_373438147">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05581_373438147">
            <w:r>
              <w:rPr>
                <w:webHidden/>
                <w:rStyle w:val="IndexLink"/>
                <w:rtl w:val="true"/>
              </w:rPr>
              <w:t>بررسی عدم اختصاص روایت به باب غصب</w:t>
            </w:r>
            <w:r>
              <w:rPr>
                <w:rStyle w:val="IndexLink"/>
                <w:rtl w:val="true"/>
              </w:rPr>
              <w:tab/>
            </w:r>
            <w:r>
              <w:rPr>
                <w:rStyle w:val="IndexLink"/>
              </w:rPr>
              <w:t>108</w:t>
            </w:r>
          </w:hyperlink>
        </w:p>
        <w:p>
          <w:pPr>
            <w:pStyle w:val="Contents4"/>
            <w:tabs>
              <w:tab w:val="clear" w:pos="8176"/>
              <w:tab w:val="right" w:pos="9026" w:leader="dot"/>
            </w:tabs>
            <w:rPr/>
          </w:pPr>
          <w:hyperlink w:anchor="__RefHeading___Toc105583_373438147">
            <w:r>
              <w:rPr>
                <w:webHidden/>
                <w:rStyle w:val="IndexLink"/>
                <w:rtl w:val="true"/>
              </w:rPr>
              <w:t>گفتار سوم</w:t>
            </w:r>
            <w:r>
              <w:rPr>
                <w:rStyle w:val="IndexLink"/>
                <w:rtl w:val="true"/>
              </w:rPr>
              <w:t xml:space="preserve">: </w:t>
            </w:r>
            <w:r>
              <w:rPr>
                <w:rStyle w:val="IndexLink"/>
                <w:rtl w:val="true"/>
              </w:rPr>
              <w:t>شمول روایت نسبت به یدِ مرکّب و منضمّ</w:t>
            </w:r>
            <w:r>
              <w:rPr>
                <w:rStyle w:val="IndexLink"/>
                <w:rtl w:val="true"/>
              </w:rPr>
              <w:tab/>
            </w:r>
            <w:r>
              <w:rPr>
                <w:rStyle w:val="IndexLink"/>
              </w:rPr>
              <w:t>108</w:t>
            </w:r>
          </w:hyperlink>
        </w:p>
        <w:p>
          <w:pPr>
            <w:pStyle w:val="Contents5"/>
            <w:tabs>
              <w:tab w:val="clear" w:pos="7892"/>
              <w:tab w:val="right" w:pos="9026" w:leader="dot"/>
            </w:tabs>
            <w:rPr/>
          </w:pPr>
          <w:hyperlink w:anchor="__RefHeading___Toc105585_373438147">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05587_373438147">
            <w:r>
              <w:rPr>
                <w:webHidden/>
                <w:rStyle w:val="IndexLink"/>
              </w:rPr>
              <w:t>1</w:t>
            </w:r>
            <w:r>
              <w:rPr>
                <w:rStyle w:val="IndexLink"/>
                <w:rtl w:val="true"/>
              </w:rPr>
              <w:t xml:space="preserve"> - </w:t>
            </w:r>
            <w:r>
              <w:rPr>
                <w:rStyle w:val="IndexLink"/>
                <w:rtl w:val="true"/>
              </w:rPr>
              <w:t>دیدگاه محقّق حلّی رحمه الله</w:t>
            </w:r>
            <w:r>
              <w:rPr>
                <w:rStyle w:val="IndexLink"/>
                <w:rtl w:val="true"/>
              </w:rPr>
              <w:tab/>
            </w:r>
            <w:r>
              <w:rPr>
                <w:rStyle w:val="IndexLink"/>
              </w:rPr>
              <w:t>109</w:t>
            </w:r>
          </w:hyperlink>
        </w:p>
        <w:p>
          <w:pPr>
            <w:pStyle w:val="Contents5"/>
            <w:tabs>
              <w:tab w:val="clear" w:pos="7892"/>
              <w:tab w:val="right" w:pos="9026" w:leader="dot"/>
            </w:tabs>
            <w:rPr/>
          </w:pPr>
          <w:hyperlink w:anchor="__RefHeading___Toc105589_373438147">
            <w:r>
              <w:rPr>
                <w:webHidden/>
                <w:rStyle w:val="IndexLink"/>
              </w:rPr>
              <w:t>2</w:t>
            </w:r>
            <w:r>
              <w:rPr>
                <w:rStyle w:val="IndexLink"/>
                <w:rtl w:val="true"/>
              </w:rPr>
              <w:t xml:space="preserve"> - </w:t>
            </w:r>
            <w:r>
              <w:rPr>
                <w:rStyle w:val="IndexLink"/>
                <w:rtl w:val="true"/>
              </w:rPr>
              <w:t>دیدگاه صاحب جواهر رحمه الله</w:t>
            </w:r>
            <w:r>
              <w:rPr>
                <w:rStyle w:val="IndexLink"/>
                <w:rtl w:val="true"/>
              </w:rPr>
              <w:tab/>
            </w:r>
            <w:r>
              <w:rPr>
                <w:rStyle w:val="IndexLink"/>
              </w:rPr>
              <w:t>110</w:t>
            </w:r>
          </w:hyperlink>
        </w:p>
        <w:p>
          <w:pPr>
            <w:pStyle w:val="Contents5"/>
            <w:tabs>
              <w:tab w:val="clear" w:pos="7892"/>
              <w:tab w:val="right" w:pos="9026" w:leader="dot"/>
            </w:tabs>
            <w:rPr/>
          </w:pPr>
          <w:hyperlink w:anchor="__RefHeading___Toc105591_373438147">
            <w:r>
              <w:rPr>
                <w:webHidden/>
                <w:rStyle w:val="IndexLink"/>
              </w:rPr>
              <w:t>3</w:t>
            </w:r>
            <w:r>
              <w:rPr>
                <w:rStyle w:val="IndexLink"/>
                <w:rtl w:val="true"/>
              </w:rPr>
              <w:t xml:space="preserve"> - </w:t>
            </w:r>
            <w:r>
              <w:rPr>
                <w:rStyle w:val="IndexLink"/>
                <w:rtl w:val="true"/>
              </w:rPr>
              <w:t>دیدگاه فاضل مقداد رحمه الله</w:t>
            </w:r>
            <w:r>
              <w:rPr>
                <w:rStyle w:val="IndexLink"/>
                <w:rtl w:val="true"/>
              </w:rPr>
              <w:tab/>
            </w:r>
            <w:r>
              <w:rPr>
                <w:rStyle w:val="IndexLink"/>
              </w:rPr>
              <w:t>111</w:t>
            </w:r>
          </w:hyperlink>
        </w:p>
        <w:p>
          <w:pPr>
            <w:pStyle w:val="Contents5"/>
            <w:tabs>
              <w:tab w:val="clear" w:pos="7892"/>
              <w:tab w:val="right" w:pos="9026" w:leader="dot"/>
            </w:tabs>
            <w:rPr/>
          </w:pPr>
          <w:hyperlink w:anchor="__RefHeading___Toc105593_373438147">
            <w:r>
              <w:rPr>
                <w:webHidden/>
                <w:rStyle w:val="IndexLink"/>
              </w:rPr>
              <w:t>4</w:t>
            </w:r>
            <w:r>
              <w:rPr>
                <w:rStyle w:val="IndexLink"/>
                <w:rtl w:val="true"/>
              </w:rPr>
              <w:t xml:space="preserve"> - </w:t>
            </w:r>
            <w:r>
              <w:rPr>
                <w:rStyle w:val="IndexLink"/>
                <w:rtl w:val="true"/>
              </w:rPr>
              <w:t>دیدگاه محقّق مراغی رحمه الله</w:t>
            </w:r>
            <w:r>
              <w:rPr>
                <w:rStyle w:val="IndexLink"/>
                <w:rtl w:val="true"/>
              </w:rPr>
              <w:tab/>
            </w:r>
            <w:r>
              <w:rPr>
                <w:rStyle w:val="IndexLink"/>
              </w:rPr>
              <w:t>112</w:t>
            </w:r>
          </w:hyperlink>
        </w:p>
        <w:p>
          <w:pPr>
            <w:pStyle w:val="Contents6"/>
            <w:tabs>
              <w:tab w:val="clear" w:pos="7609"/>
              <w:tab w:val="right" w:pos="9026" w:leader="dot"/>
            </w:tabs>
            <w:rPr/>
          </w:pPr>
          <w:hyperlink w:anchor="__RefHeading___Toc105595_373438147">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105597_373438147">
            <w:r>
              <w:rPr>
                <w:webHidden/>
                <w:rStyle w:val="IndexLink"/>
                <w:rtl w:val="true"/>
              </w:rPr>
              <w:t>اشکالات وارد بر دیدگاه محقّق مراغی رحمه الله</w:t>
            </w:r>
            <w:r>
              <w:rPr>
                <w:rStyle w:val="IndexLink"/>
                <w:rtl w:val="true"/>
              </w:rPr>
              <w:tab/>
            </w:r>
            <w:r>
              <w:rPr>
                <w:rStyle w:val="IndexLink"/>
              </w:rPr>
              <w:t>118</w:t>
            </w:r>
          </w:hyperlink>
        </w:p>
        <w:p>
          <w:pPr>
            <w:pStyle w:val="Contents4"/>
            <w:tabs>
              <w:tab w:val="clear" w:pos="8176"/>
              <w:tab w:val="right" w:pos="9026" w:leader="dot"/>
            </w:tabs>
            <w:rPr/>
          </w:pPr>
          <w:hyperlink w:anchor="__RefHeading___Toc105599_373438147">
            <w:r>
              <w:rPr>
                <w:webHidden/>
                <w:rStyle w:val="IndexLink"/>
                <w:rtl w:val="true"/>
              </w:rPr>
              <w:t>گفتار چهارم</w:t>
            </w:r>
            <w:r>
              <w:rPr>
                <w:rStyle w:val="IndexLink"/>
                <w:rtl w:val="true"/>
              </w:rPr>
              <w:t xml:space="preserve">: </w:t>
            </w:r>
            <w:r>
              <w:rPr>
                <w:rStyle w:val="IndexLink"/>
                <w:rtl w:val="true"/>
              </w:rPr>
              <w:t>شمول روایت نسبت به ید غیر بالغ قاصد</w:t>
            </w:r>
            <w:r>
              <w:rPr>
                <w:rStyle w:val="IndexLink"/>
                <w:rtl w:val="true"/>
              </w:rPr>
              <w:tab/>
            </w:r>
            <w:r>
              <w:rPr>
                <w:rStyle w:val="IndexLink"/>
              </w:rPr>
              <w:t>120</w:t>
            </w:r>
          </w:hyperlink>
        </w:p>
        <w:p>
          <w:pPr>
            <w:pStyle w:val="Contents5"/>
            <w:tabs>
              <w:tab w:val="clear" w:pos="7892"/>
              <w:tab w:val="right" w:pos="9026" w:leader="dot"/>
            </w:tabs>
            <w:rPr/>
          </w:pPr>
          <w:hyperlink w:anchor="__RefHeading___Toc105601_373438147">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05603_373438147">
            <w:r>
              <w:rPr>
                <w:webHidden/>
                <w:rStyle w:val="IndexLink"/>
              </w:rPr>
              <w:t>1</w:t>
            </w:r>
            <w:r>
              <w:rPr>
                <w:rStyle w:val="IndexLink"/>
                <w:rtl w:val="true"/>
              </w:rPr>
              <w:t xml:space="preserve"> - </w:t>
            </w:r>
            <w:r>
              <w:rPr>
                <w:rStyle w:val="IndexLink"/>
                <w:rtl w:val="true"/>
              </w:rPr>
              <w:t>دیدگاه شیخ انصاری رحمه الله</w:t>
            </w:r>
            <w:r>
              <w:rPr>
                <w:rStyle w:val="IndexLink"/>
                <w:rtl w:val="true"/>
              </w:rPr>
              <w:tab/>
            </w:r>
            <w:r>
              <w:rPr>
                <w:rStyle w:val="IndexLink"/>
              </w:rPr>
              <w:t>122</w:t>
            </w:r>
          </w:hyperlink>
        </w:p>
        <w:p>
          <w:pPr>
            <w:pStyle w:val="Contents6"/>
            <w:tabs>
              <w:tab w:val="clear" w:pos="7609"/>
              <w:tab w:val="right" w:pos="9026" w:leader="dot"/>
            </w:tabs>
            <w:rPr/>
          </w:pPr>
          <w:hyperlink w:anchor="__RefHeading___Toc105605_373438147">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105607_373438147">
            <w:r>
              <w:rPr>
                <w:webHidden/>
                <w:rStyle w:val="IndexLink"/>
                <w:rtl w:val="true"/>
              </w:rPr>
              <w:t>اشکال محقّق اصفهانی رحمه الله به دیدگاه شیخ انصاری رحمه الله</w:t>
            </w:r>
            <w:r>
              <w:rPr>
                <w:rStyle w:val="IndexLink"/>
                <w:rtl w:val="true"/>
              </w:rPr>
              <w:tab/>
            </w:r>
            <w:r>
              <w:rPr>
                <w:rStyle w:val="IndexLink"/>
              </w:rPr>
              <w:t>122</w:t>
            </w:r>
          </w:hyperlink>
        </w:p>
        <w:p>
          <w:pPr>
            <w:pStyle w:val="Contents6"/>
            <w:tabs>
              <w:tab w:val="clear" w:pos="7609"/>
              <w:tab w:val="right" w:pos="9026" w:leader="dot"/>
            </w:tabs>
            <w:rPr/>
          </w:pPr>
          <w:hyperlink w:anchor="__RefHeading___Toc105609_373438147">
            <w:r>
              <w:rPr>
                <w:webHidden/>
                <w:rStyle w:val="IndexLink"/>
                <w:rtl w:val="true"/>
              </w:rPr>
              <w:t>پاسخ امام خمینی قدس سره از اشکال محقّق اصفهانی رحمه الله</w:t>
            </w:r>
            <w:r>
              <w:rPr>
                <w:rStyle w:val="IndexLink"/>
                <w:rtl w:val="true"/>
              </w:rPr>
              <w:tab/>
            </w:r>
            <w:r>
              <w:rPr>
                <w:rStyle w:val="IndexLink"/>
              </w:rPr>
              <w:t>125</w:t>
            </w:r>
          </w:hyperlink>
        </w:p>
        <w:p>
          <w:pPr>
            <w:pStyle w:val="Contents6"/>
            <w:tabs>
              <w:tab w:val="clear" w:pos="7609"/>
              <w:tab w:val="right" w:pos="9026" w:leader="dot"/>
            </w:tabs>
            <w:rPr/>
          </w:pPr>
          <w:hyperlink w:anchor="__RefHeading___Toc105611_373438147">
            <w:r>
              <w:rPr>
                <w:webHidden/>
                <w:rStyle w:val="IndexLink"/>
                <w:rtl w:val="true"/>
              </w:rPr>
              <w:t>اشکالات سخن امام خمینی رحمه الله</w:t>
            </w:r>
            <w:r>
              <w:rPr>
                <w:rStyle w:val="IndexLink"/>
                <w:rtl w:val="true"/>
              </w:rPr>
              <w:tab/>
            </w:r>
            <w:r>
              <w:rPr>
                <w:rStyle w:val="IndexLink"/>
              </w:rPr>
              <w:t>130</w:t>
            </w:r>
          </w:hyperlink>
        </w:p>
        <w:p>
          <w:pPr>
            <w:pStyle w:val="Contents6"/>
            <w:tabs>
              <w:tab w:val="clear" w:pos="7609"/>
              <w:tab w:val="right" w:pos="9026" w:leader="dot"/>
            </w:tabs>
            <w:rPr/>
          </w:pPr>
          <w:hyperlink w:anchor="__RefHeading___Toc105613_373438147">
            <w:r>
              <w:rPr>
                <w:webHidden/>
                <w:rStyle w:val="IndexLink"/>
                <w:rtl w:val="true"/>
              </w:rPr>
              <w:t>توجیه دیدگاه شیخ انصاری رحمه الله</w:t>
            </w:r>
            <w:r>
              <w:rPr>
                <w:rStyle w:val="IndexLink"/>
                <w:rtl w:val="true"/>
              </w:rPr>
              <w:tab/>
            </w:r>
            <w:r>
              <w:rPr>
                <w:rStyle w:val="IndexLink"/>
              </w:rPr>
              <w:t>131</w:t>
            </w:r>
          </w:hyperlink>
        </w:p>
        <w:p>
          <w:pPr>
            <w:pStyle w:val="Contents5"/>
            <w:tabs>
              <w:tab w:val="clear" w:pos="7892"/>
              <w:tab w:val="right" w:pos="9026" w:leader="dot"/>
            </w:tabs>
            <w:rPr/>
          </w:pPr>
          <w:hyperlink w:anchor="__RefHeading___Toc105615_373438147">
            <w:r>
              <w:rPr>
                <w:webHidden/>
                <w:rStyle w:val="IndexLink"/>
              </w:rPr>
              <w:t>2</w:t>
            </w:r>
            <w:r>
              <w:rPr>
                <w:rStyle w:val="IndexLink"/>
                <w:rtl w:val="true"/>
              </w:rPr>
              <w:t xml:space="preserve"> - </w:t>
            </w:r>
            <w:r>
              <w:rPr>
                <w:rStyle w:val="IndexLink"/>
                <w:rtl w:val="true"/>
              </w:rPr>
              <w:t>دیدگاه محقّق خوئی رحمه الله</w:t>
            </w:r>
            <w:r>
              <w:rPr>
                <w:rStyle w:val="IndexLink"/>
                <w:rtl w:val="true"/>
              </w:rPr>
              <w:tab/>
            </w:r>
            <w:r>
              <w:rPr>
                <w:rStyle w:val="IndexLink"/>
              </w:rPr>
              <w:t>133</w:t>
            </w:r>
          </w:hyperlink>
        </w:p>
        <w:p>
          <w:pPr>
            <w:pStyle w:val="Contents6"/>
            <w:tabs>
              <w:tab w:val="clear" w:pos="7609"/>
              <w:tab w:val="right" w:pos="9026" w:leader="dot"/>
            </w:tabs>
            <w:rPr/>
          </w:pPr>
          <w:hyperlink w:anchor="__RefHeading___Toc105617_373438147">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05619_373438147">
            <w:r>
              <w:rPr>
                <w:webHidden/>
                <w:rStyle w:val="IndexLink"/>
                <w:rtl w:val="true"/>
              </w:rPr>
              <w:t>اشکالات وارد بر دیدگاه محقّق خوئی رحمه الله</w:t>
            </w:r>
            <w:r>
              <w:rPr>
                <w:rStyle w:val="IndexLink"/>
                <w:rtl w:val="true"/>
              </w:rPr>
              <w:tab/>
            </w:r>
            <w:r>
              <w:rPr>
                <w:rStyle w:val="IndexLink"/>
              </w:rPr>
              <w:t>135</w:t>
            </w:r>
          </w:hyperlink>
        </w:p>
        <w:p>
          <w:pPr>
            <w:pStyle w:val="Contents6"/>
            <w:tabs>
              <w:tab w:val="clear" w:pos="7609"/>
              <w:tab w:val="right" w:pos="9026" w:leader="dot"/>
            </w:tabs>
            <w:rPr/>
          </w:pPr>
          <w:hyperlink w:anchor="__RefHeading___Toc105621_373438147">
            <w:r>
              <w:rPr>
                <w:webHidden/>
                <w:rStyle w:val="IndexLink"/>
                <w:rtl w:val="true"/>
              </w:rPr>
              <w:t>نتیجه گفتار چهارم</w:t>
            </w:r>
            <w:r>
              <w:rPr>
                <w:rStyle w:val="IndexLink"/>
                <w:rtl w:val="true"/>
              </w:rPr>
              <w:tab/>
            </w:r>
            <w:r>
              <w:rPr>
                <w:rStyle w:val="IndexLink"/>
              </w:rPr>
              <w:t>136</w:t>
            </w:r>
          </w:hyperlink>
        </w:p>
        <w:p>
          <w:pPr>
            <w:pStyle w:val="Contents4"/>
            <w:tabs>
              <w:tab w:val="clear" w:pos="8176"/>
              <w:tab w:val="right" w:pos="9026" w:leader="dot"/>
            </w:tabs>
            <w:rPr/>
          </w:pPr>
          <w:hyperlink w:anchor="__RefHeading___Toc105623_373438147">
            <w:r>
              <w:rPr>
                <w:webHidden/>
                <w:rStyle w:val="IndexLink"/>
                <w:rtl w:val="true"/>
              </w:rPr>
              <w:t>گفتار پنجم</w:t>
            </w:r>
            <w:r>
              <w:rPr>
                <w:rStyle w:val="IndexLink"/>
                <w:rtl w:val="true"/>
              </w:rPr>
              <w:t xml:space="preserve">: </w:t>
            </w:r>
            <w:r>
              <w:rPr>
                <w:rStyle w:val="IndexLink"/>
                <w:rtl w:val="true"/>
              </w:rPr>
              <w:t>شمول روایت نسبت به ید غیر ابتدایی</w:t>
            </w:r>
            <w:r>
              <w:rPr>
                <w:rStyle w:val="IndexLink"/>
                <w:rtl w:val="true"/>
              </w:rPr>
              <w:tab/>
            </w:r>
            <w:r>
              <w:rPr>
                <w:rStyle w:val="IndexLink"/>
              </w:rPr>
              <w:t>136</w:t>
            </w:r>
          </w:hyperlink>
        </w:p>
        <w:p>
          <w:pPr>
            <w:pStyle w:val="Contents5"/>
            <w:tabs>
              <w:tab w:val="clear" w:pos="7892"/>
              <w:tab w:val="right" w:pos="9026" w:leader="dot"/>
            </w:tabs>
            <w:rPr/>
          </w:pPr>
          <w:hyperlink w:anchor="__RefHeading___Toc105625_373438147">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05627_373438147">
            <w:r>
              <w:rPr>
                <w:webHidden/>
                <w:rStyle w:val="IndexLink"/>
                <w:rtl w:val="true"/>
              </w:rPr>
              <w:t>احتمالات موجود در ضمان ایدی متعاقبه</w:t>
            </w:r>
            <w:r>
              <w:rPr>
                <w:rStyle w:val="IndexLink"/>
                <w:rtl w:val="true"/>
              </w:rPr>
              <w:tab/>
            </w:r>
            <w:r>
              <w:rPr>
                <w:rStyle w:val="IndexLink"/>
              </w:rPr>
              <w:t>138</w:t>
            </w:r>
          </w:hyperlink>
        </w:p>
        <w:p>
          <w:pPr>
            <w:pStyle w:val="Contents5"/>
            <w:tabs>
              <w:tab w:val="clear" w:pos="7892"/>
              <w:tab w:val="right" w:pos="9026" w:leader="dot"/>
            </w:tabs>
            <w:rPr/>
          </w:pPr>
          <w:hyperlink w:anchor="__RefHeading___Toc105629_373438147">
            <w:r>
              <w:rPr>
                <w:webHidden/>
                <w:rStyle w:val="IndexLink"/>
                <w:rtl w:val="true"/>
              </w:rPr>
              <w:t>اشکال ثبوتی وارد بر احتمال پنجم</w:t>
            </w:r>
            <w:r>
              <w:rPr>
                <w:rStyle w:val="IndexLink"/>
                <w:rtl w:val="true"/>
              </w:rPr>
              <w:tab/>
            </w:r>
            <w:r>
              <w:rPr>
                <w:rStyle w:val="IndexLink"/>
              </w:rPr>
              <w:t>141</w:t>
            </w:r>
          </w:hyperlink>
        </w:p>
        <w:p>
          <w:pPr>
            <w:pStyle w:val="Contents6"/>
            <w:tabs>
              <w:tab w:val="clear" w:pos="7609"/>
              <w:tab w:val="right" w:pos="9026" w:leader="dot"/>
            </w:tabs>
            <w:rPr/>
          </w:pPr>
          <w:hyperlink w:anchor="__RefHeading___Toc105631_373438147">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105633_373438147">
            <w:r>
              <w:rPr>
                <w:webHidden/>
                <w:rStyle w:val="IndexLink"/>
              </w:rPr>
              <w:t>1</w:t>
            </w:r>
            <w:r>
              <w:rPr>
                <w:rStyle w:val="IndexLink"/>
                <w:rtl w:val="true"/>
              </w:rPr>
              <w:t xml:space="preserve"> - </w:t>
            </w:r>
            <w:r>
              <w:rPr>
                <w:rStyle w:val="IndexLink"/>
                <w:rtl w:val="true"/>
              </w:rPr>
              <w:t>پاسخ مرحوم آخوند از اشکال ثبوتی</w:t>
            </w:r>
            <w:r>
              <w:rPr>
                <w:rStyle w:val="IndexLink"/>
                <w:rtl w:val="true"/>
              </w:rPr>
              <w:tab/>
            </w:r>
            <w:r>
              <w:rPr>
                <w:rStyle w:val="IndexLink"/>
              </w:rPr>
              <w:t>141</w:t>
            </w:r>
          </w:hyperlink>
        </w:p>
        <w:p>
          <w:pPr>
            <w:pStyle w:val="Contents6"/>
            <w:tabs>
              <w:tab w:val="clear" w:pos="7609"/>
              <w:tab w:val="right" w:pos="9026" w:leader="dot"/>
            </w:tabs>
            <w:rPr/>
          </w:pPr>
          <w:hyperlink w:anchor="__RefHeading___Toc105635_373438147">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105637_373438147">
            <w:r>
              <w:rPr>
                <w:webHidden/>
                <w:rStyle w:val="IndexLink"/>
                <w:rtl w:val="true"/>
              </w:rPr>
              <w:t>اشکالات وارد بر پاسخ مرحوم آخوند</w:t>
            </w:r>
            <w:r>
              <w:rPr>
                <w:rStyle w:val="IndexLink"/>
                <w:rtl w:val="true"/>
              </w:rPr>
              <w:tab/>
            </w:r>
            <w:r>
              <w:rPr>
                <w:rStyle w:val="IndexLink"/>
              </w:rPr>
              <w:t>141</w:t>
            </w:r>
          </w:hyperlink>
        </w:p>
        <w:p>
          <w:pPr>
            <w:pStyle w:val="Contents6"/>
            <w:tabs>
              <w:tab w:val="clear" w:pos="7609"/>
              <w:tab w:val="right" w:pos="9026" w:leader="dot"/>
            </w:tabs>
            <w:rPr/>
          </w:pPr>
          <w:hyperlink w:anchor="__RefHeading___Toc105639_373438147">
            <w:r>
              <w:rPr>
                <w:webHidden/>
                <w:rStyle w:val="IndexLink"/>
              </w:rPr>
              <w:t>2</w:t>
            </w:r>
            <w:r>
              <w:rPr>
                <w:rStyle w:val="IndexLink"/>
                <w:rtl w:val="true"/>
              </w:rPr>
              <w:t xml:space="preserve"> - </w:t>
            </w:r>
            <w:r>
              <w:rPr>
                <w:rStyle w:val="IndexLink"/>
                <w:rtl w:val="true"/>
              </w:rPr>
              <w:t>پاسخ محقّق نائینی رحمه الله از اشکال ثبوتی</w:t>
            </w:r>
            <w:r>
              <w:rPr>
                <w:rStyle w:val="IndexLink"/>
                <w:rtl w:val="true"/>
              </w:rPr>
              <w:tab/>
            </w:r>
            <w:r>
              <w:rPr>
                <w:rStyle w:val="IndexLink"/>
              </w:rPr>
              <w:t>143</w:t>
            </w:r>
          </w:hyperlink>
        </w:p>
        <w:p>
          <w:pPr>
            <w:pStyle w:val="Contents6"/>
            <w:tabs>
              <w:tab w:val="clear" w:pos="7609"/>
              <w:tab w:val="right" w:pos="9026" w:leader="dot"/>
            </w:tabs>
            <w:rPr/>
          </w:pPr>
          <w:hyperlink w:anchor="__RefHeading___Toc105641_373438147">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105643_373438147">
            <w:r>
              <w:rPr>
                <w:webHidden/>
                <w:rStyle w:val="IndexLink"/>
                <w:rtl w:val="true"/>
              </w:rPr>
              <w:t>الف</w:t>
            </w:r>
            <w:r>
              <w:rPr>
                <w:rStyle w:val="IndexLink"/>
                <w:rtl w:val="true"/>
              </w:rPr>
              <w:t xml:space="preserve">) </w:t>
            </w:r>
            <w:r>
              <w:rPr>
                <w:rStyle w:val="IndexLink"/>
                <w:rtl w:val="true"/>
              </w:rPr>
              <w:t>اشتراک ذوالیدها</w:t>
            </w:r>
            <w:r>
              <w:rPr>
                <w:rStyle w:val="IndexLink"/>
                <w:rtl w:val="true"/>
              </w:rPr>
              <w:tab/>
            </w:r>
            <w:r>
              <w:rPr>
                <w:rStyle w:val="IndexLink"/>
              </w:rPr>
              <w:t>143</w:t>
            </w:r>
          </w:hyperlink>
        </w:p>
        <w:p>
          <w:pPr>
            <w:pStyle w:val="Contents6"/>
            <w:tabs>
              <w:tab w:val="clear" w:pos="7609"/>
              <w:tab w:val="right" w:pos="9026" w:leader="dot"/>
            </w:tabs>
            <w:rPr/>
          </w:pPr>
          <w:hyperlink w:anchor="__RefHeading___Toc105645_373438147">
            <w:r>
              <w:rPr>
                <w:webHidden/>
                <w:rStyle w:val="IndexLink"/>
                <w:rtl w:val="true"/>
              </w:rPr>
              <w:t>ب</w:t>
            </w:r>
            <w:r>
              <w:rPr>
                <w:rStyle w:val="IndexLink"/>
                <w:rtl w:val="true"/>
              </w:rPr>
              <w:t xml:space="preserve">) </w:t>
            </w:r>
            <w:r>
              <w:rPr>
                <w:rStyle w:val="IndexLink"/>
                <w:rtl w:val="true"/>
              </w:rPr>
              <w:t>نظریّه‌ی ضمان طولی</w:t>
            </w:r>
            <w:r>
              <w:rPr>
                <w:rStyle w:val="IndexLink"/>
                <w:rtl w:val="true"/>
              </w:rPr>
              <w:tab/>
            </w:r>
            <w:r>
              <w:rPr>
                <w:rStyle w:val="IndexLink"/>
              </w:rPr>
              <w:t>146</w:t>
            </w:r>
          </w:hyperlink>
        </w:p>
        <w:p>
          <w:pPr>
            <w:pStyle w:val="Contents6"/>
            <w:tabs>
              <w:tab w:val="clear" w:pos="7609"/>
              <w:tab w:val="right" w:pos="9026" w:leader="dot"/>
            </w:tabs>
            <w:rPr/>
          </w:pPr>
          <w:hyperlink w:anchor="__RefHeading___Toc105647_373438147">
            <w:r>
              <w:rPr>
                <w:webHidden/>
                <w:rStyle w:val="IndexLink"/>
                <w:rtl w:val="true"/>
              </w:rPr>
              <w:t>معنای ضمان طولی</w:t>
            </w:r>
            <w:r>
              <w:rPr>
                <w:rStyle w:val="IndexLink"/>
                <w:rtl w:val="true"/>
              </w:rPr>
              <w:tab/>
            </w:r>
            <w:r>
              <w:rPr>
                <w:rStyle w:val="IndexLink"/>
              </w:rPr>
              <w:t>146</w:t>
            </w:r>
          </w:hyperlink>
        </w:p>
        <w:p>
          <w:pPr>
            <w:pStyle w:val="Contents6"/>
            <w:tabs>
              <w:tab w:val="clear" w:pos="7609"/>
              <w:tab w:val="right" w:pos="9026" w:leader="dot"/>
            </w:tabs>
            <w:rPr/>
          </w:pPr>
          <w:hyperlink w:anchor="__RefHeading___Toc105649_373438147">
            <w:r>
              <w:rPr>
                <w:webHidden/>
                <w:rStyle w:val="IndexLink"/>
                <w:rtl w:val="true"/>
              </w:rPr>
              <w:t>اسباب ضمان طولی</w:t>
            </w:r>
            <w:r>
              <w:rPr>
                <w:rStyle w:val="IndexLink"/>
                <w:rtl w:val="true"/>
              </w:rPr>
              <w:tab/>
            </w:r>
            <w:r>
              <w:rPr>
                <w:rStyle w:val="IndexLink"/>
              </w:rPr>
              <w:t>148</w:t>
            </w:r>
          </w:hyperlink>
        </w:p>
        <w:p>
          <w:pPr>
            <w:pStyle w:val="Contents6"/>
            <w:tabs>
              <w:tab w:val="clear" w:pos="7609"/>
              <w:tab w:val="right" w:pos="9026" w:leader="dot"/>
            </w:tabs>
            <w:rPr/>
          </w:pPr>
          <w:hyperlink w:anchor="__RefHeading___Toc105651_373438147">
            <w:r>
              <w:rPr>
                <w:webHidden/>
                <w:rStyle w:val="IndexLink"/>
                <w:rtl w:val="true"/>
              </w:rPr>
              <w:t>مقایسه اسباب ضمان طولی با یکدیگر</w:t>
            </w:r>
            <w:r>
              <w:rPr>
                <w:rStyle w:val="IndexLink"/>
                <w:rtl w:val="true"/>
              </w:rPr>
              <w:tab/>
            </w:r>
            <w:r>
              <w:rPr>
                <w:rStyle w:val="IndexLink"/>
              </w:rPr>
              <w:t>149</w:t>
            </w:r>
          </w:hyperlink>
        </w:p>
        <w:p>
          <w:pPr>
            <w:pStyle w:val="Contents6"/>
            <w:tabs>
              <w:tab w:val="clear" w:pos="7609"/>
              <w:tab w:val="right" w:pos="9026" w:leader="dot"/>
            </w:tabs>
            <w:rPr/>
          </w:pPr>
          <w:hyperlink w:anchor="__RefHeading___Toc105653_373438147">
            <w:r>
              <w:rPr>
                <w:webHidden/>
                <w:rStyle w:val="IndexLink"/>
                <w:rtl w:val="true"/>
              </w:rPr>
              <w:t>دیدگاه شهید اوّل رحمه الله در مسأله غارّ و تعاقب ایدی</w:t>
            </w:r>
            <w:r>
              <w:rPr>
                <w:rStyle w:val="IndexLink"/>
                <w:rtl w:val="true"/>
              </w:rPr>
              <w:tab/>
            </w:r>
            <w:r>
              <w:rPr>
                <w:rStyle w:val="IndexLink"/>
              </w:rPr>
              <w:t>151</w:t>
            </w:r>
          </w:hyperlink>
        </w:p>
        <w:p>
          <w:pPr>
            <w:pStyle w:val="Contents6"/>
            <w:tabs>
              <w:tab w:val="clear" w:pos="7609"/>
              <w:tab w:val="right" w:pos="9026" w:leader="dot"/>
            </w:tabs>
            <w:rPr/>
          </w:pPr>
          <w:hyperlink w:anchor="__RefHeading___Toc105655_373438147">
            <w:r>
              <w:rPr>
                <w:webHidden/>
                <w:rStyle w:val="IndexLink"/>
                <w:rtl w:val="true"/>
              </w:rPr>
              <w:t>اشکال محقّق نائینی رحمه الله بر دیدگاه شهید اوّل قدس سره</w:t>
            </w:r>
            <w:r>
              <w:rPr>
                <w:rStyle w:val="IndexLink"/>
                <w:rtl w:val="true"/>
              </w:rPr>
              <w:tab/>
            </w:r>
            <w:r>
              <w:rPr>
                <w:rStyle w:val="IndexLink"/>
              </w:rPr>
              <w:t>151</w:t>
            </w:r>
          </w:hyperlink>
        </w:p>
        <w:p>
          <w:pPr>
            <w:pStyle w:val="Contents6"/>
            <w:tabs>
              <w:tab w:val="clear" w:pos="7609"/>
              <w:tab w:val="right" w:pos="9026" w:leader="dot"/>
            </w:tabs>
            <w:rPr/>
          </w:pPr>
          <w:hyperlink w:anchor="__RefHeading___Toc105657_373438147">
            <w:r>
              <w:rPr>
                <w:webHidden/>
                <w:rStyle w:val="IndexLink"/>
                <w:rtl w:val="true"/>
              </w:rPr>
              <w:t>آثار ضمان طولی</w:t>
            </w:r>
            <w:r>
              <w:rPr>
                <w:rStyle w:val="IndexLink"/>
                <w:rtl w:val="true"/>
              </w:rPr>
              <w:tab/>
            </w:r>
            <w:r>
              <w:rPr>
                <w:rStyle w:val="IndexLink"/>
              </w:rPr>
              <w:t>154</w:t>
            </w:r>
          </w:hyperlink>
        </w:p>
        <w:p>
          <w:pPr>
            <w:pStyle w:val="Contents6"/>
            <w:tabs>
              <w:tab w:val="clear" w:pos="7609"/>
              <w:tab w:val="right" w:pos="9026" w:leader="dot"/>
            </w:tabs>
            <w:rPr/>
          </w:pPr>
          <w:hyperlink w:anchor="__RefHeading___Toc105659_373438147">
            <w:r>
              <w:rPr>
                <w:webHidden/>
                <w:rStyle w:val="IndexLink"/>
                <w:rtl w:val="true"/>
              </w:rPr>
              <w:t>دیدگاه محقّق بجنوردی رحمه الله در مورد ضمان طولی</w:t>
            </w:r>
            <w:r>
              <w:rPr>
                <w:rStyle w:val="IndexLink"/>
                <w:rtl w:val="true"/>
              </w:rPr>
              <w:tab/>
            </w:r>
            <w:r>
              <w:rPr>
                <w:rStyle w:val="IndexLink"/>
              </w:rPr>
              <w:t>155</w:t>
            </w:r>
          </w:hyperlink>
        </w:p>
        <w:p>
          <w:pPr>
            <w:pStyle w:val="Contents6"/>
            <w:tabs>
              <w:tab w:val="clear" w:pos="7609"/>
              <w:tab w:val="right" w:pos="9026" w:leader="dot"/>
            </w:tabs>
            <w:rPr/>
          </w:pPr>
          <w:hyperlink w:anchor="__RefHeading___Toc105661_373438147">
            <w:r>
              <w:rPr>
                <w:webHidden/>
                <w:rStyle w:val="IndexLink"/>
                <w:rtl w:val="true"/>
              </w:rPr>
              <w:t>دیدگاه امام خمینی رحمه الله در مورد ضمان طولی</w:t>
            </w:r>
            <w:r>
              <w:rPr>
                <w:rStyle w:val="IndexLink"/>
                <w:rtl w:val="true"/>
              </w:rPr>
              <w:tab/>
            </w:r>
            <w:r>
              <w:rPr>
                <w:rStyle w:val="IndexLink"/>
              </w:rPr>
              <w:t>156</w:t>
            </w:r>
          </w:hyperlink>
        </w:p>
        <w:p>
          <w:pPr>
            <w:pStyle w:val="Contents6"/>
            <w:tabs>
              <w:tab w:val="clear" w:pos="7609"/>
              <w:tab w:val="right" w:pos="9026" w:leader="dot"/>
            </w:tabs>
            <w:rPr/>
          </w:pPr>
          <w:hyperlink w:anchor="__RefHeading___Toc105663_373438147">
            <w:r>
              <w:rPr>
                <w:webHidden/>
                <w:rStyle w:val="IndexLink"/>
                <w:rtl w:val="true"/>
              </w:rPr>
              <w:t>اشکالات وارد بر نظریّه‌ی ضمان طولی</w:t>
            </w:r>
            <w:r>
              <w:rPr>
                <w:rStyle w:val="IndexLink"/>
                <w:rtl w:val="true"/>
              </w:rPr>
              <w:tab/>
            </w:r>
            <w:r>
              <w:rPr>
                <w:rStyle w:val="IndexLink"/>
              </w:rPr>
              <w:t>158</w:t>
            </w:r>
          </w:hyperlink>
        </w:p>
        <w:p>
          <w:pPr>
            <w:pStyle w:val="Contents6"/>
            <w:tabs>
              <w:tab w:val="clear" w:pos="7609"/>
              <w:tab w:val="right" w:pos="9026" w:leader="dot"/>
            </w:tabs>
            <w:rPr/>
          </w:pPr>
          <w:hyperlink w:anchor="__RefHeading___Toc105665_373438147">
            <w:r>
              <w:rPr>
                <w:webHidden/>
                <w:rStyle w:val="IndexLink"/>
              </w:rPr>
              <w:t>3</w:t>
            </w:r>
            <w:r>
              <w:rPr>
                <w:rStyle w:val="IndexLink"/>
                <w:rtl w:val="true"/>
              </w:rPr>
              <w:t xml:space="preserve"> - </w:t>
            </w:r>
            <w:r>
              <w:rPr>
                <w:rStyle w:val="IndexLink"/>
                <w:rtl w:val="true"/>
              </w:rPr>
              <w:t>پاسخ صاحب جواهر رحمه الله از اشکال ثبوتی</w:t>
            </w:r>
            <w:r>
              <w:rPr>
                <w:rStyle w:val="IndexLink"/>
                <w:rtl w:val="true"/>
              </w:rPr>
              <w:tab/>
            </w:r>
            <w:r>
              <w:rPr>
                <w:rStyle w:val="IndexLink"/>
              </w:rPr>
              <w:t>161</w:t>
            </w:r>
          </w:hyperlink>
        </w:p>
        <w:p>
          <w:pPr>
            <w:pStyle w:val="Contents6"/>
            <w:tabs>
              <w:tab w:val="clear" w:pos="7609"/>
              <w:tab w:val="right" w:pos="9026" w:leader="dot"/>
            </w:tabs>
            <w:rPr/>
          </w:pPr>
          <w:hyperlink w:anchor="__RefHeading___Toc105667_373438147">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105669_373438147">
            <w:r>
              <w:rPr>
                <w:webHidden/>
                <w:rStyle w:val="IndexLink"/>
                <w:rtl w:val="true"/>
              </w:rPr>
              <w:t>اشکالات شیخ انصاری رحمه الله بر پاسخ صاحب جواهر رحمه الله</w:t>
            </w:r>
            <w:r>
              <w:rPr>
                <w:rStyle w:val="IndexLink"/>
                <w:rtl w:val="true"/>
              </w:rPr>
              <w:tab/>
            </w:r>
            <w:r>
              <w:rPr>
                <w:rStyle w:val="IndexLink"/>
              </w:rPr>
              <w:t>163</w:t>
            </w:r>
          </w:hyperlink>
        </w:p>
        <w:p>
          <w:pPr>
            <w:pStyle w:val="Contents6"/>
            <w:tabs>
              <w:tab w:val="clear" w:pos="7609"/>
              <w:tab w:val="right" w:pos="9026" w:leader="dot"/>
            </w:tabs>
            <w:rPr/>
          </w:pPr>
          <w:hyperlink w:anchor="__RefHeading___Toc105671_373438147">
            <w:r>
              <w:rPr>
                <w:webHidden/>
                <w:rStyle w:val="IndexLink"/>
              </w:rPr>
              <w:t>4</w:t>
            </w:r>
            <w:r>
              <w:rPr>
                <w:rStyle w:val="IndexLink"/>
                <w:rtl w:val="true"/>
              </w:rPr>
              <w:t xml:space="preserve"> - </w:t>
            </w:r>
            <w:r>
              <w:rPr>
                <w:rStyle w:val="IndexLink"/>
                <w:rtl w:val="true"/>
              </w:rPr>
              <w:t>پاسخ شیخ انصاری رحمه الله از اشکال ثبوتی</w:t>
            </w:r>
            <w:r>
              <w:rPr>
                <w:rStyle w:val="IndexLink"/>
                <w:rtl w:val="true"/>
              </w:rPr>
              <w:tab/>
            </w:r>
            <w:r>
              <w:rPr>
                <w:rStyle w:val="IndexLink"/>
              </w:rPr>
              <w:t>167</w:t>
            </w:r>
          </w:hyperlink>
        </w:p>
        <w:p>
          <w:pPr>
            <w:pStyle w:val="Contents5"/>
            <w:tabs>
              <w:tab w:val="clear" w:pos="7892"/>
              <w:tab w:val="right" w:pos="9026" w:leader="dot"/>
            </w:tabs>
            <w:rPr/>
          </w:pPr>
          <w:hyperlink w:anchor="__RefHeading___Toc105673_373438147">
            <w:r>
              <w:rPr>
                <w:webHidden/>
                <w:rStyle w:val="IndexLink"/>
                <w:rtl w:val="true"/>
              </w:rPr>
              <w:t>اشکالات وارد بر پاسخ شیخ انصاری رحمه الله</w:t>
            </w:r>
            <w:r>
              <w:rPr>
                <w:rStyle w:val="IndexLink"/>
                <w:rtl w:val="true"/>
              </w:rPr>
              <w:tab/>
            </w:r>
            <w:r>
              <w:rPr>
                <w:rStyle w:val="IndexLink"/>
              </w:rPr>
              <w:t>170</w:t>
            </w:r>
          </w:hyperlink>
        </w:p>
        <w:p>
          <w:pPr>
            <w:pStyle w:val="Contents6"/>
            <w:tabs>
              <w:tab w:val="clear" w:pos="7609"/>
              <w:tab w:val="right" w:pos="9026" w:leader="dot"/>
            </w:tabs>
            <w:rPr/>
          </w:pPr>
          <w:hyperlink w:anchor="__RefHeading___Toc105675_373438147">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105677_373438147">
            <w:r>
              <w:rPr>
                <w:webHidden/>
                <w:rStyle w:val="IndexLink"/>
              </w:rPr>
              <w:t>5</w:t>
            </w:r>
            <w:r>
              <w:rPr>
                <w:rStyle w:val="IndexLink"/>
                <w:rtl w:val="true"/>
              </w:rPr>
              <w:t xml:space="preserve"> - </w:t>
            </w:r>
            <w:r>
              <w:rPr>
                <w:rStyle w:val="IndexLink"/>
                <w:rtl w:val="true"/>
              </w:rPr>
              <w:t>پاسخ پنجم به اشکال ثبوتی</w:t>
            </w:r>
            <w:r>
              <w:rPr>
                <w:rStyle w:val="IndexLink"/>
                <w:rtl w:val="true"/>
              </w:rPr>
              <w:tab/>
            </w:r>
            <w:r>
              <w:rPr>
                <w:rStyle w:val="IndexLink"/>
              </w:rPr>
              <w:t>173</w:t>
            </w:r>
          </w:hyperlink>
        </w:p>
        <w:p>
          <w:pPr>
            <w:pStyle w:val="Contents5"/>
            <w:tabs>
              <w:tab w:val="clear" w:pos="7892"/>
              <w:tab w:val="right" w:pos="9026" w:leader="dot"/>
            </w:tabs>
            <w:rPr/>
          </w:pPr>
          <w:hyperlink w:anchor="__RefHeading___Toc105679_373438147">
            <w:r>
              <w:rPr>
                <w:webHidden/>
                <w:rStyle w:val="IndexLink"/>
                <w:rtl w:val="true"/>
              </w:rPr>
              <w:t>جمع‌بندی و بیان پاسخ برگزیده</w:t>
            </w:r>
            <w:r>
              <w:rPr>
                <w:rStyle w:val="IndexLink"/>
                <w:rtl w:val="true"/>
              </w:rPr>
              <w:tab/>
            </w:r>
            <w:r>
              <w:rPr>
                <w:rStyle w:val="IndexLink"/>
              </w:rPr>
              <w:t>174</w:t>
            </w:r>
          </w:hyperlink>
        </w:p>
        <w:p>
          <w:pPr>
            <w:pStyle w:val="Contents3"/>
            <w:tabs>
              <w:tab w:val="clear" w:pos="8459"/>
              <w:tab w:val="right" w:pos="9026" w:leader="dot"/>
            </w:tabs>
            <w:rPr/>
          </w:pPr>
          <w:hyperlink w:anchor="__RefHeading___Toc105681_373438147">
            <w:r>
              <w:rPr>
                <w:webHidden/>
                <w:rStyle w:val="IndexLink"/>
                <w:rtl w:val="true"/>
              </w:rPr>
              <w:t>فصل دوّم</w:t>
            </w:r>
            <w:r>
              <w:rPr>
                <w:rStyle w:val="IndexLink"/>
                <w:rtl w:val="true"/>
              </w:rPr>
              <w:t>: «</w:t>
            </w:r>
            <w:r>
              <w:rPr>
                <w:rStyle w:val="IndexLink"/>
                <w:rtl w:val="true"/>
              </w:rPr>
              <w:t>اخذ</w:t>
            </w:r>
            <w:r>
              <w:rPr>
                <w:rStyle w:val="IndexLink"/>
                <w:rtl w:val="true"/>
              </w:rPr>
              <w:t>»</w:t>
            </w:r>
            <w:r>
              <w:rPr>
                <w:rStyle w:val="IndexLink"/>
                <w:rtl w:val="true"/>
              </w:rPr>
              <w:t xml:space="preserve">، </w:t>
            </w:r>
            <w:r>
              <w:rPr>
                <w:rStyle w:val="IndexLink"/>
                <w:rtl w:val="true"/>
              </w:rPr>
              <w:t>«</w:t>
            </w:r>
            <w:r>
              <w:rPr>
                <w:rStyle w:val="IndexLink"/>
                <w:rtl w:val="true"/>
              </w:rPr>
              <w:t>مأخوذ</w:t>
            </w:r>
            <w:r>
              <w:rPr>
                <w:rStyle w:val="IndexLink"/>
                <w:rtl w:val="true"/>
              </w:rPr>
              <w:t xml:space="preserve">» </w:t>
            </w:r>
            <w:r>
              <w:rPr>
                <w:rStyle w:val="IndexLink"/>
                <w:rtl w:val="true"/>
              </w:rPr>
              <w:t>و دیگر مفردات روایت</w:t>
            </w:r>
            <w:r>
              <w:rPr>
                <w:rStyle w:val="IndexLink"/>
                <w:rtl w:val="true"/>
              </w:rPr>
              <w:tab/>
            </w:r>
            <w:r>
              <w:rPr>
                <w:rStyle w:val="IndexLink"/>
              </w:rPr>
              <w:t>175</w:t>
            </w:r>
          </w:hyperlink>
        </w:p>
        <w:p>
          <w:pPr>
            <w:pStyle w:val="Contents4"/>
            <w:tabs>
              <w:tab w:val="clear" w:pos="8176"/>
              <w:tab w:val="right" w:pos="9026" w:leader="dot"/>
            </w:tabs>
            <w:rPr/>
          </w:pPr>
          <w:hyperlink w:anchor="__RefHeading___Toc105683_373438147">
            <w:r>
              <w:rPr>
                <w:webHidden/>
                <w:rStyle w:val="IndexLink"/>
                <w:rtl w:val="true"/>
              </w:rPr>
              <w:t>گفتار اوّل</w:t>
            </w:r>
            <w:r>
              <w:rPr>
                <w:rStyle w:val="IndexLink"/>
                <w:rtl w:val="true"/>
              </w:rPr>
              <w:t xml:space="preserve">: </w:t>
            </w:r>
            <w:r>
              <w:rPr>
                <w:rStyle w:val="IndexLink"/>
                <w:rtl w:val="true"/>
              </w:rPr>
              <w:t>اعتبار اخذ و قبض در ضمان</w:t>
            </w:r>
            <w:r>
              <w:rPr>
                <w:rStyle w:val="IndexLink"/>
                <w:rtl w:val="true"/>
              </w:rPr>
              <w:tab/>
            </w:r>
            <w:r>
              <w:rPr>
                <w:rStyle w:val="IndexLink"/>
              </w:rPr>
              <w:t>175</w:t>
            </w:r>
          </w:hyperlink>
        </w:p>
        <w:p>
          <w:pPr>
            <w:pStyle w:val="Contents4"/>
            <w:tabs>
              <w:tab w:val="clear" w:pos="8176"/>
              <w:tab w:val="right" w:pos="9026" w:leader="dot"/>
            </w:tabs>
            <w:rPr/>
          </w:pPr>
          <w:hyperlink w:anchor="__RefHeading___Toc105685_373438147">
            <w:r>
              <w:rPr>
                <w:webHidden/>
                <w:rStyle w:val="IndexLink"/>
                <w:rtl w:val="true"/>
              </w:rPr>
              <w:t>گفتار دوّم</w:t>
            </w:r>
            <w:r>
              <w:rPr>
                <w:rStyle w:val="IndexLink"/>
                <w:rtl w:val="true"/>
              </w:rPr>
              <w:t xml:space="preserve">: </w:t>
            </w:r>
            <w:r>
              <w:rPr>
                <w:rStyle w:val="IndexLink"/>
                <w:rtl w:val="true"/>
              </w:rPr>
              <w:t>مراد از مال مأخوذ چیست ؟</w:t>
            </w:r>
            <w:r>
              <w:rPr>
                <w:rStyle w:val="IndexLink"/>
                <w:rtl w:val="true"/>
              </w:rPr>
              <w:tab/>
            </w:r>
            <w:r>
              <w:rPr>
                <w:rStyle w:val="IndexLink"/>
              </w:rPr>
              <w:t>176</w:t>
            </w:r>
          </w:hyperlink>
        </w:p>
        <w:p>
          <w:pPr>
            <w:pStyle w:val="Contents4"/>
            <w:tabs>
              <w:tab w:val="clear" w:pos="8176"/>
              <w:tab w:val="right" w:pos="9026" w:leader="dot"/>
            </w:tabs>
            <w:rPr/>
          </w:pPr>
          <w:hyperlink w:anchor="__RefHeading___Toc105687_373438147">
            <w:r>
              <w:rPr>
                <w:webHidden/>
                <w:rStyle w:val="IndexLink"/>
                <w:rtl w:val="true"/>
              </w:rPr>
              <w:t>گفتار سوم</w:t>
            </w:r>
            <w:r>
              <w:rPr>
                <w:rStyle w:val="IndexLink"/>
                <w:rtl w:val="true"/>
              </w:rPr>
              <w:t xml:space="preserve">: </w:t>
            </w:r>
            <w:r>
              <w:rPr>
                <w:rStyle w:val="IndexLink"/>
                <w:rtl w:val="true"/>
              </w:rPr>
              <w:t>لزوم مالیّت داشتن مأخوذ</w:t>
            </w:r>
            <w:r>
              <w:rPr>
                <w:rStyle w:val="IndexLink"/>
                <w:rtl w:val="true"/>
              </w:rPr>
              <w:tab/>
            </w:r>
            <w:r>
              <w:rPr>
                <w:rStyle w:val="IndexLink"/>
              </w:rPr>
              <w:t>178</w:t>
            </w:r>
          </w:hyperlink>
        </w:p>
        <w:p>
          <w:pPr>
            <w:pStyle w:val="Contents4"/>
            <w:tabs>
              <w:tab w:val="clear" w:pos="8176"/>
              <w:tab w:val="right" w:pos="9026" w:leader="dot"/>
            </w:tabs>
            <w:rPr/>
          </w:pPr>
          <w:hyperlink w:anchor="__RefHeading___Toc105689_373438147">
            <w:r>
              <w:rPr>
                <w:webHidden/>
                <w:rStyle w:val="IndexLink"/>
                <w:rtl w:val="true"/>
              </w:rPr>
              <w:t>گفتار چهارم</w:t>
            </w:r>
            <w:r>
              <w:rPr>
                <w:rStyle w:val="IndexLink"/>
                <w:rtl w:val="true"/>
              </w:rPr>
              <w:t xml:space="preserve">: </w:t>
            </w:r>
            <w:r>
              <w:rPr>
                <w:rStyle w:val="IndexLink"/>
                <w:rtl w:val="true"/>
              </w:rPr>
              <w:t>مقصود از اداء چیست ؟</w:t>
            </w:r>
            <w:r>
              <w:rPr>
                <w:rStyle w:val="IndexLink"/>
                <w:rtl w:val="true"/>
              </w:rPr>
              <w:tab/>
            </w:r>
            <w:r>
              <w:rPr>
                <w:rStyle w:val="IndexLink"/>
              </w:rPr>
              <w:t>179</w:t>
            </w:r>
          </w:hyperlink>
        </w:p>
        <w:p>
          <w:pPr>
            <w:pStyle w:val="Contents4"/>
            <w:tabs>
              <w:tab w:val="clear" w:pos="8176"/>
              <w:tab w:val="right" w:pos="9026" w:leader="dot"/>
            </w:tabs>
            <w:rPr/>
          </w:pPr>
          <w:hyperlink w:anchor="__RefHeading___Toc105691_373438147">
            <w:r>
              <w:rPr>
                <w:webHidden/>
                <w:rStyle w:val="IndexLink"/>
                <w:rtl w:val="true"/>
              </w:rPr>
              <w:t>گفتار پنجم</w:t>
            </w:r>
            <w:r>
              <w:rPr>
                <w:rStyle w:val="IndexLink"/>
                <w:rtl w:val="true"/>
              </w:rPr>
              <w:t xml:space="preserve">: </w:t>
            </w:r>
            <w:r>
              <w:rPr>
                <w:rStyle w:val="IndexLink"/>
                <w:rtl w:val="true"/>
              </w:rPr>
              <w:t>ظهور غایت مذکور در روایت، در ردّ تام</w:t>
            </w:r>
            <w:r>
              <w:rPr>
                <w:rStyle w:val="IndexLink"/>
                <w:rtl w:val="true"/>
              </w:rPr>
              <w:tab/>
            </w:r>
            <w:r>
              <w:rPr>
                <w:rStyle w:val="IndexLink"/>
              </w:rPr>
              <w:t>185</w:t>
            </w:r>
          </w:hyperlink>
        </w:p>
        <w:p>
          <w:pPr>
            <w:pStyle w:val="Contents2"/>
            <w:tabs>
              <w:tab w:val="clear" w:pos="8743"/>
              <w:tab w:val="right" w:pos="9026" w:leader="dot"/>
            </w:tabs>
            <w:rPr/>
          </w:pPr>
          <w:hyperlink w:anchor="__RefHeading___Toc105693_373438147">
            <w:r>
              <w:rPr>
                <w:webHidden/>
                <w:rStyle w:val="IndexLink"/>
                <w:rtl w:val="true"/>
              </w:rPr>
              <w:t>بخش سوم</w:t>
            </w:r>
            <w:r>
              <w:rPr>
                <w:rStyle w:val="IndexLink"/>
                <w:rtl w:val="true"/>
              </w:rPr>
              <w:t xml:space="preserve">: </w:t>
            </w:r>
            <w:r>
              <w:rPr>
                <w:rStyle w:val="IndexLink"/>
                <w:rtl w:val="true"/>
              </w:rPr>
              <w:t>تنبیهات قاعده ی ضمان ید</w:t>
            </w:r>
            <w:r>
              <w:rPr>
                <w:rStyle w:val="IndexLink"/>
                <w:rtl w:val="true"/>
              </w:rPr>
              <w:tab/>
            </w:r>
            <w:r>
              <w:rPr>
                <w:rStyle w:val="IndexLink"/>
              </w:rPr>
              <w:t>187</w:t>
            </w:r>
          </w:hyperlink>
        </w:p>
        <w:p>
          <w:pPr>
            <w:pStyle w:val="Contents3"/>
            <w:tabs>
              <w:tab w:val="clear" w:pos="8459"/>
              <w:tab w:val="right" w:pos="9026" w:leader="dot"/>
            </w:tabs>
            <w:rPr/>
          </w:pPr>
          <w:hyperlink w:anchor="__RefHeading___Toc105695_373438147">
            <w:r>
              <w:rPr>
                <w:webHidden/>
                <w:rStyle w:val="IndexLink"/>
                <w:rtl w:val="true"/>
              </w:rPr>
              <w:t>تنبیه اوّل</w:t>
            </w:r>
            <w:r>
              <w:rPr>
                <w:rStyle w:val="IndexLink"/>
                <w:rtl w:val="true"/>
              </w:rPr>
              <w:t xml:space="preserve">: </w:t>
            </w:r>
            <w:r>
              <w:rPr>
                <w:rStyle w:val="IndexLink"/>
                <w:rtl w:val="true"/>
              </w:rPr>
              <w:t>تأثیر علم و جهل نسبت به موضوع در قاعده</w:t>
            </w:r>
            <w:r>
              <w:rPr>
                <w:rStyle w:val="IndexLink"/>
                <w:rtl w:val="true"/>
              </w:rPr>
              <w:tab/>
            </w:r>
            <w:r>
              <w:rPr>
                <w:rStyle w:val="IndexLink"/>
              </w:rPr>
              <w:t>187</w:t>
            </w:r>
          </w:hyperlink>
        </w:p>
        <w:p>
          <w:pPr>
            <w:pStyle w:val="Contents3"/>
            <w:tabs>
              <w:tab w:val="clear" w:pos="8459"/>
              <w:tab w:val="right" w:pos="9026" w:leader="dot"/>
            </w:tabs>
            <w:rPr/>
          </w:pPr>
          <w:hyperlink w:anchor="__RefHeading___Toc105697_373438147">
            <w:r>
              <w:rPr>
                <w:webHidden/>
                <w:rStyle w:val="IndexLink"/>
                <w:rtl w:val="true"/>
              </w:rPr>
              <w:t>تنبیه دوّم</w:t>
            </w:r>
            <w:r>
              <w:rPr>
                <w:rStyle w:val="IndexLink"/>
                <w:rtl w:val="true"/>
              </w:rPr>
              <w:t xml:space="preserve">: </w:t>
            </w:r>
            <w:r>
              <w:rPr>
                <w:rStyle w:val="IndexLink"/>
                <w:rtl w:val="true"/>
              </w:rPr>
              <w:t>جریان قاعده در منافع مستوفاة و غیر مستوفاة</w:t>
            </w:r>
            <w:r>
              <w:rPr>
                <w:rStyle w:val="IndexLink"/>
                <w:rtl w:val="true"/>
              </w:rPr>
              <w:tab/>
            </w:r>
            <w:r>
              <w:rPr>
                <w:rStyle w:val="IndexLink"/>
              </w:rPr>
              <w:t>188</w:t>
            </w:r>
          </w:hyperlink>
        </w:p>
        <w:p>
          <w:pPr>
            <w:pStyle w:val="Contents4"/>
            <w:tabs>
              <w:tab w:val="clear" w:pos="8176"/>
              <w:tab w:val="right" w:pos="9026" w:leader="dot"/>
            </w:tabs>
            <w:rPr/>
          </w:pPr>
          <w:hyperlink w:anchor="__RefHeading___Toc105699_373438147">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05701_373438147">
            <w:r>
              <w:rPr>
                <w:webHidden/>
                <w:rStyle w:val="IndexLink"/>
                <w:rtl w:val="true"/>
              </w:rPr>
              <w:t>دیدگاه شیخ انصاری و سیّد یزدی رحمهما الله در مورد صدق اخذ بر منافع</w:t>
            </w:r>
            <w:r>
              <w:rPr>
                <w:rStyle w:val="IndexLink"/>
                <w:rtl w:val="true"/>
              </w:rPr>
              <w:tab/>
            </w:r>
            <w:r>
              <w:rPr>
                <w:rStyle w:val="IndexLink"/>
              </w:rPr>
              <w:t>189</w:t>
            </w:r>
          </w:hyperlink>
        </w:p>
        <w:p>
          <w:pPr>
            <w:pStyle w:val="Contents4"/>
            <w:tabs>
              <w:tab w:val="clear" w:pos="8176"/>
              <w:tab w:val="right" w:pos="9026" w:leader="dot"/>
            </w:tabs>
            <w:rPr/>
          </w:pPr>
          <w:hyperlink w:anchor="__RefHeading___Toc105703_373438147">
            <w:r>
              <w:rPr>
                <w:webHidden/>
                <w:rStyle w:val="IndexLink"/>
                <w:rtl w:val="true"/>
              </w:rPr>
              <w:t>دیدگاه فقیه محقّق والد معظّم در مورد منافع غیر مستوفاة</w:t>
            </w:r>
            <w:r>
              <w:rPr>
                <w:rStyle w:val="IndexLink"/>
                <w:rtl w:val="true"/>
              </w:rPr>
              <w:tab/>
            </w:r>
            <w:r>
              <w:rPr>
                <w:rStyle w:val="IndexLink"/>
              </w:rPr>
              <w:t>191</w:t>
            </w:r>
          </w:hyperlink>
        </w:p>
        <w:p>
          <w:pPr>
            <w:pStyle w:val="Contents4"/>
            <w:tabs>
              <w:tab w:val="clear" w:pos="8176"/>
              <w:tab w:val="right" w:pos="9026" w:leader="dot"/>
            </w:tabs>
            <w:rPr/>
          </w:pPr>
          <w:hyperlink w:anchor="__RefHeading___Toc105705_373438147">
            <w:r>
              <w:rPr>
                <w:webHidden/>
                <w:rStyle w:val="IndexLink"/>
                <w:rtl w:val="true"/>
              </w:rPr>
              <w:t>دیدگاه محقّق اصفهانی و خویی رحمهما الله در مورد جریان قاعده در منافع</w:t>
            </w:r>
            <w:r>
              <w:rPr>
                <w:rStyle w:val="IndexLink"/>
                <w:rtl w:val="true"/>
              </w:rPr>
              <w:tab/>
            </w:r>
            <w:r>
              <w:rPr>
                <w:rStyle w:val="IndexLink"/>
              </w:rPr>
              <w:t>192</w:t>
            </w:r>
          </w:hyperlink>
        </w:p>
        <w:p>
          <w:pPr>
            <w:pStyle w:val="Contents4"/>
            <w:tabs>
              <w:tab w:val="clear" w:pos="8176"/>
              <w:tab w:val="right" w:pos="9026" w:leader="dot"/>
            </w:tabs>
            <w:rPr/>
          </w:pPr>
          <w:hyperlink w:anchor="__RefHeading___Toc105707_373438147">
            <w:r>
              <w:rPr>
                <w:webHidden/>
                <w:rStyle w:val="IndexLink"/>
                <w:rtl w:val="true"/>
              </w:rPr>
              <w:t>اشکالات مرحوم امام به دیدگاه محقّق اصفهانی رحمه الله</w:t>
            </w:r>
            <w:r>
              <w:rPr>
                <w:rStyle w:val="IndexLink"/>
                <w:rtl w:val="true"/>
              </w:rPr>
              <w:tab/>
            </w:r>
            <w:r>
              <w:rPr>
                <w:rStyle w:val="IndexLink"/>
              </w:rPr>
              <w:t>194</w:t>
            </w:r>
          </w:hyperlink>
        </w:p>
        <w:p>
          <w:pPr>
            <w:pStyle w:val="Contents4"/>
            <w:tabs>
              <w:tab w:val="clear" w:pos="8176"/>
              <w:tab w:val="right" w:pos="9026" w:leader="dot"/>
            </w:tabs>
            <w:rPr/>
          </w:pPr>
          <w:hyperlink w:anchor="__RefHeading___Toc105709_373438147">
            <w:r>
              <w:rPr>
                <w:webHidden/>
                <w:rStyle w:val="IndexLink"/>
                <w:rtl w:val="true"/>
              </w:rPr>
              <w:t>پاسخ استاد به اشکالات مرحوم امام</w:t>
            </w:r>
            <w:r>
              <w:rPr>
                <w:rStyle w:val="IndexLink"/>
                <w:rtl w:val="true"/>
              </w:rPr>
              <w:tab/>
            </w:r>
            <w:r>
              <w:rPr>
                <w:rStyle w:val="IndexLink"/>
              </w:rPr>
              <w:t>195</w:t>
            </w:r>
          </w:hyperlink>
        </w:p>
        <w:p>
          <w:pPr>
            <w:pStyle w:val="Contents4"/>
            <w:tabs>
              <w:tab w:val="clear" w:pos="8176"/>
              <w:tab w:val="right" w:pos="9026" w:leader="dot"/>
            </w:tabs>
            <w:rPr/>
          </w:pPr>
          <w:hyperlink w:anchor="__RefHeading___Toc105711_373438147">
            <w:r>
              <w:rPr>
                <w:webHidden/>
                <w:rStyle w:val="IndexLink"/>
                <w:rtl w:val="true"/>
              </w:rPr>
              <w:t>ادامه سخن مرحوم امام خمینی رحمه الله</w:t>
            </w:r>
            <w:r>
              <w:rPr>
                <w:rStyle w:val="IndexLink"/>
                <w:rtl w:val="true"/>
              </w:rPr>
              <w:tab/>
            </w:r>
            <w:r>
              <w:rPr>
                <w:rStyle w:val="IndexLink"/>
              </w:rPr>
              <w:t>196</w:t>
            </w:r>
          </w:hyperlink>
        </w:p>
        <w:p>
          <w:pPr>
            <w:pStyle w:val="Contents4"/>
            <w:tabs>
              <w:tab w:val="clear" w:pos="8176"/>
              <w:tab w:val="right" w:pos="9026" w:leader="dot"/>
            </w:tabs>
            <w:rPr/>
          </w:pPr>
          <w:hyperlink w:anchor="__RefHeading___Toc105713_373438147">
            <w:r>
              <w:rPr>
                <w:webHidden/>
                <w:rStyle w:val="IndexLink"/>
                <w:rtl w:val="true"/>
              </w:rPr>
              <w:t>اشکالات فقیه محقّق والد معظّم بر دیدگاه محقّق اصفهانی رحمه الله</w:t>
            </w:r>
            <w:r>
              <w:rPr>
                <w:rStyle w:val="IndexLink"/>
                <w:rtl w:val="true"/>
              </w:rPr>
              <w:tab/>
            </w:r>
            <w:r>
              <w:rPr>
                <w:rStyle w:val="IndexLink"/>
              </w:rPr>
              <w:t>197</w:t>
            </w:r>
          </w:hyperlink>
        </w:p>
        <w:p>
          <w:pPr>
            <w:pStyle w:val="Contents4"/>
            <w:tabs>
              <w:tab w:val="clear" w:pos="8176"/>
              <w:tab w:val="right" w:pos="9026" w:leader="dot"/>
            </w:tabs>
            <w:rPr/>
          </w:pPr>
          <w:hyperlink w:anchor="__RefHeading___Toc105715_373438147">
            <w:r>
              <w:rPr>
                <w:webHidden/>
                <w:rStyle w:val="IndexLink"/>
                <w:rtl w:val="true"/>
              </w:rPr>
              <w:t>پاسخ استاد به اشکالات فقیه محقّق والد معظّم</w:t>
            </w:r>
            <w:r>
              <w:rPr>
                <w:rStyle w:val="IndexLink"/>
                <w:rtl w:val="true"/>
              </w:rPr>
              <w:tab/>
            </w:r>
            <w:r>
              <w:rPr>
                <w:rStyle w:val="IndexLink"/>
              </w:rPr>
              <w:t>198</w:t>
            </w:r>
          </w:hyperlink>
        </w:p>
        <w:p>
          <w:pPr>
            <w:pStyle w:val="Contents4"/>
            <w:tabs>
              <w:tab w:val="clear" w:pos="8176"/>
              <w:tab w:val="right" w:pos="9026" w:leader="dot"/>
            </w:tabs>
            <w:rPr/>
          </w:pPr>
          <w:hyperlink w:anchor="__RefHeading___Toc105717_373438147">
            <w:r>
              <w:rPr>
                <w:webHidden/>
                <w:rStyle w:val="IndexLink"/>
                <w:rtl w:val="true"/>
              </w:rPr>
              <w:t>جریان قاعده در مال دارای منافع متعدّد</w:t>
            </w:r>
            <w:r>
              <w:rPr>
                <w:rStyle w:val="IndexLink"/>
                <w:rtl w:val="true"/>
              </w:rPr>
              <w:tab/>
            </w:r>
            <w:r>
              <w:rPr>
                <w:rStyle w:val="IndexLink"/>
              </w:rPr>
              <w:t>199</w:t>
            </w:r>
          </w:hyperlink>
        </w:p>
        <w:p>
          <w:pPr>
            <w:pStyle w:val="Contents3"/>
            <w:tabs>
              <w:tab w:val="clear" w:pos="8459"/>
              <w:tab w:val="right" w:pos="9026" w:leader="dot"/>
            </w:tabs>
            <w:rPr/>
          </w:pPr>
          <w:hyperlink w:anchor="__RefHeading___Toc105719_373438147">
            <w:r>
              <w:rPr>
                <w:webHidden/>
                <w:rStyle w:val="IndexLink"/>
                <w:rtl w:val="true"/>
              </w:rPr>
              <w:t>تنبیه سوم</w:t>
            </w:r>
            <w:r>
              <w:rPr>
                <w:rStyle w:val="IndexLink"/>
                <w:rtl w:val="true"/>
              </w:rPr>
              <w:t xml:space="preserve">: </w:t>
            </w:r>
            <w:r>
              <w:rPr>
                <w:rStyle w:val="IndexLink"/>
                <w:rtl w:val="true"/>
              </w:rPr>
              <w:t>بررسی شمول قاعده نسبت به حُرّ</w:t>
            </w:r>
            <w:r>
              <w:rPr>
                <w:rStyle w:val="IndexLink"/>
                <w:rtl w:val="true"/>
              </w:rPr>
              <w:tab/>
            </w:r>
            <w:r>
              <w:rPr>
                <w:rStyle w:val="IndexLink"/>
              </w:rPr>
              <w:t>201</w:t>
            </w:r>
          </w:hyperlink>
        </w:p>
        <w:p>
          <w:pPr>
            <w:pStyle w:val="Contents4"/>
            <w:tabs>
              <w:tab w:val="clear" w:pos="8176"/>
              <w:tab w:val="right" w:pos="9026" w:leader="dot"/>
            </w:tabs>
            <w:rPr/>
          </w:pPr>
          <w:hyperlink w:anchor="__RefHeading___Toc105721_373438147">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05723_373438147">
            <w:r>
              <w:rPr>
                <w:webHidden/>
                <w:rStyle w:val="IndexLink"/>
                <w:rtl w:val="true"/>
              </w:rPr>
              <w:t>مقام اوّل</w:t>
            </w:r>
            <w:r>
              <w:rPr>
                <w:rStyle w:val="IndexLink"/>
                <w:rtl w:val="true"/>
              </w:rPr>
              <w:t xml:space="preserve">: </w:t>
            </w:r>
            <w:r>
              <w:rPr>
                <w:rStyle w:val="IndexLink"/>
                <w:rtl w:val="true"/>
              </w:rPr>
              <w:t>بررسی ضمان نسبت به حُرّ</w:t>
            </w:r>
            <w:r>
              <w:rPr>
                <w:rStyle w:val="IndexLink"/>
                <w:rtl w:val="true"/>
              </w:rPr>
              <w:tab/>
            </w:r>
            <w:r>
              <w:rPr>
                <w:rStyle w:val="IndexLink"/>
              </w:rPr>
              <w:t>202</w:t>
            </w:r>
          </w:hyperlink>
        </w:p>
        <w:p>
          <w:pPr>
            <w:pStyle w:val="Contents5"/>
            <w:tabs>
              <w:tab w:val="clear" w:pos="7892"/>
              <w:tab w:val="right" w:pos="9026" w:leader="dot"/>
            </w:tabs>
            <w:rPr/>
          </w:pPr>
          <w:hyperlink w:anchor="__RefHeading___Toc105725_373438147">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05727_373438147">
            <w:r>
              <w:rPr>
                <w:webHidden/>
                <w:rStyle w:val="IndexLink"/>
                <w:rtl w:val="true"/>
              </w:rPr>
              <w:t>دیدگاه محقّق رشتی رحمه الله در ضمان حرّ</w:t>
            </w:r>
            <w:r>
              <w:rPr>
                <w:rStyle w:val="IndexLink"/>
                <w:rtl w:val="true"/>
              </w:rPr>
              <w:tab/>
            </w:r>
            <w:r>
              <w:rPr>
                <w:rStyle w:val="IndexLink"/>
              </w:rPr>
              <w:t>208</w:t>
            </w:r>
          </w:hyperlink>
        </w:p>
        <w:p>
          <w:pPr>
            <w:pStyle w:val="Contents5"/>
            <w:tabs>
              <w:tab w:val="clear" w:pos="7892"/>
              <w:tab w:val="right" w:pos="9026" w:leader="dot"/>
            </w:tabs>
            <w:rPr/>
          </w:pPr>
          <w:hyperlink w:anchor="__RefHeading___Toc105729_373438147">
            <w:r>
              <w:rPr>
                <w:webHidden/>
                <w:rStyle w:val="IndexLink"/>
                <w:rtl w:val="true"/>
              </w:rPr>
              <w:t>تحقیق مسأله در مقام اوّل</w:t>
            </w:r>
            <w:r>
              <w:rPr>
                <w:rStyle w:val="IndexLink"/>
                <w:rtl w:val="true"/>
              </w:rPr>
              <w:tab/>
            </w:r>
            <w:r>
              <w:rPr>
                <w:rStyle w:val="IndexLink"/>
              </w:rPr>
              <w:t>214</w:t>
            </w:r>
          </w:hyperlink>
        </w:p>
        <w:p>
          <w:pPr>
            <w:pStyle w:val="Contents4"/>
            <w:tabs>
              <w:tab w:val="clear" w:pos="8176"/>
              <w:tab w:val="right" w:pos="9026" w:leader="dot"/>
            </w:tabs>
            <w:rPr/>
          </w:pPr>
          <w:hyperlink w:anchor="__RefHeading___Toc105731_373438147">
            <w:r>
              <w:rPr>
                <w:webHidden/>
                <w:rStyle w:val="IndexLink"/>
                <w:rtl w:val="true"/>
              </w:rPr>
              <w:t>مقام دوّم</w:t>
            </w:r>
            <w:r>
              <w:rPr>
                <w:rStyle w:val="IndexLink"/>
                <w:rtl w:val="true"/>
              </w:rPr>
              <w:t xml:space="preserve">: </w:t>
            </w:r>
            <w:r>
              <w:rPr>
                <w:rStyle w:val="IndexLink"/>
                <w:rtl w:val="true"/>
              </w:rPr>
              <w:t>بررسی ضمان نسبت به منافع حُرّ</w:t>
            </w:r>
            <w:r>
              <w:rPr>
                <w:rStyle w:val="IndexLink"/>
                <w:rtl w:val="true"/>
              </w:rPr>
              <w:tab/>
            </w:r>
            <w:r>
              <w:rPr>
                <w:rStyle w:val="IndexLink"/>
              </w:rPr>
              <w:t>215</w:t>
            </w:r>
          </w:hyperlink>
        </w:p>
        <w:p>
          <w:pPr>
            <w:pStyle w:val="Contents5"/>
            <w:tabs>
              <w:tab w:val="clear" w:pos="7892"/>
              <w:tab w:val="right" w:pos="9026" w:leader="dot"/>
            </w:tabs>
            <w:rPr/>
          </w:pPr>
          <w:hyperlink w:anchor="__RefHeading___Toc105733_373438147">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05735_373438147">
            <w:r>
              <w:rPr>
                <w:webHidden/>
                <w:rStyle w:val="IndexLink"/>
                <w:rtl w:val="true"/>
              </w:rPr>
              <w:t>جهت اوّل</w:t>
            </w:r>
            <w:r>
              <w:rPr>
                <w:rStyle w:val="IndexLink"/>
                <w:rtl w:val="true"/>
              </w:rPr>
              <w:t xml:space="preserve">: </w:t>
            </w:r>
            <w:r>
              <w:rPr>
                <w:rStyle w:val="IndexLink"/>
                <w:rtl w:val="true"/>
              </w:rPr>
              <w:t>عمل حرِّ کسوب</w:t>
            </w:r>
            <w:r>
              <w:rPr>
                <w:rStyle w:val="IndexLink"/>
                <w:rtl w:val="true"/>
              </w:rPr>
              <w:tab/>
            </w:r>
            <w:r>
              <w:rPr>
                <w:rStyle w:val="IndexLink"/>
              </w:rPr>
              <w:t>217</w:t>
            </w:r>
          </w:hyperlink>
        </w:p>
        <w:p>
          <w:pPr>
            <w:pStyle w:val="Contents5"/>
            <w:tabs>
              <w:tab w:val="clear" w:pos="7892"/>
              <w:tab w:val="right" w:pos="9026" w:leader="dot"/>
            </w:tabs>
            <w:rPr/>
          </w:pPr>
          <w:hyperlink w:anchor="__RefHeading___Toc105737_373438147">
            <w:r>
              <w:rPr>
                <w:webHidden/>
                <w:rStyle w:val="IndexLink"/>
                <w:rtl w:val="true"/>
              </w:rPr>
              <w:t>جهت دوّم</w:t>
            </w:r>
            <w:r>
              <w:rPr>
                <w:rStyle w:val="IndexLink"/>
                <w:rtl w:val="true"/>
              </w:rPr>
              <w:t xml:space="preserve">: </w:t>
            </w:r>
            <w:r>
              <w:rPr>
                <w:rStyle w:val="IndexLink"/>
                <w:rtl w:val="true"/>
              </w:rPr>
              <w:t>عمل حُرِّ غیر کسوب</w:t>
            </w:r>
            <w:r>
              <w:rPr>
                <w:rStyle w:val="IndexLink"/>
                <w:rtl w:val="true"/>
              </w:rPr>
              <w:tab/>
            </w:r>
            <w:r>
              <w:rPr>
                <w:rStyle w:val="IndexLink"/>
              </w:rPr>
              <w:t>220</w:t>
            </w:r>
          </w:hyperlink>
        </w:p>
        <w:p>
          <w:pPr>
            <w:pStyle w:val="Contents3"/>
            <w:tabs>
              <w:tab w:val="clear" w:pos="8459"/>
              <w:tab w:val="right" w:pos="9026" w:leader="dot"/>
            </w:tabs>
            <w:rPr/>
          </w:pPr>
          <w:hyperlink w:anchor="__RefHeading___Toc105739_373438147">
            <w:r>
              <w:rPr>
                <w:webHidden/>
                <w:rStyle w:val="IndexLink"/>
                <w:rtl w:val="true"/>
              </w:rPr>
              <w:t>تنبیه چهارم</w:t>
            </w:r>
            <w:r>
              <w:rPr>
                <w:rStyle w:val="IndexLink"/>
                <w:rtl w:val="true"/>
              </w:rPr>
              <w:t xml:space="preserve">: </w:t>
            </w:r>
            <w:r>
              <w:rPr>
                <w:rStyle w:val="IndexLink"/>
                <w:rtl w:val="true"/>
              </w:rPr>
              <w:t>شمول روایت نسبت به اوقاف خاصّه و عامّه</w:t>
            </w:r>
            <w:r>
              <w:rPr>
                <w:rStyle w:val="IndexLink"/>
                <w:rtl w:val="true"/>
              </w:rPr>
              <w:tab/>
            </w:r>
            <w:r>
              <w:rPr>
                <w:rStyle w:val="IndexLink"/>
              </w:rPr>
              <w:t>220</w:t>
            </w:r>
          </w:hyperlink>
        </w:p>
        <w:p>
          <w:pPr>
            <w:pStyle w:val="Contents4"/>
            <w:tabs>
              <w:tab w:val="clear" w:pos="8176"/>
              <w:tab w:val="right" w:pos="9026" w:leader="dot"/>
            </w:tabs>
            <w:rPr/>
          </w:pPr>
          <w:hyperlink w:anchor="__RefHeading___Toc105741_373438147">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05743_373438147">
            <w:r>
              <w:rPr>
                <w:webHidden/>
                <w:rStyle w:val="IndexLink"/>
                <w:rtl w:val="true"/>
              </w:rPr>
              <w:t>اوقاف خاصّه</w:t>
            </w:r>
            <w:r>
              <w:rPr>
                <w:rStyle w:val="IndexLink"/>
                <w:rtl w:val="true"/>
              </w:rPr>
              <w:tab/>
            </w:r>
            <w:r>
              <w:rPr>
                <w:rStyle w:val="IndexLink"/>
              </w:rPr>
              <w:t>220</w:t>
            </w:r>
          </w:hyperlink>
        </w:p>
        <w:p>
          <w:pPr>
            <w:pStyle w:val="Contents4"/>
            <w:tabs>
              <w:tab w:val="clear" w:pos="8176"/>
              <w:tab w:val="right" w:pos="9026" w:leader="dot"/>
            </w:tabs>
            <w:rPr/>
          </w:pPr>
          <w:hyperlink w:anchor="__RefHeading___Toc105745_373438147">
            <w:r>
              <w:rPr>
                <w:webHidden/>
                <w:rStyle w:val="IndexLink"/>
                <w:rtl w:val="true"/>
              </w:rPr>
              <w:t>دیدگاه شهید اوّل رحمه الله در اوقاف عامّه</w:t>
            </w:r>
            <w:r>
              <w:rPr>
                <w:rStyle w:val="IndexLink"/>
                <w:rtl w:val="true"/>
              </w:rPr>
              <w:tab/>
            </w:r>
            <w:r>
              <w:rPr>
                <w:rStyle w:val="IndexLink"/>
              </w:rPr>
              <w:t>222</w:t>
            </w:r>
          </w:hyperlink>
        </w:p>
        <w:p>
          <w:pPr>
            <w:pStyle w:val="Contents4"/>
            <w:tabs>
              <w:tab w:val="clear" w:pos="8176"/>
              <w:tab w:val="right" w:pos="9026" w:leader="dot"/>
            </w:tabs>
            <w:rPr/>
          </w:pPr>
          <w:hyperlink w:anchor="__RefHeading___Toc105747_373438147">
            <w:r>
              <w:rPr>
                <w:webHidden/>
                <w:rStyle w:val="IndexLink"/>
                <w:rtl w:val="true"/>
              </w:rPr>
              <w:t>دیدگاه صاحب جواهر رحمه الله در اوقاف عامّه</w:t>
            </w:r>
            <w:r>
              <w:rPr>
                <w:rStyle w:val="IndexLink"/>
                <w:rtl w:val="true"/>
              </w:rPr>
              <w:tab/>
            </w:r>
            <w:r>
              <w:rPr>
                <w:rStyle w:val="IndexLink"/>
              </w:rPr>
              <w:t>222</w:t>
            </w:r>
          </w:hyperlink>
        </w:p>
        <w:p>
          <w:pPr>
            <w:pStyle w:val="Contents4"/>
            <w:tabs>
              <w:tab w:val="clear" w:pos="8176"/>
              <w:tab w:val="right" w:pos="9026" w:leader="dot"/>
            </w:tabs>
            <w:rPr/>
          </w:pPr>
          <w:hyperlink w:anchor="__RefHeading___Toc105749_373438147">
            <w:r>
              <w:rPr>
                <w:webHidden/>
                <w:rStyle w:val="IndexLink"/>
                <w:rtl w:val="true"/>
              </w:rPr>
              <w:t>دیدگاه محقّق رشتی رحمه الله در مورد اوقاف عامّه</w:t>
            </w:r>
            <w:r>
              <w:rPr>
                <w:rStyle w:val="IndexLink"/>
                <w:rtl w:val="true"/>
              </w:rPr>
              <w:tab/>
            </w:r>
            <w:r>
              <w:rPr>
                <w:rStyle w:val="IndexLink"/>
              </w:rPr>
              <w:t>223</w:t>
            </w:r>
          </w:hyperlink>
        </w:p>
        <w:p>
          <w:pPr>
            <w:pStyle w:val="Contents4"/>
            <w:tabs>
              <w:tab w:val="clear" w:pos="8176"/>
              <w:tab w:val="right" w:pos="9026" w:leader="dot"/>
            </w:tabs>
            <w:rPr/>
          </w:pPr>
          <w:hyperlink w:anchor="__RefHeading___Toc105751_373438147">
            <w:r>
              <w:rPr>
                <w:webHidden/>
                <w:rStyle w:val="IndexLink"/>
                <w:rtl w:val="true"/>
              </w:rPr>
              <w:t>دیدگاه محقّق بروجردی رحمه الله در مورد اوقاف عامّه</w:t>
            </w:r>
            <w:r>
              <w:rPr>
                <w:rStyle w:val="IndexLink"/>
                <w:rtl w:val="true"/>
              </w:rPr>
              <w:tab/>
            </w:r>
            <w:r>
              <w:rPr>
                <w:rStyle w:val="IndexLink"/>
              </w:rPr>
              <w:t>225</w:t>
            </w:r>
          </w:hyperlink>
        </w:p>
        <w:p>
          <w:pPr>
            <w:pStyle w:val="Contents4"/>
            <w:tabs>
              <w:tab w:val="clear" w:pos="8176"/>
              <w:tab w:val="right" w:pos="9026" w:leader="dot"/>
            </w:tabs>
            <w:rPr/>
          </w:pPr>
          <w:hyperlink w:anchor="__RefHeading___Toc105753_373438147">
            <w:r>
              <w:rPr>
                <w:webHidden/>
                <w:rStyle w:val="IndexLink"/>
                <w:rtl w:val="true"/>
              </w:rPr>
              <w:t>اشکالات وارد بر دیدگاه محقّق بروجردی رحمه الله</w:t>
            </w:r>
            <w:r>
              <w:rPr>
                <w:rStyle w:val="IndexLink"/>
                <w:rtl w:val="true"/>
              </w:rPr>
              <w:tab/>
            </w:r>
            <w:r>
              <w:rPr>
                <w:rStyle w:val="IndexLink"/>
              </w:rPr>
              <w:t>228</w:t>
            </w:r>
          </w:hyperlink>
        </w:p>
        <w:p>
          <w:pPr>
            <w:pStyle w:val="Contents3"/>
            <w:tabs>
              <w:tab w:val="clear" w:pos="8459"/>
              <w:tab w:val="right" w:pos="9026" w:leader="dot"/>
            </w:tabs>
            <w:rPr/>
          </w:pPr>
          <w:hyperlink w:anchor="__RefHeading___Toc105755_373438147">
            <w:r>
              <w:rPr>
                <w:webHidden/>
                <w:rStyle w:val="IndexLink"/>
                <w:rtl w:val="true"/>
              </w:rPr>
              <w:t>تنبیه پنجم</w:t>
            </w:r>
            <w:r>
              <w:rPr>
                <w:rStyle w:val="IndexLink"/>
                <w:rtl w:val="true"/>
              </w:rPr>
              <w:t xml:space="preserve">: </w:t>
            </w:r>
            <w:r>
              <w:rPr>
                <w:rStyle w:val="IndexLink"/>
                <w:rtl w:val="true"/>
              </w:rPr>
              <w:t>موضوعیّت پرداختِ به مالک در رفع ضمان</w:t>
            </w:r>
            <w:r>
              <w:rPr>
                <w:rStyle w:val="IndexLink"/>
                <w:rtl w:val="true"/>
              </w:rPr>
              <w:tab/>
            </w:r>
            <w:r>
              <w:rPr>
                <w:rStyle w:val="IndexLink"/>
              </w:rPr>
              <w:t>229</w:t>
            </w:r>
          </w:hyperlink>
        </w:p>
        <w:p>
          <w:pPr>
            <w:pStyle w:val="Contents3"/>
            <w:tabs>
              <w:tab w:val="clear" w:pos="8459"/>
              <w:tab w:val="right" w:pos="9026" w:leader="dot"/>
            </w:tabs>
            <w:rPr/>
          </w:pPr>
          <w:hyperlink w:anchor="__RefHeading___Toc105757_373438147">
            <w:r>
              <w:rPr>
                <w:webHidden/>
                <w:rStyle w:val="IndexLink"/>
                <w:rtl w:val="true"/>
              </w:rPr>
              <w:t>فهرست منابع</w:t>
            </w:r>
            <w:r>
              <w:rPr>
                <w:rStyle w:val="IndexLink"/>
                <w:rtl w:val="true"/>
              </w:rPr>
              <w:tab/>
            </w:r>
            <w:r>
              <w:rPr>
                <w:rStyle w:val="IndexLink"/>
              </w:rPr>
              <w:t>234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7_5790"/>
      <w:bookmarkStart w:id="1" w:name="pg877_5790"/>
      <w:bookmarkEnd w:id="1"/>
    </w:p>
    <w:p>
      <w:pPr>
        <w:pStyle w:val="Heading2"/>
        <w:numPr>
          <w:ilvl w:val="1"/>
          <w:numId w:val="1"/>
        </w:numPr>
        <w:rPr/>
      </w:pPr>
      <w:bookmarkStart w:id="2" w:name="pg877_5790"/>
      <w:bookmarkStart w:id="3" w:name="__RefHeading___Toc105447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ضمان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 استاد معظم و محقق حاج شیخ محمد جواد 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 تنظیم جواد حسینی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سلسه درس هایی از قواعد فقه؛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ضمان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دروس استاد معظم حاج شیخ محمد جواد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ضمان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دروس استاد معظم حاج شیخ محمد جواد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خواه، جواد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۱۶۰۸۲۰۴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449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قاعده ضمان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استاد معظم و محقق حاج شیخ محمد جواد 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و تنظیم جواد حسینی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21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25" o:detectmouseclick="t"/>
                <v:stroke color="#3465a4" joinstyle="round" endcap="flat"/>
                <w10:wrap type="none"/>
              </v:shape>
            </w:pict>
          </mc:Fallback>
        </mc:AlternateContent>
      </w:r>
      <w:bookmarkStart w:id="7" w:name="pg877_5800"/>
    </w:p>
    <w:p>
      <w:pPr>
        <w:pStyle w:val="Heading2"/>
        <w:numPr>
          <w:ilvl w:val="1"/>
          <w:numId w:val="1"/>
        </w:numPr>
        <w:rPr/>
      </w:pPr>
      <w:bookmarkStart w:id="8" w:name="__RefHeading___Toc105451_37343814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حمد و سپاس خداوندی را که هستی از او معنا گرفت و درود بی‌پایان بر پیامبران الهی که با شریعت‌شان عقل را یاری داده و به دستگیری بشر پرداختند؛ به‌ویژه بر خاتم رسولان محمّد بن عبداللّه و خاندان گرامی‌اش علیهم السلام که تکمیل دین و تتمیم نعمت هدایت به آنان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آن روز که هدایتشان بر عرصه‌ی گیتی سایه گسترده و حکومت عدل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موعود همه انبیاست، عالم را فرا گیرد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علم را گستره‌ای است بی‌پایان که تلاش اندیشمندان پیشین اگرچه به کمک آیندگان آمده، ولی هرگز آنان را بی‌نیاز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علم فقه از گستره خاصی برخوردار است؛ زیرا، هیچ واقعه و عملی از اعمال مربوط به بشر نیست مگر آن‌که محکوم به حکمی از احکام الهی است و چه بسا پیشینیان از بیان حکم برخی از آن‌ها غفلت ورزیده، و یا در بیان آن به خطا رفته، و یا از وقایعی است که پیشینه‌ای نداشته؛ از این رو، بر عهده‌ی فقیهان هر عصر است که افزون بر بررسی فتاوای گذشتگان، احکام موضوعات مربوط به زمان خود را تبیین نمایند؛ و در این راستا، آن‌چه به کار فقیه می‌آید، بهره‌گیری از اصول و کلیّاتی است که در دین مبین اسلام</w:t>
      </w:r>
    </w:p>
    <w:p>
      <w:pPr>
        <w:pStyle w:val="BookText"/>
        <w:rPr/>
      </w:pPr>
      <w:r>
        <w:rPr>
          <w:rFonts w:ascii="IRNazanin" w:hAnsi="IRNazanin" w:eastAsia="IRNazanin"/>
          <w:color w:val="111111"/>
          <w:sz w:val="28"/>
          <w:sz w:val="28"/>
          <w:szCs w:val="28"/>
          <w:rtl w:val="true"/>
          <w:lang w:bidi="fa-IR"/>
        </w:rPr>
        <w:t xml:space="preserve">توسط معصومین علیهم صلوات اللّه مطرح شده و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إلقاء الاُصول وعلیکم التفریع</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صحاب‌شان را به استنباط احکام شرعی از این اصول ترغیب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این کلیات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گردیده و مورد توجّه فقها قرار گرفته و کتاب‌های مستقلّی در تبیین آن‌ها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فقه نیز به مانند دیگر علوم از رشد فزاینده‌ای برخوردار است؛ چه بسا در ذخایری که از سلف صالح به دستمان رسیده است، شاهد کتابی باشیم که جامع کثیری از قواعد فقهی است و حال آن‌که آیندگان همان حجم را، تنها به بررسی یک قاعده فقهیه اختصاص داده‌اند، نکات ابهام را از آن زدوده و به تحقیق و پژوهش در موارد نیاز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فقهی ائمه اطهار علیهم السلام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امر مرجع عالیقدر شیعه مرحوم آیت اللّه العظمی فاضل لنکرانی قدس سره تأسیس شده و پس از ارتحال معظّم له نیز بحمد اللّه به فعالیت‌های خود طبق وصیّت ایشان با قوّت هرچه بیشتر ادامه می‌دهد، یکی از مسؤولیت‌های مهم خویش را نشر تحقیقات و پژوهش‌های نوین فقهی می‌داند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که پیش رو دارید درس‌های خارج قواعد فقهیه استاد حوزه علمیه قم، حضرت آیت‌اللّه آقای حاج شیخ محمّد جواد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قاعده‌ی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فقیهانه مورد کنکاش علمی قرار داده، و در تبیین این قاعده، به نکات بدیعی پرداخته‌اند که در آثار پیشینیان کمتر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محصول درس‌های معظّم‌له در ماه مبارک رمضان است که پس از پیاده شدن از نوار در مرکز فقهی ائمه اطهار علیهم السلام و تکمیل برخی از مباحث توسّط معظّم له، به همّت برادر ارجمند جناب حجة الاسلام والمسلمین آقای سیّد جواد حسینی‌خواه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قلم شیوای ایشان پس از تحقیق و تخریج</w:t>
      </w:r>
      <w:bookmarkStart w:id="10" w:name="pg877_5802"/>
    </w:p>
    <w:p>
      <w:pPr>
        <w:pStyle w:val="BookText"/>
        <w:rPr/>
      </w:pPr>
      <w:bookmarkEnd w:id="10"/>
      <w:r>
        <w:rPr>
          <w:rFonts w:ascii="IRNazanin" w:hAnsi="IRNazanin" w:eastAsia="IRNazanin"/>
          <w:color w:val="111111"/>
          <w:sz w:val="28"/>
          <w:sz w:val="28"/>
          <w:szCs w:val="28"/>
          <w:rtl w:val="true"/>
          <w:lang w:bidi="fa-IR"/>
        </w:rPr>
        <w:t>مصادر، به رشته تحریر درآمده و در اختیار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این خدمت بشارتی برای روح آن مرجع راحل، والد مکرّم حضرت استاد بوده و موجب خشنودی حضرت بقیة اللّه الاعظم حجة بن الحسن العسکری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نسئل اللّه أن یعجّل له الفرج والنصر وأن یجعلنا من خیر أعوانه وأنصاره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فقهی ائمه اطهار علیهم السلام</w:t>
      </w:r>
    </w:p>
    <w:p>
      <w:pPr>
        <w:pStyle w:val="BookText"/>
        <w:rPr/>
      </w:pPr>
      <w:r>
        <w:rPr>
          <w:rFonts w:ascii="IRNazanin" w:hAnsi="IRNazanin" w:eastAsia="IRNazanin"/>
          <w:color w:val="111111"/>
          <w:sz w:val="28"/>
          <w:sz w:val="28"/>
          <w:szCs w:val="28"/>
          <w:rtl w:val="true"/>
          <w:lang w:bidi="fa-IR"/>
        </w:rPr>
        <w:t>محمّد رضا فاضل کاشانی</w:t>
      </w:r>
    </w:p>
    <w:p>
      <w:pPr>
        <w:pStyle w:val="BookText"/>
        <w:rPr/>
      </w:pPr>
      <w:r>
        <w:rPr>
          <w:rFonts w:eastAsia="IRNazanin" w:cs="IRNazanin"/>
          <w:color w:val="111111"/>
          <w:sz w:val="28"/>
          <w:szCs w:val="28"/>
          <w:lang w:bidi="fa-IR"/>
        </w:rPr>
        <w:t>1387/5/9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1429</w:t>
      </w:r>
    </w:p>
    <w:p>
      <w:pPr>
        <w:pStyle w:val="Heading2"/>
        <w:numPr>
          <w:ilvl w:val="1"/>
          <w:numId w:val="1"/>
        </w:numPr>
        <w:rPr/>
      </w:pPr>
      <w:bookmarkStart w:id="11" w:name="__RefHeading___Toc105453_373438147"/>
      <w:bookmarkStart w:id="12" w:name="_Toc4"/>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الحمد للّه‌ربّ العالمین علی ما عرّفنا من نفسه وألهمنا من شکره وفتح لنا من أبواب العلم بربوبیّته، والصّلاة والسّلام علی رسوله النبیّ المنذر الأمین وعلی آله الشموس الطالعة والسّادة المیامین واللعن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ویژه‌ای برخوردار بوده و می‌توان گفت پس از خداشناسی و اصول عقائد، فقه که متصدّی استنباط و بیان احکام شرعیّه برای عمل مکلّفین می‌باشد، از شریف‌ترین علوم اسلامی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دانش‌هایی که جنبه مقدّمیّت برای فقه دارند و فقیه را در استنباط و اجتهاد احکام شرعی یاری می‌رسانند و به اجتهاد او جهت می‌دهند، اهمیّت قواعد فقهی کمتر از قواعد اصولی نیست؛ چه آن که قواعد اصولی در طریق استنباط احکام کلّی قرار می‌گیرد، امّا قواعد فقهی، خود، همان حکم شرعی است که بر جزئیّات احکام منطبق می‌شود، تا جایی که گاه به مکلّف غیر مجتهد این اجازه داده می‌شود که حکم شرعی را با توجّه به قاعده فقهی موجود، خود بر مصادیق خارجی آن منطبق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صحّت نماز</w:t>
      </w:r>
    </w:p>
    <w:p>
      <w:pPr>
        <w:pStyle w:val="BookText"/>
        <w:rPr/>
      </w:pPr>
      <w:r>
        <w:rPr>
          <w:rFonts w:ascii="IRNazanin" w:hAnsi="IRNazanin" w:eastAsia="IRNazanin"/>
          <w:color w:val="111111"/>
          <w:sz w:val="28"/>
          <w:sz w:val="28"/>
          <w:szCs w:val="28"/>
          <w:rtl w:val="true"/>
          <w:lang w:bidi="fa-IR"/>
        </w:rPr>
        <w:t>خاصی پس از اتمام آن شک کرد، با دانستن قاعده فراغ و تجاوز، حکم به صحّت نماز خود می‌کند؛ و یا اگر یقین به عدم توانایی نسبت به گرفتن روزه کرد و روزه‌داری را برای خود حرجی دانست، با توجّه به قاعده لاحرج، آن روزه را نمی‌گیرد و خود را مرتکب هیچ گناهی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ضبط الفقه بقواعده، إستغنی عن حفظ الجزئیّات، لاندراجها فی الکلیّات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کسی که فقه را بر اساس قواعد آن یاد بگیرد و حفظ کند، از حفظ جزئیّات و فروع فقهی بی‌نیاز می‌شود؛ زیرا، آن جزئیّات داخل در کلیّات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تألیف کتاب‌های قواعد فقهی در میان اهل سنّت قرن چهارم هجری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الدبّاس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مذهب ابی‌حنیفة مشتمل 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 نوشته است</w:t>
      </w:r>
      <w:r>
        <w:rPr>
          <w:rStyle w:val="FootnoteAnchor"/>
          <w:rtl w:val="true"/>
        </w:rPr>
        <w:footnoteReference w:id="4"/>
      </w:r>
      <w:r>
        <w:rPr>
          <w:rFonts w:ascii="IRNazanin" w:hAnsi="IRNazanin" w:eastAsia="IRNazanin"/>
          <w:color w:val="111111"/>
          <w:sz w:val="28"/>
          <w:sz w:val="28"/>
          <w:szCs w:val="28"/>
          <w:rtl w:val="true"/>
          <w:lang w:bidi="fa-IR"/>
        </w:rPr>
        <w:t xml:space="preserve">؛ امّا در میان فقیهان امامیّه، آغاز نگارش کتاب‌های قواعد فقهی به صورت مستقلّ را باید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 چرا که پیش از این تاریخ، فقها و اصولیین گرانقدر به قواعد فقهی به عنوان علمی مستقلّ نمی‌نگریستند و آنها را ضمن مباحث فقهی و اصولی خویش مورد بررسی و تدقیق قرار می‌دادند؛ و این امر بر اساس آن بود که ائمّه معصومین علیهم السلام ضمن روایات خود اصول کلّی را بیان داشته و به فقها می‌فرمودند که مسائل و احکام فقهی را از آن اصول استنباط نموده و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بر این نکته دلالت دارد؛ از جمله، روایت امام علی بن موسی الرضا علیهما السلام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إلقاء الاُصول وعلیکم التفریع</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بر عهده ما بیان اصول است و بر شماست که فروعات فقهی را از آنها استخراج و استنباط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قواعد فقهی در میان آثار و تألیفات فقهی امامیّه به صورت پراکنده وجود داشته است، امّا به عنوان کتابی مستقلّ به رشته تحریر در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سعی شد که قواعد فقهی را از میان کتاب‌های فقهی و اصولی گردآوری و به صورت مستقلّ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اوّلین فقیه شیعی که به نگارش کتابی در این زمینه اقدام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نجیب‌الدّین یحیی بن سعید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 فی الجمع بین الأشباه والنظائر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نمود؛ و پس از او، شهید اوّل قدس سره با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قواعد فقهیه را با شیوه‌ای خاص به نگارش در آورد؛ به گونه‌ای که مرحوم شهید قدس سره در اجازه‌ای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خازن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خود را مبتکر این عمل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فممّا صنفته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یشتمل علی ضوابط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أصولیّة وفرعیّة، تستنبط منها الأحکام الشرعیّة، لم یعمل الأصحاب مثله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از جمله تصنیفات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مشتمل بر یکسری ضوابط و قواعد کلّی اصولی و فقهی می‌باشد و از آنها احکام شرعی استنباط می‌گردد؛ و علمای پیشین چنین تألیفی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تاکنون، فقها و اصولیین ارجمند، این راه را ادامه داده و قواعد فقهی را در کتاب‌های مستقلّی</w:t>
      </w:r>
      <w:r>
        <w:rPr>
          <w:rStyle w:val="FootnoteAnchor"/>
          <w:rtl w:val="true"/>
        </w:rPr>
        <w:footnoteReference w:id="7"/>
      </w:r>
      <w:r>
        <w:rPr>
          <w:rFonts w:ascii="IRNazanin" w:hAnsi="IRNazanin" w:eastAsia="IRNazanin"/>
          <w:color w:val="111111"/>
          <w:sz w:val="28"/>
          <w:sz w:val="28"/>
          <w:szCs w:val="28"/>
          <w:rtl w:val="true"/>
          <w:lang w:bidi="fa-IR"/>
        </w:rPr>
        <w:t>مورد بحث و بررسی قرار داده‌اند؛ و در کنار تدریس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 نیز تدریس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پیش رو دارید، از سلسله بحث‌هایی است که در مورد یکی از قواعد مهمّ فقهی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ضمان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معظّم و گران‌قدر حوزه علمیّه قم آقای حاج شیخ محمّدجواد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ماه مبارک رمضان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از آنجا که مباحث مطرح شده، جامع جمیع ابعاد مورد بحث در این قاعده بوده، تنبیهات و مطالب مهمّی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در کتاب‌های گذشته یافت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سودمند و مفید برای طلّاب، دانش‌پژوهان و دانشجویان بود، تقریر آن از طرف استاد معظّم به عهده این حقیر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حسن اعتماد شاکرم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تنظیم مطالب کتاب حاضر، نهایت سعی و تلاش به کار گرفته شده است تا بیان حضرت استاد به درستی تقریر شود؛ با این وجود، به مقتضای طبیعت کار بشری، آن را از نقص و اشتباه مصون نمی‌دانم؛ امید است رهنمود صاحب‌نظران نیز روشنگر راهمان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بحث‌های</w:t>
      </w:r>
    </w:p>
    <w:p>
      <w:pPr>
        <w:pStyle w:val="BookText"/>
        <w:rPr/>
      </w:pPr>
      <w:r>
        <w:rPr>
          <w:rFonts w:ascii="IRNazanin" w:hAnsi="IRNazanin" w:eastAsia="IRNazanin"/>
          <w:color w:val="111111"/>
          <w:sz w:val="28"/>
          <w:sz w:val="28"/>
          <w:szCs w:val="28"/>
          <w:rtl w:val="true"/>
          <w:lang w:bidi="fa-IR"/>
        </w:rPr>
        <w:t>کتاب، به ترتیب درس‌های استاد گرانقدر تنظیم شده، و جز در مواردی اندک، تصرّفی در آن صورت نگرفته است؛ چه آن که گاه استاد معظّم در مباحث بعد، به نکات جدیدی در مورد مباحث گذشته اشاره می‌نمودند که ما آن نکات را به بحث‌های قبل و در جایگاه مناسب خود، ملحق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دلیل کمی وقت در ماه مبارک رمضان، و تمام نشدن مباحث، حضرت استاد مطالب پایانی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بعداً بدان ملحق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بر خود لازم می‌دانم که از راهنمایی‌های حضرت استاد در تنظیم مطالب و مباحث کتاب، و تلاش‌های مدیر محترم مرکز فقهی ائمّه اطهار علیهم السلام جناب حجّت‌الإسلام والمسلمین آقای حاج شیخ محمّدرضا فاضل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از رهنمودهای استاد و محقّق فرهیخته، عالم عامل، والد مکرّمم که به حق مدیون شیوه‌های تربیتی گام به گام ایشان در حیات علمی و عملی خود هستم،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این تلاش مقبول درگاه خداوند متعال و مورد رضایت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 و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باشد که خداوند منّان ما را از انصار و خدمتگزاران حضرتش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سیّدجواد حسینی‌خواه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1387</w:t>
      </w:r>
      <w:bookmarkStart w:id="13" w:name="pg877_5810"/>
    </w:p>
    <w:p>
      <w:pPr>
        <w:pStyle w:val="Heading2"/>
        <w:numPr>
          <w:ilvl w:val="1"/>
          <w:numId w:val="1"/>
        </w:numPr>
        <w:rPr/>
      </w:pPr>
      <w:bookmarkStart w:id="14" w:name="__RefHeading___Toc105455_373438147"/>
      <w:bookmarkStart w:id="15" w:name="_Toc5"/>
      <w:bookmarkEnd w:id="13"/>
      <w:bookmarkEnd w:id="14"/>
      <w:r>
        <w:rPr>
          <w:rtl w:val="true"/>
        </w:rPr>
        <w:t>کلیّات</w:t>
      </w:r>
      <w:bookmarkEnd w:id="15"/>
    </w:p>
    <w:p>
      <w:pPr>
        <w:pStyle w:val="Heading3"/>
        <w:numPr>
          <w:ilvl w:val="2"/>
          <w:numId w:val="1"/>
        </w:numPr>
        <w:rPr/>
      </w:pPr>
      <w:bookmarkStart w:id="16" w:name="__RefHeading___Toc105457_373438147"/>
      <w:bookmarkStart w:id="17" w:name="_Toc6"/>
      <w:bookmarkEnd w:id="16"/>
      <w:r>
        <w:rPr/>
        <w:t>1</w:t>
      </w:r>
      <w:r>
        <w:rPr>
          <w:rtl w:val="true"/>
        </w:rPr>
        <w:t xml:space="preserve"> - </w:t>
      </w:r>
      <w:r>
        <w:rPr>
          <w:rtl w:val="true"/>
        </w:rPr>
        <w:t>نکات آغازین</w:t>
      </w:r>
      <w:bookmarkEnd w:id="17"/>
    </w:p>
    <w:p>
      <w:pPr>
        <w:pStyle w:val="Heading4"/>
        <w:numPr>
          <w:ilvl w:val="3"/>
          <w:numId w:val="1"/>
        </w:numPr>
        <w:rPr/>
      </w:pPr>
      <w:bookmarkStart w:id="18" w:name="__RefHeading___Toc105459_373438147"/>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از قواعد مشهور و مهمّ فقهی،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باب‌های مختلف فقه،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خمس، حج، بیع فاسد، وقف، عاریه، رهن، صلح، مضاربه، مساقاة، ودیعه، رشوه، به خصوص باب غصب، و برخی دیگر از ابواب فقهی، مورد استفاده قرار می‌گیرد؛ این قاعده برگرفته از حدیث نبوی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فقهای امامیّه از این قاعده، مسأله ضمان را استفاده کرده، و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قاعده، اگر کسی بدون آن‌که از طرف مالک مأذون باشد، بر مال دیگری دست یابد، ضامن آن مال خواهد بود؛ و نیز، چنان چه بر مالی که استحقاق اخذ آن را ندارد تسلّط پیدا کند، مانند این که زکات را بگیرد در حالی که فقیر نباشد، ضامن است؛ و فقها برای ضمان، به عموم همین قاعده استدلال نموده‌اند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به همین جهت، مناسب است قبل از بررسی ادلّه و مفاد قاعده،</w:t>
      </w:r>
      <w:bookmarkStart w:id="20" w:name="pg877_5813"/>
    </w:p>
    <w:p>
      <w:pPr>
        <w:pStyle w:val="BookText"/>
        <w:rPr/>
      </w:pPr>
      <w:bookmarkEnd w:id="20"/>
      <w:r>
        <w:rPr>
          <w:rFonts w:ascii="IRNazanin" w:hAnsi="IRNazanin" w:eastAsia="IRNazanin"/>
          <w:color w:val="111111"/>
          <w:sz w:val="28"/>
          <w:sz w:val="28"/>
          <w:szCs w:val="28"/>
          <w:rtl w:val="true"/>
          <w:lang w:bidi="fa-IR"/>
        </w:rPr>
        <w:t>نکاتی را به عنوان مقدّمه بحث، در مورد ضمان بیان کنیم</w:t>
      </w:r>
      <w:r>
        <w:rPr>
          <w:rFonts w:eastAsia="IRNazanin" w:cs="IRNazanin"/>
          <w:color w:val="111111"/>
          <w:sz w:val="28"/>
          <w:szCs w:val="28"/>
          <w:rtl w:val="true"/>
          <w:lang w:bidi="fa-IR"/>
        </w:rPr>
        <w:t>:</w:t>
      </w:r>
    </w:p>
    <w:p>
      <w:pPr>
        <w:pStyle w:val="Heading4"/>
        <w:numPr>
          <w:ilvl w:val="3"/>
          <w:numId w:val="1"/>
        </w:numPr>
        <w:rPr/>
      </w:pPr>
      <w:bookmarkStart w:id="21" w:name="__RefHeading___Toc105461_373438147"/>
      <w:bookmarkStart w:id="22" w:name="_Toc8"/>
      <w:bookmarkEnd w:id="21"/>
      <w:r>
        <w:rPr>
          <w:rtl w:val="true"/>
        </w:rPr>
        <w:t>الف</w:t>
      </w:r>
      <w:r>
        <w:rPr>
          <w:rtl w:val="true"/>
        </w:rPr>
        <w:t xml:space="preserve">: </w:t>
      </w:r>
      <w:r>
        <w:rPr>
          <w:rtl w:val="true"/>
        </w:rPr>
        <w:t>مشروعیّت ضمان</w:t>
      </w:r>
      <w:bookmarkEnd w:id="22"/>
    </w:p>
    <w:p>
      <w:pPr>
        <w:pStyle w:val="BookText"/>
        <w:rPr/>
      </w:pPr>
      <w:r>
        <w:rPr>
          <w:rFonts w:ascii="Amiri" w:hAnsi="Amiri" w:eastAsia="Amiri" w:cs="Amiri"/>
          <w:color w:val="111111"/>
          <w:sz w:val="28"/>
          <w:sz w:val="28"/>
          <w:szCs w:val="28"/>
          <w:rtl w:val="true"/>
          <w:lang w:bidi="ar-SA"/>
        </w:rPr>
        <w:t>در رابطه با اصل مشروعیّت ضمان، تردیدی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از امور مسلّمی است که هم در میان عقلا رایج بوده و هم آیات قرآن کریم و روایات معصومین علیهم السلام بر آن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مفسّرین در آیه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نَفْقِدُ صُوَاعَ الْمَلِکِ وَ لِمَن جَآءَ بِهِ‌ی حِمْلُ بَعِیرٍ وَ أَنَا بِهِ‌ی زَعِیمٌ</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Style w:val="FootnoteAnchor"/>
          <w:rtl w:val="true"/>
        </w:rPr>
        <w:footnoteReference w:id="10"/>
      </w:r>
      <w:r>
        <w:rPr>
          <w:rFonts w:ascii="IRNazanin" w:hAnsi="IRNazanin" w:eastAsia="IRNazanin"/>
          <w:color w:val="111111"/>
          <w:sz w:val="28"/>
          <w:sz w:val="28"/>
          <w:szCs w:val="28"/>
          <w:rtl w:val="true"/>
          <w:lang w:bidi="fa-IR"/>
        </w:rPr>
        <w:t xml:space="preserve">؛ هم‌چنین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بِهِ ی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بِهِ‌ی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فی الضمان والکفالة</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بدین معنا که اصل و ریشه مشروعیّت ضمان در شریعت اسلام، این آیه شریفه است</w:t>
      </w:r>
      <w:r>
        <w:rPr>
          <w:rFonts w:eastAsia="IRNazanin" w:cs="IRNazanin"/>
          <w:color w:val="111111"/>
          <w:sz w:val="28"/>
          <w:szCs w:val="28"/>
          <w:rtl w:val="true"/>
          <w:lang w:bidi="fa-IR"/>
        </w:rPr>
        <w:t>.</w:t>
      </w:r>
    </w:p>
    <w:p>
      <w:pPr>
        <w:pStyle w:val="Heading4"/>
        <w:numPr>
          <w:ilvl w:val="3"/>
          <w:numId w:val="1"/>
        </w:numPr>
        <w:rPr/>
      </w:pPr>
      <w:bookmarkStart w:id="23" w:name="__RefHeading___Toc105463_373438147"/>
      <w:bookmarkStart w:id="24" w:name="_Toc9"/>
      <w:bookmarkEnd w:id="23"/>
      <w:r>
        <w:rPr>
          <w:rtl w:val="true"/>
        </w:rPr>
        <w:t>ب</w:t>
      </w:r>
      <w:r>
        <w:rPr>
          <w:rtl w:val="true"/>
        </w:rPr>
        <w:t xml:space="preserve">: </w:t>
      </w:r>
      <w:r>
        <w:rPr>
          <w:rtl w:val="true"/>
        </w:rPr>
        <w:t>اسباب ضمان</w:t>
      </w:r>
      <w:bookmarkEnd w:id="24"/>
    </w:p>
    <w:p>
      <w:pPr>
        <w:pStyle w:val="BookText"/>
        <w:rPr/>
      </w:pPr>
      <w:r>
        <w:rPr>
          <w:rFonts w:ascii="IRNazanin" w:hAnsi="IRNazanin" w:eastAsia="IRNazanin"/>
          <w:color w:val="111111"/>
          <w:sz w:val="28"/>
          <w:sz w:val="28"/>
          <w:szCs w:val="28"/>
          <w:rtl w:val="true"/>
          <w:lang w:bidi="fa-IR"/>
        </w:rPr>
        <w:t>پس از بیان این‌که مشروعیّت ضمان از امور مسلّم در شریعت اسلام است، نکته دیگر در مورد ضمان، آن است که چه اموری به عنوان اسباب ضمان وجود دارد؟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فقه و کلمات فقها، معلوم می‌گردد در این زمینه، یک بیان روشن و مدوّنی وجود ندارد؛ و علما و بزرگان، اسبابی که باعث ضمان می‌شود را در یکجا بیان نکرده‌اند؛ با این حال، با تتبّع و جستجو می‌توانیم ده سبب را به عنوان اسباب ضمان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امکان خلاصه کردن آن‌ها در چند عنوان نیز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تسلّط غیر شرعی بر مال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حدیث معروف علی الید استفاده می‌شود؛ و در صورتی که این قاعده دلالت بر ضمان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علما و بزرگان از این قاعده، ضمان را استفاده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شخصی بر مال غیر استیلا پیدا کند، ذمّه‌ی او مشغل شده و ضامن آن 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منظور از ید، خصوص ید عدوانی است؟ آیا ید غیر غاصب را نیز شامل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مواردی است که در ادامه مباحث ان شاءاللّه به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اسباب ضمان،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مال دیگری را از 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بر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تسلّطی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خواهد بود؛ قاعده اتلاف نیز از قواعد مشهور فقهی، و برگرفته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دیگری که از برای ضمان وجود دارد، این است که هرگاه شخصی باعث ضرر دیگری شود، نسبت به آن،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طعام زید را به عنوان مال خودش در اختیار عمرو قرار دهد؛ در این فرض چنان چه صاحب طعام به عمرو مراجعه کند، او نیز می‌تواند به زید مراجعه، و خسارتی را که پرداخت کرده است از او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فقها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إلی من غرّه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تعدّی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در مورد امانت مطرح می‌شود، که اگر شخص امین در نگهداری و حفظ امانتی کوتاهی نماید، و به واسطه تعدّی و تفریط او، مال امانی از بین برود، ضامن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 قبل از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در مورد بایع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اگر عقد بیعی صورت گیرد و قبل از در اختیار گرفتن مورد معامله توسط مشتری، مبیع تلف شود، بایع ضامن است و مبیع از مال او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المبیع قبل قبضه من مال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المبیع قبل القبض فهو من مال البایع ومضمون علیه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 به عقد فاسد و قبض بالسوم</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به واسطه عقدی فاسد، مالی را بگیرد، ضامن آن خواهد بود؛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عقد بیع باطل باشد و مشتری مبیع را اخذ کند، ضامن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مقبوض بالسوم نیز مسأله ضمان وجود دارد؛ بدین معنا که اگر شخصی مالی را به قصد خرید بردارد و در دستان او تلف شود، ضامن آن 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ضماناتی که ثابت است و منشأ آن شریعت و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ضمانات وجود دارد که منشأ آن شارع مقدّس است و الزام شارع باعث گردیده است که انسان در این موارد ضامن باشد؛ هم‌چون کفّارات، خمس، زکات،</w:t>
      </w:r>
    </w:p>
    <w:p>
      <w:pPr>
        <w:pStyle w:val="BookText"/>
        <w:rPr/>
      </w:pPr>
      <w:r>
        <w:rPr>
          <w:rFonts w:ascii="IRNazanin" w:hAnsi="IRNazanin" w:eastAsia="IRNazanin"/>
          <w:color w:val="111111"/>
          <w:sz w:val="28"/>
          <w:sz w:val="28"/>
          <w:szCs w:val="28"/>
          <w:rtl w:val="true"/>
          <w:lang w:bidi="fa-IR"/>
        </w:rPr>
        <w:t>دیات، ارش الجنایة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عقدی و یا ضمان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ضمان عقدی، ضمانی است که به سبب عقد محقّق می‌شود؛ هرگاه معامله‌ای صورت گیرد، بایع ضامن است که مبیع را به مشتری تحویل دهد؛ و مشتری نیز ضامن است که پول و ثمن معامله را تحویل بایع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ضمان در بیع کلی مطرح می‌شود و در بیع معیّن، چنین ضمانی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وجوب تکلیفی تسلیم برای هر دو طرف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ضمان، به ضمان معاوضی نیز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ضمان، عقدی است که مدلول و معنای آن تعهّد ذمّه بوده و هم‌چون دیگر عقود، احتیاج به ایجاب و قبول دارد؛ البته در کتاب الضمان این بحث مطرح می‌شود که آیا در عقد ضمان، قبول نیز لازم است و یا صرف رضایت کفایت می‌کند؟ که برای دانستن ادلّه هر کدام، لازم است بدانجا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عقد ضمان، شخص ضامن متعهد می‌شود دینی را که بر عهده و ذمّه مدیون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ضمان عقدی و عقد الضمان</w:t>
      </w:r>
    </w:p>
    <w:p>
      <w:pPr>
        <w:pStyle w:val="BookText"/>
        <w:rPr/>
      </w:pPr>
      <w:r>
        <w:rPr>
          <w:rFonts w:ascii="IRNazanin" w:hAnsi="IRNazanin" w:eastAsia="IRNazanin"/>
          <w:color w:val="111111"/>
          <w:sz w:val="28"/>
          <w:sz w:val="28"/>
          <w:szCs w:val="28"/>
          <w:rtl w:val="true"/>
          <w:lang w:bidi="fa-IR"/>
        </w:rPr>
        <w:t>از همین‌جا نسبت بین ضمان عقدی و عقد ضمان نیز مشخص می‌شود که عبارت است از عموم و خصوص مطلق؛ و ضمان عقدی اعمّ مطلق از عقد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ضمان عقدی، ضمانی است که منشأ آن عقد است و این عقد، می‌تواند عقد بیع باشد، یا عقد معاوضه، یا عقد صلح و یا عقد ضمان؛ در حالی که منشأ عقد الضمان، فقط عقد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ضمان عقدی اعمّ است از عقد الضمان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یکی از عقود، شرط ضمان شود، این امر موجب ضمانت خواهد بود؛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عاریه، اگر مُعیر شرط کند</w:t>
      </w:r>
      <w:bookmarkStart w:id="25" w:name="pg877_5817"/>
    </w:p>
    <w:p>
      <w:pPr>
        <w:pStyle w:val="BookText"/>
        <w:rPr/>
      </w:pPr>
      <w:bookmarkEnd w:id="25"/>
      <w:r>
        <w:rPr>
          <w:rFonts w:ascii="IRNazanin" w:hAnsi="IRNazanin" w:eastAsia="IRNazanin"/>
          <w:color w:val="111111"/>
          <w:sz w:val="28"/>
          <w:sz w:val="28"/>
          <w:szCs w:val="28"/>
          <w:rtl w:val="true"/>
          <w:lang w:bidi="fa-IR"/>
        </w:rPr>
        <w:t>که مُستعیر در صورت تلف شدن مال به تلف قهری، ضامن آن است، در فرض تلف، مستعیر ضامن آن 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شرط به تلف قهری تعلّق گرفته، بدان جهت است که صورت اتلاف، نیازی به شرط ندارد و مستعیر در فرض اتلاف به طور قطع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ده سبب فوق از برای ضمان وجود دارد؛ و همان‌گونه که بیان شد، امکان تقسیم‌بندی آن‌ها در دسته‌های گوناگون وجود دارد؛ به طور مثال، 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یا ضمان عقدی است و یا ضمان قهری؛ ضمان قهری نیز یا به ید است، یا به اتلاف و یا</w:t>
      </w:r>
      <w:r>
        <w:rPr>
          <w:rFonts w:eastAsia="IRNazanin" w:cs="IRNazanin"/>
          <w:color w:val="111111"/>
          <w:sz w:val="28"/>
          <w:szCs w:val="28"/>
          <w:rtl w:val="true"/>
          <w:lang w:bidi="fa-IR"/>
        </w:rPr>
        <w:t>....</w:t>
      </w:r>
    </w:p>
    <w:p>
      <w:pPr>
        <w:pStyle w:val="Heading4"/>
        <w:numPr>
          <w:ilvl w:val="3"/>
          <w:numId w:val="1"/>
        </w:numPr>
        <w:rPr/>
      </w:pPr>
      <w:bookmarkStart w:id="26" w:name="__RefHeading___Toc105465_373438147"/>
      <w:bookmarkStart w:id="27" w:name="_Toc10"/>
      <w:bookmarkEnd w:id="26"/>
      <w:r>
        <w:rPr>
          <w:rtl w:val="true"/>
        </w:rPr>
        <w:t>ج</w:t>
      </w:r>
      <w:r>
        <w:rPr>
          <w:rtl w:val="true"/>
        </w:rPr>
        <w:t xml:space="preserve">: </w:t>
      </w:r>
      <w:r>
        <w:rPr>
          <w:rtl w:val="true"/>
        </w:rPr>
        <w:t>انواع ضمان</w:t>
      </w:r>
      <w:bookmarkEnd w:id="27"/>
    </w:p>
    <w:p>
      <w:pPr>
        <w:pStyle w:val="BookText"/>
        <w:rPr/>
      </w:pPr>
      <w:r>
        <w:rPr>
          <w:rFonts w:ascii="IRNazanin" w:hAnsi="IRNazanin" w:eastAsia="IRNazanin"/>
          <w:color w:val="111111"/>
          <w:sz w:val="28"/>
          <w:sz w:val="28"/>
          <w:szCs w:val="28"/>
          <w:rtl w:val="true"/>
          <w:lang w:bidi="fa-IR"/>
        </w:rPr>
        <w:t xml:space="preserve">نکته‌ی دیگری که از بحث اساب ضمان روشن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در کتاب الضمان مطرح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خود ضمان نیز دارای انواعی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ضمان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منجّز؛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موقّت؛ این ضمان، مربوط به باب بدل است که اگر عین مال یافت شود، شخص ضامن است که بدل گرفته شده را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تقدیری؛ در صورتی که مال غیر در دست غاصب باشد، یک ضمان تقدیری وجود دارد و آن این که بر فرض تحقّق تلف، غاصب، ضامنِ مال است و باید خسارت آن را به مالک و صاحب اصلی‌اش بپردازد</w:t>
      </w:r>
      <w:r>
        <w:rPr>
          <w:rFonts w:eastAsia="IRNazanin" w:cs="IRNazanin"/>
          <w:color w:val="111111"/>
          <w:sz w:val="28"/>
          <w:szCs w:val="28"/>
          <w:rtl w:val="true"/>
          <w:lang w:bidi="fa-IR"/>
        </w:rPr>
        <w:t>.</w:t>
      </w:r>
    </w:p>
    <w:p>
      <w:pPr>
        <w:pStyle w:val="Heading4"/>
        <w:numPr>
          <w:ilvl w:val="3"/>
          <w:numId w:val="1"/>
        </w:numPr>
        <w:rPr/>
      </w:pPr>
      <w:bookmarkStart w:id="28" w:name="__RefHeading___Toc105467_373438147"/>
      <w:bookmarkStart w:id="29" w:name="_Toc11"/>
      <w:bookmarkEnd w:id="28"/>
      <w:r>
        <w:rPr>
          <w:rtl w:val="true"/>
        </w:rPr>
        <w:t>د</w:t>
      </w:r>
      <w:r>
        <w:rPr>
          <w:rtl w:val="true"/>
        </w:rPr>
        <w:t xml:space="preserve">: </w:t>
      </w:r>
      <w:r>
        <w:rPr>
          <w:rtl w:val="true"/>
        </w:rPr>
        <w:t>تفاوت قاعده ضمان ید و قاعده ید</w:t>
      </w:r>
      <w:bookmarkEnd w:id="29"/>
    </w:p>
    <w:p>
      <w:pPr>
        <w:pStyle w:val="BookText"/>
        <w:rPr/>
      </w:pPr>
      <w:r>
        <w:rPr>
          <w:rFonts w:ascii="IRNazanin" w:hAnsi="IRNazanin" w:eastAsia="IRNazanin"/>
          <w:color w:val="111111"/>
          <w:sz w:val="28"/>
          <w:sz w:val="28"/>
          <w:szCs w:val="28"/>
          <w:rtl w:val="true"/>
          <w:lang w:bidi="fa-IR"/>
        </w:rPr>
        <w:t xml:space="preserve">نکته‌ی دیگری که به عنوان مقدّمه بحث، لازم است بیان شود، این است که فرق بین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می‌شود که بین این دو قاعده سه فرق اساسی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تفاوت، تفاوت از جهت موضوعی است؛ بدین معنا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دو قاعده با دیگری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در قاعده ضمان ید، عبارت از ید غیر مالک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قاعده ضمان ید، معلوم و مشخّص است که ید شخص، ید مالکانه نیست؛ اعمّ از این که شخص، غاصب باشد و به صورت عدوانی مال را در اختیار گرفته باشد، و یا آن که غاصب نباشد و مال از طریق عقدی فاسد در اختیار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در قاعده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معلوم نیست که ید شخص در اینجا ید مالکانه است و یا غیر آن؛ به عبارت دیگر، معلوم نیست ذو الید در اینجا مالک شیء است و یا غیر مالک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در اختیار زید است و عمرو ادّعا می‌کند که آن مال، از برای اوست و هیچ دلیلی هم بر ادّعایش ندارد؛ این مسأله، موضوع قاعده ید است و با استفاده از قاعده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ید اماره ملکیّت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مالکیّت زید حکم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تفاوت از جهت حکم است؛ به وسیله قاعده ضمان ید، یک حکم ضرری بر ضرر کسی که بر مال دیگری ید دارد، اثبات می‌شود و این یک حکم وضعی است؛ ولی در قاعده ید، یک حکم نفعی که عبارت از ملکیت است،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قاعده ید، به نفع ذی الید حکم می‌شود، و حال آن که در قاعده ضمان ید، بر ضرر او حکم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سوم، تفاوت از جهت مورد است؛ بدین معنا که قاعده علی الید فقط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اما قاعده ید، هم د راموال و اعیان مالی جریان دارد و هم در باب نفوس و انساب جاری است؛ و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زنی ید داشته باشد، در صورتی که فرد دیگری نیز ادّعای زوجیّت او را داشته و دلیلی بر مدّعایش نداشته باشد، به وسیله قاعده ید، اثبات زوجیّت</w:t>
      </w:r>
      <w:bookmarkStart w:id="30" w:name="pg877_5819"/>
    </w:p>
    <w:p>
      <w:pPr>
        <w:pStyle w:val="BookText"/>
        <w:rPr/>
      </w:pPr>
      <w:bookmarkEnd w:id="30"/>
      <w:r>
        <w:rPr>
          <w:rFonts w:ascii="IRNazanin" w:hAnsi="IRNazanin" w:eastAsia="IRNazanin"/>
          <w:color w:val="111111"/>
          <w:sz w:val="28"/>
          <w:sz w:val="28"/>
          <w:szCs w:val="28"/>
          <w:rtl w:val="true"/>
          <w:lang w:bidi="fa-IR"/>
        </w:rPr>
        <w:t>برای کسی که زن در اختیار و ید اوست،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نسب نیز به همین صورت است که اگر شخصی بر بچه‌ای ید داشته و تحت سرپرستی او باشد، شخص دیگری نیز ادّعای پدری او را بدون هیچ دلیلی داشته باشد، قاعده ید به نفع کسی که بر بچّه ید دارد، حکم و اثبات نسب از برای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نکات مقدّماتی فوق، وارد مباحث اصلی قاعده ضمان ید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مطلبی که در مورد این قاعده باید روشن شود، بحث از مدرک قاعده است</w:t>
      </w:r>
      <w:r>
        <w:rPr>
          <w:rFonts w:eastAsia="IRNazanin" w:cs="IRNazanin"/>
          <w:color w:val="111111"/>
          <w:sz w:val="28"/>
          <w:szCs w:val="28"/>
          <w:rtl w:val="true"/>
          <w:lang w:bidi="fa-IR"/>
        </w:rPr>
        <w:t>.</w:t>
      </w:r>
    </w:p>
    <w:p>
      <w:pPr>
        <w:pStyle w:val="Heading3"/>
        <w:numPr>
          <w:ilvl w:val="2"/>
          <w:numId w:val="1"/>
        </w:numPr>
        <w:rPr/>
      </w:pPr>
      <w:bookmarkStart w:id="31" w:name="__RefHeading___Toc105469_373438147"/>
      <w:bookmarkStart w:id="32" w:name="_Toc12"/>
      <w:bookmarkEnd w:id="31"/>
      <w:r>
        <w:rPr/>
        <w:t>2</w:t>
      </w:r>
      <w:r>
        <w:rPr>
          <w:rtl w:val="true"/>
        </w:rPr>
        <w:t xml:space="preserve"> - </w:t>
      </w:r>
      <w:r>
        <w:rPr>
          <w:rtl w:val="true"/>
        </w:rPr>
        <w:t>مدرک قاعده</w:t>
      </w:r>
      <w:bookmarkEnd w:id="32"/>
    </w:p>
    <w:p>
      <w:pPr>
        <w:pStyle w:val="Heading4"/>
        <w:numPr>
          <w:ilvl w:val="3"/>
          <w:numId w:val="1"/>
        </w:numPr>
        <w:rPr/>
      </w:pPr>
      <w:bookmarkStart w:id="33" w:name="__RefHeading___Toc105471_373438147"/>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مدرک و مستند روایی قاعده، حدیث مشهوری از رسول اکرم صلی الله علیه و آله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یعنی بر دست است آن‌چه را گرفته تا زمانی که آن را ادا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اثری در معاجم حدیثی و کتب اربعه روایی شیعه نیست؛ با این وجود، ابن ابی جمهور احسائی این حدیث را در کتاب خویش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w:t>
      </w:r>
      <w:r>
        <w:rPr>
          <w:rStyle w:val="FootnoteAnchor"/>
          <w:rtl w:val="true"/>
        </w:rPr>
        <w:footnoteReference w:id="17"/>
      </w:r>
      <w:r>
        <w:rPr>
          <w:rFonts w:ascii="IRNazanin" w:hAnsi="IRNazanin" w:eastAsia="IRNazanin"/>
          <w:color w:val="111111"/>
          <w:sz w:val="28"/>
          <w:sz w:val="28"/>
          <w:szCs w:val="28"/>
          <w:rtl w:val="true"/>
          <w:lang w:bidi="fa-IR"/>
        </w:rPr>
        <w:t>و محدّث نوری رحمه الله آن را از وی نقل نموده</w:t>
      </w:r>
      <w:bookmarkStart w:id="35" w:name="pg877_5821"/>
    </w:p>
    <w:p>
      <w:pPr>
        <w:pStyle w:val="BookText"/>
        <w:rPr/>
      </w:pPr>
      <w:bookmarkEnd w:id="35"/>
      <w:r>
        <w:rPr>
          <w:rFonts w:ascii="IRNazanin" w:hAnsi="IRNazanin" w:eastAsia="IRNazanin"/>
          <w:color w:val="111111"/>
          <w:sz w:val="28"/>
          <w:sz w:val="28"/>
          <w:szCs w:val="28"/>
          <w:rtl w:val="true"/>
          <w:lang w:bidi="fa-IR"/>
        </w:rPr>
        <w:t>است</w:t>
      </w:r>
      <w:r>
        <w:rPr>
          <w:rStyle w:val="FootnoteAnchor"/>
          <w:rtl w:val="true"/>
        </w:rPr>
        <w:footnoteReference w:id="18"/>
      </w:r>
      <w:r>
        <w:rPr>
          <w:rFonts w:ascii="IRNazanin" w:hAnsi="IRNazanin" w:eastAsia="IRNazanin"/>
          <w:color w:val="111111"/>
          <w:sz w:val="28"/>
          <w:sz w:val="28"/>
          <w:szCs w:val="28"/>
          <w:rtl w:val="true"/>
          <w:lang w:bidi="fa-IR"/>
        </w:rPr>
        <w:t>؛ هم چنین از میان علمای امامیه، اوّلین فقیهی که به این روایت تمسّک کرده، شیخ الطائفه، طوسی رحمه الله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6" w:name="__RefHeading___Toc105473_373438147"/>
      <w:bookmarkStart w:id="37" w:name="_Toc14"/>
      <w:bookmarkEnd w:id="36"/>
      <w:r>
        <w:rPr>
          <w:rtl w:val="true"/>
        </w:rPr>
        <w:t>بررسی سندی حدیث علی الید</w:t>
      </w:r>
      <w:bookmarkEnd w:id="37"/>
    </w:p>
    <w:p>
      <w:pPr>
        <w:pStyle w:val="BookText"/>
        <w:rPr/>
      </w:pPr>
      <w:r>
        <w:rPr>
          <w:rFonts w:ascii="IRNazanin" w:hAnsi="IRNazanin" w:eastAsia="IRNazanin"/>
          <w:color w:val="111111"/>
          <w:sz w:val="28"/>
          <w:sz w:val="28"/>
          <w:szCs w:val="28"/>
          <w:rtl w:val="true"/>
          <w:lang w:bidi="fa-IR"/>
        </w:rPr>
        <w:t>روایت به این صورت در کتاب‌ها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عن الحسن عن سمرة بن جندب،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نفری که در سند این حدیث وجود دارند، از نظر خود اهل سنت شدیداً محل اشکال هستند تا چه رسد به امامیّه؛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که در کتب فقها و محدّثان آمده، مرد بسیار بدی بوده و از دشمنان سرسخت اهل‌بیت علیهم السلام به شمار می‌رفته و اکاذیب زیادی در جهت مخدوش ساختن چهره‌های اسلامی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در برابر رسول اکرم صلی الله علیه و آله ایستاد و احترامی برای آن حضرت قائل نبود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ابی الحدید در مورد وی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معاویه صد هزار درهم به سمره داد تا از رسول خدا صلی الله علیه و آله نقل کند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ابْتِغَآءَ مَرْضَاتِ اللَّهِ وَاللَّهُ رَءُوفُ م بِالْعِبَادِ</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که درباره‌ی حضرت امیر المؤمنین علی بن ابیطالب علیه السلام نازل شده، مربوط به ابن ملجم مرادی است 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یُعْجِبُکَ قَوْلُهُ‌و فِی الْحَیَوةِ الدُّنْیَا وَیُشْهِدُ اللَّهَ عَلَی مَا فِی قَلْبِهِ ی وَهُوَ أَلَدُّ الْخِصَامِ</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در شأن علی بن ابیطالب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از</w:t>
      </w:r>
    </w:p>
    <w:p>
      <w:pPr>
        <w:pStyle w:val="BookText"/>
        <w:rPr/>
      </w:pPr>
      <w:r>
        <w:rPr>
          <w:rFonts w:ascii="IRNazanin" w:hAnsi="IRNazanin" w:eastAsia="IRNazanin"/>
          <w:color w:val="111111"/>
          <w:sz w:val="28"/>
          <w:sz w:val="28"/>
          <w:szCs w:val="28"/>
          <w:rtl w:val="true"/>
          <w:lang w:bidi="fa-IR"/>
        </w:rPr>
        <w:t>درخواست معاویه سر باز زد و آن را نپذیرفت؛ ولی هنگامی که معاویه بر مبلغ افزود تا به چهارصد هزار درهم رسید، سمره پذیرفت و به جمع مردم رفت و روایت را جعل کرده و به مردم ابراز داشت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تا زمان امام حسین علیه السلام نیز زنده بود و در قضیه کربلا، جزء سپاه عبیداللّه بن زیاد بود و مردم را به جنگ با امام حسین علیه السلام تحریک می‌کرد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طبری نیز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ولایت بصره را به سمره داد و او برای تحکیم حکومت بنی امیّه، هشت هزار نفر از مردم آنجا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او پرسیدند آیا از خدا نمی‌ترسی که اگر یک نفر از این عدّه بی‌گناه باشد، چه عقوبتی خواهد داشت؟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هم باشد، ترسی ندارم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الحدید در مورد 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یبغض علیّاً علیه السلام ویذمّه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ابن ترکمانی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بیهقی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أهل العلم بالحدیث رغبوا عن روایة الحسن عن سمرة وذهب بعضهم إلی أنّه لم یسمع منه غیر حدیث العقیقة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بسیاری از دانشمندان علم حدیث از روایتی که حسن بصری از سمره نقل می‌کند، اعراض کرده‌اند؛ و برخی نیز بر این عقیده هستند که او حدیثی به جز حدیث عقیقه از سمره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اشکال دیگری که در مورد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ضعیف بودن رواتش وجود دارد، مرسله بودن آن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که وی از مدلّسین بوده است</w:t>
      </w:r>
      <w:r>
        <w:rPr>
          <w:rFonts w:eastAsia="IRNazanin" w:cs="IRNazanin"/>
          <w:color w:val="111111"/>
          <w:sz w:val="28"/>
          <w:szCs w:val="28"/>
          <w:rtl w:val="true"/>
          <w:lang w:bidi="fa-IR"/>
        </w:rPr>
        <w:t>.</w:t>
      </w:r>
      <w:r>
        <w:rPr>
          <w:rStyle w:val="FootnoteAnchor"/>
          <w:rtl w:val="true"/>
        </w:rPr>
        <w:footnoteReference w:id="27"/>
      </w:r>
      <w:bookmarkStart w:id="38" w:name="pg877_5823"/>
    </w:p>
    <w:p>
      <w:pPr>
        <w:pStyle w:val="BookText"/>
        <w:rPr/>
      </w:pPr>
      <w:bookmarkEnd w:id="38"/>
      <w:r>
        <w:rPr>
          <w:rFonts w:ascii="IRNazanin" w:hAnsi="IRNazanin" w:eastAsia="IRNazanin"/>
          <w:color w:val="111111"/>
          <w:sz w:val="28"/>
          <w:sz w:val="28"/>
          <w:szCs w:val="28"/>
          <w:rtl w:val="true"/>
          <w:lang w:bidi="fa-IR"/>
        </w:rPr>
        <w:t xml:space="preserve">نتیجه آن‌که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عند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نزد امامیّه و هم نزد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نبوده و همه نسبت به ضعف آن اتّفاق نظر دارند</w:t>
      </w:r>
      <w:r>
        <w:rPr>
          <w:rFonts w:eastAsia="IRNazanin" w:cs="IRNazanin"/>
          <w:color w:val="111111"/>
          <w:sz w:val="28"/>
          <w:szCs w:val="28"/>
          <w:rtl w:val="true"/>
          <w:lang w:bidi="fa-IR"/>
        </w:rPr>
        <w:t>.</w:t>
      </w:r>
    </w:p>
    <w:p>
      <w:pPr>
        <w:pStyle w:val="Heading4"/>
        <w:numPr>
          <w:ilvl w:val="3"/>
          <w:numId w:val="1"/>
        </w:numPr>
        <w:rPr/>
      </w:pPr>
      <w:bookmarkStart w:id="39" w:name="__RefHeading___Toc105475_373438147"/>
      <w:bookmarkStart w:id="40" w:name="_Toc15"/>
      <w:bookmarkEnd w:id="39"/>
      <w:r>
        <w:rPr>
          <w:rtl w:val="true"/>
        </w:rPr>
        <w:t>بررسی جبران ضعف سند به وسیله شهرت</w:t>
      </w:r>
      <w:bookmarkEnd w:id="40"/>
    </w:p>
    <w:p>
      <w:pPr>
        <w:pStyle w:val="BookText"/>
        <w:rPr/>
      </w:pPr>
      <w:r>
        <w:rPr>
          <w:rFonts w:ascii="IRNazanin" w:hAnsi="IRNazanin" w:eastAsia="IRNazanin"/>
          <w:color w:val="111111"/>
          <w:sz w:val="28"/>
          <w:sz w:val="28"/>
          <w:szCs w:val="28"/>
          <w:rtl w:val="true"/>
          <w:lang w:bidi="fa-IR"/>
        </w:rPr>
        <w:t>با این حال، برخی از بزرگان مثل محقّق بجنوردی رحمه الله شهرت این روایت را چه از نظر نقلی و چه از نظر استنادی، جبران کننده ضعفش دانسته‌اند،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حدیث، احتیاجی به وثاقت راوی نیست و همین مقدار که حدیث موثوق الصدور باشد، کفایت می‌کند؛ در اینجا نیز، که هم، علمای خاصّه و هم، علمای عامّه، متن حدیث را تلقّی به قبول کرده و بر طبق آن فتوا داده، و آن را در کتاب‌های فقهی به عنوان ارسال مسلّمات ذکر کرده‌اند، ضعف سند جبران می‌شود و به صدور آن اطمینان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بجنوردی رحمه الله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عن سنده وأنّه صحیح أو ضعیف لا وجه له؛ لأنّه بعد هذا الاشتهار بین‌الفقهاء وقبولهم له والعمل به فیکون موثوق الصدور، الّذی هو موضوع الحجّیة، بل لا یبعد أن یکون من مقطوع الصدور؛ وعلی کلّ حال، لا کلام فی‌حجّیته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مبتنی بر آن است که در بحث حجّیت خبر واحد، این مبنا را اتخاذ کنیم که در اعتبار یک روایت، اطمینان به صدور آن کفایت می‌کند؛ هر چند راوی آن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قطع نظر از این مبنا، در صورتی که فردی، عدالت و یا توثیق راوی را در روایت لازم بداند، آیا از راه عمل مشهور می‌توان گفت که ضعف سند جبران شده، و سند روایت همانند صحیح می‌شود؟ از این رو، لازم است که وجود شهرت جابر ضعف سند در مورد این</w:t>
      </w:r>
    </w:p>
    <w:p>
      <w:pPr>
        <w:pStyle w:val="BookText"/>
        <w:rPr/>
      </w:pPr>
      <w:r>
        <w:rPr>
          <w:rFonts w:ascii="IRNazanin" w:hAnsi="IRNazanin" w:eastAsia="IRNazanin"/>
          <w:color w:val="111111"/>
          <w:sz w:val="28"/>
          <w:sz w:val="28"/>
          <w:szCs w:val="28"/>
          <w:rtl w:val="true"/>
          <w:lang w:bidi="fa-IR"/>
        </w:rPr>
        <w:t>روایت را بررسی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کاشف الغطاء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اگر حدیثی به حدّ تواتر یا استفاضه برسد، احتیاجی به بحث سندی ندارد؛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المستفیض المجمع علی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احمد نراقی رحمه الله نیز شهرت این حدیث در میان اصحاب و تلقّی به قبولشان را جابر ضعف سند آن دانسته و قائل است که در این صورت،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بحث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اشتهارها بین الأصحاب، وتداولها فی کتبهم، وتلقّیهم لها بالقبول، واستدلالهم بها فی موارد عدیدة، یجبر ضعفها، ویکفی عن مؤونة البحث عن سندها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نراقی رحمه الله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نظیر بیان مرحوم محقّق نراقی داشته و در مورد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فی اقتضاء الید الضمان، بعد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النّبوی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علی‌الیدما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واشتهاره فی کتب الأصحاب روایة وعملاً، وتلقّیهم بالقبول، واستدلالهم به فی موارده من غیر نکیر، الجابر لضعفه بالإرسال، یکفی عن مؤونة البحث عن سنده، بل لا یقصر عن الصحیح</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محقّق مراغی رحمه الله نیز به دلیل وجود شهرت و این که حدیث مورد قبول علمای فریقین است، نیازی به بررسی سند و احراز صحت آن نمی‌بیند و وارد بحث دلالی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النبویّ المنجبر بالشهرة، المتلقّی بالقبول عند العامّة</w:t>
      </w:r>
      <w:bookmarkStart w:id="41" w:name="pg877_5825"/>
    </w:p>
    <w:p>
      <w:pPr>
        <w:pStyle w:val="BookText"/>
        <w:rPr/>
      </w:pPr>
      <w:bookmarkEnd w:id="41"/>
      <w:r>
        <w:rPr>
          <w:rFonts w:ascii="IRNazanin" w:hAnsi="IRNazanin" w:eastAsia="IRNazanin"/>
          <w:color w:val="111111"/>
          <w:sz w:val="28"/>
          <w:sz w:val="28"/>
          <w:szCs w:val="28"/>
          <w:rtl w:val="true"/>
          <w:lang w:bidi="fa-IR"/>
        </w:rPr>
        <w:t>والخاصّة، بحیث یغنی عن ملاحظة سنده وصحّته، بل هو ملحق بالقطعیات فی الصدور</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کسانی که قبول دارند عمل مشهور جابر ضعف است، روایت را حجّت می‌دانند و از نظر آنان استناد عمل مشهور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است</w:t>
      </w:r>
      <w:r>
        <w:rPr>
          <w:rFonts w:eastAsia="IRNazanin" w:cs="IRNazanin"/>
          <w:color w:val="111111"/>
          <w:sz w:val="28"/>
          <w:szCs w:val="28"/>
          <w:rtl w:val="true"/>
          <w:lang w:bidi="fa-IR"/>
        </w:rPr>
        <w:t>.</w:t>
      </w:r>
    </w:p>
    <w:p>
      <w:pPr>
        <w:pStyle w:val="Heading4"/>
        <w:numPr>
          <w:ilvl w:val="3"/>
          <w:numId w:val="1"/>
        </w:numPr>
        <w:rPr/>
      </w:pPr>
      <w:bookmarkStart w:id="42" w:name="__RefHeading___Toc105477_373438147"/>
      <w:bookmarkStart w:id="43" w:name="_Toc16"/>
      <w:bookmarkEnd w:id="42"/>
      <w:r>
        <w:rPr>
          <w:rtl w:val="true"/>
        </w:rPr>
        <w:t>اشکال امام خمینی رحمه الله در مورد استناد عمل مشهور به حدیث علی الید</w:t>
      </w:r>
      <w:bookmarkEnd w:id="43"/>
    </w:p>
    <w:p>
      <w:pPr>
        <w:pStyle w:val="BookText"/>
        <w:rPr/>
      </w:pPr>
      <w:r>
        <w:rPr>
          <w:rFonts w:ascii="IRNazanin" w:hAnsi="IRNazanin" w:eastAsia="IRNazanin"/>
          <w:color w:val="111111"/>
          <w:sz w:val="28"/>
          <w:sz w:val="28"/>
          <w:szCs w:val="28"/>
          <w:rtl w:val="true"/>
          <w:lang w:bidi="fa-IR"/>
        </w:rPr>
        <w:t xml:space="preserve">امام رحمه الله با این که کبرای قضیه را قبول داشته و قائل‌اند عمل مشهور ضعف سند را جبران می‌کند، امّا از نظر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استناد عمل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مبسوطی را ارائه داده</w:t>
      </w:r>
      <w:r>
        <w:rPr>
          <w:rStyle w:val="FootnoteAnchor"/>
          <w:rtl w:val="true"/>
        </w:rPr>
        <w:footnoteReference w:id="32"/>
      </w:r>
      <w:r>
        <w:rPr>
          <w:rFonts w:ascii="IRNazanin" w:hAnsi="IRNazanin" w:eastAsia="IRNazanin"/>
          <w:color w:val="111111"/>
          <w:sz w:val="28"/>
          <w:sz w:val="28"/>
          <w:szCs w:val="28"/>
          <w:rtl w:val="true"/>
          <w:lang w:bidi="fa-IR"/>
        </w:rPr>
        <w:t>و به این نتیجه می‌رسند که استناد قدمای از فقها به این روایت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اعتبار سند این حدیث را در نزد فقهای صدر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دوره‌ی قبل از زمان علاّمه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می‌دهند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زمان علّامه رحمه الله، نگرش فقهای گران‌قدر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خبری بوده که از طریق عامّه نقل شده و برای احتجاج با آنان مورد توجّه فقهای شیعه بوده است و نه استناد به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السیّد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ضمان الصنّاع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یمکن أن یعارضوا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موجود فی روایاتهم وکتبهم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یروونه عن النّبی صلی الله علیه و 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ماجنت حتّی تؤدّیه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منه عدم اعتماده علیه، بل أورده معارضة لا استناداً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وأورده شیخ الطائفة رحمه الله فی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مورد،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واحتجاجاً علی القوم، کما هو دأبه فی کتابیه،</w:t>
      </w:r>
    </w:p>
    <w:p>
      <w:pPr>
        <w:pStyle w:val="BookText"/>
        <w:rPr/>
      </w:pPr>
      <w:r>
        <w:rPr>
          <w:rFonts w:ascii="Amiri" w:hAnsi="Amiri" w:eastAsia="Amiri" w:cs="Amiri"/>
          <w:color w:val="111111"/>
          <w:sz w:val="28"/>
          <w:sz w:val="28"/>
          <w:szCs w:val="28"/>
          <w:rtl w:val="true"/>
          <w:lang w:bidi="ar-SA"/>
        </w:rPr>
        <w:t>لا استناداً</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ضمان صنعت‌گران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مواردی که می‌توان با عامّه معارضه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کتاب‌های روایی و فقهی آن‌ها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آن‌ها از پیامبر صلی الله علیه و آله نقل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جنت حتّی تؤدّیه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ظاهر عبارت سیّد رحمه الله بیان‌گر آن است که ایشان این روایت را مورد استناد قرار نداده‌اند، بلکه تنها جهت معارضه‌ی با عامّه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رحمه الله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بحث غصب، 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روایت تمسّک کرده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نقل کرده است؛ و ظاهر از نقل خصوص روایات اهل سنّت این است که ایشان در مقام احتجاج با عامّه، روایت را آورده است و نه جهت استناد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هم‌چنین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غصب و اجاره،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ظاهر آن است که در این موارد نیز خبر فوق به عنوان استناد ذکر نشده و بلکه در مقام احتجاج با عامّه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نهایت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تفحّصت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إلی المحقّق رحمه الله مظانّ إمکان الاستدلال به فلم‌أجده، مع أنّ تلک الموارد محالّ الإستدلال به لو تمّ سنده ودلالته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الظاهر عدم وجوده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جواهرالفقه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رحمه الله را جستجو کردم و در مظانّ امکان</w:t>
      </w:r>
    </w:p>
    <w:p>
      <w:pPr>
        <w:pStyle w:val="BookText"/>
        <w:rPr/>
      </w:pPr>
      <w:r>
        <w:rPr>
          <w:rFonts w:ascii="IRNazanin" w:hAnsi="IRNazanin" w:eastAsia="IRNazanin"/>
          <w:color w:val="111111"/>
          <w:sz w:val="28"/>
          <w:sz w:val="28"/>
          <w:szCs w:val="28"/>
          <w:rtl w:val="true"/>
          <w:lang w:bidi="fa-IR"/>
        </w:rPr>
        <w:t>استدلال به این حدیث، چیزی نیافتم؛ چرا که اگر سند و دلالت حدیث برای محقّق رحمه الله تمام بود، می‌بایست در این موارد به آن تمسّک و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این حدیث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حمزه رحمه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ابن برّاج رحمه الله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رحمه الله نیز که از علمای متقدّم است، در موارد بسیاری به این حدیث تمسّک کرده‌اند؛ و بنابراین، فرمایش امام رحمه الله دچار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مطلب نیز توجه داشته،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 إبن ادریس رحمه الله تمسّک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ونسبه جزماً إلی رسول اللّه صلی الله علیه و آله</w:t>
      </w:r>
      <w:r>
        <w:rPr>
          <w:rStyle w:val="FootnoteAnchor"/>
          <w:rtl w:val="true"/>
        </w:rPr>
        <w:footnoteReference w:id="35"/>
      </w:r>
      <w:r>
        <w:rPr>
          <w:rFonts w:ascii="IRNazanin" w:hAnsi="IRNazanin" w:eastAsia="IRNazanin"/>
          <w:color w:val="111111"/>
          <w:sz w:val="28"/>
          <w:sz w:val="28"/>
          <w:szCs w:val="28"/>
          <w:rtl w:val="true"/>
          <w:lang w:bidi="fa-IR"/>
        </w:rPr>
        <w:t>، مع عدم عمله بالخبر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کتاب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فی مسألة بالأصل وعدم الدلیل،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ویحتجّ علی المخالف بقوله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یوجب حصول الاحتمال بأنّ سائر الموارد من قبیل الاحتجاج علیهم، لا التمسّک به، وإن کان خلاف ظاهره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رحمه الله با این که به خبر واحد عمل نمی‌کند،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 و به طور یقینی آن را از پیامبر صلی الله علیه و آله دانسته است؛ امّا از طرف دیگر، در کتاب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مسأله‌ای به اصل تمسّک کرده و به این خبر به عنوان دلیل استناد نکرده است و بلکه آن را در مقام احتجاج با عامّه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که احتمال دهیم دیگر موارد نیز از همین باب و به عنوان</w:t>
      </w:r>
      <w:bookmarkStart w:id="44" w:name="pg877_5828"/>
    </w:p>
    <w:p>
      <w:pPr>
        <w:pStyle w:val="BookText"/>
        <w:rPr/>
      </w:pPr>
      <w:bookmarkEnd w:id="44"/>
      <w:r>
        <w:rPr>
          <w:rFonts w:ascii="IRNazanin" w:hAnsi="IRNazanin" w:eastAsia="IRNazanin"/>
          <w:color w:val="111111"/>
          <w:sz w:val="28"/>
          <w:sz w:val="28"/>
          <w:szCs w:val="28"/>
          <w:rtl w:val="true"/>
          <w:lang w:bidi="fa-IR"/>
        </w:rPr>
        <w:t>احتجاج با عامّه است، هرچند که خلاف ظاهر عبارات ابن ادریس رحمه 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مجموع آن‌چه که حضرت امام رحمه الله در این باره گفته‌اند، ایشان به احتجاجی بودن نقل حدیث در کتب قدما و نه استنادی بودن آن تمایل پیدا کرده و شهرت یافتن آن را پس از علّامه رحمه الله در صحّت سند خبر مزبور مفید نمی‌دانند</w:t>
      </w:r>
      <w:r>
        <w:rPr>
          <w:rFonts w:eastAsia="IRNazanin" w:cs="IRNazanin"/>
          <w:color w:val="111111"/>
          <w:sz w:val="28"/>
          <w:szCs w:val="28"/>
          <w:rtl w:val="true"/>
          <w:lang w:bidi="fa-IR"/>
        </w:rPr>
        <w:t>.</w:t>
      </w:r>
    </w:p>
    <w:p>
      <w:pPr>
        <w:pStyle w:val="Heading4"/>
        <w:numPr>
          <w:ilvl w:val="3"/>
          <w:numId w:val="1"/>
        </w:numPr>
        <w:rPr/>
      </w:pPr>
      <w:bookmarkStart w:id="45" w:name="__RefHeading___Toc105479_373438147"/>
      <w:bookmarkStart w:id="46" w:name="_Toc17"/>
      <w:bookmarkEnd w:id="45"/>
      <w:r>
        <w:rPr>
          <w:rtl w:val="true"/>
        </w:rPr>
        <w:t>پاسخ اشکال امام خمینی رحمه الله</w:t>
      </w:r>
      <w:bookmarkEnd w:id="46"/>
    </w:p>
    <w:p>
      <w:pPr>
        <w:pStyle w:val="BookText"/>
        <w:rPr/>
      </w:pPr>
      <w:r>
        <w:rPr>
          <w:rFonts w:ascii="IRNazanin" w:hAnsi="IRNazanin" w:eastAsia="IRNazanin"/>
          <w:color w:val="111111"/>
          <w:sz w:val="28"/>
          <w:sz w:val="28"/>
          <w:szCs w:val="28"/>
          <w:rtl w:val="true"/>
          <w:lang w:bidi="fa-IR"/>
        </w:rPr>
        <w:t xml:space="preserve">والد بزرگوار حضرت آیت‌اللّه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رحمه الله را مورد مناقشه قرار داده و در مقام پاسخ از اشکال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الإیراد علیه بظهور عبارة السیّد فی الانتصار فی أنّه فی مقام الاحتجاج علیهم بما هو مقبول عنده وعندهم، لا بما هو مورد لقبولهم فقط، حتّی یکون من باب الجدل، وأظهر منه عبارة الشیخ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تعرّض جمع من کتب القدماء والمتوسّطین له، فلعلّه لأجل أنّه لا یکون مفاد الروایة مخالفاً للقاعدة الثابتة عند العقلاء؛ لأنّ بناءهم أیضاً علی ضمان ید الغاصب والرجوع إلیه لأخذ العین أو المثل أو القیمة، کما لا یخفی</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 وجود دارد که بر کلام امام خمینی رحمه الله چنین اشکال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عبارت سیّد مرتضی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در مقام احتجاج، به روایتی که هم مقبول نزد خودش و هم مقبول نزد اهل سنّت است، تمسّک نموده‌اند؛ نه آن‌که این روایت، فقط مقبول در نزد آن‌ها باشد؛ که در این صورت، عبارت سیّد از باب</w:t>
      </w:r>
    </w:p>
    <w:p>
      <w:pPr>
        <w:pStyle w:val="BookText"/>
        <w:rPr/>
      </w:pPr>
      <w:r>
        <w:rPr>
          <w:rFonts w:ascii="IRNazanin" w:hAnsi="IRNazanin" w:eastAsia="IRNazanin"/>
          <w:color w:val="111111"/>
          <w:sz w:val="28"/>
          <w:sz w:val="28"/>
          <w:szCs w:val="28"/>
          <w:rtl w:val="true"/>
          <w:lang w:bidi="fa-IR"/>
        </w:rPr>
        <w:t>جدل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ظاهرتر از آن، عبارت مرحوم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بعضی از قدما و متوسطین ذکر نشده است، شاید به جهت آن باشد که مفاد روایت با قاعده ثابت نزد عقلا مخالف نیست؛ چرا که بنای عقلا نیز بر ضمان ید غاصب و رجوع به او برای گرفتن عین مال، یا مثل و یا قیمتش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مرحوم شیخ طوسی رحمه الله در کتاب خلاف خود مواردی را بیان می‌کنند که در آن‌ها روایت به عنوان استناد آورده شده است و نه احتجاج با عامّه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یا شیخ طوسی رحمه الله در چند مورد از کتاب مبسوط این روایت را به عنوان استناد ذکر می‌کند و نه احتجاج با عامّه؛ مانند این مورد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ثبت ذلک فالودیعة جائزة من الطرفین، من جهة المودِع متی شاء أن یستردّها فعل، ومن جهة المودَع متی شاء أن یردّها فعل، بدلالة ما تقدّمت من الأخبار والآی، روی سمرة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دیگری که در سخنان امام خمینی رحمه الله وجود دارد، این است که ایشان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أرَ إلی الآن فیما عندی من کتب العلّامة تمسّکه به لإثبات حکم، وإنّما نقل عن إبن‌الجنید وابن إدریس التمسّک به علی ما حکی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من در کتب علّامه رحمه الله موردی را ندیده‌ام که ایشان به این روایت، برای</w:t>
      </w:r>
    </w:p>
    <w:p>
      <w:pPr>
        <w:pStyle w:val="BookText"/>
        <w:rPr/>
      </w:pPr>
      <w:r>
        <w:rPr>
          <w:rFonts w:ascii="IRNazanin" w:hAnsi="IRNazanin" w:eastAsia="IRNazanin"/>
          <w:color w:val="111111"/>
          <w:sz w:val="28"/>
          <w:sz w:val="28"/>
          <w:szCs w:val="28"/>
          <w:rtl w:val="true"/>
          <w:lang w:bidi="fa-IR"/>
        </w:rPr>
        <w:t>اثبات حکمی تمسّک کرده باشد؛ و فقط مرحوم علّامه از ابن جنید و ابن ادریس رحمهما الله نقل کرده است که به این روایت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کلام ایشان دو مطلب را می‌توان بیان داشت؛ اوّل آن‌که با مراجعه به کتاب‌های علّامه رحمه الله، معلوم می‌شود مواردی وجود دارد که ایشان بدون نقل قول از ابن جنید و ابن ادریس، به این روایت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موارد زیر را می‌توان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احتجّوا بعموم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علی‌الید ماأخذت حتّی تؤدّی</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والرسول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دوّم نیز این است که فخر المحقّقین فرزند علّامه رحمهما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است، در موارد بسیاری به این روایت تمسّک و اشاره می‌کند</w:t>
      </w:r>
      <w:r>
        <w:rPr>
          <w:rStyle w:val="FootnoteAnchor"/>
          <w:rtl w:val="true"/>
        </w:rPr>
        <w:footnoteReference w:id="46"/>
      </w:r>
      <w:r>
        <w:rPr>
          <w:rFonts w:ascii="IRNazanin" w:hAnsi="IRNazanin" w:eastAsia="IRNazanin"/>
          <w:color w:val="111111"/>
          <w:sz w:val="28"/>
          <w:sz w:val="28"/>
          <w:szCs w:val="28"/>
          <w:rtl w:val="true"/>
          <w:lang w:bidi="fa-IR"/>
        </w:rPr>
        <w:t>؛ و اگر این روایت در نزد پدر بزرگوارش مورد قبول نبود، حدّاقل به آن اشاره می‌کرد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مباحث تا اینجا این می‌شود که اشکال صغروی حضرت امام رحمه الله قابل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معتقدند عمل مشهور جابر ضعف سند روایت است، به این روایت می‌توانند عمل کنند</w:t>
      </w:r>
      <w:r>
        <w:rPr>
          <w:rFonts w:eastAsia="IRNazanin" w:cs="IRNazanin"/>
          <w:color w:val="111111"/>
          <w:sz w:val="28"/>
          <w:szCs w:val="28"/>
          <w:rtl w:val="true"/>
          <w:lang w:bidi="fa-IR"/>
        </w:rPr>
        <w:t>.</w:t>
      </w:r>
      <w:bookmarkStart w:id="47" w:name="pg877_5831"/>
    </w:p>
    <w:p>
      <w:pPr>
        <w:pStyle w:val="Heading4"/>
        <w:numPr>
          <w:ilvl w:val="3"/>
          <w:numId w:val="1"/>
        </w:numPr>
        <w:rPr/>
      </w:pPr>
      <w:bookmarkStart w:id="48" w:name="__RefHeading___Toc105481_373438147"/>
      <w:bookmarkStart w:id="49" w:name="_Toc18"/>
      <w:bookmarkEnd w:id="47"/>
      <w:bookmarkEnd w:id="48"/>
      <w:r>
        <w:rPr>
          <w:rtl w:val="true"/>
        </w:rPr>
        <w:t>فقدان روایت در کتب اربعه و تأثیر آن بر استدلال به حدیث</w:t>
      </w:r>
      <w:bookmarkEnd w:id="49"/>
    </w:p>
    <w:p>
      <w:pPr>
        <w:pStyle w:val="BookText"/>
        <w:rPr/>
      </w:pPr>
      <w:r>
        <w:rPr>
          <w:rFonts w:ascii="IRNazanin" w:hAnsi="IRNazanin" w:eastAsia="IRNazanin"/>
          <w:color w:val="111111"/>
          <w:sz w:val="28"/>
          <w:sz w:val="28"/>
          <w:szCs w:val="28"/>
          <w:rtl w:val="true"/>
          <w:lang w:bidi="fa-IR"/>
        </w:rPr>
        <w:t xml:space="preserve">اشکال دیگری که ممکن است به این روایت گرفته شود، آن است که فقدان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اربعه، جواز استدلال به این روایت را مخدوش می‌کند و دیگر نمی‌توان برای ضمان ید به این حدیث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نیز آن است که در علم رجال ثابت شده است نبود یک روایت در کتب اربعه موجب ضعف روایت نمی‌شود؛ همان‌گونه که وجود روایت در آن کتاب‌ها قرینه حجّیت آن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روایات معتبری وجود دارد که علما و بزرگان بر طبق آن عمل و بدان اعتماد می‌کنند، امّا در کتب اربعه ذکری از آن‌ها به میان نیامده است؛ و از دیگر سو، در این کتاب‌ها روایات ضعیف نیز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ملاک آن است که خبر واجد شرایط باشد و از شرایط حجت خبر، وجود آن در کتب اربعه است؛ زیرا اگر حجت منحصر به این کتب شود، سبب می‌شود که بقیه از اعتبار ساقط شود در حالی که کثیری از کتب دیگر در اشتهار نزدیک به همین کتب اربعه می‌باشند، مانند عیون و خصال و اکمال الدین و بزرگان امامیه همیشه و در همۀ اعصار به این کتب استناد می‌کردند و از هیچ کس شنیده نشده است که اکتفا نمایند بر روایات کتب اربعه و اینکه فقهاء توجه بیشتری به کتب اربعه داشته‌اند به این معنی نیست که غیر از آن حجیت ندارد، بلکه چون اینها دارای ترتیب و حسن تهذیب بودند و مؤلفین آنها از رؤسای شیعه بودند و علاوه غیر از کتاب کافی بقیۀ کتب اربعه منحصر در احکام می‌باشند در حالی که سایر کتب حدیثی اخبار غیر فقهی نیز دارند و این اقتضای تفرق را دارد به نحوی که مراجعه به آن مشکل است، از این جهت رغبت فقهاء به مراجعه به آنها کمتر بوده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سندی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نیتجه‌ای که از مباحث سندی روایت گرفته</w:t>
      </w:r>
    </w:p>
    <w:p>
      <w:pPr>
        <w:pStyle w:val="BookText"/>
        <w:rPr/>
      </w:pPr>
      <w:r>
        <w:rPr>
          <w:rFonts w:ascii="IRNazanin" w:hAnsi="IRNazanin" w:eastAsia="IRNazanin"/>
          <w:color w:val="111111"/>
          <w:sz w:val="28"/>
          <w:sz w:val="28"/>
          <w:szCs w:val="28"/>
          <w:rtl w:val="true"/>
          <w:lang w:bidi="fa-IR"/>
        </w:rPr>
        <w:t xml:space="preserve">می‌شود، این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معتبر بوده و استناد به آن برای ضمان ید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در این قاعده، در مورد مفاد و دلالت این روایت است، امّا قبل از آن، لازم است نکات زیر تذکر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حیث دلالت مجمل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مزبور دلالتی بر ضمان ندارد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شبیه استدلال فوق را در بحث قاعده لاحرج نیز داشتیم که در آن بحث، بعضی از علما قائل بودند معنای حرج روشن نبوده و اجمال دارد؛ مجمل نیز فاقد صلاحیت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چنان‌که بیان خواهیم کرد و بزرگان علما</w:t>
      </w:r>
      <w:r>
        <w:rPr>
          <w:rStyle w:val="FootnoteAnchor"/>
          <w:rtl w:val="true"/>
        </w:rPr>
        <w:footnoteReference w:id="48"/>
      </w:r>
      <w:r>
        <w:rPr>
          <w:rFonts w:ascii="IRNazanin" w:hAnsi="IRNazanin" w:eastAsia="IRNazanin"/>
          <w:color w:val="111111"/>
          <w:sz w:val="28"/>
          <w:sz w:val="28"/>
          <w:szCs w:val="28"/>
          <w:rtl w:val="true"/>
          <w:lang w:bidi="fa-IR"/>
        </w:rPr>
        <w:t xml:space="preserve">نیز گفته‌اند،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اجمالی وجود ندارد و حدیث به خوبی بر ضمان ید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 بودن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این است که 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به عنوان مستند حکم فقهی فقها قرار گیرد، لازم است که پیامبر اسلام صلی الله علیه و آله در هنگام بیان این روایت، در مقام انشاء و جعل حکم باشند و نه در مقام اخبار؛ اگر گفته شود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خبریه بوده و متضمّن حکم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تکلیفی یا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معنای روایت این می‌شود که پیامبر اکرم صلی الله علیه و آله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در دست انسان است تا زمانی که آن را ادا کند، در دستش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نادرستی این احتمال نیاز به بحث و استدلال ندارد؛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رکاکت معنای خبری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روایت، ظهور در الزام 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روایت و استدلال به آن توسط بزرگان از فقهای خاصه و</w:t>
      </w:r>
    </w:p>
    <w:p>
      <w:pPr>
        <w:pStyle w:val="BookText"/>
        <w:rPr/>
      </w:pPr>
      <w:r>
        <w:rPr>
          <w:rFonts w:ascii="IRNazanin" w:hAnsi="IRNazanin" w:eastAsia="IRNazanin"/>
          <w:color w:val="111111"/>
          <w:sz w:val="28"/>
          <w:sz w:val="28"/>
          <w:szCs w:val="28"/>
          <w:rtl w:val="true"/>
          <w:lang w:bidi="fa-IR"/>
        </w:rPr>
        <w:t>عامه، کاشف از این است که متفاهم عرفی از این روایت، جمله خبریه نبوده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روایت به صورت جمله خبریه صادر شده، لکین منافاتی میان جمله خبریه و انشای حکم نیست؛ چون در اصول ثابت شده است گاه شارع مقدّس، به جهاتی، احکام شرعی را با جمله خبریّه انشاء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اندک دقّتی در سیاق روایت، دلالت آن بر حکم شرعی، بی‌نیاز از استدلال و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سندی این حدیث، نوبت به بحث از دلالت و متن حدیث می‌رسد؛ و از این حیث، لازم است در دو جهت بحث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مفاد ترکیبی حدیث است؛ به این معنا که مجموع ترکیبی حدیث را مورد بررسی و تحقیق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مفردات حدیث و الفاظ مذکور در حدیث است</w:t>
      </w:r>
      <w:r>
        <w:rPr>
          <w:rFonts w:eastAsia="IRNazanin" w:cs="IRNazanin"/>
          <w:color w:val="111111"/>
          <w:sz w:val="28"/>
          <w:szCs w:val="28"/>
          <w:rtl w:val="true"/>
          <w:lang w:bidi="fa-IR"/>
        </w:rPr>
        <w:t>.</w:t>
      </w:r>
      <w:bookmarkStart w:id="50" w:name="pg877_5834"/>
    </w:p>
    <w:p>
      <w:pPr>
        <w:pStyle w:val="Heading2"/>
        <w:numPr>
          <w:ilvl w:val="1"/>
          <w:numId w:val="1"/>
        </w:numPr>
        <w:rPr/>
      </w:pPr>
      <w:bookmarkStart w:id="51" w:name="__RefHeading___Toc105483_373438147"/>
      <w:bookmarkStart w:id="52" w:name="_Toc19"/>
      <w:bookmarkEnd w:id="50"/>
      <w:bookmarkEnd w:id="51"/>
      <w:r>
        <w:rPr>
          <w:rtl w:val="true"/>
        </w:rPr>
        <w:t>بخش اوّل</w:t>
      </w:r>
      <w:r>
        <w:rPr>
          <w:rtl w:val="true"/>
        </w:rPr>
        <w:t xml:space="preserve">: </w:t>
      </w:r>
      <w:r>
        <w:rPr>
          <w:rtl w:val="true"/>
        </w:rPr>
        <w:t xml:space="preserve">بررسی مفاد ترکیبی حدیث </w:t>
      </w:r>
      <w:r>
        <w:rPr>
          <w:rtl w:val="true"/>
        </w:rPr>
        <w:t>«</w:t>
      </w:r>
      <w:r>
        <w:rPr>
          <w:rtl w:val="true"/>
        </w:rPr>
        <w:t>علی الید</w:t>
      </w:r>
      <w:r>
        <w:rPr>
          <w:rtl w:val="true"/>
        </w:rPr>
        <w:t>»</w:t>
      </w:r>
      <w:bookmarkEnd w:id="52"/>
    </w:p>
    <w:p>
      <w:pPr>
        <w:pStyle w:val="Heading3"/>
        <w:numPr>
          <w:ilvl w:val="2"/>
          <w:numId w:val="1"/>
        </w:numPr>
        <w:rPr/>
      </w:pPr>
      <w:bookmarkStart w:id="53" w:name="__RefHeading___Toc105485_373438147"/>
      <w:bookmarkStart w:id="54" w:name="_Toc20"/>
      <w:bookmarkEnd w:id="53"/>
      <w:r>
        <w:rPr>
          <w:rtl w:val="true"/>
        </w:rPr>
        <w:t>فصل اوّل</w:t>
      </w:r>
      <w:r>
        <w:rPr>
          <w:rtl w:val="true"/>
        </w:rPr>
        <w:t xml:space="preserve">: </w:t>
      </w:r>
      <w:r>
        <w:rPr>
          <w:rtl w:val="true"/>
        </w:rPr>
        <w:t>نظریّات موجود در مفاد روایت</w:t>
      </w:r>
      <w:bookmarkEnd w:id="54"/>
    </w:p>
    <w:p>
      <w:pPr>
        <w:pStyle w:val="Heading4"/>
        <w:numPr>
          <w:ilvl w:val="3"/>
          <w:numId w:val="1"/>
        </w:numPr>
        <w:rPr/>
      </w:pPr>
      <w:bookmarkStart w:id="55" w:name="__RefHeading___Toc105487_373438147"/>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پس از روشن شدن این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و جعل حکم است، باید دید آیا روایت، در مقام بیان حکم تکلیفی است و یا آن‌که مفاد روایت، جعل حکم وضعی است؟</w:t>
      </w:r>
    </w:p>
    <w:p>
      <w:pPr>
        <w:pStyle w:val="BookText"/>
        <w:rPr/>
      </w:pPr>
      <w:r>
        <w:rPr>
          <w:rFonts w:ascii="IRNazanin" w:hAnsi="IRNazanin" w:eastAsia="IRNazanin"/>
          <w:color w:val="111111"/>
          <w:sz w:val="28"/>
          <w:sz w:val="28"/>
          <w:szCs w:val="28"/>
          <w:rtl w:val="true"/>
          <w:lang w:bidi="fa-IR"/>
        </w:rPr>
        <w:t xml:space="preserve">در مورد این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حکم تکلیفی می‌کند و یا وضعی، شش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فقها، از جمله مرحوم شیخ طوسی رحمه الله قائل‌اند روایت فقط بر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نظر، روایت دلالتی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فقط حکم ضمان را در صورت بقای عین مال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دیگر از بزرگان، هم‌چون ملّاأحمد نراقی</w:t>
      </w:r>
      <w:r>
        <w:rPr>
          <w:rStyle w:val="FootnoteAnchor"/>
          <w:rtl w:val="true"/>
        </w:rPr>
        <w:footnoteReference w:id="49"/>
      </w:r>
      <w:r>
        <w:rPr>
          <w:rFonts w:ascii="IRNazanin" w:hAnsi="IRNazanin" w:eastAsia="IRNazanin"/>
          <w:color w:val="111111"/>
          <w:sz w:val="28"/>
          <w:sz w:val="28"/>
          <w:szCs w:val="28"/>
          <w:rtl w:val="true"/>
          <w:lang w:bidi="fa-IR"/>
        </w:rPr>
        <w:t>و محقّق ایروانی</w:t>
      </w:r>
      <w:r>
        <w:rPr>
          <w:rStyle w:val="FootnoteAnchor"/>
          <w:rtl w:val="true"/>
        </w:rPr>
        <w:footnoteReference w:id="50"/>
      </w:r>
      <w:r>
        <w:rPr>
          <w:rFonts w:ascii="IRNazanin" w:hAnsi="IRNazanin" w:eastAsia="IRNazanin"/>
          <w:color w:val="111111"/>
          <w:sz w:val="28"/>
          <w:sz w:val="28"/>
          <w:szCs w:val="28"/>
          <w:rtl w:val="true"/>
          <w:lang w:bidi="fa-IR"/>
        </w:rPr>
        <w:t>رحمهما الله</w:t>
      </w:r>
      <w:bookmarkStart w:id="57" w:name="pg877_5837"/>
    </w:p>
    <w:p>
      <w:pPr>
        <w:pStyle w:val="BookText"/>
        <w:rPr/>
      </w:pPr>
      <w:bookmarkEnd w:id="57"/>
      <w:r>
        <w:rPr>
          <w:rFonts w:ascii="IRNazanin" w:hAnsi="IRNazanin" w:eastAsia="IRNazanin"/>
          <w:color w:val="111111"/>
          <w:sz w:val="28"/>
          <w:sz w:val="28"/>
          <w:szCs w:val="28"/>
          <w:rtl w:val="true"/>
          <w:lang w:bidi="fa-IR"/>
        </w:rPr>
        <w:t xml:space="preserve">معتقدند که از روایت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و این حدیث دلالتی بر وجوب الردّ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فقها بر این عقیده‌اند که حکم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ضمان، هم در صورت بقا و هم در صورت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فرض وجود مال، ذی الید ضامن عین است و باید آن را به مالکش باز گرداند؛ و در صورت تلف عین نیز ضامن مثل و یا قیمت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چهارم این است که روایت بر حکم وضعی ضمان، فقط در صورت تلف دلالت دارد؛ بنابراین، ذی الید در صورت بقای عین ضامن آن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نائینی رحمه الله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مطابقی بر ضمان دلالت دارد، امّا به دلالت التزامی، دلالت بر حکم تکلیفی 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ششم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مطابقی، هم بر حکم وضعی و هم بر حکم تکلیفی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مشخص شدن این که کدام‌یک از نظریات فوق صحیح است، بررسی و دقت در دو مطلب ضروری است</w:t>
      </w:r>
      <w:r>
        <w:rPr>
          <w:rFonts w:eastAsia="IRNazanin" w:cs="IRNazanin"/>
          <w:color w:val="111111"/>
          <w:sz w:val="28"/>
          <w:szCs w:val="28"/>
          <w:rtl w:val="true"/>
          <w:lang w:bidi="fa-IR"/>
        </w:rPr>
        <w:t>.</w:t>
      </w:r>
    </w:p>
    <w:p>
      <w:pPr>
        <w:pStyle w:val="Heading4"/>
        <w:numPr>
          <w:ilvl w:val="3"/>
          <w:numId w:val="1"/>
        </w:numPr>
        <w:rPr/>
      </w:pPr>
      <w:bookmarkStart w:id="58" w:name="__RefHeading___Toc105489_373438147"/>
      <w:bookmarkStart w:id="59" w:name="_Toc22"/>
      <w:bookmarkEnd w:id="58"/>
      <w:r>
        <w:rPr>
          <w:rtl w:val="true"/>
        </w:rPr>
        <w:t>گفتار اوّل</w:t>
      </w:r>
      <w:r>
        <w:rPr>
          <w:rtl w:val="true"/>
        </w:rPr>
        <w:t xml:space="preserve">: </w:t>
      </w:r>
      <w:r>
        <w:rPr>
          <w:rtl w:val="true"/>
        </w:rPr>
        <w:t xml:space="preserve">بررسی تفاوت دلالت </w:t>
      </w:r>
      <w:r>
        <w:rPr>
          <w:rtl w:val="true"/>
        </w:rPr>
        <w:t>«</w:t>
      </w:r>
      <w:r>
        <w:rPr>
          <w:rtl w:val="true"/>
        </w:rPr>
        <w:t>علی الید</w:t>
      </w:r>
      <w:r>
        <w:rPr>
          <w:rtl w:val="true"/>
        </w:rPr>
        <w:t xml:space="preserve">» </w:t>
      </w:r>
      <w:r>
        <w:rPr>
          <w:rtl w:val="true"/>
        </w:rPr>
        <w:t>با توجه به متعلّق آن</w:t>
      </w:r>
      <w:bookmarkEnd w:id="59"/>
    </w:p>
    <w:p>
      <w:pPr>
        <w:pStyle w:val="Heading5"/>
        <w:numPr>
          <w:ilvl w:val="4"/>
          <w:numId w:val="1"/>
        </w:numPr>
        <w:rPr/>
      </w:pPr>
      <w:bookmarkStart w:id="60" w:name="__RefHeading___Toc105491_373438147"/>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اختلاف شده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اسنادش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مالی از اموال نسبت داده شود و یا به فعلی از افعال 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یا آن که در هر حال به یک معناست؟</w:t>
      </w:r>
      <w:r>
        <w:rPr>
          <w:rFonts w:eastAsia="IRNazanin" w:cs="IRNazanin"/>
          <w:color w:val="111111"/>
          <w:sz w:val="28"/>
          <w:szCs w:val="28"/>
          <w:rtl w:val="true"/>
          <w:lang w:bidi="fa-IR"/>
        </w:rPr>
        <w:t>.</w:t>
      </w:r>
    </w:p>
    <w:p>
      <w:pPr>
        <w:pStyle w:val="Heading5"/>
        <w:numPr>
          <w:ilvl w:val="4"/>
          <w:numId w:val="1"/>
        </w:numPr>
        <w:rPr/>
      </w:pPr>
      <w:bookmarkStart w:id="62" w:name="__RefHeading___Toc105493_373438147"/>
      <w:bookmarkStart w:id="63" w:name="_Toc24"/>
      <w:bookmarkEnd w:id="62"/>
      <w:r>
        <w:rPr/>
        <w:t>1</w:t>
      </w:r>
      <w:r>
        <w:rPr>
          <w:rtl w:val="true"/>
        </w:rPr>
        <w:t xml:space="preserve"> - </w:t>
      </w:r>
      <w:r>
        <w:rPr>
          <w:rtl w:val="true"/>
        </w:rPr>
        <w:t>نظریّه شیخ انصاری رحمه الله</w:t>
      </w:r>
      <w:bookmarkEnd w:id="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مرحوم شیخ اعظم انصاری قدس سره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 از افعال</w:t>
      </w:r>
    </w:p>
    <w:p>
      <w:pPr>
        <w:pStyle w:val="BookText"/>
        <w:rPr/>
      </w:pPr>
      <w:r>
        <w:rPr>
          <w:rFonts w:ascii="IRNazanin" w:hAnsi="IRNazanin" w:eastAsia="IRNazanin"/>
          <w:color w:val="111111"/>
          <w:sz w:val="28"/>
          <w:sz w:val="28"/>
          <w:szCs w:val="28"/>
          <w:rtl w:val="true"/>
          <w:lang w:bidi="fa-IR"/>
        </w:rPr>
        <w:t xml:space="preserve">مکلّفین اسناد داده شود، ظهور در حکم تکلیفی دارد؛ همان‌گونه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جار و مجرور به حجّ که فعلی از افعال مکلّفین است، اسناد داده شده و بر حکم تکلیفی دلالت دارد؛ امّا اگر جارّ و مجرور به مالی از اموال نسبت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موردی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در حکم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نیز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من الأعیان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همانند موردی است که ظرف به مالی از اموال نسبت داده شود؛ بنابراین، ظهور در حکم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والخدشة فی دلالته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النبویّ المشهور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فی‌الحکم التکلیفی فلا یدلّ علی الضمان، ضعیفة جدّاً؛ فإنّ هذا الظهور إنّما هو إذا اسندالظرف إلی فعلٍ من أفعال المکلّفین، لا إلی مالٍ من الأموال،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لمجرّد الاستقرار فی العهدة، عیناً کان أو دیناً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شیخ انصاری رحمه الله نیز بزرگانی مثل محقّق نائینی رحمه الله این نظر و تفصیل را پذیرفته و معتقدند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وضعی ضمان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نائینی قدس سره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الظرف فی المقام ظرف مستقرّ لوقوعه خبراً، فاستقرار الأموال وثبوتها علی‌الید ظاهر فی الحکم الوضعی، کما إذا قیل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دین أو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یستقرّ علیه‌الدین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الحدیث علی</w:t>
      </w:r>
      <w:bookmarkStart w:id="64" w:name="pg877_5839"/>
    </w:p>
    <w:p>
      <w:pPr>
        <w:pStyle w:val="BookText"/>
        <w:rPr/>
      </w:pPr>
      <w:bookmarkEnd w:id="64"/>
      <w:r>
        <w:rPr>
          <w:rFonts w:ascii="IRNazanin" w:hAnsi="IRNazanin" w:eastAsia="IRNazanin"/>
          <w:color w:val="111111"/>
          <w:sz w:val="28"/>
          <w:sz w:val="28"/>
          <w:szCs w:val="28"/>
          <w:rtl w:val="true"/>
          <w:lang w:bidi="fa-IR"/>
        </w:rPr>
        <w:t>الحکم التکلیفی خلاف الظاهر؛ لاقتضائه أن یجعل‌الظرف لغواً، ویقدّر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ولا 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متعلّق الحروف الجارّة وما اسند إلیه الظرف فعلاً من الأفعال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القیام‌والقعود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فظاهره فی الحکم التکلیفی</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105495_373438147"/>
      <w:bookmarkStart w:id="66" w:name="_Toc25"/>
      <w:bookmarkEnd w:id="65"/>
      <w:r>
        <w:rPr/>
        <w:t>2</w:t>
      </w:r>
      <w:r>
        <w:rPr>
          <w:rtl w:val="true"/>
        </w:rPr>
        <w:t xml:space="preserve"> - </w:t>
      </w:r>
      <w:r>
        <w:rPr>
          <w:rtl w:val="true"/>
        </w:rPr>
        <w:t>نظریّه محقّق ایروانی رحمه الله</w:t>
      </w:r>
      <w:bookmarkEnd w:id="66"/>
    </w:p>
    <w:p>
      <w:pPr>
        <w:pStyle w:val="BookText"/>
        <w:rPr/>
      </w:pPr>
      <w:r>
        <w:rPr>
          <w:rFonts w:ascii="IRNazanin" w:hAnsi="IRNazanin" w:eastAsia="IRNazanin"/>
          <w:color w:val="111111"/>
          <w:sz w:val="28"/>
          <w:sz w:val="28"/>
          <w:szCs w:val="28"/>
          <w:rtl w:val="true"/>
          <w:lang w:bidi="fa-IR"/>
        </w:rPr>
        <w:t>در مقابل نظریّه مرحوم شیخ انصاری و محقّق نائینی رحمهما الله، نظریّه محقّق ایروانی رحمه الله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تفصیل شیخ اعظم رحمه الله را نپذیرفته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فعلی از افعال مکلّفین نسبت داده شود، بدون هیچ تردیدی در حکم تکلیفی ظهور دارد؛ امّا در مواردی که به مالی از اموال نسبت داده می‌شود، باید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عمل خارجی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گرفت؛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تقدیر گرفته شود و در این صورت نیز بر حکم تکلیفی دلالت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مورد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حکم وضعی دارد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اشتغال ذمّه و حکم وضعی ضمان از خود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این کلمه قرینه بر این معناست؛ امّا بحث ما در این است که مدلول و محتوای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است؟</w:t>
      </w:r>
    </w:p>
    <w:p>
      <w:pPr>
        <w:pStyle w:val="BookText"/>
        <w:rPr/>
      </w:pPr>
      <w:r>
        <w:rPr>
          <w:rFonts w:ascii="IRNazanin" w:hAnsi="IRNazanin" w:eastAsia="IRNazanin"/>
          <w:color w:val="111111"/>
          <w:sz w:val="28"/>
          <w:sz w:val="28"/>
          <w:szCs w:val="28"/>
          <w:rtl w:val="true"/>
          <w:lang w:bidi="fa-IR"/>
        </w:rPr>
        <w:t>عبارت محقّق ایروانی رحمه الله چنین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بین الإسنادین فی استفادة التکلیف من الظرف، فیقدّر الفعل فیما اسند إلی‌المال کما یقدّر الفعل عند إسناد التکلیف إلی الذات، 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إنّی مکلّف بنفقة العیال، وأمّا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فاشتغال الذمّة فیه یستفاد من لفظدین لا من کلمة علیّ،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القرینة علی أنّ المراد من المال</w:t>
      </w:r>
    </w:p>
    <w:p>
      <w:pPr>
        <w:pStyle w:val="BookText"/>
        <w:rPr/>
      </w:pPr>
      <w:r>
        <w:rPr>
          <w:rFonts w:ascii="IRNazanin" w:hAnsi="IRNazanin" w:eastAsia="IRNazanin"/>
          <w:color w:val="111111"/>
          <w:sz w:val="28"/>
          <w:sz w:val="28"/>
          <w:szCs w:val="28"/>
          <w:rtl w:val="true"/>
          <w:lang w:bidi="fa-IR"/>
        </w:rPr>
        <w:t>الدینُ‌دون العین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پس از بیان این که در مورد استفاده حکم تکلیفی، بین اسناد به مال و اسناد به فعل مکلّف فرقی نیست، این احتمال را می‌دهند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 أو علیّ أو فی رقبتی مقدار کذا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ضمان و اشتغال ذمّه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مطلب نفعی به حال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 در روایت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 حکم وضعی ضمان را از آن استفاده کرد، بلکه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ظهور در حکم تکلیفی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متکلّم، در این مورد، در مقام بیان این مطلب است که تکلیفی را به سبب ید اثبات نماید؛ شاهد آن نیز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السَّمْعَ وَ الْبَصَرَ وَ الْفُؤَادَ کُلُّ أُوْلَل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کَانَ عَنْهُ مَسُْولًا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است که در آن جوارح بدن به جهت آن‌که سبب عصیان شده‌اند، جزا و عقاب به آن‌ها نسبت داده شده است و منظور حکم تکلیفی است و نه حکم وضعی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محقّق ایروانی رحمه الله قائل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حکم تکلیفی دارد و نه وضعی؛ وی در ادامه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غایت موجود در روایت ناسازگار است</w:t>
      </w:r>
      <w:r>
        <w:rPr>
          <w:rFonts w:eastAsia="IRNazanin" w:cs="IRNazanin"/>
          <w:color w:val="111111"/>
          <w:sz w:val="28"/>
          <w:szCs w:val="28"/>
          <w:rtl w:val="true"/>
          <w:lang w:bidi="fa-IR"/>
        </w:rPr>
        <w:t>.</w:t>
      </w:r>
      <w:r>
        <w:rPr>
          <w:rStyle w:val="FootnoteAnchor"/>
          <w:rtl w:val="true"/>
        </w:rPr>
        <w:footnoteReference w:id="57"/>
      </w:r>
      <w:bookmarkStart w:id="67" w:name="pg877_5841"/>
    </w:p>
    <w:p>
      <w:pPr>
        <w:pStyle w:val="BookText"/>
        <w:rPr/>
      </w:pPr>
      <w:bookmarkEnd w:id="67"/>
      <w:r>
        <w:rPr>
          <w:rFonts w:ascii="IRNazanin" w:hAnsi="IRNazanin" w:eastAsia="IRNazanin"/>
          <w:color w:val="111111"/>
          <w:sz w:val="28"/>
          <w:sz w:val="28"/>
          <w:szCs w:val="28"/>
          <w:rtl w:val="true"/>
          <w:lang w:bidi="fa-IR"/>
        </w:rPr>
        <w:t xml:space="preserve">محقّق ایروانی رحمه الله در نهایت قبول دارند که مواردی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رقبتی کذا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حکم وضعی ضمان دارد؛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بفرماید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بر تکلیف دارد و دیگر نمی‌توان حکم وضعی را از این حدیث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ایشان اشکال می‌شود که چنین قرینیّتی از کجا استفاده می‌شود؟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موضوع برای حکم تکلیفی قرار بگیرد و هم می‌تواند موضوع حکم وضعی باشد؛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حکم تکلیفی دارد، چگونه و به چه دلیلی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فقط چنین ادّعایی دارند و بر این مدّعا هیچ دلیلی اقامه نمی‌کنند</w:t>
      </w:r>
      <w:r>
        <w:rPr>
          <w:rFonts w:eastAsia="IRNazanin" w:cs="IRNazanin"/>
          <w:color w:val="111111"/>
          <w:sz w:val="28"/>
          <w:szCs w:val="28"/>
          <w:rtl w:val="true"/>
          <w:lang w:bidi="fa-IR"/>
        </w:rPr>
        <w:t>.</w:t>
      </w:r>
    </w:p>
    <w:p>
      <w:pPr>
        <w:pStyle w:val="Heading5"/>
        <w:numPr>
          <w:ilvl w:val="4"/>
          <w:numId w:val="1"/>
        </w:numPr>
        <w:rPr/>
      </w:pPr>
      <w:bookmarkStart w:id="68" w:name="__RefHeading___Toc105497_373438147"/>
      <w:bookmarkStart w:id="69" w:name="_Toc26"/>
      <w:bookmarkEnd w:id="68"/>
      <w:r>
        <w:rPr/>
        <w:t>3</w:t>
      </w:r>
      <w:r>
        <w:rPr>
          <w:rtl w:val="true"/>
        </w:rPr>
        <w:t xml:space="preserve"> - </w:t>
      </w:r>
      <w:r>
        <w:rPr>
          <w:rtl w:val="true"/>
        </w:rPr>
        <w:t>نظریّه امام خمینی رحمه الله</w:t>
      </w:r>
      <w:bookmarkEnd w:id="69"/>
    </w:p>
    <w:p>
      <w:pPr>
        <w:pStyle w:val="BookText"/>
        <w:rPr/>
      </w:pPr>
      <w:r>
        <w:rPr>
          <w:rFonts w:ascii="IRNazanin" w:hAnsi="IRNazanin" w:eastAsia="IRNazanin"/>
          <w:color w:val="111111"/>
          <w:sz w:val="28"/>
          <w:sz w:val="28"/>
          <w:szCs w:val="28"/>
          <w:rtl w:val="true"/>
          <w:lang w:bidi="fa-IR"/>
        </w:rPr>
        <w:t>نظریّه سومی که در این زمینه بیان شده، از سوی مرحوم امام خمینی است که به نظر صحیح می‌نماید؛ و هم مطابق با موارد استعمال عرفی است و هم موافق با لغت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قائل‌اند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حکم وضعی دلالت دارد، حتی در مواردی که ظرف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 از افعال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درست در نقطه مقابل نظریّه محقّق ایروانی رحمه الله قرار می‌گیرد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فعلی از افعال اسناد داده شود و چه به مالی از اموال اسناد داده شود، ظهور در حکم تکلیفی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خمینی رحمه الله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را به عنوان شاهد ذکر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با آن‌که</w:t>
      </w:r>
    </w:p>
    <w:p>
      <w:pPr>
        <w:pStyle w:val="BookText"/>
        <w:rPr/>
      </w:pP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حجّ که فعلی از افعال مکلّفین است، اسناد داده شده، حکم وضعی را استفاده می‌کنیم؛ یعنی خداوند در این آیه شریفه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دینی بر عهده مکلّف بوده و ذمّه مکلّف به حجّ مشغول است؛ به همین دلیل است که اگر شخصی مستطیع شود و عمل حجّ را بجا نیاورد و بمیرد، باید بعد از مرگش برای او حجّ انجام دهند؛ چه آن‌که حجّ نیز همانند سایر دیون اوست و باید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آیه شریفه در مقام بیان حکم تکلیفی باشد، به محض آن‌که شخص از دنیا برود، حکم تکلیفی او نیز ساقط می‌شود؛ چرا که متعلق حکم تکلیفی محض، خود مکلّف است و با مرگ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باقی بودن تکلیف حجّ بر ذمّه شخص حتّی پس از مردن او، کاشف از این است که آن حکمی که اوّلاً و بالذات صادر شده، اشتغال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وضعی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که به دنبال هر حکم وضعی، یک حکم تکلیفی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امام خمینی قدس سره در کتاب البیع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الاستقرار علی العهدة، من غیر فرق بین إسنادها إلی الفعل أو المال،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ظاهر فی‌استقرار الحجّ علی عهدة المستطیع، و أنّه صار دیناً علیه، ولهذا لو ذهبت استطاعته وجب علیه الحجّ واستقرّ فی ذمّته، ولو مات یخرج من ماله، فلو کان صرف تکلیف سقط بموته أو سلب استطاعته، لم یکن وجه له، والوضع فی الآیة الکریمة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فرمایش مرحوم امام صحیح است؛ و اگر به لغت نیز مراجعه شود، معلوم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استقرار در عهده است؛ همان‌گونه که</w:t>
      </w:r>
      <w:bookmarkStart w:id="70" w:name="pg877_5843"/>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مطلق الاختصاص است؛ امّا هنگامی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همان‌طور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استفاده می‌شود،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عنوان ضرری استفاده می‌شود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عهده و ذمّه چیزی است که سنگینی مال و مانند آن بر آن قرار می‌گیرد؛ به عنوان مثال، 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زید و سطح نسبت استعلائیه برقرار است و سنگینی زید بر سطح قرار می‌گیرد، در باب حقوق نیز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امر بر عهده زید استیلا و استعلا دارد؛ و این چیزی غیر از ضمان و حکم وضعی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روشن شدن این مطلب که حکم استفاده شده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وضعی ضمان است، نوبت به این بحث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چیست؟</w:t>
      </w:r>
    </w:p>
    <w:p>
      <w:pPr>
        <w:pStyle w:val="Heading4"/>
        <w:numPr>
          <w:ilvl w:val="3"/>
          <w:numId w:val="1"/>
        </w:numPr>
        <w:rPr/>
      </w:pPr>
      <w:bookmarkStart w:id="71" w:name="__RefHeading___Toc105499_373438147"/>
      <w:bookmarkStart w:id="72" w:name="_Toc27"/>
      <w:bookmarkEnd w:id="71"/>
      <w:r>
        <w:rPr>
          <w:rtl w:val="true"/>
        </w:rPr>
        <w:t>گفتار دوّم</w:t>
      </w:r>
      <w:r>
        <w:rPr>
          <w:rtl w:val="true"/>
        </w:rPr>
        <w:t xml:space="preserve">: </w:t>
      </w:r>
      <w:r>
        <w:rPr>
          <w:rtl w:val="true"/>
        </w:rPr>
        <w:t xml:space="preserve">بررسی احتمالات موجود در متعلّق </w:t>
      </w:r>
      <w:r>
        <w:rPr>
          <w:rtl w:val="true"/>
        </w:rPr>
        <w:t>«</w:t>
      </w:r>
      <w:r>
        <w:rPr>
          <w:rtl w:val="true"/>
        </w:rPr>
        <w:t>علی الید</w:t>
      </w:r>
      <w:r>
        <w:rPr>
          <w:rtl w:val="true"/>
        </w:rPr>
        <w:t>»</w:t>
      </w:r>
      <w:bookmarkEnd w:id="72"/>
    </w:p>
    <w:p>
      <w:pPr>
        <w:pStyle w:val="Heading5"/>
        <w:numPr>
          <w:ilvl w:val="4"/>
          <w:numId w:val="1"/>
        </w:numPr>
        <w:rPr/>
      </w:pPr>
      <w:bookmarkStart w:id="73" w:name="__RefHeading___Toc105501_373438147"/>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پر واضح است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جار و مجرور تشکیل شده و خبر مقدّم برای مبتدای مؤخّر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هر جار و مجروری نیاز به متعلّق دارد؛ و به دیگر سخن، نیازمند به عامل مقدّر است؛ 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مأخوذ خارجی، مبتدای مؤخر است و نمی‌تواند متعلّق برای آن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گفته‌اند که هم باید برای جار و مجروری متعلّقی را در نظر گرفت و هم باید مضافی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 چرا که بدون در نظر گرفتن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عنوان مبتدای مؤخّر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نسبت به این که عامل مقدّر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اختلاف</w:t>
      </w:r>
      <w:bookmarkStart w:id="75" w:name="pg877_5844"/>
    </w:p>
    <w:p>
      <w:pPr>
        <w:pStyle w:val="BookText"/>
        <w:rPr/>
      </w:pPr>
      <w:bookmarkEnd w:id="75"/>
      <w:r>
        <w:rPr>
          <w:rFonts w:ascii="IRNazanin" w:hAnsi="IRNazanin" w:eastAsia="IRNazanin"/>
          <w:color w:val="111111"/>
          <w:sz w:val="28"/>
          <w:sz w:val="28"/>
          <w:szCs w:val="28"/>
          <w:rtl w:val="true"/>
          <w:lang w:bidi="fa-IR"/>
        </w:rPr>
        <w:t>کرده‌اند؛ برخی آن را افعال عموم</w:t>
      </w:r>
      <w:r>
        <w:rPr>
          <w:rStyle w:val="FootnoteAnchor"/>
          <w:rtl w:val="true"/>
        </w:rPr>
        <w:footnoteReference w:id="60"/>
      </w:r>
      <w:r>
        <w:rPr>
          <w:rFonts w:ascii="IRNazanin" w:hAnsi="IRNazanin" w:eastAsia="IRNazanin"/>
          <w:color w:val="111111"/>
          <w:sz w:val="28"/>
          <w:sz w:val="28"/>
          <w:szCs w:val="28"/>
          <w:rtl w:val="true"/>
          <w:lang w:bidi="fa-IR"/>
        </w:rPr>
        <w:t>گرفته‌اند،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أخذت الید ثابت أو مستقرّ 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می‌شود و بلاشکّ حدیث، بر حکم وضعی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عدّه‌ای دیگر نیز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فعل خاص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أخذت الید یجب علی الید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لغو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 است که برای آن فعل، فاعلی نیز در نظر گرفته شود؛ چرا که متعلّق احکام تکلیفیه باید فعلی از افعال مکلّفین باشد 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خارجی است و نمی‌تواند متعلّق حکم تکلیفی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عبارت حدیث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الید یجب ردّه 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الید یجب حفظه 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احتمال دیگر آن است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یا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ما أخذت الید یجب 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ما أخذت الید یجب علی الید</w:t>
      </w:r>
      <w:r>
        <w:rPr>
          <w:rFonts w:eastAsia="IRNazanin" w:cs="IRNazanin"/>
          <w:color w:val="111111"/>
          <w:sz w:val="28"/>
          <w:szCs w:val="28"/>
          <w:rtl w:val="true"/>
          <w:lang w:bidi="fa-IR"/>
        </w:rPr>
        <w:t>».</w:t>
      </w:r>
    </w:p>
    <w:p>
      <w:pPr>
        <w:pStyle w:val="Heading5"/>
        <w:numPr>
          <w:ilvl w:val="4"/>
          <w:numId w:val="1"/>
        </w:numPr>
        <w:rPr/>
      </w:pPr>
      <w:bookmarkStart w:id="76" w:name="__RefHeading___Toc105503_373438147"/>
      <w:bookmarkStart w:id="77" w:name="_Toc29"/>
      <w:bookmarkEnd w:id="76"/>
      <w:r>
        <w:rPr>
          <w:rtl w:val="true"/>
        </w:rPr>
        <w:t xml:space="preserve">احتمالات مطرح در متعلّق </w:t>
      </w:r>
      <w:r>
        <w:rPr>
          <w:rtl w:val="true"/>
        </w:rPr>
        <w:t>«</w:t>
      </w:r>
      <w:r>
        <w:rPr>
          <w:rtl w:val="true"/>
        </w:rPr>
        <w:t>علی الید</w:t>
      </w:r>
      <w:r>
        <w:rPr>
          <w:rtl w:val="true"/>
        </w:rPr>
        <w:t>»</w:t>
      </w:r>
      <w:bookmarkEnd w:id="77"/>
    </w:p>
    <w:p>
      <w:pPr>
        <w:pStyle w:val="BookText"/>
        <w:rPr/>
      </w:pPr>
      <w:r>
        <w:rPr>
          <w:rFonts w:ascii="IRNazanin" w:hAnsi="IRNazanin" w:eastAsia="IRNazanin"/>
          <w:color w:val="111111"/>
          <w:sz w:val="28"/>
          <w:sz w:val="28"/>
          <w:szCs w:val="28"/>
          <w:rtl w:val="true"/>
          <w:lang w:bidi="fa-IR"/>
        </w:rPr>
        <w:t xml:space="preserve">بنابراین، در مجموع، در مورد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روایت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ما أخذت الید یجب 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حدیث بر حکم تکلیفی وجوب الردّ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ما أخذت الید یجب 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احتمال، حکم تکلیفی وجوب الحفظ را از حدیث استفاده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أخذت الید ثابت 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مورد به روشنی حکم</w:t>
      </w:r>
    </w:p>
    <w:p>
      <w:pPr>
        <w:pStyle w:val="BookText"/>
        <w:rPr/>
      </w:pPr>
      <w:r>
        <w:rPr>
          <w:rFonts w:ascii="IRNazanin" w:hAnsi="IRNazanin" w:eastAsia="IRNazanin"/>
          <w:color w:val="111111"/>
          <w:sz w:val="28"/>
          <w:sz w:val="28"/>
          <w:szCs w:val="28"/>
          <w:rtl w:val="true"/>
          <w:lang w:bidi="fa-IR"/>
        </w:rPr>
        <w:t>وضعی ضمان از روایت استفاده می‌شود و هیچ تردیدی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احتمال سوم، ممکن است گفته شود که احتیاجی به بیش از یک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لازم نیست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شود؛ چرا که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استفاده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الید ثابت 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دلالت می‌کند که چیزی بر عهده ذی‌الید وجود دارد؛ هرچند بزرگانی مثل محقّق بحرالعلوم</w:t>
      </w:r>
      <w:r>
        <w:rPr>
          <w:rStyle w:val="FootnoteAnchor"/>
          <w:rtl w:val="true"/>
        </w:rPr>
        <w:footnoteReference w:id="61"/>
      </w:r>
      <w:r>
        <w:rPr>
          <w:rFonts w:ascii="IRNazanin" w:hAnsi="IRNazanin" w:eastAsia="IRNazanin"/>
          <w:color w:val="111111"/>
          <w:sz w:val="28"/>
          <w:sz w:val="28"/>
          <w:szCs w:val="28"/>
          <w:rtl w:val="true"/>
          <w:lang w:bidi="fa-IR"/>
        </w:rPr>
        <w:t>و مولی احمد نراقی</w:t>
      </w:r>
      <w:r>
        <w:rPr>
          <w:rStyle w:val="FootnoteAnchor"/>
          <w:rtl w:val="true"/>
        </w:rPr>
        <w:footnoteReference w:id="62"/>
      </w:r>
      <w:r>
        <w:rPr>
          <w:rFonts w:ascii="IRNazanin" w:hAnsi="IRNazanin" w:eastAsia="IRNazanin"/>
          <w:color w:val="111111"/>
          <w:sz w:val="28"/>
          <w:sz w:val="28"/>
          <w:szCs w:val="28"/>
          <w:rtl w:val="true"/>
          <w:lang w:bidi="fa-IR"/>
        </w:rPr>
        <w:t xml:space="preserve">رحمهما الله قائل‌اند حتّی طبق این احتمال که از حدیث حکم وضعی استفاده می‌شود نیز باید دو تقدیر را در نظر گرفت؛ یکی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طرح این مطلب آن است که آیا چنین سخنی می‌تواند به عنوان مرجّح احتمال سوم باشد؟ پاسخ این است که اگر در مباحث آینده به این نتیجه منتهی شویم که تمام احتمالات سه‌گانه از نظر اشکال در یک سطح قرار دارند، مطلب فوق می‌تواند به عنوان مرجّح احتمال سوم مطرح گردد و صحیح است؛ لیکن اگر کسی به این نتیجه برسد که احتمال سوم دارای اشکالاتی است که در مورد احتمال اوّل و دوّم مطرح نمی‌شود، و یا به عکس، احتمال اوّل و دوّم اشکالاتی دارند که در احتمال سوم جاری نیست، دیگر نوبت به این حرف نمی‌رسد و مجالی برای آن باقی نمی‌ماند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دیگری که در اینجا ممکن است مطرح شود، این است که اگر احتمال اوّل و دوّم به جهت اشکال‌های وارد بر آن‌ها، مردود اعلام شوند، آیا 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استفاده حکم وضعی ضمان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تعیّن پیدا می‌کند؟</w:t>
      </w:r>
      <w:bookmarkStart w:id="78" w:name="pg877_5846"/>
    </w:p>
    <w:p>
      <w:pPr>
        <w:pStyle w:val="BookText"/>
        <w:rPr/>
      </w:pPr>
      <w:bookmarkEnd w:id="78"/>
      <w:r>
        <w:rPr>
          <w:rFonts w:ascii="IRNazanin" w:hAnsi="IRNazanin" w:eastAsia="IRNazanin"/>
          <w:color w:val="111111"/>
          <w:sz w:val="28"/>
          <w:sz w:val="28"/>
          <w:szCs w:val="28"/>
          <w:rtl w:val="true"/>
          <w:lang w:bidi="fa-IR"/>
        </w:rPr>
        <w:t xml:space="preserve">پاسخ این سؤال منفی است؛ زیرا، امکان دارد فقیهی هر سه احتمال را مواجه با اشکال بداند و در نهایت بگوید که حدیث اجمال دارد؛ همان‌گونه که مرحوم محقّق نراقی قائل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لازم است که اشکال‌های وارد بر احتمالات سه‌گانه مورد بررسی و دقّت قرار گیرد</w:t>
      </w:r>
      <w:r>
        <w:rPr>
          <w:rFonts w:eastAsia="IRNazanin" w:cs="IRNazanin"/>
          <w:color w:val="111111"/>
          <w:sz w:val="28"/>
          <w:szCs w:val="28"/>
          <w:rtl w:val="true"/>
          <w:lang w:bidi="fa-IR"/>
        </w:rPr>
        <w:t>.</w:t>
      </w:r>
    </w:p>
    <w:p>
      <w:pPr>
        <w:pStyle w:val="Heading5"/>
        <w:numPr>
          <w:ilvl w:val="4"/>
          <w:numId w:val="1"/>
        </w:numPr>
        <w:rPr/>
      </w:pPr>
      <w:bookmarkStart w:id="79" w:name="__RefHeading___Toc105505_373438147"/>
      <w:bookmarkStart w:id="80" w:name="_Toc30"/>
      <w:bookmarkEnd w:id="79"/>
      <w:r>
        <w:rPr>
          <w:rtl w:val="true"/>
        </w:rPr>
        <w:t>احتمال اوّل، دیدگاه شیخ طوسی رحمه الله</w:t>
      </w:r>
      <w:bookmarkEnd w:id="80"/>
    </w:p>
    <w:p>
      <w:pPr>
        <w:pStyle w:val="BookText"/>
        <w:rPr/>
      </w:pPr>
      <w:r>
        <w:rPr>
          <w:rFonts w:ascii="IRNazanin" w:hAnsi="IRNazanin" w:eastAsia="IRNazanin"/>
          <w:color w:val="111111"/>
          <w:sz w:val="28"/>
          <w:sz w:val="28"/>
          <w:szCs w:val="28"/>
          <w:rtl w:val="true"/>
          <w:lang w:bidi="fa-IR"/>
        </w:rPr>
        <w:t xml:space="preserve">در احتمال دوّم گفته شده که عامل مقدّر از افعال خصوص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یا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ما أخذت الید یجب 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بازگرداندن چیزی را که ید گرفته، بر ید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قائل به این احتمال است، می‌توان شیخ الطائفه طوسی رحمه الله را نام برد؛ این فقیه بزرگوار هنگامی که ادلّه حرمت غصب را ذکر می‌نماید،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می‌کند و از عبارات کتابشان استفاده می‌شود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می‌گیرند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این احتمال، دو اشکال مهمّ وارد می‌شود؛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گذشته نیز اشاره شد، تقدیر گرفتن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یا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غایت موجود در حدیث سازگاری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غایت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یا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لازم است که مغیّا غیر از غایت باشد؛ اما طبق این احتمال، غایت و مغیّا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ظاهر حدیث چنین بر می‌آید که غایت موجود در روایت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غایتی شرعی و تعبّدی بوده و شارع مقدّس به عنوان این که شارع است آن را غایت قرا رمی دهد؛ در حالی که اگر مطابق این احتمال،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یا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w:t>
      </w:r>
      <w:bookmarkStart w:id="81" w:name="pg877_5847"/>
    </w:p>
    <w:p>
      <w:pPr>
        <w:pStyle w:val="BookText"/>
        <w:rPr/>
      </w:pPr>
      <w:bookmarkEnd w:id="81"/>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غایت شرعی جعلی تعبّدی خارج و غایتی عقلی می‌شود؛ همانند ضرورت به شرط محمول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خلاف ظاهر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احتمال، دیگر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صورتی که مال تلف شود، دلالتی ندارد؛ چرا که فقط در صورت باقی بودن مال، پرداخت و بازگرداندن آن امکان دارد و بعد از تلف، أداء التالف ممکن نیست</w:t>
      </w:r>
      <w:r>
        <w:rPr>
          <w:rFonts w:eastAsia="IRNazanin" w:cs="IRNazanin"/>
          <w:color w:val="111111"/>
          <w:sz w:val="28"/>
          <w:szCs w:val="28"/>
          <w:rtl w:val="true"/>
          <w:lang w:bidi="fa-IR"/>
        </w:rPr>
        <w:t>.</w:t>
      </w:r>
    </w:p>
    <w:p>
      <w:pPr>
        <w:pStyle w:val="Heading5"/>
        <w:numPr>
          <w:ilvl w:val="4"/>
          <w:numId w:val="1"/>
        </w:numPr>
        <w:rPr/>
      </w:pPr>
      <w:bookmarkStart w:id="82" w:name="__RefHeading___Toc105507_373438147"/>
      <w:bookmarkStart w:id="83" w:name="_Toc31"/>
      <w:bookmarkEnd w:id="82"/>
      <w:r>
        <w:rPr>
          <w:rtl w:val="true"/>
        </w:rPr>
        <w:t>احتمال دوّم، دیدگاه محقّق نراقی و محقّق ایروانی رحمهما الله</w:t>
      </w:r>
      <w:bookmarkEnd w:id="83"/>
    </w:p>
    <w:p>
      <w:pPr>
        <w:pStyle w:val="Heading6"/>
        <w:numPr>
          <w:ilvl w:val="5"/>
          <w:numId w:val="1"/>
        </w:numPr>
        <w:rPr/>
      </w:pPr>
      <w:bookmarkStart w:id="84" w:name="__RefHeading___Toc105509_373438147"/>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همان‌گونه که بیان شد، از میان فقها و بزرگان، محقّق نراقی و محقّق ایروانی رحمهما الله معتقدند که روایت فقط بر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بدین معنا که حفظ مال تا زمانی که به صاحبش بازگردانده شود،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رحمه الله نیز در حاشیه مکاسب</w:t>
      </w:r>
      <w:r>
        <w:rPr>
          <w:rStyle w:val="FootnoteAnchor"/>
          <w:rtl w:val="true"/>
        </w:rPr>
        <w:footnoteReference w:id="64"/>
      </w:r>
      <w:r>
        <w:rPr>
          <w:rFonts w:ascii="IRNazanin" w:hAnsi="IRNazanin" w:eastAsia="IRNazanin"/>
          <w:color w:val="111111"/>
          <w:sz w:val="28"/>
          <w:sz w:val="28"/>
          <w:szCs w:val="28"/>
          <w:rtl w:val="true"/>
          <w:lang w:bidi="fa-IR"/>
        </w:rPr>
        <w:t>بعد از بیان احتمالات سه‌گانه،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محاذیری که سایر احتمالات دارد، در این احتمال کمتر است؛ هرچند که خود ایشان نیز در نهایت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w:t>
      </w:r>
      <w:r>
        <w:rPr>
          <w:rFonts w:eastAsia="IRNazanin" w:cs="IRNazanin"/>
          <w:color w:val="111111"/>
          <w:sz w:val="28"/>
          <w:szCs w:val="28"/>
          <w:rtl w:val="true"/>
          <w:lang w:bidi="fa-IR"/>
        </w:rPr>
        <w:t>.</w:t>
      </w:r>
    </w:p>
    <w:p>
      <w:pPr>
        <w:pStyle w:val="Heading6"/>
        <w:numPr>
          <w:ilvl w:val="5"/>
          <w:numId w:val="1"/>
        </w:numPr>
        <w:rPr/>
      </w:pPr>
      <w:bookmarkStart w:id="86" w:name="__RefHeading___Toc105511_373438147"/>
      <w:bookmarkStart w:id="87" w:name="_Toc33"/>
      <w:bookmarkEnd w:id="86"/>
      <w:r>
        <w:rPr>
          <w:rtl w:val="true"/>
        </w:rPr>
        <w:t xml:space="preserve">تبیین دیدگاه محقّق نراقی رحمه الله در مورد متعلّق </w:t>
      </w:r>
      <w:r>
        <w:rPr>
          <w:rtl w:val="true"/>
        </w:rPr>
        <w:t>«</w:t>
      </w:r>
      <w:r>
        <w:rPr>
          <w:rtl w:val="true"/>
        </w:rPr>
        <w:t>علی الید</w:t>
      </w:r>
      <w:r>
        <w:rPr>
          <w:rtl w:val="true"/>
        </w:rPr>
        <w:t>»</w:t>
      </w:r>
      <w:bookmarkEnd w:id="87"/>
    </w:p>
    <w:p>
      <w:pPr>
        <w:pStyle w:val="BookText"/>
        <w:rPr/>
      </w:pPr>
      <w:r>
        <w:rPr>
          <w:rFonts w:ascii="IRNazanin" w:hAnsi="IRNazanin" w:eastAsia="IRNazanin"/>
          <w:color w:val="111111"/>
          <w:sz w:val="28"/>
          <w:sz w:val="28"/>
          <w:szCs w:val="28"/>
          <w:rtl w:val="true"/>
          <w:lang w:bidi="fa-IR"/>
        </w:rPr>
        <w:t>برای روشن شدن احتمال سوم، لازم است ابتدا کلام محقّق نراقی رحمه الله را نقل و بررسی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الفقهاء واحتجاجهم علی الضمان خلفاً بعد سلف وفهمهم ذلک دلیل علی أنّه کان لهم قرینة علی تقدیره وإن خفیت علینا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یعلم ذلک من جمیع الفقهاء ولا أکثرهم وإن علم من کثیر منهم، ولیس ذلک من الأحکام الشرعیّة الّتی یحکم فیها</w:t>
      </w:r>
    </w:p>
    <w:p>
      <w:pPr>
        <w:pStyle w:val="BookText"/>
        <w:rPr/>
      </w:pPr>
      <w:r>
        <w:rPr>
          <w:rFonts w:ascii="IRNazanin" w:hAnsi="IRNazanin" w:eastAsia="IRNazanin"/>
          <w:color w:val="111111"/>
          <w:sz w:val="28"/>
          <w:sz w:val="28"/>
          <w:szCs w:val="28"/>
          <w:rtl w:val="true"/>
          <w:lang w:bidi="fa-IR"/>
        </w:rPr>
        <w:t>بالاتّفاق بضمیمة الحدس والوجدان، ولا یصلح عمل جماعة دلیلاً لشیء لا یدلّ علی أنّه لقرینة تقدیرالضمان، بل لعلّه لإجتهادهم تقدیر جمیع المحتملات عند عدم تعیّن المقدّر، أولمظنّة شیوع تقدیره، أو لدلیل اجتهادی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هذا الترکیب إثبات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جدّاً، ولو رجعت إلی أمثال هذا الترکیب الّتی لیس الذهن فیها مسبوقاًبالشّبهة تعلم عدم التبادر، مع أنّه علی فرض التسلیم لا یفید، لأصالة تأخّرحدوث التبادر، حیث إنّ ذلک لیس من مقتضی الوضع اللغوی لهذا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شیءٌ آخر یصلح أن تکون غایته الأداء إلّا الضمان؛ لعدم إمکان غیره عند التلف، فیجب تقدیر الضمان الّذی یمکن ثوبته فی صورتی بقاء العین وتلفها، فمع البقاء یؤدّی العین، ومع التلف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المثل أو القیمة لیس أداء ما أخذت، بل أداء شیء آخر، فلا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للضمان فی صورة التلف أیضاً، فإن مقتضی تقدیر المفعول أن یکون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 فاعله علی تقدیر کونه بصیغة المجهول ما یرجع إلی الموصول، أی ما أخذت، ومعنی أداء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عینه دون المثل أو القیمة، بل إطلاق الأداء علی الغیر غیر صحیح، فلا یتحقّق أداؤه فی صورة التلف أصلاً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تکون الروایة لبیان حکم صورة البقاء، لا یعلم منها حکم صورة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أن یستفاد من کلّ حدیث حکم جمیع صور الواقعة، ولمّا لم یکن‌لتقدیر الردّ أو الأداء معنی سلساً، إذ لیس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أداء ما أخذ، أو ردّه حتّی تؤدّی أو ردّه، بسلس؛ فالأظهر تقدیر الحفظ من الضیاع والتلف أو نحوه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نراقی رحمه الله در این عبارت از کتاب، چند اشکال و جواب را مطرح کرده و در نهایت نتیجه می‌گیرند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اشکالی که ایشان مطرح می‌کنند، این است که اگر گفته شود فقها و بزرگان علما، نسل به نسل و طبقه به طبقه، همه از این حدیث، ضمان را استفاده کرده‌اند، حال چگونه است که شما از آن حکم تکلیفی وجوب الحفظ را استفاده می‌کنید؟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دو جواب از آن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 این است که تمامی فقها به این نکته قائل نیستند که از حدیث، حکم وضعی ضمان استفاده می‌شود؛ بنابراین، مسأله اجماعی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نیز آن است که فهم فقها کاشف از این نیست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وجود داشته که به دست علمای پیشین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وسیله این قرینه حکم وضعی ضمان را بیان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قرینه به دست ما نرسیده است؛ بلکه باید گفت فهم فقها بر اجتهادشان مبتنی است و اجتهاد آنان برای استفاده ضمان کفایت نمی‌کند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مشهور قول به ضمان را اختیار می‌کنند، بدان جهت است که متبادر از این ترکیب و نظایر آن، ضمان است</w:t>
      </w:r>
      <w:r>
        <w:rPr>
          <w:rStyle w:val="FootnoteAnchor"/>
          <w:rtl w:val="true"/>
        </w:rPr>
        <w:footnoteReference w:id="67"/>
      </w:r>
      <w:r>
        <w:rPr>
          <w:rFonts w:ascii="IRNazanin" w:hAnsi="IRNazanin" w:eastAsia="IRNazanin"/>
          <w:color w:val="111111"/>
          <w:sz w:val="28"/>
          <w:sz w:val="28"/>
          <w:szCs w:val="28"/>
          <w:rtl w:val="true"/>
          <w:lang w:bidi="fa-IR"/>
        </w:rPr>
        <w:t xml:space="preserve">؛ اگر ترکیبی همانند ترکیب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استعمال شود، عرف از آن حکم وضعی ضمان 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که گفته شود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بر ضمان می‌کند و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رحمه الله از این استدلال نیز دو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 ایشان آن است که صغرای استدلال فوق ممنوع است؛ بدین معنا که استفاده ضمان از روایت بدان جهت بوده که ذهن فقها مسبوق به شبهه ضمان بوده و آنان این معنا را بر روایت تحمیل کرده‌اند؛ بنابراین، فقها در این مسأله خالی الذهن نبوده‌اند تا معنای واقعی روایت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نیز آن است که تبادر در صورتی مفید فایده است که مستند به وضع باشد و حال آن‌که تبادر ادّعایی در اینجا مستند به وضع نیست، و بلکه در اثر فهم سایرین است که چنین معنایی به ذهن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اشکال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غیر از ضمان چیز دیگری وجود ندارد که صلاحیت داشته باشد به عنوان غایت ادا قرار گیرد؛ و به عبارت دیگر،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دارد که در صورت بقای عین مال، لازم است که خود آن بازگردانده شود و در صورت تلف نیز باید بدل آن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یا قیمتش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گردد؛ در صورتی که اگر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وجوب الحفظ استفاده شود، دیگر صورت تلف مال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وضعی ضمان ظهور دارد و نه حکم تکلیفی وجوب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رحمه الله در پاسخ این اشکال بیان می‌دارد حتّی بر فرض این که گفته شود غایت با ضمان سازگاری دارد، در فرض تلف مال اشکال باقی خواهد بود؛ زیرا، در فرضی که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ضمیر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چیزی که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یعنی باید خود آن شییء بازگردانده شود؛ و حال آن‌که در صورت تلف،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یا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و این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که حکم صورت تلف از کجا استفاده می‌شود؟ در پاسخ می‌گوییم از ادلّه دیگر چنین حکمی استفاده می‌شود که در فرض تلف باید مثل و یا قیمت مال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که ایشان معتقد است لازم نیست که از</w:t>
      </w:r>
      <w:bookmarkStart w:id="88" w:name="pg877_5851"/>
    </w:p>
    <w:p>
      <w:pPr>
        <w:pStyle w:val="BookText"/>
        <w:rPr/>
      </w:pPr>
      <w:bookmarkEnd w:id="88"/>
      <w:r>
        <w:rPr>
          <w:rFonts w:ascii="IRNazanin" w:hAnsi="IRNazanin" w:eastAsia="IRNazanin"/>
          <w:color w:val="111111"/>
          <w:sz w:val="28"/>
          <w:sz w:val="28"/>
          <w:szCs w:val="28"/>
          <w:rtl w:val="true"/>
          <w:lang w:bidi="fa-IR"/>
        </w:rPr>
        <w:t xml:space="preserve">یک حدیث حکم همه صورت‌های مفروض استفاده شود؛ و در این روایت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بیان حکم صورت تلف مال نیست، و بلکه فقط حکم مسأله را در صورت بقای عین مال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نکته آخر این است که چرا محقّق نراقی رحمه الله حکم تکلیفی وجوب الحفظ را از حدیث استفاده می‌کنند، نه حکم تکلیفی وجوب الرّد یا وجوب الأداء را؟</w:t>
      </w:r>
    </w:p>
    <w:p>
      <w:pPr>
        <w:pStyle w:val="BookText"/>
        <w:rPr/>
      </w:pPr>
      <w:r>
        <w:rPr>
          <w:rFonts w:ascii="IRNazanin" w:hAnsi="IRNazanin" w:eastAsia="IRNazanin"/>
          <w:color w:val="111111"/>
          <w:sz w:val="28"/>
          <w:sz w:val="28"/>
          <w:szCs w:val="28"/>
          <w:rtl w:val="true"/>
          <w:lang w:bidi="fa-IR"/>
        </w:rPr>
        <w:t>ایشان در پاسخ به این پرسش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یا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شود، معنای روان و روشنی نخواهد داشت؛ و غایت موجود در روایت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یک عنوان لزومی نخواهد داشت، در حالی که شارع مقدّس در مقام بیان حکم لزومی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حکم مستفاد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تکلیفی وجوب الحفظ است و نه چیز دیگر</w:t>
      </w:r>
      <w:r>
        <w:rPr>
          <w:rFonts w:eastAsia="IRNazanin" w:cs="IRNazanin"/>
          <w:color w:val="111111"/>
          <w:sz w:val="28"/>
          <w:szCs w:val="28"/>
          <w:rtl w:val="true"/>
          <w:lang w:bidi="fa-IR"/>
        </w:rPr>
        <w:t>.</w:t>
      </w:r>
    </w:p>
    <w:p>
      <w:pPr>
        <w:pStyle w:val="Heading6"/>
        <w:numPr>
          <w:ilvl w:val="5"/>
          <w:numId w:val="1"/>
        </w:numPr>
        <w:rPr/>
      </w:pPr>
      <w:bookmarkStart w:id="89" w:name="__RefHeading___Toc105513_373438147"/>
      <w:bookmarkStart w:id="90" w:name="_Toc34"/>
      <w:bookmarkEnd w:id="89"/>
      <w:r>
        <w:rPr>
          <w:rtl w:val="true"/>
        </w:rPr>
        <w:t>اشکالات وارد بر دیدگاه محقّق نراقی رحمه الله</w:t>
      </w:r>
      <w:bookmarkEnd w:id="90"/>
    </w:p>
    <w:p>
      <w:pPr>
        <w:pStyle w:val="BookText"/>
        <w:rPr/>
      </w:pPr>
      <w:r>
        <w:rPr>
          <w:rFonts w:ascii="IRNazanin" w:hAnsi="IRNazanin" w:eastAsia="IRNazanin"/>
          <w:color w:val="111111"/>
          <w:sz w:val="28"/>
          <w:sz w:val="28"/>
          <w:szCs w:val="28"/>
          <w:rtl w:val="true"/>
          <w:lang w:bidi="fa-IR"/>
        </w:rPr>
        <w:t>بر بیان و گفتار محقّق نراقی رحمه الله اشکال‌های متعدّدی وارد می‌شود؛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کلام ایشان دلیل محکمی بر استفاده حکم تکلیفی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که در کلام این فقیه گران‌قدر وجود داشت، این بود که در تقدیر گرفتن ضمان و استفاده نمودن ضمان در صورت تلف مال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غایت آن است، سازگاری ندارد؛ زیرا در صورت تلف، دیگر مالی وجود ندارد تا اداء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ایشان گفته می‌شود که برخی از بزرگان معتقدند مفاد حدیث، حکم وضعی ضمان در صورت بقای عین است و روایت متکفّل حکم صورت تلف نیست؛ محقّق نراقی رحمه الله نیز دلیلی بر بطلان و ردّ این قول نیاورده و نتوانسته‌اند بر این مطلب اشکال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در مجموع کلام محقّق نراقی رحمه الله یک دلیل روشن و محکمی بر این که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تکلیفی استفاده 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که در کلمات مرحوم میر عبدالفتّاح مراغی قدس سره آمده،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وجوب الحفظ سازگاری ندارد؛ زیرا، ظاهر دفع و 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خلاصی یافتن از غرامت و ضمان است، نه خلاصی از حکم تکلیفی صرف</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به عبارت دیگر، بر اساس این احتمال که 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الحفظ است، چون بعد از ادای مال به صاحبش چیزی باقی نمی‌ماند، موضوع حفظ منتفی می‌شود؛ و حال آن که بر طبق قول به ضمان، بعد از دادن مال به صاحبش، یک حادثه مهمّ دیگری نیز واقع می‌شود و آن، خلاصی ذمّه شخص از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آن است که غایت نه تنها مؤثر در رفع حکم سابق است، بلکه به عنوان علت تامّه برای رفع اثر است، و این معنی با ضمان سازگاری دارد؛ زیرا اداء علت تامه برای رفع ضمان است، اما اگر حکم و مغیی را وجوب حفظ قرار دهیم، بعد از اداء، موضوع منتفی می‌شود و با انتفاء موضوع دیگر معنایی برای حفظ و وجوب آن باقی نمی‌ماند، همان طوری که اگر عین مال تلف شود، هیچ معنایی برای حفظ وجود ندارد، به خلاف ضمان که بعد از تلف، هنوز ضمان وجود دارد و تا اداء محقق نشود، ضمان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غایت موجود در روایت، به هیچ عنوان با وجوب الحفظ سازگاری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بحرالعلوم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الحفظ، امری بدیهی و روشن است و نیازی نیست که شارع مقدّس آن را با چنین تعبیری بیان کند؛ و اگر شارع نیز آن را نگوید، عقل انسان قادر به فهم و درک خواهد بود و حکم می‌دهد که حفظ مال دیگران واجب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رحمه الله پس از آن که به همه احتمالات سه گانه اشکال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ربّما یتوهّم إرادة الحفظ لخلوّه عن المحاذیر المتقدّمة، إلّا أنّه خلاف الظاهر من حیث إنّ ظاهر الخبر کون نفس المأخوذ علی الید لا حفظه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جهت آن‌که در تقدیر گرفتن وجوب الحفظ دارای کمترین محذور و اشکال است، آن را اختیار کرده‌اند؛ لیکن این احتمال یک اشکال مهمّ دارد و آن این که بر خلاف ظاهر روایت است؛ زیرا، ظاهر روایت این است که خود عین و مال بر عهده است و نه حفظ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بجنوردی رحمه الله نیز بر 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اشکال وارد می‌کنند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قلنا إنّ التقدیر خلاف الأصل، لا یصار إلیه إلّا لضرورة، ولیس هاهنا ضرورة إلی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صلی الله علیه و آله فی مقام بیان ردّ مال الغیر الّذی وقع تحت یده وإیصاله إلی صاحبه، لا فی مقام حفظ مال الغیر عن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الظاهر من أمثال هذه التراکیب عرفاً هو کون عهدته وذمّته مشغولة بما یکون مستعلیاً، فإذا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کذا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إقرار واعتراف بأنّ ذلک المقدار علی ذمّته وفی عهدته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محقّق بجنوردی رحمه الله این است که حکم تکلیفی وجوب به عین خارجی تعلّق نمی‌گیرد؛ و به همین جهت، باید فعلی از افعال مکلّفین مثل ردّ یا حفظ در تقدیر گرفته شود که این خلاف اصل است و جز در موارد ضرورت</w:t>
      </w:r>
      <w:bookmarkStart w:id="91" w:name="pg877_5854"/>
    </w:p>
    <w:p>
      <w:pPr>
        <w:pStyle w:val="BookText"/>
        <w:rPr/>
      </w:pPr>
      <w:bookmarkEnd w:id="91"/>
      <w:r>
        <w:rPr>
          <w:rFonts w:ascii="IRNazanin" w:hAnsi="IRNazanin" w:eastAsia="IRNazanin"/>
          <w:color w:val="111111"/>
          <w:sz w:val="28"/>
          <w:sz w:val="28"/>
          <w:szCs w:val="28"/>
          <w:rtl w:val="true"/>
          <w:lang w:bidi="fa-IR"/>
        </w:rPr>
        <w:t>چنین چیزی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آن است که حتّی بنا بر قول به مشهور نیز به تقدیر نیاز است، پس نمی‌توان به احتمال سوم چنین اشکالی را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نیز آن است که پیامبر اسلام صلی الله علیه و آله در این حدیث، در مقام بیان ردّ مال و رسیدن آن به صاحبش است؛ و این غایت، با وجوب الحفظ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 اشکال، سوّمین اشکال آن است که متفاهم عرفی از چنین جملاتی اشتغال ذمّه است؛ همان‌گونه که اگر شخصی به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کذا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و اعتراف کرده به این که فلان مقدار مال به دیگری بدهکار است و ذمّه‌اش مشغول و ضامن این مقدار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اشکالات پنج‌گانه فوق که بر کلام محقّق نراقی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تکلیفی وجوب الحفظ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می‌باشد، نتیجه این می‌شود که نمی‌توان آن را پذیرفت و این احتمال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بیان شد، بعضی از فقها بعد از آن‌که احتمال اوّل و دوّم را ردّ می‌کنند، نتیجه می‌گیرند که احتمال سوم و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حدیث بر حکم وضعی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چنین چیزی صحیح نبوده و لازم است که این احتمال نیز مورد بررسی و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استفاده ضمان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جداگانه و روشنی قابل ارائه باشد، احتمال سوم پذیرفته می‌شود؛ وگرنه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می‌شود و دیگر قابلیّت استدلال برای فقیه را نخواهد داشت</w:t>
      </w:r>
      <w:r>
        <w:rPr>
          <w:rFonts w:eastAsia="IRNazanin" w:cs="IRNazanin"/>
          <w:color w:val="111111"/>
          <w:sz w:val="28"/>
          <w:szCs w:val="28"/>
          <w:rtl w:val="true"/>
          <w:lang w:bidi="fa-IR"/>
        </w:rPr>
        <w:t>.</w:t>
      </w:r>
    </w:p>
    <w:p>
      <w:pPr>
        <w:pStyle w:val="Heading5"/>
        <w:numPr>
          <w:ilvl w:val="4"/>
          <w:numId w:val="1"/>
        </w:numPr>
        <w:rPr/>
      </w:pPr>
      <w:bookmarkStart w:id="92" w:name="__RefHeading___Toc105515_373438147"/>
      <w:bookmarkStart w:id="93" w:name="_Toc35"/>
      <w:bookmarkEnd w:id="92"/>
      <w:r>
        <w:rPr>
          <w:rtl w:val="true"/>
        </w:rPr>
        <w:t>احتمال سوم، دیدگاه مشهور فقها</w:t>
      </w:r>
      <w:bookmarkEnd w:id="93"/>
    </w:p>
    <w:p>
      <w:pPr>
        <w:pStyle w:val="Heading6"/>
        <w:numPr>
          <w:ilvl w:val="5"/>
          <w:numId w:val="1"/>
        </w:numPr>
        <w:rPr/>
      </w:pPr>
      <w:bookmarkStart w:id="94" w:name="__RefHeading___Toc105517_373438147"/>
      <w:bookmarkStart w:id="95" w:name="_Toc36"/>
      <w:bookmarkEnd w:id="94"/>
      <w:r>
        <w:rPr>
          <w:rtl w:val="true"/>
        </w:rPr>
        <w:t>اشاره</w:t>
      </w:r>
      <w:bookmarkEnd w:id="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مطالب گذشته نیز اشاره شد، مشهور فقها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ضمان را استفاده کرده‌اند؛ امّا قبل از دقّت و بررسی این نظریّه، لازم است دو نکته مقدّماتی را بیان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این است که مشهور علما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ضمان را هم در صورت بقای عین مال و هم در صورت تلف آن استفاده می‌کنند؛ لیکن برخی از فقها حکم ضمان در صورت بقای عین را نتوانسته‌اند تصویر کنند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فرضی که عین مال وجود دارد، فقط یک چیز معنا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المال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افراد قائل‌اند که ضمان فقط در صورت تلف عین 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به آن‌ها اشکال می‌شود که در کجای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تلف مال مطرح شده است؟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روشنی دارد در این که همان چیزی که گرفته شده است، باید به مالک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برخی از بزرگان همانند مرحوم علّامه حلّی قدس سره معتقدند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صورت تلف مال ندارد و حکم مسأله در این صورت را باید از ادلّه و روایات دیگر باب غضب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مقابل نظریّه مشهور فقها، 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ضمان مال در صورت بقای آن دلالت ندارد و فقط متکفّل حکم صورت 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بر ضمان مال در فرض تلف دلالت ندارد و حکم ضمان در صورت تلف را باید از ادلّه دیگر باب غصب استفاده کرد؛ زیرا،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قرینه می‌شود که مقصود این است که باید خود عین بازگردانده شود و در فرض تلف نیز عینی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مشهور قائل‌اند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ضمان در صورت بقا و هم بر ضمان در صورت تلف مال دلالت دارد و در مباحث آینده که تفسیر ضمان را بیان می‌کنیم، معنای ضمان در صورت بقای عین مال نیز روشن خواهد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ضمان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تقدیری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به عبارت دیگر، شارع مقدّس درصدد این است که بیان</w:t>
      </w:r>
      <w:bookmarkStart w:id="96" w:name="pg877_5856"/>
    </w:p>
    <w:p>
      <w:pPr>
        <w:pStyle w:val="BookText"/>
        <w:rPr/>
      </w:pPr>
      <w:bookmarkEnd w:id="96"/>
      <w:r>
        <w:rPr>
          <w:rFonts w:ascii="IRNazanin" w:hAnsi="IRNazanin" w:eastAsia="IRNazanin"/>
          <w:color w:val="111111"/>
          <w:sz w:val="28"/>
          <w:sz w:val="28"/>
          <w:szCs w:val="28"/>
          <w:rtl w:val="true"/>
          <w:lang w:bidi="fa-IR"/>
        </w:rPr>
        <w:t xml:space="preserve">کند بر فرض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شخص غاصب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همان‌طور که محقّق اصفهانی</w:t>
      </w:r>
      <w:r>
        <w:rPr>
          <w:rStyle w:val="FootnoteAnchor"/>
          <w:rtl w:val="true"/>
        </w:rPr>
        <w:footnoteReference w:id="72"/>
      </w:r>
      <w:r>
        <w:rPr>
          <w:rFonts w:ascii="IRNazanin" w:hAnsi="IRNazanin" w:eastAsia="IRNazanin"/>
          <w:color w:val="111111"/>
          <w:sz w:val="28"/>
          <w:sz w:val="28"/>
          <w:szCs w:val="28"/>
          <w:rtl w:val="true"/>
          <w:lang w:bidi="fa-IR"/>
        </w:rPr>
        <w:t xml:space="preserve">رحمه الله نیز می‌فرماید،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حکم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تقدیری؛ چرا که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تؤدّیه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فعلیّت دارد و منظور ادای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مغیّا نیز که قبل از غایت است، باید یک حکم فعلی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دو نکته فوق، نوبت به بررسی قول مشهور می‌رسد و این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ضمان دلالت می‌کند؟</w:t>
      </w:r>
    </w:p>
    <w:p>
      <w:pPr>
        <w:pStyle w:val="BookText"/>
        <w:rPr/>
      </w:pPr>
      <w:r>
        <w:rPr>
          <w:rFonts w:ascii="IRNazanin" w:hAnsi="IRNazanin" w:eastAsia="IRNazanin"/>
          <w:color w:val="111111"/>
          <w:sz w:val="28"/>
          <w:sz w:val="28"/>
          <w:szCs w:val="28"/>
          <w:rtl w:val="true"/>
          <w:lang w:bidi="fa-IR"/>
        </w:rPr>
        <w:t>در اینجا لازم است ادلّه ذکر شده در کلمات بزرگان مورد بررسی و دقّت قرار گیرد، تا معلوم گردد که آیا به وسیله‌ی آن‌ها می‌توان قول مشهور را اثبات کرد و یا آن که این ادلّه مورد خدشه و اشکال است و باید دلیل دیگری ارائه شود؟ ابتدا کلام صاحب عناوین رحمه الله را ذکر می‌کنیم</w:t>
      </w:r>
      <w:r>
        <w:rPr>
          <w:rFonts w:eastAsia="IRNazanin" w:cs="IRNazanin"/>
          <w:color w:val="111111"/>
          <w:sz w:val="28"/>
          <w:szCs w:val="28"/>
          <w:rtl w:val="true"/>
          <w:lang w:bidi="fa-IR"/>
        </w:rPr>
        <w:t>:</w:t>
      </w:r>
    </w:p>
    <w:p>
      <w:pPr>
        <w:pStyle w:val="Heading6"/>
        <w:numPr>
          <w:ilvl w:val="5"/>
          <w:numId w:val="1"/>
        </w:numPr>
        <w:rPr/>
      </w:pPr>
      <w:bookmarkStart w:id="97" w:name="__RefHeading___Toc105519_373438147"/>
      <w:bookmarkStart w:id="98" w:name="_Toc37"/>
      <w:bookmarkEnd w:id="97"/>
      <w:r>
        <w:rPr>
          <w:rtl w:val="true"/>
        </w:rPr>
        <w:t>الف</w:t>
      </w:r>
      <w:r>
        <w:rPr>
          <w:rtl w:val="true"/>
        </w:rPr>
        <w:t xml:space="preserve">) </w:t>
      </w:r>
      <w:r>
        <w:rPr>
          <w:rtl w:val="true"/>
        </w:rPr>
        <w:t>دلایل محقّق مراغی رحمه الله بر قول به ضمان</w:t>
      </w:r>
      <w:bookmarkEnd w:id="9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میرعبدالفتّاح حسینی قدس سره برای دلالت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ضمان، به سه دلیل اشاره می‌کنند</w:t>
      </w:r>
      <w:r>
        <w:rPr>
          <w:rStyle w:val="FootnoteAnchor"/>
          <w:rtl w:val="true"/>
        </w:rPr>
        <w:footnoteReference w:id="73"/>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استنباط و استدلال علمای قدیم و جدید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ضمان است؛ این تلقّی و استنباط فقها یا کاشف از این است که معنای عرفی حدیث همان ضمان است؛ و یا کاشف از وجود قرینه‌ای است که در نزد آنان موجود بوده و به ما نرسیده است و آنان از این قرینه، ضمان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تلقّی و فهم علما، مراد از خبر را روشن، و اجمال آن را مرتفع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اشکال بر استدلال فوق، محقّق نراقی رحمه الله</w:t>
      </w:r>
      <w:r>
        <w:rPr>
          <w:rStyle w:val="FootnoteAnchor"/>
          <w:rtl w:val="true"/>
        </w:rPr>
        <w:footnoteReference w:id="74"/>
      </w:r>
      <w:r>
        <w:rPr>
          <w:rFonts w:ascii="IRNazanin" w:hAnsi="IRNazanin" w:eastAsia="IRNazanin"/>
          <w:color w:val="111111"/>
          <w:sz w:val="28"/>
          <w:sz w:val="28"/>
          <w:szCs w:val="28"/>
          <w:rtl w:val="true"/>
          <w:lang w:bidi="fa-IR"/>
        </w:rPr>
        <w:t>فرموده است که فهم اصحاب در اینجا نمی‌تواند به عنوان دلیل واقع شود؛ چرا که احتمال دیگری نیز وجود دارد و آن این که فهم اصحاب در این مسأله مبتنی بر تفسیر و اجتهاد خودشان از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فقها بر اساس اجتهادشان این روایت را به ضمان تفسیر کرده‌اند، فهم آنان نمی‌تواند دلیل برای قول به ضمان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دیگری که صاحب عناوین رحمه الله برای قول به ضمان ذکر می‌کند، تبادر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این ترکیب در صورت اطلاق، ضمان ذوالید است؛ به نحوی که غیر آن به خاطر نمی‌رسد تا لازم آید که برای ترجیح یکی از دو طرف به قواعد باب تعارض احوال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معنای ضمان است که از این عبارت به ذهن تبادر می‌کند، و تبادر نیز کاشف از معنای حقیقی عبارت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نراقی رحمه الله به این استدلال مرحوم میرعبدالفتّاح قدس سره نیز اشکال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جهت صغرای قضیّه، ما قبول نداریم که چنین تبادری وجود دارد؛ ثانیاً، در بحث تبادر، تبادری که مستند به حاقّ لفظ باشد، مفید فایده است؛ لکن تبادری که در اینجا ادّعا می‌شود، ممکن است مستند به اجتهادات دیگران باشد؛ بنابراین، قابل قبول نیست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سوّمی که در عبارت صاحب عناوین رحمه الله مشاهده می‌شود، این است که ظاهرترین معنای روایت، جعل ضمان بر ذمّه آخذ است؛ اعم از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گرفته و بگوییم معنای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ضمان ما 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قائل به مجاز شویم و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لحاظ مناسبت کاملی که بین ضمان و اصل مالی که اخذ شده، موجود است؛ زیرا، ذوالید یا ضامن عین، یا مثل و یا قیمت می‌شود و همه اینها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گفته شود چون احتمال قول به ضمان کمتر از دیگر احتمالات نیاز به تقدیر دارد، اظهر است؛ بدین معنا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الردّ والأداء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چیز در حدیث تقدیر گرفته شود، ولی در قول به ضمان فقط یک چیز باید در تقدیر گرفته شود؛ و کمی تقدیر نیز أولی بوده و سبب ترجیح این احتمال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اشکال به این سخن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ادبیّات و تعابیر ادبا این مطلب رایج است که قِلّت التقدیر سبب ترجیح می‌گردد؛ امّا اصل این است که اگر معنایی مطابق با عرف و فهم آنان باشد، متعیّن است؛ هرچند که لازمه آن معنا کثرة التقدیر باشد، و اگر لازمه معنایی قِلّت التقدیر باشد و یا اصلاً نیاز به تقدیر نداشته باشد ولی مطابق فهم عرف نباشد، کنار گذاشته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صرف این که یکی از احتمالات از مزیّت کمیِ تقدیر برخوردار باشد، نمی‌توان گفت که ترجیح دارد؛ بلکه بر فقیه لازم است که ببیند عرف چه چیزی را از کلام می‌فهمد و مطابق با آن نظر دهد</w:t>
      </w:r>
      <w:r>
        <w:rPr>
          <w:rFonts w:eastAsia="IRNazanin" w:cs="IRNazanin"/>
          <w:color w:val="111111"/>
          <w:sz w:val="28"/>
          <w:szCs w:val="28"/>
          <w:rtl w:val="true"/>
          <w:lang w:bidi="fa-IR"/>
        </w:rPr>
        <w:t>.</w:t>
      </w:r>
      <w:r>
        <w:rPr>
          <w:rStyle w:val="FootnoteAnchor"/>
          <w:rtl w:val="true"/>
        </w:rPr>
        <w:footnoteReference w:id="76"/>
      </w:r>
      <w:bookmarkStart w:id="99" w:name="pg877_5859"/>
    </w:p>
    <w:p>
      <w:pPr>
        <w:pStyle w:val="BookText"/>
        <w:rPr/>
      </w:pPr>
      <w:bookmarkEnd w:id="99"/>
      <w:r>
        <w:rPr>
          <w:rFonts w:ascii="IRNazanin" w:hAnsi="IRNazanin" w:eastAsia="IRNazanin"/>
          <w:color w:val="111111"/>
          <w:sz w:val="28"/>
          <w:sz w:val="28"/>
          <w:szCs w:val="28"/>
          <w:rtl w:val="true"/>
          <w:lang w:bidi="fa-IR"/>
        </w:rPr>
        <w:t xml:space="preserve">در مورد قسمت دوّم کلام مرحوم صاحب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می‌فرمایند اگر قائل به مجاز نیز شویم، باز ظاهرترین معنای روایت جعل ضمان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به نظر می‌رسد هرچند ایشان ادّعا می‌کند در این بحث قرینه بر مجاز وجود دارد و آن مناسبت کاملی است که بین ضمان و اصل مالی که اخذ شده وجود دارد، امّا در اینجا نیز باید معیار را فهم عرفی قرار دهیم؛ یعنی صرف آن که بین یک لفظ و معنایی قرینه وجود دارد، ملاک برتری و ترجیح نمی‌شود، بلکه باید دید آیا فهم عرفی مطابق با آن است یا نه؟ و همان معنایی را که عرف می‌فهمد،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نتیجه بحث از کلام محقّق مراغی رحمه الله این می‌شود که سه دلیل ارائه شده توسط ایشان برای اثبات مدّعای مشهور کافی نیست و به وسیله آن‌ها نمی‌توان حکم وضعی ضمان را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w:t>
      </w:r>
      <w:r>
        <w:rPr>
          <w:rFonts w:eastAsia="IRNazanin" w:cs="IRNazanin"/>
          <w:color w:val="111111"/>
          <w:sz w:val="28"/>
          <w:szCs w:val="28"/>
          <w:rtl w:val="true"/>
          <w:lang w:bidi="fa-IR"/>
        </w:rPr>
        <w:t>.</w:t>
      </w:r>
    </w:p>
    <w:p>
      <w:pPr>
        <w:pStyle w:val="Heading6"/>
        <w:numPr>
          <w:ilvl w:val="5"/>
          <w:numId w:val="1"/>
        </w:numPr>
        <w:rPr/>
      </w:pPr>
      <w:bookmarkStart w:id="100" w:name="__RefHeading___Toc105521_373438147"/>
      <w:bookmarkStart w:id="101" w:name="_Toc38"/>
      <w:bookmarkEnd w:id="100"/>
      <w:r>
        <w:rPr>
          <w:rtl w:val="true"/>
        </w:rPr>
        <w:t>ب</w:t>
      </w:r>
      <w:r>
        <w:rPr>
          <w:rtl w:val="true"/>
        </w:rPr>
        <w:t xml:space="preserve">) </w:t>
      </w:r>
      <w:r>
        <w:rPr>
          <w:rtl w:val="true"/>
        </w:rPr>
        <w:t>دیدگاه محقّق اصفهانی رحمه الله در مورد قول به ضمان</w:t>
      </w:r>
      <w:bookmarkEnd w:id="101"/>
    </w:p>
    <w:p>
      <w:pPr>
        <w:pStyle w:val="BookText"/>
        <w:rPr/>
      </w:pPr>
      <w:r>
        <w:rPr>
          <w:rFonts w:ascii="IRNazanin" w:hAnsi="IRNazanin" w:eastAsia="IRNazanin"/>
          <w:color w:val="111111"/>
          <w:sz w:val="28"/>
          <w:sz w:val="28"/>
          <w:szCs w:val="28"/>
          <w:rtl w:val="true"/>
          <w:lang w:bidi="fa-IR"/>
        </w:rPr>
        <w:t xml:space="preserve">محقّق اصفهانی رحمه الله برای قول مشهور دو تقریب ذکر می‌کنند که کلام امام خمینی رحمه الله نیز همانند تقریب دوّم ایشان است و تقریباً همان است که از قول مرحوم بحرالعلوم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تقریب اوّل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تقریب ما عن المشهور من الضمان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الموجب للخسارة علی تقدیر التلف حیث إنّه الید وهو فعلیّ، صحّت الغایة بنحو التحدید للموضوع لثبوت المغیّی بثبوت مقتضیه لا بثبوت علّته التامّة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اوّل محقّق اصفهانی رحمه الله این است که برای در نظر گرفتن مسأله فعلیّت در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غایت عنوان فعلی دارد، مغیّا نیز باید فعلی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بگوئیم ما از جهت سبب ضمان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فعلیت دارد، ضمان را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ضمان تعلیقی و تقدیری استفاده می‌شود؛ یعنی در صورتی که بر مالی ید پیدا شود و آن مال تلف شود، ضمان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برای دفع اشکال گفته می‌شود که چون سبب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دارد، این مقدار فعلیّت سبب، برای غایت کفایت می‌کند؛ و مغیّابه ثبوت مقتضی‌اش ثابت می‌شود و نه به ثبوت علّت تامّه‌اش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ایشان خود تقریب دوّمی را ذکر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ضمان فعلی در اینجا عهده است؛ یعنی مال مأخوذ به محض آن که ذی الید بر آن استیلا پیدا کند، بر عهده او قرار می‌گیرد؛ و به عبارت دیگر، شارع و یا عقلا، مال را بر عهده ذی الید اعتبار می‌کنند؛ نه این که گفته شود در اینجا ضرر و خسارتی بر ید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آخر ایشان در واقع، پاسخ به کسانی است که ضمان را به خسارت معنا کرده‌اند؛ به عنوان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مالک فی البحر وعلیّ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منظور از ضمان، خسارت است؛ و معنای عبارت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خود را در دریا بینداز و خسارت آن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اصفهانی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مسأله ضرر و خسارت مطرح نیست، بلکه ضمان به معنای عهده و تعهّد است؛ و این عهده، هم دارای آثار تکلیفی است و هم آثار وضعی؛ بدین معنا که باید آن مال را حفظ و ردّ کرد و در صورت تلف، مثل یا قیمت آن</w:t>
      </w:r>
    </w:p>
    <w:p>
      <w:pPr>
        <w:pStyle w:val="BookText"/>
        <w:rPr/>
      </w:pPr>
      <w:r>
        <w:rPr>
          <w:rFonts w:ascii="IRNazanin" w:hAnsi="IRNazanin" w:eastAsia="IRNazanin"/>
          <w:color w:val="111111"/>
          <w:sz w:val="28"/>
          <w:sz w:val="28"/>
          <w:szCs w:val="28"/>
          <w:rtl w:val="true"/>
          <w:lang w:bidi="fa-IR"/>
        </w:rPr>
        <w:t>به مالک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اصفهانی رحمه الله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منه، أنّ المراد من الضمان الفعلی هی العهدة، والمأخوذ یدخل فی عهدة ذی الید بمجرّد وضع الید علیه، فمفاد الخبر حینئذ کون المأخوذ علی عهدة ذی‌الید، لا أنّه ضرر أو خسارة علی الید؛ واستفادة العهدة من نفس إثبات المأخوذ علی الید لأنّ معنی استقراره علی الید کون ذی الید هو المرجع والمأخوذ به، وهو معنی اعتباره علی عهدته؛ وللعهدة آثار تکلیفیّة ووضعیّة من حفظه وأدائه مع التمکّن وأداء بدله عند الحیلولة أو عند التلف</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نکته‌ای را که می‌توان علاوه بر کلمات مرحوم اصفهانی قدس سره بیان نمود، این است که تقسیم حکم به تکلیفی و وضعی، اصطلاحی است که در میان فقها رایج شده، و در زمان پیامبر اکرم صلی الله علیه و آله که این روایت را به مردم القا فرمودند، حتّی در میان خواصّ اصحاب نیز چنین اصطلاحی مطرح نبود است؛ تنها معنایی که عرف از مثل این عبارت می‌فهمیده، معنای عهده بود؛ و ضمان نیز همان تعهّد و عهده است؛ منتها اگر 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شخص و افراد باشد، نه نسبت به اموال، از آن به کفالت تعبیر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عرف و لغت قرینه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عهده و تعهّد است؛ و این معنا با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روایت نیز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قرینه است بر این که روایت، ابتداءً درصدد بیان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مالی را به کسی بدهند تا آن را حفظ کند،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هیچ‌کس برای وجوب حفظ و یا وجوب ردّ چنین عبارتی را استعمال نمی‌کند؛ بلکه این عبارت با عهده و تعهّد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بیان این معناست که ذی الید متعهّد مالی است که آن را اخذ می‌کند</w:t>
      </w:r>
      <w:r>
        <w:rPr>
          <w:rFonts w:eastAsia="IRNazanin" w:cs="IRNazanin"/>
          <w:color w:val="111111"/>
          <w:sz w:val="28"/>
          <w:szCs w:val="28"/>
          <w:rtl w:val="true"/>
          <w:lang w:bidi="fa-IR"/>
        </w:rPr>
        <w:t>.</w:t>
      </w:r>
      <w:bookmarkStart w:id="102" w:name="pg877_5862"/>
    </w:p>
    <w:p>
      <w:pPr>
        <w:pStyle w:val="Heading6"/>
        <w:numPr>
          <w:ilvl w:val="5"/>
          <w:numId w:val="1"/>
        </w:numPr>
        <w:rPr/>
      </w:pPr>
      <w:bookmarkStart w:id="103" w:name="__RefHeading___Toc105523_373438147"/>
      <w:bookmarkStart w:id="104" w:name="_Toc39"/>
      <w:bookmarkEnd w:id="102"/>
      <w:bookmarkEnd w:id="103"/>
      <w:r>
        <w:rPr>
          <w:rtl w:val="true"/>
        </w:rPr>
        <w:t>ج</w:t>
      </w:r>
      <w:r>
        <w:rPr>
          <w:rtl w:val="true"/>
        </w:rPr>
        <w:t xml:space="preserve">) </w:t>
      </w:r>
      <w:r>
        <w:rPr>
          <w:rtl w:val="true"/>
        </w:rPr>
        <w:t>دیدگاه امام خمینی رحمه الله در مورد قول به ضمان</w:t>
      </w:r>
      <w:bookmarkEnd w:id="104"/>
    </w:p>
    <w:p>
      <w:pPr>
        <w:pStyle w:val="BookText"/>
        <w:rPr/>
      </w:pPr>
      <w:r>
        <w:rPr>
          <w:rFonts w:ascii="IRNazanin" w:hAnsi="IRNazanin" w:eastAsia="IRNazanin"/>
          <w:color w:val="111111"/>
          <w:sz w:val="28"/>
          <w:sz w:val="28"/>
          <w:szCs w:val="28"/>
          <w:rtl w:val="true"/>
          <w:lang w:bidi="fa-IR"/>
        </w:rPr>
        <w:t>در مقابل محقّق اصفهانی رحمه الله که می‌فرماید عهده هم اثر تکلیفی دارد و هم اثر وضعی، کلام مرحوم امام خمینی قدس سره قرار دارد که ایشان فقط حکم وضعی را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رحمه الله در اشکال به مرحوم شیخ انصاری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مال نسبت داده شود، دلالت بر ضمان و حکم وضعی دارد؛ و اگر به فعلی از افعال نسبت داده شود، بر حکم تکلیفی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کردند که بین این دو اسناد فرقی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عهده دارد و از استقرار بر عهده، حکم وضعی استفاده می‌شود و به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زدند که در اینجا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 از افعال مکلّفین استناد داده شده است، ولی دلالت بر حکم وضعی می‌کند و در اینجا حجّ به عنوان دینی بر عهده مکلّف است و در صورت مرگ شخص، باید همانند سایر دیون او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 xml:space="preserve">ممکن است گفته شود یکی از اقوال و احتمالات ذکر شده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حکم تکلیفی دلالت دارد و هم بر حکم وضعی؛ و این مطلبی که از محقّق اصفهانی رحمه الله نقل شد، گویای همین مطلب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گفته می‌شود که در اینجا نمی‌گوئیم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مطابقی بر هر دو حکم وضعی و تکلیفی دلالت دارد، و یا به دلالت مطابقی بر حکم وضعی و به دلالت التزامی بر حکم تکلیفی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محقّق نائینی رحمه الله چنین نظری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طبق بیان مرحوم اصفهانی قدس سره،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مطابقی و التزامی، نه بر حکم وضعی و نه بر حکم تکلیفی دلالت 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عهده دارد و می‌گوید مال</w:t>
      </w:r>
      <w:bookmarkStart w:id="105" w:name="pg877_5863"/>
    </w:p>
    <w:p>
      <w:pPr>
        <w:pStyle w:val="BookText"/>
        <w:rPr/>
      </w:pPr>
      <w:bookmarkEnd w:id="105"/>
      <w:r>
        <w:rPr>
          <w:rFonts w:ascii="IRNazanin" w:hAnsi="IRNazanin" w:eastAsia="IRNazanin"/>
          <w:color w:val="111111"/>
          <w:sz w:val="28"/>
          <w:sz w:val="28"/>
          <w:szCs w:val="28"/>
          <w:rtl w:val="true"/>
          <w:lang w:bidi="fa-IR"/>
        </w:rPr>
        <w:t>اخذ شده بر عهده ذی‌الید است؛ و این عهده است که دارای اثر تکلیفی و وضعی است</w:t>
      </w:r>
      <w:r>
        <w:rPr>
          <w:rFonts w:eastAsia="IRNazanin" w:cs="IRNazanin"/>
          <w:color w:val="111111"/>
          <w:sz w:val="28"/>
          <w:szCs w:val="28"/>
          <w:rtl w:val="true"/>
          <w:lang w:bidi="fa-IR"/>
        </w:rPr>
        <w:t>.</w:t>
      </w:r>
    </w:p>
    <w:p>
      <w:pPr>
        <w:pStyle w:val="Heading4"/>
        <w:numPr>
          <w:ilvl w:val="3"/>
          <w:numId w:val="1"/>
        </w:numPr>
        <w:rPr/>
      </w:pPr>
      <w:bookmarkStart w:id="106" w:name="__RefHeading___Toc105525_373438147"/>
      <w:bookmarkStart w:id="107" w:name="_Toc40"/>
      <w:bookmarkEnd w:id="106"/>
      <w:r>
        <w:rPr>
          <w:rtl w:val="true"/>
        </w:rPr>
        <w:t>نتیجه فصل اوّل</w:t>
      </w:r>
      <w:bookmarkEnd w:id="107"/>
    </w:p>
    <w:p>
      <w:pPr>
        <w:pStyle w:val="BookText"/>
        <w:rPr/>
      </w:pPr>
      <w:r>
        <w:rPr>
          <w:rFonts w:ascii="IRNazanin" w:hAnsi="IRNazanin" w:eastAsia="IRNazanin"/>
          <w:color w:val="111111"/>
          <w:sz w:val="28"/>
          <w:sz w:val="28"/>
          <w:szCs w:val="28"/>
          <w:rtl w:val="true"/>
          <w:lang w:bidi="fa-IR"/>
        </w:rPr>
        <w:t xml:space="preserve">بنابراین، بر اساس مطالب ذکر شده به این نتیجه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عهدة ذی‌الید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 از حکم وضعی و تکلیفی است، نه مساوی با آن‌ها؛ و در اینجا اصلاً بحث ضمان تعلیقی و تلف مطرح نمی‌شود، بلکه حکم فعلی عهده و تعهّد مطرح است که حتی در زمان باقی بودن عین مال، ضمان معنا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 که در این معنا، احتیاجی به تقدیر گرفتن ضمان نیز وجود ندارد؛ و خیال نشود که بالاخره در این معنا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شد؛ زیرا، 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معنایی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روایت از جهت فقه الحدیث، به اتمام می‌رسد؛ و معنای حدیث با توجّه به احتمالاتی که داده شد، کاملاً روشن گردید</w:t>
      </w:r>
      <w:r>
        <w:rPr>
          <w:rFonts w:eastAsia="IRNazanin" w:cs="IRNazanin"/>
          <w:color w:val="111111"/>
          <w:sz w:val="28"/>
          <w:szCs w:val="28"/>
          <w:rtl w:val="true"/>
          <w:lang w:bidi="fa-IR"/>
        </w:rPr>
        <w:t>.</w:t>
      </w:r>
    </w:p>
    <w:p>
      <w:pPr>
        <w:pStyle w:val="Heading3"/>
        <w:numPr>
          <w:ilvl w:val="2"/>
          <w:numId w:val="1"/>
        </w:numPr>
        <w:rPr/>
      </w:pPr>
      <w:bookmarkStart w:id="108" w:name="__RefHeading___Toc105527_373438147"/>
      <w:bookmarkStart w:id="109" w:name="_Toc41"/>
      <w:bookmarkEnd w:id="108"/>
      <w:r>
        <w:rPr>
          <w:rtl w:val="true"/>
        </w:rPr>
        <w:t>فصل دوّم</w:t>
      </w:r>
      <w:r>
        <w:rPr>
          <w:rtl w:val="true"/>
        </w:rPr>
        <w:t xml:space="preserve">: </w:t>
      </w:r>
      <w:r>
        <w:rPr>
          <w:rtl w:val="true"/>
        </w:rPr>
        <w:t>حقیقت ضمان</w:t>
      </w:r>
      <w:bookmarkEnd w:id="109"/>
    </w:p>
    <w:p>
      <w:pPr>
        <w:pStyle w:val="Heading4"/>
        <w:numPr>
          <w:ilvl w:val="3"/>
          <w:numId w:val="1"/>
        </w:numPr>
        <w:rPr/>
      </w:pPr>
      <w:bookmarkStart w:id="110" w:name="__RefHeading___Toc105529_373438147"/>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بحث دیگری که به نظر، طرح آن لازم می‌نماید، این مطلب است که حقیقت و معنای ضمان چیست؟ هرچند که جایگاه اصلی این مسأله در کتاب البیع و در بحث مقبوض به عقد فاسد است، لکن در اینجا به صورت مختصر به آن می‌پردازیم و تفاسیر مختلفی را که در این زمینه بیان شده است،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ذکر تعابیر مختلفی که در مورد حقیقت ضمان وارد شده، لازم است دو نکته به عنوان مقدّمه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اختلاف آثار در حقیقت ضمان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گرانقدر امامیه هنگام طرح و بیان مسأله ضمان، آن را در موارد و ابواب مختلفی از فقه همچون ضمان اموال، ضمان اشخاص، ضمان عقود، ضمان معاوضه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می‌کنند که هر کدام نتیجه‌ای خاصّ را به دنبال دارد؛ سؤال این است که آیا اختلاف ضمان به حسب موارد و آثار، موجب اختلاف حقیقت ضمان نیز می‌شود؟ آیا معنای ضمان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ضمانی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متفاوت است؟</w:t>
      </w:r>
    </w:p>
    <w:p>
      <w:pPr>
        <w:pStyle w:val="BookText"/>
        <w:rPr/>
      </w:pPr>
      <w:r>
        <w:rPr>
          <w:rFonts w:ascii="IRNazanin" w:hAnsi="IRNazanin" w:eastAsia="IRNazanin"/>
          <w:color w:val="111111"/>
          <w:sz w:val="28"/>
          <w:sz w:val="28"/>
          <w:szCs w:val="28"/>
          <w:rtl w:val="true"/>
          <w:lang w:bidi="fa-IR"/>
        </w:rPr>
        <w:t>به نظر می‌رسد همان‌گونه که محقّق اصفهانی و میرزای نائینی رحمهما الله نیز تصریح کرده‌اند، اختلاف آثار موجب اختلاف در حقیقت ضمان نمی‌شود؛ بلکه ضمان دارای حقیقت واحدی است که در تمامی موارد جریان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ضمان دارای معنای شرعی جدیدی است؟</w:t>
      </w:r>
    </w:p>
    <w:p>
      <w:pPr>
        <w:pStyle w:val="BookText"/>
        <w:rPr/>
      </w:pPr>
      <w:r>
        <w:rPr>
          <w:rFonts w:ascii="IRNazanin" w:hAnsi="IRNazanin" w:eastAsia="IRNazanin"/>
          <w:color w:val="111111"/>
          <w:sz w:val="28"/>
          <w:sz w:val="28"/>
          <w:szCs w:val="28"/>
          <w:rtl w:val="true"/>
          <w:lang w:bidi="fa-IR"/>
        </w:rPr>
        <w:t>نکته دوّمی که تذکر به آن لازم می‌نماید، پاسخ به این سؤال است که آیا برای ضمان در شریعت، معنایی غیر از معنای عرفی و عقلی آن وجود دارد؟</w:t>
      </w:r>
    </w:p>
    <w:p>
      <w:pPr>
        <w:pStyle w:val="BookText"/>
        <w:rPr/>
      </w:pPr>
      <w:r>
        <w:rPr>
          <w:rFonts w:ascii="IRNazanin" w:hAnsi="IRNazanin" w:eastAsia="IRNazanin"/>
          <w:color w:val="111111"/>
          <w:sz w:val="28"/>
          <w:sz w:val="28"/>
          <w:szCs w:val="28"/>
          <w:rtl w:val="true"/>
          <w:lang w:bidi="fa-IR"/>
        </w:rPr>
        <w:t>پاسخ این سؤال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بررسی حقیقت ضمان این نیست که آیا ضمان دارای حقیقت شرعیه و یا متشرّعه‌ای است، بلکه هدف آن است که بررسی کنیم آیا عقلا بین صور مختلفی که در ابواب گوناگون و در موارد مختلف ضمان مانند باب یَد و اتلاف و ضمان عقدی، وارد شده است، فرق می‌گذارند؛ و یا آن که موارد وارده در شریعت، بر همان معنای معهود در نزد عقلا حمل می‌شود؟ نظیر آن‌چه که در مورد معنای بیع صورت گرفته است که فقها در ابتدای کتاب البیع، تعاریف گوناگونی از بیع بیان و تصریح می‌کنند که بیع دارای حقیقت شرعیه و متشرّعه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آنان برای این است که معلوم شود بیع عندالعقلاء چه معنایی دارد؛ وگرنه نمی‌خواهند معنایی جدید از بیع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نیز که تفاسیر مختلف ضمان را بیان می‌کنیم، بدان جهت است که معنای عقلایی ضمان را مشخص سازیم؛ به علاوه این که آیا می‌توان تعابیر و روایاتی که در باب ضمان وارد شده است را بر آن معنای عقلایی حمل کرد یا نه؟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این دو نکته، اکنون تفاسیر متعدّدی که در مورد حقیقت ضمان مطرح شده و عبارت از پنج تفسیر است را بیان می‌کنیم</w:t>
      </w:r>
      <w:r>
        <w:rPr>
          <w:rFonts w:eastAsia="IRNazanin" w:cs="IRNazanin"/>
          <w:color w:val="111111"/>
          <w:sz w:val="28"/>
          <w:szCs w:val="28"/>
          <w:rtl w:val="true"/>
          <w:lang w:bidi="fa-IR"/>
        </w:rPr>
        <w:t>.</w:t>
      </w:r>
      <w:bookmarkStart w:id="112" w:name="pg877_5866"/>
    </w:p>
    <w:p>
      <w:pPr>
        <w:pStyle w:val="Heading4"/>
        <w:numPr>
          <w:ilvl w:val="3"/>
          <w:numId w:val="1"/>
        </w:numPr>
        <w:rPr/>
      </w:pPr>
      <w:bookmarkStart w:id="113" w:name="__RefHeading___Toc105531_373438147"/>
      <w:bookmarkStart w:id="114" w:name="_Toc43"/>
      <w:bookmarkEnd w:id="112"/>
      <w:bookmarkEnd w:id="113"/>
      <w:r>
        <w:rPr>
          <w:rtl w:val="true"/>
        </w:rPr>
        <w:t>گفتار اوّل</w:t>
      </w:r>
      <w:r>
        <w:rPr>
          <w:rtl w:val="true"/>
        </w:rPr>
        <w:t xml:space="preserve">: </w:t>
      </w:r>
      <w:r>
        <w:rPr>
          <w:rtl w:val="true"/>
        </w:rPr>
        <w:t>دیدگاه علمای امامیه در مورد ضمان</w:t>
      </w:r>
      <w:bookmarkEnd w:id="114"/>
    </w:p>
    <w:p>
      <w:pPr>
        <w:pStyle w:val="Heading5"/>
        <w:numPr>
          <w:ilvl w:val="4"/>
          <w:numId w:val="1"/>
        </w:numPr>
        <w:rPr/>
      </w:pPr>
      <w:bookmarkStart w:id="115" w:name="__RefHeading___Toc105533_373438147"/>
      <w:bookmarkStart w:id="116" w:name="_Toc44"/>
      <w:bookmarkEnd w:id="115"/>
      <w:r>
        <w:rPr/>
        <w:t>1</w:t>
      </w:r>
      <w:r>
        <w:rPr>
          <w:rtl w:val="true"/>
        </w:rPr>
        <w:t xml:space="preserve"> - </w:t>
      </w:r>
      <w:r>
        <w:rPr>
          <w:rtl w:val="true"/>
        </w:rPr>
        <w:t>دیدگاه شیخ انصاری رحمه الله</w:t>
      </w:r>
      <w:r>
        <w:rPr>
          <w:rtl w:val="true"/>
        </w:rPr>
        <w:t xml:space="preserve">: </w:t>
      </w:r>
      <w:r>
        <w:rPr>
          <w:rtl w:val="true"/>
        </w:rPr>
        <w:t>تدارک و خسارت شییء مضمون</w:t>
      </w:r>
      <w:bookmarkEnd w:id="116"/>
    </w:p>
    <w:p>
      <w:pPr>
        <w:pStyle w:val="BookText"/>
        <w:rPr/>
      </w:pPr>
      <w:r>
        <w:rPr>
          <w:rFonts w:ascii="IRNazanin" w:hAnsi="IRNazanin" w:eastAsia="IRNazanin"/>
          <w:color w:val="111111"/>
          <w:sz w:val="28"/>
          <w:sz w:val="28"/>
          <w:szCs w:val="28"/>
          <w:rtl w:val="true"/>
          <w:lang w:bidi="fa-IR"/>
        </w:rPr>
        <w:t xml:space="preserve">تفسیر اوّل در حقیقت ضمان، تفسیر شیخ اعظم انصاری رحمه الله است؛ ایشان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مراد از ضمان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بالضمان فی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دَرَک المضمون، علیه، بمعنی کون خسارته ودَرَکه فی ماله الأصلی، فإذا تلف وقع نقصان فیه؛ لوجوب تدارکه منه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اعظم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عبارت است از این که تدارک و خسارت شییء مضمون بر عهده ضامن است؛ هنگامی که آن شییء تلف می‌شود، در مال اصلی ضامن نقصان واقع می‌شود؛ چه آن که ضامن باید از اموالی که متعلق به خودش است، آن مال را تدارک نماید</w:t>
      </w:r>
      <w:r>
        <w:rPr>
          <w:rFonts w:eastAsia="IRNazanin" w:cs="IRNazanin"/>
          <w:color w:val="111111"/>
          <w:sz w:val="28"/>
          <w:szCs w:val="28"/>
          <w:rtl w:val="true"/>
          <w:lang w:bidi="fa-IR"/>
        </w:rPr>
        <w:t>.</w:t>
      </w:r>
    </w:p>
    <w:p>
      <w:pPr>
        <w:pStyle w:val="Heading5"/>
        <w:numPr>
          <w:ilvl w:val="4"/>
          <w:numId w:val="1"/>
        </w:numPr>
        <w:rPr/>
      </w:pPr>
      <w:bookmarkStart w:id="117" w:name="__RefHeading___Toc105535_373438147"/>
      <w:bookmarkStart w:id="118" w:name="_Toc45"/>
      <w:bookmarkEnd w:id="117"/>
      <w:r>
        <w:rPr/>
        <w:t>2</w:t>
      </w:r>
      <w:r>
        <w:rPr>
          <w:rtl w:val="true"/>
        </w:rPr>
        <w:t xml:space="preserve"> - </w:t>
      </w:r>
      <w:r>
        <w:rPr>
          <w:rtl w:val="true"/>
        </w:rPr>
        <w:t>دیدگاه مرحوم علّامه رحمه الله</w:t>
      </w:r>
      <w:r>
        <w:rPr>
          <w:rtl w:val="true"/>
        </w:rPr>
        <w:t xml:space="preserve">: </w:t>
      </w:r>
      <w:r>
        <w:rPr>
          <w:rtl w:val="true"/>
        </w:rPr>
        <w:t>تحقّق معاوضه قهریّه</w:t>
      </w:r>
      <w:bookmarkEnd w:id="1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بیان دیگری که مرحوم شیخ آن را نقل می‌کند و علّامه رحمه الله در کتاب تحریر</w:t>
      </w:r>
      <w:r>
        <w:rPr>
          <w:rStyle w:val="FootnoteAnchor"/>
          <w:rtl w:val="true"/>
        </w:rPr>
        <w:footnoteReference w:id="80"/>
      </w:r>
      <w:r>
        <w:rPr>
          <w:rFonts w:ascii="IRNazanin" w:hAnsi="IRNazanin" w:eastAsia="IRNazanin"/>
          <w:color w:val="111111"/>
          <w:sz w:val="28"/>
          <w:sz w:val="28"/>
          <w:szCs w:val="28"/>
          <w:rtl w:val="true"/>
          <w:lang w:bidi="fa-IR"/>
        </w:rPr>
        <w:t>و مرحوم تستری صاحب مقابس نیز آن را قائل شده‌اند، این است که ضمان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یتلف المال مملوکاً للضامن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این معنا در مورد غصب بدین صورت است که در فرض تلف مال در دست غاصب، معاوضه قهریّه محقّق می‌شود؛ به این صورت که مال تلف شده، یک لحظه قبل از تلف در ملک غاصب قرار می‌گیرد و عوض آن به ملک صاحب مال تلف شده منتقل می‌شود</w:t>
      </w:r>
      <w:r>
        <w:rPr>
          <w:rFonts w:eastAsia="IRNazanin" w:cs="IRNazanin"/>
          <w:color w:val="111111"/>
          <w:sz w:val="28"/>
          <w:szCs w:val="28"/>
          <w:rtl w:val="true"/>
          <w:lang w:bidi="fa-IR"/>
        </w:rPr>
        <w:t>.</w:t>
      </w:r>
      <w:bookmarkStart w:id="119" w:name="pg877_5867"/>
    </w:p>
    <w:p>
      <w:pPr>
        <w:pStyle w:val="BookText"/>
        <w:rPr/>
      </w:pPr>
      <w:bookmarkEnd w:id="119"/>
      <w:r>
        <w:rPr>
          <w:rFonts w:ascii="IRNazanin" w:hAnsi="IRNazanin" w:eastAsia="IRNazanin"/>
          <w:color w:val="111111"/>
          <w:sz w:val="28"/>
          <w:sz w:val="28"/>
          <w:szCs w:val="28"/>
          <w:rtl w:val="true"/>
          <w:lang w:bidi="fa-IR"/>
        </w:rPr>
        <w:t>اشکالات وارد بر این تفسیر</w:t>
      </w:r>
    </w:p>
    <w:p>
      <w:pPr>
        <w:pStyle w:val="BookText"/>
        <w:rPr/>
      </w:pPr>
      <w:r>
        <w:rPr>
          <w:rFonts w:ascii="IRNazanin" w:hAnsi="IRNazanin" w:eastAsia="IRNazanin"/>
          <w:color w:val="111111"/>
          <w:sz w:val="28"/>
          <w:sz w:val="28"/>
          <w:szCs w:val="28"/>
          <w:rtl w:val="true"/>
          <w:lang w:bidi="fa-IR"/>
        </w:rPr>
        <w:t>شیخ انصاری رحمه الله به این تعریف، دو اشکال می‌کند؛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تفسیر آن است که هر مالکی ضامن مال خود باشد؛ چرا که در این صورت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المال مملوکاً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در حالی که این معنا خلاف فهم عرف است و هیچ‌گاه گفته نمی‌شود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ضامن لأمواله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دوّمی که بر تعریف فوق وارد می‌شود، آن است که تحقّق معاوضه قهریّه بدون بیع و شراء، از آنجا که بر خلاف قواعد اوّلیه و ادلّه ثابت در باب معاملات است، احتیاج به دلیل قوی و محکم دارد؛ مانند بیع العمودین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باب ضمان هیچ دلیلی بر معاوضه قهریه نداریم</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20" w:name="__RefHeading___Toc105537_373438147"/>
      <w:bookmarkStart w:id="121" w:name="_Toc46"/>
      <w:bookmarkEnd w:id="120"/>
      <w:r>
        <w:rPr/>
        <w:t>3</w:t>
      </w:r>
      <w:r>
        <w:rPr>
          <w:rtl w:val="true"/>
        </w:rPr>
        <w:t xml:space="preserve"> - </w:t>
      </w:r>
      <w:r>
        <w:rPr>
          <w:rtl w:val="true"/>
        </w:rPr>
        <w:t>دیدگاه محقّق نائینی رحمه الله</w:t>
      </w:r>
      <w:r>
        <w:rPr>
          <w:rtl w:val="true"/>
        </w:rPr>
        <w:t xml:space="preserve">: </w:t>
      </w:r>
      <w:r>
        <w:rPr>
          <w:rtl w:val="true"/>
        </w:rPr>
        <w:t>بودنِ مال در ذمّه</w:t>
      </w:r>
      <w:bookmarkEnd w:id="121"/>
    </w:p>
    <w:p>
      <w:pPr>
        <w:pStyle w:val="BookText"/>
        <w:rPr/>
      </w:pPr>
      <w:r>
        <w:rPr>
          <w:rFonts w:ascii="IRNazanin" w:hAnsi="IRNazanin" w:eastAsia="IRNazanin"/>
          <w:color w:val="111111"/>
          <w:sz w:val="28"/>
          <w:sz w:val="28"/>
          <w:szCs w:val="28"/>
          <w:rtl w:val="true"/>
          <w:lang w:bidi="fa-IR"/>
        </w:rPr>
        <w:t>محقّق نائینی رحمه الله در بیان معنای ضمان،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دارای دو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مصدری،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اسم مصدری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مصدری ضمان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و منظور تعهّد معاملی است که شارع مقدّس آن را امضا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التعهّد المعاملی الّذی أمضاه الشارع</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معنای اسم مصدری ضمان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و مراد از آن این است که هر کسی که ضامن چیزی هست، منفعت آن هم از</w:t>
      </w:r>
      <w:bookmarkStart w:id="122" w:name="pg877_5868"/>
    </w:p>
    <w:p>
      <w:pPr>
        <w:pStyle w:val="BookText"/>
        <w:rPr/>
      </w:pPr>
      <w:bookmarkEnd w:id="122"/>
      <w:r>
        <w:rPr>
          <w:rFonts w:ascii="IRNazanin" w:hAnsi="IRNazanin" w:eastAsia="IRNazanin"/>
          <w:color w:val="111111"/>
          <w:sz w:val="28"/>
          <w:sz w:val="28"/>
          <w:szCs w:val="28"/>
          <w:rtl w:val="true"/>
          <w:lang w:bidi="fa-IR"/>
        </w:rPr>
        <w:t>برای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ضامناً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منشأ الضمان هو الغصب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فمنفعته له</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رحمه الله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الضمان کون المال فی الذّمة، ومن آثار ثبوت المال فی الذّمة الغرامة والخسارة، لا أنّ الغرامة معناه الحقیقی</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به طور کلّی، ضمان عبارت است از این که مال در ذمّه شخص قرار بگیرد؛ غرامت و خسارت هم از آثار ثبوت مال در ذمّه است، نه این که غرامت معنای حقیقی ضمان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آخر کلام محقّق نائینی رحمه الله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الغرامة معناه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تعریض به تعریف مرحوم شیخ انصاری قدس سره است که فرمود ضمان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الشیء علی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خسارت را به عنوان معنای حقیقی ضمان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رحمه الله می‌گوید خسارت معنای حقیقی ضمان نبوده و بلکه از آثار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کلام مرحوم نائینی گرفته می‌شود این است که اوّلاً غرامت، معنای مطابقی ضمان نیست؛ و ثانیاً تصریح نمی‌کنند که آیا حکم تکلیفی، مثل وجوب ردّ، می‌تواند از آثار ضمان باشد یا نه؟ و این را مجمل باقی می‌گذارند</w:t>
      </w:r>
      <w:r>
        <w:rPr>
          <w:rFonts w:eastAsia="IRNazanin" w:cs="IRNazanin"/>
          <w:color w:val="111111"/>
          <w:sz w:val="28"/>
          <w:szCs w:val="28"/>
          <w:rtl w:val="true"/>
          <w:lang w:bidi="fa-IR"/>
        </w:rPr>
        <w:t>.</w:t>
      </w:r>
    </w:p>
    <w:p>
      <w:pPr>
        <w:pStyle w:val="Heading5"/>
        <w:numPr>
          <w:ilvl w:val="4"/>
          <w:numId w:val="1"/>
        </w:numPr>
        <w:rPr/>
      </w:pPr>
      <w:bookmarkStart w:id="123" w:name="__RefHeading___Toc105539_373438147"/>
      <w:bookmarkStart w:id="124" w:name="_Toc47"/>
      <w:bookmarkEnd w:id="123"/>
      <w:r>
        <w:rPr/>
        <w:t>4</w:t>
      </w:r>
      <w:r>
        <w:rPr>
          <w:rtl w:val="true"/>
        </w:rPr>
        <w:t xml:space="preserve"> - </w:t>
      </w:r>
      <w:r>
        <w:rPr>
          <w:rtl w:val="true"/>
        </w:rPr>
        <w:t>قرار گرفتن مال در عهده‌ی ضامن</w:t>
      </w:r>
      <w:bookmarkEnd w:id="124"/>
    </w:p>
    <w:p>
      <w:pPr>
        <w:pStyle w:val="Heading6"/>
        <w:numPr>
          <w:ilvl w:val="5"/>
          <w:numId w:val="1"/>
        </w:numPr>
        <w:rPr/>
      </w:pPr>
      <w:bookmarkStart w:id="125" w:name="__RefHeading___Toc105541_373438147"/>
      <w:bookmarkStart w:id="126" w:name="_Toc48"/>
      <w:bookmarkEnd w:id="125"/>
      <w:r>
        <w:rPr>
          <w:rtl w:val="true"/>
        </w:rPr>
        <w:t>اشاره</w:t>
      </w:r>
      <w:bookmarkEnd w:id="12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از کلمات مرحوم آخوند و مرحوم اصفهانی و محقّق بروجردی رحمهم الله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این بزرگان در بعضی از جهات اختلاف دارند؛ لیکن همه آنها در این جهت مشترک هستند که تصریح دارند حکم تکلیفی از آثار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در بیان تفسیر چهارم از حقیقت ضمان، ابتدا نظرات این سه فقیه عالی‌مقام را ذکر نماییم</w:t>
      </w:r>
      <w:r>
        <w:rPr>
          <w:rFonts w:eastAsia="IRNazanin" w:cs="IRNazanin"/>
          <w:color w:val="111111"/>
          <w:sz w:val="28"/>
          <w:szCs w:val="28"/>
          <w:rtl w:val="true"/>
          <w:lang w:bidi="fa-IR"/>
        </w:rPr>
        <w:t>.</w:t>
      </w:r>
      <w:bookmarkStart w:id="127" w:name="pg877_5869"/>
    </w:p>
    <w:p>
      <w:pPr>
        <w:pStyle w:val="Heading6"/>
        <w:numPr>
          <w:ilvl w:val="5"/>
          <w:numId w:val="1"/>
        </w:numPr>
        <w:rPr/>
      </w:pPr>
      <w:bookmarkStart w:id="128" w:name="__RefHeading___Toc105543_373438147"/>
      <w:bookmarkStart w:id="129" w:name="_Toc49"/>
      <w:bookmarkEnd w:id="127"/>
      <w:bookmarkEnd w:id="128"/>
      <w:r>
        <w:rPr>
          <w:rtl w:val="true"/>
        </w:rPr>
        <w:t>الف</w:t>
      </w:r>
      <w:r>
        <w:rPr>
          <w:rtl w:val="true"/>
        </w:rPr>
        <w:t xml:space="preserve">) </w:t>
      </w:r>
      <w:r>
        <w:rPr>
          <w:rtl w:val="true"/>
        </w:rPr>
        <w:t>نظریّه آخوند خراسانی رحمه الله</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لایخفی، أنّ الضمان هو اعتبار خاصّ، یترتّب علیه آثار تکلیفاً ووضعاً، منها لزوم أداء المضمون إلی المضمون له، لو تمکّن منه، وأداء بدله من قیمته أو مثله، لو لم یتمکّن من أدائه، لتلف ونحوه؛ وهو بهذا المعنی لا یکاد یکون فی مال نفس الضامن، بل فی مال غیره، فلا یکون فی العقد الصحیح ضمان بمعناه الحقیقی</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بیان می‌کند که ضمان یک اعتبار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عقلایی و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از آن این است که مال بر عهده ضامن قرار می‌گیرد؛ و این عهده، دارای آثار وضعی و تکلیفی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آثار آن است که شخص ضامن باید مال مضمون را به مضمون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حال اگر عین مال موجود باشد، همان را بازگرداند و اگر موجود نباشد و مثلاً تلف شده باشد، لازم است که مثل یا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مالک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با این بیان به شیخ انصاری؛ نیز اشکال می‌کند که در این صورت، ضمان ربطی به مال و اموال ضامن ندارد که گفته شود در مال ضامن نقصان حاصل می‌شود؛ بلکه بر ضامن لازم است مال مضمون له را بازگرداند و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فی العقد الصحیح ضمان بمعناه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شیخ انصاری رحمه الله به مرحوم نائینی نیز اشکال می‌کنند که ضمان به معنای حقیقی‌اش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معاوضه و ضمان معاوضی جریان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و میرازی نائینی رحمهما الله قائل‌اند که ضمان در باب معاوضه جریان دارد؛ بدین صورت که اگر بایع جنسی را به مشتری بفروشد، در مقابل دریافت</w:t>
      </w:r>
      <w:bookmarkStart w:id="130" w:name="pg877_5870"/>
    </w:p>
    <w:p>
      <w:pPr>
        <w:pStyle w:val="BookText"/>
        <w:rPr/>
      </w:pPr>
      <w:bookmarkEnd w:id="130"/>
      <w:r>
        <w:rPr>
          <w:rFonts w:ascii="IRNazanin" w:hAnsi="IRNazanin" w:eastAsia="IRNazanin"/>
          <w:color w:val="111111"/>
          <w:sz w:val="28"/>
          <w:sz w:val="28"/>
          <w:szCs w:val="28"/>
          <w:rtl w:val="true"/>
          <w:lang w:bidi="fa-IR"/>
        </w:rPr>
        <w:t xml:space="preserve">ثمن متعهّد می‌شود که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مبیع را به مشتری بدهد؛ مشتری نیز تعهّد می‌کند در برابر دریافت مبیع،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بایع تحویل دهد؛ مرحوم شیخ انصاری قدس سره نام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ضمان معاوضی گذاشته‌اند</w:t>
      </w:r>
      <w:r>
        <w:rPr>
          <w:rFonts w:eastAsia="IRNazanin" w:cs="IRNazanin"/>
          <w:color w:val="111111"/>
          <w:sz w:val="28"/>
          <w:szCs w:val="28"/>
          <w:rtl w:val="true"/>
          <w:lang w:bidi="fa-IR"/>
        </w:rPr>
        <w:t>.</w:t>
      </w:r>
    </w:p>
    <w:p>
      <w:pPr>
        <w:pStyle w:val="Heading6"/>
        <w:numPr>
          <w:ilvl w:val="5"/>
          <w:numId w:val="1"/>
        </w:numPr>
        <w:rPr/>
      </w:pPr>
      <w:bookmarkStart w:id="131" w:name="__RefHeading___Toc105545_373438147"/>
      <w:bookmarkStart w:id="132" w:name="_Toc50"/>
      <w:bookmarkEnd w:id="131"/>
      <w:r>
        <w:rPr>
          <w:rtl w:val="true"/>
        </w:rPr>
        <w:t>ب</w:t>
      </w:r>
      <w:r>
        <w:rPr>
          <w:rtl w:val="true"/>
        </w:rPr>
        <w:t xml:space="preserve">) </w:t>
      </w:r>
      <w:r>
        <w:rPr>
          <w:rtl w:val="true"/>
        </w:rPr>
        <w:t>نظریّه محقّق اصفهانی رحمه الله</w:t>
      </w:r>
      <w:bookmarkEnd w:id="132"/>
    </w:p>
    <w:p>
      <w:pPr>
        <w:pStyle w:val="BookText"/>
        <w:rPr/>
      </w:pPr>
      <w:r>
        <w:rPr>
          <w:rFonts w:ascii="IRNazanin" w:hAnsi="IRNazanin" w:eastAsia="IRNazanin"/>
          <w:color w:val="111111"/>
          <w:sz w:val="28"/>
          <w:sz w:val="28"/>
          <w:szCs w:val="28"/>
          <w:rtl w:val="true"/>
          <w:lang w:bidi="fa-IR"/>
        </w:rPr>
        <w:t>مرحوم اصفهانی در مورد معنای ضمان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 عبارت است از این که یک چیزی ضمن عهده قرار می‌گیرد و معنای ضمان چیزی جز تضمّن، مضمون و مانند اینها نیست و به همین اعتبار که شییء در ضمن عهده قرار می‌گیرد بر آن اطلاق ضمان می‌شود؛ و ضمان به معنای حفظ و رعایت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تقسیم و بیان انواع ضمان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خود شخص می‌آید و چیزی را در عهده خودش قرار می‌دهد؛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ضامن خود می‌گوید مدیون است و متعهّد به پرداخت مضمون عنه می‌شود؛ و همین‌طور در مطلق معاوضات چنین ضمانی جریان دارد که هر یک از بایع و مشتری ضامن می‌شوند که در برابر دریافت ثمن و مثمن، بدل آن را به دیگری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 ضمان از طریق جعل شارع و عرف است؛ مانند غرامت‌های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غرامت‌های عرفیه که اگر به عنوان مثال، مکلّفی روزه خود را بخورد، شارع مقدّس به عهده او کفّاره قرار می‌دهد و شخص باید کفّاره‌ای را که شارع مشخص کرده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اصفهانی رحمه الله در انتهای کلام خود بیان می‌کنند که در هر دو صورت، ضمان دارای آثار وضعی و تکلیفی است، امّا معنای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اختلاف آثار فرقی نمی‌کند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را که باید به آن توجّه داشت، این است که کلام مرحوم اصفهانی با</w:t>
      </w:r>
    </w:p>
    <w:p>
      <w:pPr>
        <w:pStyle w:val="BookText"/>
        <w:rPr/>
      </w:pPr>
      <w:r>
        <w:rPr>
          <w:rFonts w:ascii="IRNazanin" w:hAnsi="IRNazanin" w:eastAsia="IRNazanin"/>
          <w:color w:val="111111"/>
          <w:sz w:val="28"/>
          <w:sz w:val="28"/>
          <w:szCs w:val="28"/>
          <w:rtl w:val="true"/>
          <w:lang w:bidi="fa-IR"/>
        </w:rPr>
        <w:t>مرحوم آخوند خراسانی از یک جهت اشتراک و از جهت دیگر تفاوت دارد؛ هر دو بزرگوار در این جهت که ضمان، هم دارای آثار تکلیفی است و هم آثار وضعی دارد، مشترک هستند؛ ولی در این جهت که مرحوم آخوند بیان می‌کند چنین معنایی در ضمان معاوضی جریان ندارد، باهم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رحمه الله نیز همانند شیخ انصاری و میرزای نائینی رحمهما الله قائل است معنایی که از برای ضمان وجود دارد، در ضمان معاوضی نیز وجود داشته و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المبیع علی عهدة البایع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اعتبار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حقّ نیز در مقابل آخوند خراسانی رحمه الله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اصفهانی رحمه الله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الشیء فی ضمن العهدة، إذ لیس معنی هذا المادّة إلّاما یفیده التضمّن والمضمون وأشباه ذلک؛ ویطلق الضمان علی کون الشیء فی العهدة باعتبار کونه فی ضمن العهدة، فکأنّ الشخص بعهدته متضمّن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قد یکون بتسبیب من الشخص، کما فی عقد المضان بأنحائه حتّی ضمان النفس، فإنّ مرجعه إلی تعهّد إحضاره، وکما فی مطلق المعاوضات، لتعهّد کلّ منها والتزامه بأخذ المال ببدله، ولذا عبّر عنه بضمان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بجعل من الشارع أو العرف، کما فی التغریمات الشرعیّة والعرفیّة، فإنّهما یعتبران المأخوذ أو المُتلَف فی عهدة الشخص</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والعهدة فی کلّ مقام لها آثار تکلیفیّة أو وضعیّة، ولکنّه لا یختلف معنی العهدة باختلافها، فکون الضمان تارة ضمان المعاوضة وأخری ضمان التکفّل وثالثة ضمان الغرامة وهکذا لا یوجب اختلافاً فی معناه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133" w:name="pg877_5872"/>
    </w:p>
    <w:p>
      <w:pPr>
        <w:pStyle w:val="Heading6"/>
        <w:numPr>
          <w:ilvl w:val="5"/>
          <w:numId w:val="1"/>
        </w:numPr>
        <w:rPr/>
      </w:pPr>
      <w:bookmarkStart w:id="134" w:name="__RefHeading___Toc105547_373438147"/>
      <w:bookmarkStart w:id="135" w:name="_Toc51"/>
      <w:bookmarkEnd w:id="133"/>
      <w:bookmarkEnd w:id="134"/>
      <w:r>
        <w:rPr>
          <w:rtl w:val="true"/>
        </w:rPr>
        <w:t>ج</w:t>
      </w:r>
      <w:r>
        <w:rPr>
          <w:rtl w:val="true"/>
        </w:rPr>
        <w:t xml:space="preserve">) </w:t>
      </w:r>
      <w:r>
        <w:rPr>
          <w:rtl w:val="true"/>
        </w:rPr>
        <w:t>نظریّه محقّق بروجردی رحمه الله</w:t>
      </w:r>
      <w:bookmarkEnd w:id="135"/>
    </w:p>
    <w:p>
      <w:pPr>
        <w:pStyle w:val="Heading6"/>
        <w:numPr>
          <w:ilvl w:val="5"/>
          <w:numId w:val="1"/>
        </w:numPr>
        <w:rPr/>
      </w:pPr>
      <w:bookmarkStart w:id="136" w:name="__RefHeading___Toc105549_373438147"/>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نظرات مرحوم آقای بروجردی قدس سره در تقریراتی که از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بحث کتاب الغصب آن وجود دارد؛ لکن آن‌چه که ما در اینجا ذکر می‌کنیم بر اساس مطالبی است که والد بزرگوار دام ظلّه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مخطوطات مباحث غصب، که با آن‌چه در تقریرات ثلاثه آمده، تفاوت زیادی دارد،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این بحث در کلام محقّق بروجردی رحمه الله وجود دارد که در کلمات دیگران کمتر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مسأله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ضمان، به عهده تعبیر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ذمّه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شاهدشان نیز آن است که در باب دین، ذمّه مدیون و مقترض اشتغال دارد که در زمان معیّن، دین و قرض خود را بپردازد؛ لیکن هیچ فقیهی نمی‌گوید مقترض یا مدیون ضامن است؛ و از همین‌جا کشف می‌شود که بین ذمّه و عهده از نظر فقهی تغایر است، هرچند که در لغت بین آن‌ها فرقی نگذارند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ذمّه و عهده باید در این باشد که ذمّه یک عنوان کلّی داشته و به امری کلّی تعلّق پیدا می‌کند، امّا عهده در اغلب موارد به امر جزئی خارجی تعلّق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دین، زمانی که زید از عمرو چیزی را قرض می‌گیرد، ذمّه‌اش به عنوان کلّی دین مشغول می‌شود؛ ایشان ذمّه را به ظرف ذهن تشبیه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ذهن جایگاه و ظرف برای مفاهیم کلّی است، ذمّه نیز جایگاهی است که به امور کلّی اشتغال پیدا می‌کند، برخلاف عهده که به شییء موجود معیّن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اموال و چه در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می‌شود؛</w:t>
      </w:r>
    </w:p>
    <w:p>
      <w:pPr>
        <w:pStyle w:val="BookText"/>
        <w:rPr/>
      </w:pPr>
      <w:r>
        <w:rPr>
          <w:rFonts w:ascii="IRNazanin" w:hAnsi="IRNazanin" w:eastAsia="IRNazanin"/>
          <w:color w:val="111111"/>
          <w:sz w:val="28"/>
          <w:sz w:val="28"/>
          <w:szCs w:val="28"/>
          <w:rtl w:val="true"/>
          <w:lang w:bidi="fa-IR"/>
        </w:rPr>
        <w:t>هنگامی که گفته می‌شود ذمّه زید بر فلان مال تعلّق گرفته است، یعنی آن مال معیّن خارجی بوصف کونه فی الخارج، متعلّق از برای عهده قرار می‌گیرد؛ و یا در باب کفالت، مثلاً عهده زید مشغول به عمرو می‌شود و زید کفیل او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اغلب موارد، عهده به یک امر معیّن خارجی تعلّق پیدا می‌کند و معنای ضمان نیز همین مطلب است و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ترجمه دقیق فقهی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 چنین ضمانی که حکم وضعی اعتباری است، دو حکم تکلیفی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مال تا زمانی که وجود دارد و باقی است، واجب است که به مالکش بازگردانده شود؛ و دیگر آن‌که اگر مال تلف شد، بر ضامن است که بدل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یا قیمتش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این دو حکم تکلیفی مجموعاً خصوصیت دارد و نمی‌توان این دو را از هم تفکیک کرد؛ و در صورتی که اگر یکی باشد بدون دیگری، ضمانی وجود نخواهد داشت؛ مانند باب امانت که بر امین واجب است مال امانی را به مالکش بازگرداند، لکن هیچ‌گاه گفته نمی‌شود که امین ضامن است؛ زیرا، امین در فرض تلف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بدون تعدّی و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چیزی را به مالک بدهد و ذمّه او 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ضمان در صورتی معنا دارد که دو حکم تکلیفی فوق هر دو باهم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العین موجودة یجب ردّها وإذا کانت تالفة یجب ردّ بدلها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ضمان را به باب اباحه و ملکیّت تشبیه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باید هر دو حکم با هم باشد، مانند باب اباحه و ملکیّت است؛ بدین معنا که اگر مالی برای انسان مباح باشد، جواز تصرّف دارد، لکن هر جواز تصرّفی دالّ بر ملکیّت نیست؛ چه آن که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حکم وضعی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است که چند حکم تکلیفی وجود داشته باشد؛ یکی از آن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علاوه بر این، باید دو حکم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المال إلی الوارث حین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الخمس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باشد تا ملکیّت محقّق شود؛ و به عبارت دیگر، در مواردی که این احکام تکلیفیّه سه‌گانه موجود</w:t>
      </w:r>
    </w:p>
    <w:p>
      <w:pPr>
        <w:pStyle w:val="BookText"/>
        <w:rPr/>
      </w:pPr>
      <w:r>
        <w:rPr>
          <w:rFonts w:ascii="IRNazanin" w:hAnsi="IRNazanin" w:eastAsia="IRNazanin"/>
          <w:color w:val="111111"/>
          <w:sz w:val="28"/>
          <w:sz w:val="28"/>
          <w:szCs w:val="28"/>
          <w:rtl w:val="true"/>
          <w:lang w:bidi="fa-IR"/>
        </w:rPr>
        <w:t>است، ملکیّت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ضمان نیز همین‌طور است و باید هر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ردّ 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باشند تا ضمان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بروجردی رحمه الله در ادامه به یک اشکال پاسخ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می‌توان قضیّه حملیّه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در علم اصول، بزرگانی مانند مرحوم آخوند خراسانی، مرحوم محقّق اصفهانی، خود مرحوم محقّق بروجردی و والد بزرگوار، مطرح می‌کنند ملاک حمل در باب قضایا، اتحاد و هوهویّت است؛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مؤخّر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است و مشهور علما از این حدیث، حکم وضعی ضمان را فهمیده‌اند، اشکال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عین خارجی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عهده بوده و امری اعتباری است، نه خارجی؛ در اینجا چگونه تشکیل قضیّه را تصویر می‌کنید؟ اینجا که بین موضوع و محمول، اتحاد و هوهویّت نیست؟ به عبارت دیگر، این شییء خارجی به وصف خارجیّت، چگونه می‌تواند بر عهده قرار بگیرد؟</w:t>
      </w:r>
    </w:p>
    <w:p>
      <w:pPr>
        <w:pStyle w:val="BookText"/>
        <w:rPr/>
      </w:pPr>
      <w:r>
        <w:rPr>
          <w:rFonts w:ascii="IRNazanin" w:hAnsi="IRNazanin" w:eastAsia="IRNazanin"/>
          <w:color w:val="111111"/>
          <w:sz w:val="28"/>
          <w:sz w:val="28"/>
          <w:szCs w:val="28"/>
          <w:rtl w:val="true"/>
          <w:lang w:bidi="fa-IR"/>
        </w:rPr>
        <w:t>مرحوم آقای بروجردی رحمه الله در جواب از اشکال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بگوئیم شییء خارجی به وصف خارجیّتش در عهده قرار می‌گیرد، بلکه می‌گوئیم چنین شیئی متعلّق یک امر اعتباری هم قرار می‌گیرد؛ هنگامی که چیزی اعتبار می‌شود، گاه متعلّق آن یک امر ذهنی است و گاه آن متعلّق امری خارجی است؛ درست همانند موردی که گفته می‌شود فلان شییء مال زید است؛ در اینجا هیچ تغییر و تغیّری در عالم خارج بوجود نمی‌آید، بلکه آن شییء متعلّق یک امر اعتباری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ملاک حمل در قضیّه حملیّه که مسأله اتّحاد و هوهویّت است، درست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نکته می‌پردازند که گاه ضمان به یک امر کلّی</w:t>
      </w:r>
    </w:p>
    <w:p>
      <w:pPr>
        <w:pStyle w:val="BookText"/>
        <w:rPr/>
      </w:pPr>
      <w:r>
        <w:rPr>
          <w:rFonts w:ascii="IRNazanin" w:hAnsi="IRNazanin" w:eastAsia="IRNazanin"/>
          <w:color w:val="111111"/>
          <w:sz w:val="28"/>
          <w:sz w:val="28"/>
          <w:szCs w:val="28"/>
          <w:rtl w:val="true"/>
          <w:lang w:bidi="fa-IR"/>
        </w:rPr>
        <w:t xml:space="preserve">متعلّق می‌شود و این در باب عقدالضمان است که ضامن عهده‌دار ذمّه مدیون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امر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به اختلافی که در عقدالضمان بین مذهب امامیّه و اهل‌سنّت وجود دارد، اشاره می‌فرمایند که بر اساس مذهب امامیّه، ضمان به معنای نقل ذمّه است؛ بدین معنا که وقتی ضامن، دین مدیون را پذیرفت، دین که بر عهده مدیون قرار داشت، به ذمّه ضامن انتقال پیدا می‌کند و این هم به جهت وجود روایات خاصّی است که در این زمینه از اهل‌بیت علیهم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چنین معنایی مخالف با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در میان عقلا این است که اگر شخصی ضامن دیگری شود، ذمّه مدیون از اشتغال خالی نمی‌شود؛ و از سوی دیگر، علمای اهل سنّت نیز چون روایات وارده از اهل‌بیت علیهم السلام را قبول ندارند، ضمان را به همان معنای متعارف در بین عقلا تفسیر کرده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عبارة عن ضمّ ذمّة إلی ذمّة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صرف اشتغال ذمّه ضامن، ذمّه مدیون بری نمی‌شود؛ بر خلاف مذهب امامیّه که ذمّه مدیون بری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بروجردی رحمه الله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ضامن عهده‌دار ذمّه مدیون می‌شود، ضمان به یک امر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پیدا کرده است و بنابراین، متعلّق آن امر جزئی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به این نکته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 کلّی است، ولی دینی که در خصوص ذمّه مدیون متعیّن است، جزئی می‌شود؛ مثل آن که مفهوم کلّی انسان در ذهن تصوّر می‌شود، ولی آن مفهوم کلّی که ذهن انسان در آن زمان تصوّر می‌کند، جزئی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صورت، جمع بین عهده و اشتغال ذمّه می‌شود؛ از یک طرف عهده است که به خصوص ذمّه یک فرد چون متعلّق شده است، جزئی گردیده است؛ و از دیگر سو، اشتغال ذمّه ضامن به دین تعلّق پیدا کرده که یک عنوان کلّی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مطلبی که مرحوم آقای بروجردی قدس سره ذکر می‌کند، این است که مطابق بیان ما و تعریفی که از ضمان ارائه کردیم، چنین معنایی در باب معاوضات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معاوضی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تعلّق ضمان به امر کلّی فقط در باب عقد الضمان محقّق است؛ حال در موردی که بیع به یک امر کلّی تعلّق پیدا کرده است، قبل از تحقّق بیع اشتغال ذمّه‌ای وجود ندارد، هنگامی هم که بیع محقّق می‌شود، ذمّه بایع مشغول می‌شود به این که مبیع را به مشتری تحویل دهد و ذمّه مشتری مشغول می‌شود که ثمن را به بایع دهد، و زائد بر این، چیزی به نام ضمان نداریم که گفته شود بایع و یا مشتری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لامعنی للضمان فی ضمان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شیخ و دیگران بر آن اصرار دارند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 xml:space="preserve">گویا کسی به محقّق بروجردی رحمه الله اشکال می‌کند که اگر شما ضمان معاوضی را قبول ندارید، در مورد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در آن عقدی که در صحیحش ضمان است در فاسدش نیز ضمان است، چه می‌گوئید؟ آیا به‌جز ضمان معاوضی چیز دیگری در اینجا وجود دارد؟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اصلی ندارد؛ نه آیه و روایتی بر آن دلالت دارد و نه معقد اجماع است؛ لذا، اکثر محشّین مکاسب بر مرحوم شیخ اشکال کرده‌اند این قاعده که متّخذ از آیات و روایات نیست، چرا در مفردات آن بحث می‌کنید؟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ضمان معاوضی را بپذیریم، در صورتی که مالی از غیر طریق معاوضه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منتقل شود، باید بگوئیم</w:t>
      </w:r>
    </w:p>
    <w:p>
      <w:pPr>
        <w:pStyle w:val="BookText"/>
        <w:rPr/>
      </w:pPr>
      <w:r>
        <w:rPr>
          <w:rFonts w:ascii="IRNazanin" w:hAnsi="IRNazanin" w:eastAsia="IRNazanin"/>
          <w:color w:val="111111"/>
          <w:sz w:val="28"/>
          <w:sz w:val="28"/>
          <w:szCs w:val="28"/>
          <w:rtl w:val="true"/>
          <w:lang w:bidi="fa-IR"/>
        </w:rPr>
        <w:t>که در اینجا ضمانی نیست؛ چرا که معاوضه‌ای وجود نداشته است؛ و حال آن‌که چنین تفصیلی صحیح نیست؛ و اگر کسی ضمان معاوضی را بپذیرد، باید چنین تفصیلی را قائل شود که در موردی که مالی از غیر طریق معاوضه منتقل شود، باید ضمانی وجود نداشته باشد؛ و اگر مالی از طریق بیع و مانند آن منتقل شود، باید گفته شود که گیرنده ضامن است؛ و حال آن که چنین تفصیلی بر خلاف بنای عقلا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بروجردی رحمه الله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الظاهر عدم إطلاقه بنحو الحقیقة فی المعاوضات الصحیحة وإطلاقه علیها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له علی ذلک؛ لعدم کون القاعدة بالعبارة المعروفة ممّا دلّ علیه آیة أو روایة أو اجماع، ولذا اعترض أکثر محشّی المکاسب علی الشیخ الأعظم قدس سره بلحاظ جعل البحث فی مفردات القاعدة مهمّاً، نظراً إلی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 ذلک التفصیل فی أموال المالک من جهة إطلاق الضمان، فإن کان منتقلاً إلیه بالإرث ونحوه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ضامن له، وإن کان منتقلاً إلیه بالبیع ونحوه من المعاوضات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ضامن له، مع أنّ التفصیل بهذا النحو خلاف ما علیه العقلاء، کما لا یخفی</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ایشان، مرحوم آخوند و مرحوم اصفهانی در این جهت مشترک هستند که در هر موردی که ضمان باشد، هم حکم وضعی وجود دارد و هم حکم تکلیفی؛ لیکن مرحوم آخوند و مرحوم اصفهانی از ابتدا معتقد بودند که ضمان به معنای عهده است، ولی عهده به معنای حکم وضعی نیست؛ بلکه عنوانی است که یا قدر جامع بین حکم تکلیفی و وضعی است و یا اگر نتوانیم</w:t>
      </w:r>
      <w:bookmarkStart w:id="138" w:name="pg877_5879"/>
    </w:p>
    <w:p>
      <w:pPr>
        <w:pStyle w:val="BookText"/>
        <w:rPr/>
      </w:pPr>
      <w:bookmarkEnd w:id="138"/>
      <w:r>
        <w:rPr>
          <w:rFonts w:ascii="IRNazanin" w:hAnsi="IRNazanin" w:eastAsia="IRNazanin"/>
          <w:color w:val="111111"/>
          <w:sz w:val="28"/>
          <w:sz w:val="28"/>
          <w:szCs w:val="28"/>
          <w:rtl w:val="true"/>
          <w:lang w:bidi="fa-IR"/>
        </w:rPr>
        <w:t>قدر جامع درست کنیم</w:t>
      </w:r>
      <w:r>
        <w:rPr>
          <w:rStyle w:val="FootnoteAnchor"/>
          <w:rtl w:val="true"/>
        </w:rPr>
        <w:footnoteReference w:id="90"/>
      </w:r>
      <w:r>
        <w:rPr>
          <w:rFonts w:ascii="IRNazanin" w:hAnsi="IRNazanin" w:eastAsia="IRNazanin"/>
          <w:color w:val="111111"/>
          <w:sz w:val="28"/>
          <w:sz w:val="28"/>
          <w:szCs w:val="28"/>
          <w:rtl w:val="true"/>
          <w:lang w:bidi="fa-IR"/>
        </w:rPr>
        <w:t>باید بپذیریم که شارع عهده را اعتبار نموده و سپس دو اعتبار دیگر بر آن مترتّب نموده، یکی اعتبار حکم تکلیفی و دوّم، اعتبار حکم وضعی؛ اما مرحوم بروجردی قدس سره معتقد است که حکم وضعی ضمان موضوع برای دو حکم تکلیفی است</w:t>
      </w:r>
      <w:r>
        <w:rPr>
          <w:rFonts w:eastAsia="IRNazanin" w:cs="IRNazanin"/>
          <w:color w:val="111111"/>
          <w:sz w:val="28"/>
          <w:szCs w:val="28"/>
          <w:rtl w:val="true"/>
          <w:lang w:bidi="fa-IR"/>
        </w:rPr>
        <w:t>.</w:t>
      </w:r>
    </w:p>
    <w:p>
      <w:pPr>
        <w:pStyle w:val="Heading6"/>
        <w:numPr>
          <w:ilvl w:val="5"/>
          <w:numId w:val="1"/>
        </w:numPr>
        <w:rPr/>
      </w:pPr>
      <w:bookmarkStart w:id="139" w:name="__RefHeading___Toc105551_373438147"/>
      <w:bookmarkStart w:id="140" w:name="_Toc53"/>
      <w:bookmarkEnd w:id="139"/>
      <w:r>
        <w:rPr>
          <w:rtl w:val="true"/>
        </w:rPr>
        <w:t>اشکالات نظریّه محقّق بروجردی رحمه الله</w:t>
      </w:r>
      <w:bookmarkEnd w:id="140"/>
    </w:p>
    <w:p>
      <w:pPr>
        <w:pStyle w:val="BookText"/>
        <w:rPr/>
      </w:pPr>
      <w:r>
        <w:rPr>
          <w:rFonts w:ascii="IRNazanin" w:hAnsi="IRNazanin" w:eastAsia="IRNazanin"/>
          <w:color w:val="111111"/>
          <w:sz w:val="28"/>
          <w:sz w:val="28"/>
          <w:szCs w:val="28"/>
          <w:rtl w:val="true"/>
          <w:lang w:bidi="fa-IR"/>
        </w:rPr>
        <w:t xml:space="preserve">به نظر، بر سخن مرحوم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نکات دقیق و بدیعی در آن وجود دارد، و والد محقّق و بزرگوار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 و به شدّت مورد اعتنا قرار داده‌اند، اما با این وصف، مناقشاتی بر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عقلا در باب دیون و ضمانات دو اعتبار ندارند؛ چنین نیست که عنوانی را به نام ذمّه و عنوان دیگری را به نام عهده اعتبار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ایشان معتقدند مبنی بر آن‌که عقلا در باب دیون، وجود ذمّه و در باب ضمان وجود عهده را اعتبار می‌کنند،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 عامی است که گاه به امر جزئی و گاه به امر کلّی تعلّق پیدا می‌کند؛ 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ضمان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عهده به یک امر جزئی خارجی تعلّق گیرد، نتیجه‌اش ضمان می‌شود؛ و در صورتی که به امر کلّی متعلّق شود، اشتغال عهده و اشتغال ذمّه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ذمّه از مصادیق عهده می‌شود و نه مباین با آن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بروجردی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عهده به یک امر کلّی متعلّق می‌شود</w:t>
      </w:r>
      <w:bookmarkStart w:id="141" w:name="pg877_5880"/>
    </w:p>
    <w:p>
      <w:pPr>
        <w:pStyle w:val="BookText"/>
        <w:rPr/>
      </w:pPr>
      <w:bookmarkEnd w:id="141"/>
      <w:r>
        <w:rPr>
          <w:rFonts w:ascii="IRNazanin" w:hAnsi="IRNazanin" w:eastAsia="IRNazanin"/>
          <w:color w:val="111111"/>
          <w:sz w:val="28"/>
          <w:sz w:val="28"/>
          <w:szCs w:val="28"/>
          <w:rtl w:val="true"/>
          <w:lang w:bidi="fa-IR"/>
        </w:rPr>
        <w:t>و آن امر کلّی را به عقد الضمان منحصر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مطلب اختصاصی به عقد الضمان نداشته و در تمامی معاوضات چنین معنایی وجود دارد؛ و اساساً عقد به معنای عهده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می‌کنند؛ عقدی وجود ندارد که در آن عهده و تعهّد نباشد؛ بایع عهده‌دار شده که یک مبیع کلّی را تحصیل کند و در اختیار مشتری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معلوم می‌شود آن‌چه مرحوم شیخ انصاری قدس سره در مکاسب به عنوان ضمان معاوضی بیان کرده و برخی از محشّین مکاسب مثل مرحوم آخوند و مرحوم اصفهانی نیز آن را قبول دارند، مطلب صحیحی است؛ و در معاوضات کلیه می‌توان گفت ذمّه به مبیع کلّی اشتغال پیدا می‌کند، و ضمان در این موارد معنا دارد و یک امر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شد، محقّق بروجردی رحمه الله عهده را مساوی با ضمان گرفته‌اند، در حالی که عهده معنا و عنوان عامی داشته، امری اعتباری بوده و در میان عقلا، هم اثر ضمان بر آن مترتّب می‌شود و هم آثار دیگر، و از جمله اثر تکلیفی بر 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ایشان می‌فرماید عقلا ضمان را موضوع دو حکم تکلیفی قرار داده‌اند، قابل قبول نیست؛ چرا که عقلا مسأله عهده را مطرح می‌کنند و بر آن آثاری مترتّب می‌شود؛ از آثار وضعیه به ضمان تعبیر می‌شود؛ و علاوه بر این آثار، عهده دارای آثار تکلیفیّه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عقلا، خود ضمان را موضوع برای دو حکم تکلیفی قرار دهند، در نزد عقلا معهود و شناخته شده نیست</w:t>
      </w:r>
      <w:r>
        <w:rPr>
          <w:rFonts w:eastAsia="IRNazanin" w:cs="IRNazanin"/>
          <w:color w:val="111111"/>
          <w:sz w:val="28"/>
          <w:szCs w:val="28"/>
          <w:rtl w:val="true"/>
          <w:lang w:bidi="fa-IR"/>
        </w:rPr>
        <w:t>.</w:t>
      </w:r>
    </w:p>
    <w:p>
      <w:pPr>
        <w:pStyle w:val="Heading5"/>
        <w:numPr>
          <w:ilvl w:val="4"/>
          <w:numId w:val="1"/>
        </w:numPr>
        <w:rPr/>
      </w:pPr>
      <w:bookmarkStart w:id="142" w:name="__RefHeading___Toc105553_373438147"/>
      <w:bookmarkStart w:id="143" w:name="_Toc54"/>
      <w:bookmarkEnd w:id="142"/>
      <w:r>
        <w:rPr/>
        <w:t>5</w:t>
      </w:r>
      <w:r>
        <w:rPr>
          <w:rtl w:val="true"/>
        </w:rPr>
        <w:t xml:space="preserve"> - </w:t>
      </w:r>
      <w:r>
        <w:rPr>
          <w:rtl w:val="true"/>
        </w:rPr>
        <w:t>دیدگاه امام خمینی رحمه الله</w:t>
      </w:r>
      <w:r>
        <w:rPr>
          <w:rtl w:val="true"/>
        </w:rPr>
        <w:t xml:space="preserve">: </w:t>
      </w:r>
      <w:r>
        <w:rPr>
          <w:rtl w:val="true"/>
        </w:rPr>
        <w:t>قرار گرفتن عین مال بر عهده‌ی آخذ</w:t>
      </w:r>
      <w:bookmarkEnd w:id="143"/>
    </w:p>
    <w:p>
      <w:pPr>
        <w:pStyle w:val="Heading6"/>
        <w:numPr>
          <w:ilvl w:val="5"/>
          <w:numId w:val="1"/>
        </w:numPr>
        <w:rPr/>
      </w:pPr>
      <w:bookmarkStart w:id="144" w:name="__RefHeading___Toc105555_373438147"/>
      <w:bookmarkStart w:id="145" w:name="_Toc55"/>
      <w:bookmarkEnd w:id="144"/>
      <w:r>
        <w:rPr>
          <w:rtl w:val="true"/>
        </w:rPr>
        <w:t>اشاره</w:t>
      </w:r>
      <w:bookmarkEnd w:id="14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بحث مفصّلی را در مورد معنا و حقیقت ضمان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دلیل عقلی یا نقلی نداریم که بیان کند کیفیت ضمان در همه موارد و در ابواب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ید، باب اتلاف و سایر ضمانات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صورت یکسان و واحد باشد؛ در نتیجه، لازم است که ظاهر ادلّه مورد بررسی و دقت قرار گیرد تا معلوم شود که از آن‌ها چه چیزی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که دلالت بر ضمان در موارد ید، اتلاف و سایر ابواب ضمانات می‌کند، استفاده می‌کنیم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آخذ قرار می‌گیرد؛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ید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همان‌گونه که بارها گفته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عین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است؛ و همین‌طور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ضمان نسبت به خود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ظهور با یک اشکال مهمّ عقلی مواجه است و از نظر عقل و عقلا نمی‌توان به آن ملتزم شد؛ زیرا، در صورتی که مال مأخوذ تلف شود، دیگر مالی وجود ندارد که به مالکش بازگردانده شود؛ مشهور می‌گویند در فرض تلف، پرداخت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یا قیمت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پرداخت خود مال است و با این توجیه از اشکال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نقد سخن مشهور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می‌آید،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در این نظر وجود دارد که هر چهار مورد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این است که مال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شخص قرار می‌گیرد؛ اشکال این احتمال آن است که پس از تلف شدن مال دیگر وجود خارجی ندارد که بر عهده شخص قرار گیرد؛ در این مورد، ضمان به چه صورت می‌شود؟ نتیجه آن‌که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أن یسقط ضمانه بتلفه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دوّمی که وجود دارد،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معرّات و خالی و بدون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احتمال نیز آن است که در عالم خارج، اخذ بر وجود خارجی مال صورت گرفته است و نه بر ماهیّت آن؛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شییء آن است که بر وجود آن مال دست پیدا می‌کند و</w:t>
      </w:r>
    </w:p>
    <w:p>
      <w:pPr>
        <w:pStyle w:val="BookText"/>
        <w:rPr/>
      </w:pPr>
      <w:r>
        <w:rPr>
          <w:rFonts w:ascii="IRNazanin" w:hAnsi="IRNazanin" w:eastAsia="IRNazanin"/>
          <w:color w:val="111111"/>
          <w:sz w:val="28"/>
          <w:sz w:val="28"/>
          <w:szCs w:val="28"/>
          <w:rtl w:val="true"/>
          <w:lang w:bidi="fa-IR"/>
        </w:rPr>
        <w:t>به همین دلیل، احتمال دوّم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آن که گفته شود چیزی که بر عهده قرار می‌گیرد، واقع خارجی و موجود است، ولی نه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این احتمال وارد می‌شود، این است که دست پیدا کردن بر واقع بدون وجود خارجی امکان‌پذیر نیست؛ به عبارت دیگر، در حقیقت بر همان وجود خارجی است که شخص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چهارم نیز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الوجود الخارجی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درست است که وجود خارجی مال بعد از تلف از بین می‌رود و نابود می‌شود، ولی عقلا آن را در حکم موجود می‌گیرند؛ یعنی مانند این است که مال در خارج وجود دارد و بقای آن را اعتبار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اشکالی که بر این احتمال وارد می‌شود، این است که انسان بر وجود خارجی حقیقی و واقعی مال دست پیدا می‌کند و نه بر وجود خارجی اعتباری؛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چنین معنایی بر خلاف ظاهر حدیث است؛ ظاهر روایت این است که مضمون عبارت از همان مأخوذ و مال موجود خارجی است و نه اعم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المضمون ما هو الموجود خارجاً، لا الأعمّ منه ومن المعدوم الّذی یعتبر موجوداً باقیاً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باطل بودن هر چهار احتمال، معلوم می‌گردد که یک وجه معقول و مقبولی برای کلام فقها در این مورد وجود ندارد؛ چرا که غیر از این چهار احتمال، احتمال دیگری نیز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معقول مقبول عرفاً وعقلاً لما افید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مرحوم امام خمینی قدس سره برای ضمان معنای جدیدی ذکر نموده و 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الضمان المعهود المغروس فی أذهان</w:t>
      </w:r>
    </w:p>
    <w:p>
      <w:pPr>
        <w:pStyle w:val="BookText"/>
        <w:rPr/>
      </w:pPr>
      <w:r>
        <w:rPr>
          <w:rFonts w:ascii="IRNazanin" w:hAnsi="IRNazanin" w:eastAsia="IRNazanin"/>
          <w:color w:val="111111"/>
          <w:sz w:val="28"/>
          <w:sz w:val="28"/>
          <w:szCs w:val="28"/>
          <w:rtl w:val="true"/>
          <w:lang w:bidi="fa-IR"/>
        </w:rPr>
        <w:t>العقلاء، هو عهدة الغرامة والخسارة، ففی المثلی بالمثل، وفی القیمی بالقیمة یوم الإتلاف، وإنّ ضمان‌العین بمعنی أنّ نفس العین علی عهدة الضامن فی المثلیّات والقیمیّات، خلاف المتعارف والمعهود عندهم، وفی مثله لابدّ من ورود دلیل صریح مخالف لبنائهم ودیدنهم، کما فی دیة الکلب الّتی وردت فیها روایات صریحة 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أقرب بنظر القاصر عجالتاً، وإن خالف ما مرّ منّا إلی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یَشَآءُوَ یُثْبِتُ</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عبارت است از این که خسارت مال بر عهده قرار می‌گیرد و نه خود عین مال؛ و این معنا در میان عقلا مشهور و معروف است که باید خسارت مال به مالکش پرداخت شود؛ بنابراین، در صورت باقی بودن خود آن مال، همان به مالکش بازگردانده می‌شود، و در صورت تلف نیز بدل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یا قیمت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پرداخت می‌شود؛ و عقلا هیچ‌گاه نمی‌گویند که خود عین بر عهده آخذ و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شارع مقدّس نیز مطابق با فهم و نظر عقلا رفتار، و حکم شرعی صادر می‌کند؛ و اگر در موردی نیز بخواهد با روش معهود در میان عقلا مخالفت کند، لازم است که یک دلیل صریح و روشنی در آن زمینه بیان نماید؛ مانند مسأله دیه سگ که روایات روشن و معتبری بر آن دلالت دارد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در ادامه بیان می‌کنند که غایت ذکر شده در روایت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تؤدّیه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مربوط به صورت بقای عین مال در نزد آخذ است و دیگر صورت تلف را شامل نمی‌شود؛ بر خلاف مشهور علما که می‌گویند غایت مذکور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صورت بقا و هم شامل صورت تلف عین 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تلف، باید بگوئیم بر عهده آخذ و ضامن، خسارت مال می‌آید و دیگر اداء، ادای عین مال نیست، بلکه مثل و یا قیمت آن را به مالک می‌دهد؛ مانند این که فردی به 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مالک فی البحر وعلیّ ضمانه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مالت را در دریا بینداز و من ضامن آن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مثال نیز، ضمان به معنای پرداخت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امام قدس سره بر خلاف سایر فقها و بزرگان، قائل‌اند که غایت مذکور در روایت، فقط صورت بقای مال را در برمی‌گیرد و نه صورت تلف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نهایت، در مورد معنای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الغایة المذکورة فیه غایة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أنّ الآخذ ضامن للمأخوذ؛ بمعنی أنّه لو تلف تکون خسارته علیه، وغایة هذا الأمر التعلیقی أی عهدة الخسارة علی فرض التلف، هو أداء نفس العین لیس إلّا، فلو استولی أحد علی مال غیره یکون ضامناً؛ أی علی عهدته خسارته، ما لم یصل المال إلی صاحبه وإن خرج عن استیلاء المستولی، وقع تحت استیلاء غیره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الظاهر من حدیث الید، الموافق لبناء العقلاء فی باب الضمان</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مال مأخوذ در صورتی که تلف می‌شود، بدین صورت</w:t>
      </w:r>
      <w:bookmarkStart w:id="146" w:name="pg877_5885"/>
    </w:p>
    <w:p>
      <w:pPr>
        <w:pStyle w:val="BookText"/>
        <w:rPr/>
      </w:pPr>
      <w:bookmarkEnd w:id="146"/>
      <w:r>
        <w:rPr>
          <w:rFonts w:ascii="IRNazanin" w:hAnsi="IRNazanin" w:eastAsia="IRNazanin"/>
          <w:color w:val="111111"/>
          <w:sz w:val="28"/>
          <w:sz w:val="28"/>
          <w:szCs w:val="28"/>
          <w:rtl w:val="true"/>
          <w:lang w:bidi="fa-IR"/>
        </w:rPr>
        <w:t>است که شخص آخذ می‌بایست خسارت مال را بپردازد و این معنایی است که با روش عقلا نیز سازگاری داشته و هم‌چنین مضمون روایات باب ضمان موافق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فرمایش امام رحمه الله دیگر چیزی به نام حکم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الحفظ یا وجوب 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و فقط یک معنا از ضمان استفاده می‌شود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عهدة الخسارة</w:t>
      </w:r>
      <w:r>
        <w:rPr>
          <w:rFonts w:eastAsia="IRNazanin" w:cs="IRNazanin"/>
          <w:color w:val="111111"/>
          <w:sz w:val="28"/>
          <w:szCs w:val="28"/>
          <w:rtl w:val="true"/>
          <w:lang w:bidi="fa-IR"/>
        </w:rPr>
        <w:t>».</w:t>
      </w:r>
    </w:p>
    <w:p>
      <w:pPr>
        <w:pStyle w:val="Heading6"/>
        <w:numPr>
          <w:ilvl w:val="5"/>
          <w:numId w:val="1"/>
        </w:numPr>
        <w:rPr/>
      </w:pPr>
      <w:bookmarkStart w:id="147" w:name="__RefHeading___Toc105557_373438147"/>
      <w:bookmarkStart w:id="148" w:name="_Toc56"/>
      <w:bookmarkEnd w:id="147"/>
      <w:r>
        <w:rPr>
          <w:rtl w:val="true"/>
        </w:rPr>
        <w:t>اشکالات دیدگاه امام خمینی رحمه الله</w:t>
      </w:r>
      <w:bookmarkEnd w:id="148"/>
    </w:p>
    <w:p>
      <w:pPr>
        <w:pStyle w:val="BookText"/>
        <w:rPr/>
      </w:pPr>
      <w:r>
        <w:rPr>
          <w:rFonts w:ascii="IRNazanin" w:hAnsi="IRNazanin" w:eastAsia="IRNazanin"/>
          <w:color w:val="111111"/>
          <w:sz w:val="28"/>
          <w:sz w:val="28"/>
          <w:szCs w:val="28"/>
          <w:rtl w:val="true"/>
          <w:lang w:bidi="fa-IR"/>
        </w:rPr>
        <w:t>به نظر می‌رسد نسبت به این سخن مرحوم امام قدس سره مناقشاتی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اشکال در مورد اصل سخن ایشان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ضمان را نسبت به خود عین مال موجود خارجی تصویر کنیم و سخن مشهور نیز مقبول و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از میان چهار احتمالی که ایشان در مورد وجود ضمان در عین مال مطرح کردند، احتمال چهارم صحیح و قابل 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شارع مقدّس در صورتی که شخص بر مال دیگری دست پیدا می‌کند، آن را بر عهده فرد اعتبار می‌کنند؛ در اینجا گفته نمی‌شود که خود موجود خارجی بر عهده می‌آید؛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یک امر اعتباری است و نمی‌شود که موجود خارجی متعلّق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قدس سره در اشکال اوّلشان بر احتمال چهارم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آخذ بر آن دست یافته، مال موجود خارجی و حقیقی است، ولی آن‌چه که بر عهده می‌آید، موجود خارجی اعتباری است و بین این دو مغایرت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پاسخی که از اشکال ایشان داده می‌شود، این است که هیچ تنافی و تعارضی بین این دو نیست؛ همان‌گونه که در سایر موارد نیز گاه یک امر خارجی منشأ چندین حکم اعتباری می‌گردد؛ و اساساً موضوع باید یک امر خارجی باشد تا</w:t>
      </w:r>
    </w:p>
    <w:p>
      <w:pPr>
        <w:pStyle w:val="BookText"/>
        <w:rPr/>
      </w:pPr>
      <w:r>
        <w:rPr>
          <w:rFonts w:ascii="IRNazanin" w:hAnsi="IRNazanin" w:eastAsia="IRNazanin"/>
          <w:color w:val="111111"/>
          <w:sz w:val="28"/>
          <w:sz w:val="28"/>
          <w:szCs w:val="28"/>
          <w:rtl w:val="true"/>
          <w:lang w:bidi="fa-IR"/>
        </w:rPr>
        <w:t>احکام اعتباری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بجنوردی رحمه الله نیز نظیر این مطلب را بیان داشته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 بر مالی به صورت غصبی یا بدون اذن مالک و یا بدون اذن شارع مقدّس ید پیدا کند، عقلا و شارع در اینجا آن مال را بر ذمّه آخذ اعتبار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کون المأخوذ فی ذمّة الآخذ وفی عهدته هو أنّ الهیئة الموجودة فی الخارج إن وقعت تحت الید غصباً أو بدون إذن المالک أو الشارع یعتبرها الشارع أو العقلاء أو کلاهما فی عهدة الآخذ</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دوّم ایشان نیز این بود که چنین معنا و احتمالی بر خلاف ظاهر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بلکه ظاهر حدیث بر این مطلب دلالت دارد که مال مضمون همان وجود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اشکال نیز آن است که چاره‌ای جز ارتکاب خلاف ظاهر در اینجا نیست؛ هنگامی که امکان ندارد خود مال موجود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خارجیّت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قرار بگیرد، به ناچار باید در اینجا اعتباری صورت پذیرد؛ و این مطلب قرینه‌ای عقلی و مجوّزی برای ارتکاب خلاف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بر آن قسمت از سخن ایشان وارد می‌شود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عقلا یک معنای معقولی را برای ضمان عین تا زمانی که باقی است، قائل نیستند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گفته می‌شود چرا چنین چیزی صحیح نیست و حال آن که اگر فردی بر مال غیر دست پیدا کند، در صورتی که هنوز عین مال تلف نشده باشد و در دست غاصب باقی باشد، اگر از عقلا سؤال شود که آیا ذمّه این شخص مشغول است یا 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به صرف دست پیدا کردن بر مال غیر، ذمّه و عهده شخص مشغول می‌شود؛ بدین معنا که مال را بر عهده آن شخص اعتبار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در مورد معنا و حقیقت ضمان فرمودند که ضمان یک امر تعلیقی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عهدة الخسارة لو تلفت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به نظر ایشان هنگامی که عین مال در خارج موجود است، چیزی به نام ضمان معنا ندارد؛ به همین جهت استشهاد کردند که در عرف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مالک فی البحر و علیّ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صورت تلف شدن آن مال، خسارتش بر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برخی موارد ضمان در صورت تلف‌شدن مال مطرح می‌شود؛ مانند قاعده اتلاف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اگر شخصی مال دیگری را از بین ببرد، هرچند بر آن دست نیافته باشد، ضامن آن خواهد بود؛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بر روی گندم دیگری می‌اندازد و یا آتشی را از ورای دیوار به خانه‌ای می‌اندازد و خانه در آتش می‌سوزد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 این موارد شخص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بطور کلّی در مواردی که اتلاف وجود دارد، معنایی برای ضمان جز پرداخت خسارت وجود ندارد؛ لیکن موارد ضمان منحصر به باب اتلاف نمی‌شود، بلکه موارد دیگر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باعث ضمان است و طبق تعریف حضرت امام رحمه الله باید این موارد از سببیّت برای ضمان خارج شود که مطلب صحیحی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چهارمی که در اینجا وجود دارد و با اشکال سوم مرتبط می‌باشد، این است که اگر ما باشیم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 ضمان فعلی و منجّز در اینجا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معنایی 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نیاز به تقدیر داشت و نه مرتکب مجازیّت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عهده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 بر عهده‌ی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حال آن که طبق معنای امام رحمه الله ضمان، یک ضمان تعلیقی می‌شود؛ و بر فرض تلف، شخص ضامن می‌شود</w:t>
      </w:r>
      <w:r>
        <w:rPr>
          <w:rFonts w:eastAsia="IRNazanin" w:cs="IRNazanin"/>
          <w:color w:val="111111"/>
          <w:sz w:val="28"/>
          <w:szCs w:val="28"/>
          <w:rtl w:val="true"/>
          <w:lang w:bidi="fa-IR"/>
        </w:rPr>
        <w:t>.</w:t>
      </w:r>
      <w:bookmarkStart w:id="149" w:name="pg877_5888"/>
    </w:p>
    <w:p>
      <w:pPr>
        <w:pStyle w:val="BookText"/>
        <w:rPr/>
      </w:pPr>
      <w:bookmarkEnd w:id="14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آخر نیز این است که ایشان ضمان را یک حکم وضعی دانستند و دیگر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استفاده نکردند؛ در حالی که اگر ضمان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در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بر آن، هم حکم وضعی مترتّب می‌شود و هم حکم تکلیفی؛ بنابراین، ضمان دارای یک معنای عامّی است</w:t>
      </w:r>
      <w:r>
        <w:rPr>
          <w:rFonts w:eastAsia="IRNazanin" w:cs="IRNazanin"/>
          <w:color w:val="111111"/>
          <w:sz w:val="28"/>
          <w:szCs w:val="28"/>
          <w:rtl w:val="true"/>
          <w:lang w:bidi="fa-IR"/>
        </w:rPr>
        <w:t>.</w:t>
      </w:r>
    </w:p>
    <w:p>
      <w:pPr>
        <w:pStyle w:val="Heading6"/>
        <w:numPr>
          <w:ilvl w:val="5"/>
          <w:numId w:val="1"/>
        </w:numPr>
        <w:rPr/>
      </w:pPr>
      <w:bookmarkStart w:id="150" w:name="__RefHeading___Toc105559_373438147"/>
      <w:bookmarkStart w:id="151" w:name="_Toc57"/>
      <w:bookmarkEnd w:id="150"/>
      <w:r>
        <w:rPr>
          <w:rtl w:val="true"/>
        </w:rPr>
        <w:t>تعریف برگزیده ضمان</w:t>
      </w:r>
      <w:bookmarkEnd w:id="151"/>
    </w:p>
    <w:p>
      <w:pPr>
        <w:pStyle w:val="BookText"/>
        <w:rPr/>
      </w:pPr>
      <w:r>
        <w:rPr>
          <w:rFonts w:ascii="IRNazanin" w:hAnsi="IRNazanin" w:eastAsia="IRNazanin"/>
          <w:color w:val="111111"/>
          <w:sz w:val="28"/>
          <w:sz w:val="28"/>
          <w:szCs w:val="28"/>
          <w:rtl w:val="true"/>
          <w:lang w:bidi="fa-IR"/>
        </w:rPr>
        <w:t>به نظر می‌رسد، بهترین تعریفی که برای ضمان می‌توان بیان داشت، تعریف محقّق اصفهانی رحمه الله در حاشیه مکاسب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فی ضمن العهدة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دارای آثار وضعی و تکلیفی است؛ طبق این تعریف، ضمان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معاوضی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هیچ یک از اشکالاتی که بر تعاریف دیگر بزرگان وارد شد، بر این تعریف وارد نیست</w:t>
      </w:r>
      <w:r>
        <w:rPr>
          <w:rFonts w:eastAsia="IRNazanin" w:cs="IRNazanin"/>
          <w:color w:val="111111"/>
          <w:sz w:val="28"/>
          <w:szCs w:val="28"/>
          <w:rtl w:val="true"/>
          <w:lang w:bidi="fa-IR"/>
        </w:rPr>
        <w:t>.</w:t>
      </w:r>
    </w:p>
    <w:p>
      <w:pPr>
        <w:pStyle w:val="Heading4"/>
        <w:numPr>
          <w:ilvl w:val="3"/>
          <w:numId w:val="1"/>
        </w:numPr>
        <w:rPr/>
      </w:pPr>
      <w:bookmarkStart w:id="152" w:name="__RefHeading___Toc105561_373438147"/>
      <w:bookmarkStart w:id="153" w:name="_Toc58"/>
      <w:bookmarkEnd w:id="152"/>
      <w:r>
        <w:rPr>
          <w:rtl w:val="true"/>
        </w:rPr>
        <w:t>گفتار دوّم</w:t>
      </w:r>
      <w:r>
        <w:rPr>
          <w:rtl w:val="true"/>
        </w:rPr>
        <w:t xml:space="preserve">: </w:t>
      </w:r>
      <w:r>
        <w:rPr>
          <w:rtl w:val="true"/>
        </w:rPr>
        <w:t>دیدگاه اهل سنّت در مورد ضمان</w:t>
      </w:r>
      <w:bookmarkEnd w:id="153"/>
    </w:p>
    <w:p>
      <w:pPr>
        <w:pStyle w:val="BookText"/>
        <w:rPr/>
      </w:pPr>
      <w:r>
        <w:rPr>
          <w:rFonts w:ascii="IRNazanin" w:hAnsi="IRNazanin" w:eastAsia="IRNazanin"/>
          <w:color w:val="111111"/>
          <w:sz w:val="28"/>
          <w:sz w:val="28"/>
          <w:szCs w:val="28"/>
          <w:rtl w:val="true"/>
          <w:lang w:bidi="fa-IR"/>
        </w:rPr>
        <w:t xml:space="preserve">قبل از آن‌که بحث از مفردات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و بیان کنیم، مناسب است که اشاره‌ای اجمالی به کلمات اهل سنّت در مورد معنای ضمان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نکته این است که غالب علما و فقهای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مالکی، شافعی و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ضمان و کفالت را به صورت مترادف استعمال می‌کنند، بر عکس علمای امامیّه که ضمان را در مورد اموال به کار می‌برند و کفالت را در اشخاص استعمال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مورد علمای حنفی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 یطلقون کفالة علی ما کان فیه الضمان بموجب العقد، و تشمل کفالة المال وکفالة النفس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ویطلقون الضمان علی ما هو</w:t>
      </w:r>
    </w:p>
    <w:p>
      <w:pPr>
        <w:pStyle w:val="BookText"/>
        <w:rPr/>
      </w:pP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الضمان بالعقد وغیر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حنفیه کفالت را در ضمانی که به سبب عقد است، استعمال می‌کنند و شامل کفالت مال و کفالت جان آدمی می‌شود؛ ولی ضمان را برای اعم از این معنا استعمال می‌کنند و هم شامل مواردی می‌شود که به سبب عقد، ضمان ناشی شود و هم مواردی که به سببی غیر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تعاریفی که از برای ضمان ذکر کرده‌اند، به عنوان مثال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عبارة عن ردّ مثل مال هالک أو قیمته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ضمان عبارت است از پرداخت مثل یا قیمت مالی که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همانند برخی از علمای شیعه بحث ضمان در صورت بقای عین را مطرح نکرده و فقط ضمان در صورت تلف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عبارة عن غرامة التالف</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این تعریف، شبیه فرمایش امام خمینی قدس سره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به معنای برعهده گرفتن خسارت در صورت 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تعریف را توسعه داده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هو واجب ردّ الشیء أو بدله بالمثل أو القیمة عند تلفه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وی برای ضمان معنایی ذکر می‌کند که شامل حکم تکلیفی نیز می‌شود؛ و آن این که بر شخص لازم است که خود مال را ردّ کند و اگر تلف شد، مثل و یا قیمتش را بپردازد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الخفیف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فی الفقه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بمعناه الأعمّ فی لسان الفقهاء هو شغل الذّمة بما یجب الوفاء به من مال أو عمل، والمراد ثبوته فیها مطلوباً أداؤه شرعاً عند تحقّق شرط أدائه، سواء أکان مطلوباً أداؤه فی الحال کالدِّین الحالّ، أم فی الزمن المستقبل المعیّن، کالدِّین المؤجّل إلی وقت معیّن، إذ هو مطلوب أداؤه إذا ما تحقّق شرط أدائه، وکالمبیع فی یدمن اشتراه بعقد فاسد، فإنّ ضمانه علی مشتریه مادام فی یده، یضمنه بقیمته إذا هلک لبائعه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ضمان به معنای اعم در لسان فقها عبارت است از اشتغال ذمّه به آن‌چه که وفای به آن لازم است، مال باشد یا عمل و فعل؛ و هنگامی که شرط ادای آن فعل یا مال محقّق شود، در اینجا ادای آن شرعاً لازم است؛ چه آن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فوراً پرداخت آن لازم باشد و چه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مدّت‌دار باشد که در زمان آینده باید پرداخت شود؛ چرا که مطلوب در اینجا ادای قرض است در صورتی که شرط ادای آن محقّق شود؛ و مانند ضمان در عقد فاسد که مبیع در دست مشتری تا زمانی که باقی است، باید عین همان به مالک بازگردانده شود و مشتری ضامن قیمت آن مال خواهد بود، در صورتی که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و تعریفی که از برای ضمان ذکر شد، نزدیک‌ترین عبارت است به تعریفی که ما از برای ضمان بیان کردیم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بررسی دلالت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ترکیبی پایان می‌یابد؛ پس از این، نوبت به بررسی مفردات والفاظ وارد در حدیث می‌شویم</w:t>
      </w:r>
      <w:r>
        <w:rPr>
          <w:rFonts w:eastAsia="IRNazanin" w:cs="IRNazanin"/>
          <w:color w:val="111111"/>
          <w:sz w:val="28"/>
          <w:szCs w:val="28"/>
          <w:rtl w:val="true"/>
          <w:lang w:bidi="fa-IR"/>
        </w:rPr>
        <w:t>.</w:t>
      </w:r>
      <w:bookmarkStart w:id="154" w:name="pg877_5892"/>
    </w:p>
    <w:p>
      <w:pPr>
        <w:pStyle w:val="Heading2"/>
        <w:numPr>
          <w:ilvl w:val="1"/>
          <w:numId w:val="1"/>
        </w:numPr>
        <w:rPr/>
      </w:pPr>
      <w:bookmarkStart w:id="155" w:name="__RefHeading___Toc105563_373438147"/>
      <w:bookmarkStart w:id="156" w:name="_Toc59"/>
      <w:bookmarkEnd w:id="154"/>
      <w:bookmarkEnd w:id="155"/>
      <w:r>
        <w:rPr>
          <w:rtl w:val="true"/>
        </w:rPr>
        <w:t>بخش دوم</w:t>
      </w:r>
      <w:r>
        <w:rPr>
          <w:rtl w:val="true"/>
        </w:rPr>
        <w:t xml:space="preserve">: </w:t>
      </w:r>
      <w:r>
        <w:rPr>
          <w:rtl w:val="true"/>
        </w:rPr>
        <w:t xml:space="preserve">بررسی مفردات حدیث </w:t>
      </w:r>
      <w:r>
        <w:rPr>
          <w:rtl w:val="true"/>
        </w:rPr>
        <w:t>«</w:t>
      </w:r>
      <w:r>
        <w:rPr>
          <w:rtl w:val="true"/>
        </w:rPr>
        <w:t>علی الید</w:t>
      </w:r>
      <w:r>
        <w:rPr>
          <w:rtl w:val="true"/>
        </w:rPr>
        <w:t>»</w:t>
      </w:r>
      <w:bookmarkEnd w:id="156"/>
    </w:p>
    <w:p>
      <w:pPr>
        <w:pStyle w:val="Heading3"/>
        <w:numPr>
          <w:ilvl w:val="2"/>
          <w:numId w:val="1"/>
        </w:numPr>
        <w:rPr/>
      </w:pPr>
      <w:bookmarkStart w:id="157" w:name="__RefHeading___Toc105565_373438147"/>
      <w:bookmarkStart w:id="158" w:name="_Toc60"/>
      <w:bookmarkEnd w:id="157"/>
      <w:r>
        <w:rPr>
          <w:rtl w:val="true"/>
        </w:rPr>
        <w:t>فصل اوّل</w:t>
      </w:r>
      <w:r>
        <w:rPr>
          <w:rtl w:val="true"/>
        </w:rPr>
        <w:t xml:space="preserve">: </w:t>
      </w:r>
      <w:r>
        <w:rPr>
          <w:rtl w:val="true"/>
        </w:rPr>
        <w:t>مفهوم ید و انواع آن</w:t>
      </w:r>
      <w:bookmarkEnd w:id="158"/>
    </w:p>
    <w:p>
      <w:pPr>
        <w:pStyle w:val="Heading4"/>
        <w:numPr>
          <w:ilvl w:val="3"/>
          <w:numId w:val="1"/>
        </w:numPr>
        <w:rPr/>
      </w:pPr>
      <w:bookmarkStart w:id="159" w:name="__RefHeading___Toc105567_373438147"/>
      <w:bookmarkStart w:id="160" w:name="_Toc61"/>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بعد از روشن شدن مفاد ترکیبی و دلالت روایت بر حکم وضعی، بحث بعدی که مطرح می‌شود، بحث از مفردات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1" w:name="__RefHeading___Toc105569_373438147"/>
      <w:bookmarkStart w:id="162" w:name="_Toc62"/>
      <w:bookmarkEnd w:id="161"/>
      <w:r>
        <w:rPr>
          <w:rtl w:val="true"/>
        </w:rPr>
        <w:t>گفتار اوّل</w:t>
      </w:r>
      <w:r>
        <w:rPr>
          <w:rtl w:val="true"/>
        </w:rPr>
        <w:t xml:space="preserve">: </w:t>
      </w:r>
      <w:r>
        <w:rPr>
          <w:rtl w:val="true"/>
        </w:rPr>
        <w:t xml:space="preserve">معنای کلمه </w:t>
      </w:r>
      <w:r>
        <w:rPr>
          <w:rtl w:val="true"/>
        </w:rPr>
        <w:t>«</w:t>
      </w:r>
      <w:r>
        <w:rPr>
          <w:rtl w:val="true"/>
        </w:rPr>
        <w:t>ید</w:t>
      </w:r>
      <w:r>
        <w:rPr>
          <w:rtl w:val="true"/>
        </w:rPr>
        <w:t>»</w:t>
      </w:r>
      <w:bookmarkEnd w:id="162"/>
    </w:p>
    <w:p>
      <w:pPr>
        <w:pStyle w:val="Heading5"/>
        <w:numPr>
          <w:ilvl w:val="4"/>
          <w:numId w:val="1"/>
        </w:numPr>
        <w:rPr/>
      </w:pPr>
      <w:bookmarkStart w:id="163" w:name="__RefHeading___Toc105571_373438147"/>
      <w:bookmarkStart w:id="164" w:name="_Toc63"/>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اولین مطلب این است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مقصود، خصوص ید جارحه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دست موجود در بدن انسان نیست و بلکه اگر کسی مثلاً با پای خود بر مال دیگری تسلط پیدا کند، مشمول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هر چند که از سیاق عبارت حدیث برمی‌آید که اموال با دست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علما و بزرگان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استیلا و تسلط بر مال غیر است؛ و هر حکمی که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بر این موارد نیز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نسبت بین قبض ید و استیلا، عموم و خصوص من وجه است؛ گاه انسان بر مال غیر استیلا داشته و آن را در اختیار خود دارد، امّا قبض به ید ندارد؛ مانند استیلای بر عقارات و حیوانات؛ و گاه قبض ید است و استیلا تحقّق ندارد، مثل موردی که مالکی قوی و قدرتمند در کنار مالش هست و شخص دیگری که ضعیف است آن را بردارد، در حالی که هیچ قدرتی برای تصرّف در آن مال ندارد؛ مواردی نیز وجود دارد که هم قبض ید است و هم استیلا، مانند موارد غصب که غاصب بر مال غیر هم ید دارد و هم استیلا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فقها، از جمله صاحب عناوین</w:t>
      </w:r>
      <w:r>
        <w:rPr>
          <w:rStyle w:val="FootnoteAnchor"/>
          <w:rtl w:val="true"/>
        </w:rPr>
        <w:footnoteReference w:id="102"/>
      </w:r>
      <w:r>
        <w:rPr>
          <w:rFonts w:ascii="IRNazanin" w:hAnsi="IRNazanin" w:eastAsia="IRNazanin"/>
          <w:color w:val="111111"/>
          <w:sz w:val="28"/>
          <w:sz w:val="28"/>
          <w:szCs w:val="28"/>
          <w:rtl w:val="true"/>
          <w:lang w:bidi="fa-IR"/>
        </w:rPr>
        <w:t>، محقّق بروجردی رحمهما الله</w:t>
      </w:r>
      <w:r>
        <w:rPr>
          <w:rStyle w:val="FootnoteAnchor"/>
          <w:rtl w:val="true"/>
        </w:rPr>
        <w:footnoteReference w:id="103"/>
      </w:r>
      <w:r>
        <w:rPr>
          <w:rFonts w:ascii="IRNazanin" w:hAnsi="IRNazanin" w:eastAsia="IRNazanin"/>
          <w:color w:val="111111"/>
          <w:sz w:val="28"/>
          <w:sz w:val="28"/>
          <w:szCs w:val="28"/>
          <w:rtl w:val="true"/>
          <w:lang w:bidi="fa-IR"/>
        </w:rPr>
        <w:t>و والد بزرگوار</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کنایه از استیلا است؛ و یا گاه فرموده‌اند که کنایه از مستولی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استیلای بر مال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نیز موارد بسیار زیادی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کنایه از استیلا استعمال شده است؛ از جمله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الْیَهُودُ یَدُ اللَّهِ مَغْلُولَةٌ غُلَّتْ أَیْدِیهِمْ وَلُعِنُواْ بِمَا قَالُواْ بَلْ یَدَاهُ مَبْسُوطَتَانِ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مقصود یهودی‌ها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خداوند متعال قدرت بر انفاق و توسعه‌ی رزق و روزی بندگانش را ندارد؛ خداوند نیز در پاسخ به آن‌ها بیان می‌دارد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آیه‌ی شریفه، دو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شده است و در هر دو مورد، منظور تسلّط، استیلا و قدرت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که خداوند متعال قصد دارد قدرت بیشتری را تفهیم کند،</w:t>
      </w:r>
      <w:bookmarkStart w:id="165" w:name="pg877_5896"/>
    </w:p>
    <w:p>
      <w:pPr>
        <w:pStyle w:val="BookText"/>
        <w:rPr/>
      </w:pPr>
      <w:bookmarkEnd w:id="165"/>
      <w:r>
        <w:rPr>
          <w:rFonts w:ascii="Amiri" w:hAnsi="Amiri" w:eastAsia="Amiri" w:cs="Amiri"/>
          <w:color w:val="111111"/>
          <w:sz w:val="28"/>
          <w:sz w:val="28"/>
          <w:szCs w:val="28"/>
          <w:rtl w:val="true"/>
          <w:lang w:bidi="ar-SA"/>
        </w:rPr>
        <w:t>نمی‌فرماید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مَبْسُوطَتَانِ یُنفِقُ کَیْفَ یَشَآءُ</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05573_373438147"/>
      <w:bookmarkStart w:id="167" w:name="_Toc64"/>
      <w:bookmarkEnd w:id="166"/>
      <w:r>
        <w:rPr>
          <w:rtl w:val="true"/>
        </w:rPr>
        <w:t xml:space="preserve">شمول حدیث </w:t>
      </w:r>
      <w:r>
        <w:rPr>
          <w:rtl w:val="true"/>
        </w:rPr>
        <w:t>«</w:t>
      </w:r>
      <w:r>
        <w:rPr>
          <w:rtl w:val="true"/>
        </w:rPr>
        <w:t>علی الید</w:t>
      </w:r>
      <w:r>
        <w:rPr>
          <w:rtl w:val="true"/>
        </w:rPr>
        <w:t xml:space="preserve">» </w:t>
      </w:r>
      <w:r>
        <w:rPr>
          <w:rtl w:val="true"/>
        </w:rPr>
        <w:t>نسبت به موارد عدم استیلا</w:t>
      </w:r>
      <w:bookmarkEnd w:id="167"/>
    </w:p>
    <w:p>
      <w:pPr>
        <w:pStyle w:val="BookText"/>
        <w:rPr/>
      </w:pPr>
      <w:r>
        <w:rPr>
          <w:rFonts w:ascii="IRNazanin" w:hAnsi="IRNazanin" w:eastAsia="IRNazanin"/>
          <w:color w:val="111111"/>
          <w:sz w:val="28"/>
          <w:sz w:val="28"/>
          <w:szCs w:val="28"/>
          <w:rtl w:val="true"/>
          <w:lang w:bidi="fa-IR"/>
        </w:rPr>
        <w:t>برخی از بزرگان</w:t>
      </w:r>
      <w:r>
        <w:rPr>
          <w:rStyle w:val="FootnoteAnchor"/>
          <w:rtl w:val="true"/>
        </w:rPr>
        <w:footnoteReference w:id="106"/>
      </w:r>
      <w:r>
        <w:rPr>
          <w:rFonts w:ascii="IRNazanin" w:hAnsi="IRNazanin" w:eastAsia="IRNazanin"/>
          <w:color w:val="111111"/>
          <w:sz w:val="28"/>
          <w:sz w:val="28"/>
          <w:szCs w:val="28"/>
          <w:rtl w:val="true"/>
          <w:lang w:bidi="fa-IR"/>
        </w:rPr>
        <w:t xml:space="preserve">پس از ذکر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استیلا و تسلط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بحثی نیست در صورتی که ذوالید، استیلا و قدرت بر تصرّف نداشته باشد، از شمول این حدیث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این مورد، استیلا و تسلطی وجود ندارد؛ حتّی اگر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اصلی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متبادر از آن، آن نوع به دست گرفتن است که ذوالید اقتدار و تسلّط بر آن داشته باشد؛ خصوصاً پس از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ظهور در استیلا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علاوه، با انضمام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منع و دفع است و جز با استیلا چنین معنایی حاصل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کسی لباس دیگری را که در تن صاحبش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در همان زمان لباس تلف شود،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مورد داخل در مصادیق قاعده علی الید که مشروط بر استیلا است،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سخن فوق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جارحه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به آن نیست، صحیح است؛ لیکن باید گفت از کجای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استیلا استفاده می‌شود؟</w:t>
      </w:r>
    </w:p>
    <w:p>
      <w:pPr>
        <w:pStyle w:val="BookText"/>
        <w:rPr/>
      </w:pPr>
      <w:r>
        <w:rPr>
          <w:rFonts w:ascii="IRNazanin" w:hAnsi="IRNazanin" w:eastAsia="IRNazanin"/>
          <w:color w:val="111111"/>
          <w:sz w:val="28"/>
          <w:sz w:val="28"/>
          <w:szCs w:val="28"/>
          <w:rtl w:val="true"/>
          <w:lang w:bidi="fa-IR"/>
        </w:rPr>
        <w:t>فقها در باب مقبوض به سوم</w:t>
      </w:r>
      <w:r>
        <w:rPr>
          <w:rStyle w:val="FootnoteAnchor"/>
          <w:rtl w:val="true"/>
        </w:rPr>
        <w:footnoteReference w:id="107"/>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و حکم به ضمان کرده‌اند؛ در حالی که در این مورد، با حضور صاحب مال، گیرنده، استیلائی بر مال ندارد؛ و بلکه مال تلف شده در اختیار مالک است؛ امّا از طرف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نمی‌توان گفت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امّا تسلّط و استیلائی نیست، از 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و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نمی‌توان وجود و عدم ضمان را دائر مدار استیلا و عدم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بگوید در همین مورد نیز استیلای نسبی وجود دارد، پاسخش این است که این عنوان همراه با تکلّف است و عرف که در این موارد حاکم است، استیلای نسبی را استیلا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تذکر به آن در این زمینه لازم می‌باشد، این است که علّامه حلّی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را مطرح نموده و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دخل دار غیره أو بستانه لم یضمن بنفس الدخول من غیر استیلاء سواء دخلها بإذنه أو بغیر إذنه وسواء کان صاحبها فیها أو لم یکن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اگر کسی به منزل یا باغ دیگری داخل شود، بدون استیلا و تسلط بر آن، به صرف دخول ضامن آن نیست؛ چه با اذن صاحبش داخل شده باشد و چه بدون اذن وارد آنجا شده باشد؛ و هم‌چنین فرق نمی‌کند که صاحب ملک در آن‌جا حضور داشته باشد و یا حضور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قدس سره در چنین موردی، ضمان را نپذیرفته‌اند؛ و حال آن که، از سوی دیگر، فقها استیلا در هر موردی را به حسب خودش می‌دانند؛ به عنوان مثال، استیلای بر فرش با جلوس بر آن، و استیلای بر دابّه با 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و لازم نیست حتماً دابّه و حیوان را بردارد و به طویله ببرد؛ نسبت به عقار نیز استیلای بر آن را به صرف دخول در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مطلب را به صورت مطلق ذکر نموده و قید تملّک و یا تصاحب را بیان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دید جمع بین کلمات فقها چگونه است؟ به عبارت دیگر، اگر مقصود از ید را ید جارحه بدانیم، دیگر نیازی به این بحث نخواهد بود؛ و در هر موردی که چنین معنایی صدق کند، ضمان وجود دارد؛ لیکن، اکنون که ید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 و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می‌کنیم، باید بررسی کرده و جمع بین کلمات فقها را روشن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بیان می‌کنیم که مراد از استیلا، همان استیلای عرفی است؛ و مرحوم علّامه مجرّدِ داخل شدن در زمین غیر را استیلا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مطلبی که گذشت، اشکال دیگری بر محقّق مراغی رحمه الله وارد می‌شود، و آن این که مراد از استیلا، استیلای عرفی است؛ و چرا شما دایره استیلا را به این اندازه وسیع نموده‌اید و مجرّدِ رکوب بر دابّه را استیلا می‌دانید و حال آن که، در اینجا استیلای عرفی صدق نمی‌کند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بعد از این دو اشکال، شاید بتوان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است و نه استیلا، و بین عنوان تصرّف و عنوان استیلا فرق است؛ از این رو، اگر شخصی در مال غیر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ضامن است، چه بر آن مال استیلا داشته باشد و چه استیلائی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جلوس بر فراش، رکوب دابّه، دخول در زمین غیر و مقبوض به سوم، جزء مواردی می‌شوند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آن‌ها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68" w:name="pg877_5899"/>
    </w:p>
    <w:p>
      <w:pPr>
        <w:pStyle w:val="BookText"/>
        <w:rPr/>
      </w:pPr>
      <w:bookmarkEnd w:id="168"/>
      <w:r>
        <w:rPr>
          <w:rFonts w:ascii="IRNazanin" w:hAnsi="IRNazanin" w:eastAsia="IRNazanin"/>
          <w:color w:val="111111"/>
          <w:sz w:val="28"/>
          <w:sz w:val="28"/>
          <w:szCs w:val="28"/>
          <w:rtl w:val="true"/>
          <w:lang w:bidi="fa-IR"/>
        </w:rPr>
        <w:t>عنوان مثال، در مقبوض به سوم، به همان اندازه که شیء را بر می‌دارد تا نگاه کند، در آن مال از نظر عرف،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کنایه از تصرّف بگیریم؛ چرا که عنوان استیلا، مواجه با همین دو اشکالی است که بر مرحوم مراغی قدس سره وارد نمودیم، و این دو اشکال بر عنوان تصرّف وارد نمی‌شود</w:t>
      </w:r>
      <w:r>
        <w:rPr>
          <w:rFonts w:eastAsia="IRNazanin" w:cs="IRNazanin"/>
          <w:color w:val="111111"/>
          <w:sz w:val="28"/>
          <w:szCs w:val="28"/>
          <w:rtl w:val="true"/>
          <w:lang w:bidi="fa-IR"/>
        </w:rPr>
        <w:t>.</w:t>
      </w:r>
    </w:p>
    <w:p>
      <w:pPr>
        <w:pStyle w:val="Heading5"/>
        <w:numPr>
          <w:ilvl w:val="4"/>
          <w:numId w:val="1"/>
        </w:numPr>
        <w:rPr/>
      </w:pPr>
      <w:bookmarkStart w:id="169" w:name="__RefHeading___Toc105575_373438147"/>
      <w:bookmarkStart w:id="170" w:name="_Toc65"/>
      <w:bookmarkEnd w:id="169"/>
      <w:r>
        <w:rPr>
          <w:rtl w:val="true"/>
        </w:rPr>
        <w:t>دیدگاه محقّق بجنوردی رحمه الله در مورد استیلا</w:t>
      </w:r>
      <w:bookmarkEnd w:id="170"/>
    </w:p>
    <w:p>
      <w:pPr>
        <w:pStyle w:val="BookText"/>
        <w:rPr/>
      </w:pPr>
      <w:r>
        <w:rPr>
          <w:rFonts w:ascii="IRNazanin" w:hAnsi="IRNazanin" w:eastAsia="IRNazanin"/>
          <w:color w:val="111111"/>
          <w:sz w:val="28"/>
          <w:sz w:val="28"/>
          <w:szCs w:val="28"/>
          <w:rtl w:val="true"/>
          <w:lang w:bidi="fa-IR"/>
        </w:rPr>
        <w:t>نکته دیگری که در مورد استیلا باید تذکر داده شود و در کلمات محقّق بجنوردی رحمه الله آمده،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الید کنایة عن الاستیلاء خارجاً، أو تکویناً، أو عرفاً، أو شرعاً، أو اعتباراً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تمامی موارد استیلا می‌داند و شاید مقصودشان از استیلای خارجی و تکوینی، مقبوض به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ایشان عرض می‌شود که این عمومیت چگونه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در اینجا همان‌گونه که محقّق مراغی رحمه الله</w:t>
      </w:r>
      <w:r>
        <w:rPr>
          <w:rStyle w:val="FootnoteAnchor"/>
          <w:rtl w:val="true"/>
        </w:rPr>
        <w:footnoteReference w:id="110"/>
      </w:r>
      <w:r>
        <w:rPr>
          <w:rFonts w:ascii="IRNazanin" w:hAnsi="IRNazanin" w:eastAsia="IRNazanin"/>
          <w:color w:val="111111"/>
          <w:sz w:val="28"/>
          <w:sz w:val="28"/>
          <w:szCs w:val="28"/>
          <w:rtl w:val="true"/>
          <w:lang w:bidi="fa-IR"/>
        </w:rPr>
        <w:t>نیز بیان داشته است، باید گفت منظور از استیلا، استیلای عرفی است و استیلای شرعی و خارجی نمی‌تواند مدّ نظر قرار گیرد</w:t>
      </w:r>
      <w:r>
        <w:rPr>
          <w:rFonts w:eastAsia="IRNazanin" w:cs="IRNazanin"/>
          <w:color w:val="111111"/>
          <w:sz w:val="28"/>
          <w:szCs w:val="28"/>
          <w:rtl w:val="true"/>
          <w:lang w:bidi="fa-IR"/>
        </w:rPr>
        <w:t>.</w:t>
      </w:r>
    </w:p>
    <w:p>
      <w:pPr>
        <w:pStyle w:val="Heading4"/>
        <w:numPr>
          <w:ilvl w:val="3"/>
          <w:numId w:val="1"/>
        </w:numPr>
        <w:rPr/>
      </w:pPr>
      <w:bookmarkStart w:id="171" w:name="__RefHeading___Toc105577_373438147"/>
      <w:bookmarkStart w:id="172" w:name="_Toc66"/>
      <w:bookmarkEnd w:id="171"/>
      <w:r>
        <w:rPr>
          <w:rtl w:val="true"/>
        </w:rPr>
        <w:t>گفتار دوّم</w:t>
      </w:r>
      <w:r>
        <w:rPr>
          <w:rtl w:val="true"/>
        </w:rPr>
        <w:t xml:space="preserve">: </w:t>
      </w:r>
      <w:r>
        <w:rPr>
          <w:rtl w:val="true"/>
        </w:rPr>
        <w:t>شمول روایت نسبت به ید مأذون و غیر مأذون</w:t>
      </w:r>
      <w:bookmarkEnd w:id="172"/>
    </w:p>
    <w:p>
      <w:pPr>
        <w:pStyle w:val="Heading5"/>
        <w:numPr>
          <w:ilvl w:val="4"/>
          <w:numId w:val="1"/>
        </w:numPr>
        <w:rPr/>
      </w:pPr>
      <w:bookmarkStart w:id="173" w:name="__RefHeading___Toc105579_373438147"/>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مطلب بعد در مورد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انواع و اقسام ید، اعمّ از ید مأذون و ید غیرمأذون می‌شود؟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اقسام مختلفی تقسیم می‌گردد؛ و در یک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می‌شود به ید مأذون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 غیر مأذون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p>
    <w:p>
      <w:pPr>
        <w:pStyle w:val="BookText"/>
        <w:rPr/>
      </w:pPr>
      <w:r>
        <w:rPr>
          <w:rFonts w:ascii="IRNazanin" w:hAnsi="IRNazanin" w:eastAsia="IRNazanin"/>
          <w:color w:val="111111"/>
          <w:sz w:val="28"/>
          <w:sz w:val="28"/>
          <w:szCs w:val="28"/>
          <w:rtl w:val="true"/>
          <w:lang w:bidi="fa-IR"/>
        </w:rPr>
        <w:t xml:space="preserve">ضمانی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ید مأذون این است که تسلّط و استیلای انسان بر مال غیر با اجازه صاحب آن است؛ مانند این که ید مستأجر بر عین مستأجره، به اذن و اجازه موجر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ید غیرمأذون است؛ بدین معنا که تسلط و استیلای بر مال غیر بدون اجازه مالک آن است؛ مثل موردی که شخصی در منزل دیگری بدون اجازه صاحب‌خانه زندگی و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تقسیم دوّم، ید ضمانی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ید عدوانی و غیرعدوانی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وقتی کسی مالی را به عقد فاسد قبض کند، ضامن و ید او ید غیر مأذون است، ولی شخص متصرّف در اینجا غاصب نیست و ید او عدوانی محسوب نمی‌شود؛ بنابراین، ید عدوانی منحصر به باب غصب می‌شود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حال سؤال این است که 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و شامل تمامی موارد فوق می‌شود؟</w:t>
      </w:r>
    </w:p>
    <w:p>
      <w:pPr>
        <w:pStyle w:val="BookText"/>
        <w:rPr/>
      </w:pPr>
      <w:r>
        <w:rPr>
          <w:rFonts w:ascii="IRNazanin" w:hAnsi="IRNazanin" w:eastAsia="IRNazanin"/>
          <w:color w:val="111111"/>
          <w:sz w:val="28"/>
          <w:sz w:val="28"/>
          <w:szCs w:val="28"/>
          <w:rtl w:val="true"/>
          <w:lang w:bidi="fa-IR"/>
        </w:rPr>
        <w:t xml:space="preserve">در صورتی که گفته شود حدیث اطلاق دارد، نتیجه این می‌شود که قاعده عدم ضمان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لا یضمن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مخصّص قاعده ضمان ید می‌شود؛ و باعث می‌گردد که ید مأذونه از این حدیث تخصیص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چنین است؟</w:t>
      </w:r>
    </w:p>
    <w:p>
      <w:pPr>
        <w:pStyle w:val="BookText"/>
        <w:rPr/>
      </w:pPr>
      <w:r>
        <w:rPr>
          <w:rFonts w:ascii="IRNazanin" w:hAnsi="IRNazanin" w:eastAsia="IRNazanin"/>
          <w:color w:val="111111"/>
          <w:sz w:val="28"/>
          <w:sz w:val="28"/>
          <w:szCs w:val="28"/>
          <w:rtl w:val="true"/>
          <w:lang w:bidi="fa-IR"/>
        </w:rPr>
        <w:t>در مجموع سه احتمال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بوده و شامل همه موارد می‌شود؛</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فقط دلالت بر ید غیرمأذون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ضمانی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 از ید عدوانی و غیرعدوانی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دلالت بر ید غیرمأذون عدوانی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عبارات مرحوم مامقانی قدس سره استفاده می‌شود که ایشان قائل به اطلاق</w:t>
      </w:r>
    </w:p>
    <w:p>
      <w:pPr>
        <w:pStyle w:val="BookText"/>
        <w:rPr/>
      </w:pPr>
      <w:r>
        <w:rPr>
          <w:rFonts w:ascii="IRNazanin" w:hAnsi="IRNazanin" w:eastAsia="IRNazanin"/>
          <w:color w:val="111111"/>
          <w:sz w:val="28"/>
          <w:sz w:val="28"/>
          <w:szCs w:val="28"/>
          <w:rtl w:val="true"/>
          <w:lang w:bidi="fa-IR"/>
        </w:rPr>
        <w:t>هستند؛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خبیر بأنّ الأخذ بالنسبة إلی الأصناف الّتی تحته من الأخذ علی وجه القهر والغلبة والأخذ علی وجه السرقة بل الأخذ علی وجه العاریة والودیعة وغیرهما من قبیل المتواطی دون المشکّک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 کلّی است و نسبت به مصادیق و افرادش، عنوان متواطی دارد؛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ید مأذون، با صدق آن بر ید غیرمأذون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عدوانی و ید غیرعدوانی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و برابر است؛ به عنوان مثال همان‌گونه که در باب عاریه، شخص مستعیر بر مال ید دارد، در باب غصب نیز شخص غاصب ید دارد؛ و در هر دو،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السویة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قائلین به احتمال دوّم</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ید غیرمأذون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را بیان می‌کنند؛</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قرینه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ذکر شده است، معلوم می‌گردد این روایت اصلاً اطلاقی ندارد و فقط شامل مواردی می‌شود که شخص مال غیر را بدون رضایت و اذن مالک تصاحب کند؛ علّت این امر نیز آن است که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مواردی دارد که مال غیر همراه با قهر و غلبه گرفته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گرفتن بدون رضایت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خلاف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استعمالات عرفی، در مواردی که رضایت مالک وجود دارد نیز استعمال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از مطلب قبل صرف‌نظر کرده و گفته شود کلمه‌ی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داشته و شامل مواردی که مال با رضایت مالک گرفته شود نیز می‌گردد، تردیدی نیست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انصراف به ید غیرمأذون دارد و شامل ید مأذون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خروج ید امین، ید مستأجر، ید مستعیر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خروج تخصّصی خواهد بود و نه تخصیصی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که این گروه برای احتمال دوّم ذکر می‌کنند، این است که دلیل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همانند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آبی از تخصیص است؛ در این صورت، دیگر نمی‌توان احتمال اوّل را پذیرفت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زد؛ چه آن که لسان روایت سازگاری با تخصیص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باب غصب دارد و فقط شامل ید غیرمأذون عدوانی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عمدتاً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 که ظهور در قهر و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دلیل قائلین به احتمال دوّم و سوم ناتمام است؛ زیرا،</w:t>
      </w:r>
    </w:p>
    <w:p>
      <w:pPr>
        <w:pStyle w:val="BookText"/>
        <w:rPr/>
      </w:pPr>
      <w:r>
        <w:rPr>
          <w:rFonts w:ascii="IRNazanin" w:hAnsi="IRNazanin" w:eastAsia="IRNazanin"/>
          <w:color w:val="111111"/>
          <w:sz w:val="28"/>
          <w:sz w:val="28"/>
          <w:szCs w:val="28"/>
          <w:rtl w:val="true"/>
          <w:lang w:bidi="fa-IR"/>
        </w:rPr>
        <w:t xml:space="preserve">اوّلاً، در بعضی از نسخ روایت،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نمی‌توان به خصوصیات مختصّ به هر یک از این الفاظ استدلال کرد؛ بلکه لازم است قدر جامع بین آن‌ها را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صورت یک قاعده کلّی در تمامی موارد جریان دارد و اگر در موردی قدر جامع نباشد، روایت مجمل شده و صلاحیت برای استدلال نخواهد 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با مراجعه به کتاب‌های لغت معلوم می‌شود که در هیچ کتابی چنین فرقی ذکر نشده است؛ البته شاید عرف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مواردی که همراه با قهر و غلبه است، بیشتر استعمال کند؛ ولی این باعث نمی‌شود که کلمه‌ی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به این مورد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ملاحظه آیاتی از قرآن کریم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رَبُّکَ مِن م بَنِیءَادَمَ مِن ظُهُورِهِمْ ذُرِّیَّتَهُمْ</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معلوم می‌شود که در این موارد هیچ قهر و غلبه‌ای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فوق، دلیل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مسأله انصراف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احتیاج به منشأ دارد و در این بحث، منشأیی برای انصراف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ادلّه ذکر شده در مورد عدم اطلاق مخدوش هستند؛ با این وجود، ما معتقد نیستیم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بلکه در خود روایت، قرینه روشنی بر عدم اطلاق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اخذ ابتدایی و اختیاری باشد؛ در مواردی که ید غیرمأذون است،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ابتدایی است؛ امّا در موارد ید مأذون مثل ید وکیل و ید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رتبه‌ی متأخّر قرار دارد و ابتدایی نیست؛ از عرف هم که سؤال شود، می‌گوید اوّل مالک به او اجازه گرفتن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داده و پس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 مطابق این معنا، فرقی نمی‌کند که عبارت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هرکدام که باشد، ظهور قوی دارد در این که اخذ و یا قبض، به صورت ابتدایی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توجّه به آن در اینجا لازم می‌نماید، این است که برخی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 اهل سنّت،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روایات باب عاریه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اطلاق دارد، هم شامل ید مأذون می‌شود و هم شامل ید غیرمأذون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پاسخی که از این دلیل داده می‌شود، آن است که اگر 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محدّثین</w:t>
      </w:r>
      <w:bookmarkStart w:id="175" w:name="pg877_5904"/>
    </w:p>
    <w:p>
      <w:pPr>
        <w:pStyle w:val="BookText"/>
        <w:rPr/>
      </w:pPr>
      <w:bookmarkEnd w:id="175"/>
      <w:r>
        <w:rPr>
          <w:rFonts w:ascii="IRNazanin" w:hAnsi="IRNazanin" w:eastAsia="IRNazanin"/>
          <w:color w:val="111111"/>
          <w:sz w:val="28"/>
          <w:sz w:val="28"/>
          <w:szCs w:val="28"/>
          <w:rtl w:val="true"/>
          <w:lang w:bidi="fa-IR"/>
        </w:rPr>
        <w:t xml:space="preserve">اهل سنّت و چه محدّثین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به اجتهاد خود در بابی خاص نقل کنند، برای ما دلیلیّت و قرینیّت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نمی‌توان گفت این نقل، دلیل بر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می‌شود؛ نقل آنان صرف اجتهاد است که برای ما قابل قبول نیست</w:t>
      </w:r>
      <w:r>
        <w:rPr>
          <w:rFonts w:eastAsia="IRNazanin" w:cs="IRNazanin"/>
          <w:color w:val="111111"/>
          <w:sz w:val="28"/>
          <w:szCs w:val="28"/>
          <w:rtl w:val="true"/>
          <w:lang w:bidi="fa-IR"/>
        </w:rPr>
        <w:t>.</w:t>
      </w:r>
    </w:p>
    <w:p>
      <w:pPr>
        <w:pStyle w:val="Heading5"/>
        <w:numPr>
          <w:ilvl w:val="4"/>
          <w:numId w:val="1"/>
        </w:numPr>
        <w:rPr/>
      </w:pPr>
      <w:bookmarkStart w:id="176" w:name="__RefHeading___Toc105581_373438147"/>
      <w:bookmarkStart w:id="177" w:name="_Toc68"/>
      <w:bookmarkEnd w:id="176"/>
      <w:r>
        <w:rPr>
          <w:rtl w:val="true"/>
        </w:rPr>
        <w:t>بررسی عدم اختصاص روایت به باب غصب</w:t>
      </w:r>
      <w:bookmarkEnd w:id="177"/>
    </w:p>
    <w:p>
      <w:pPr>
        <w:pStyle w:val="BookText"/>
        <w:rPr/>
      </w:pPr>
      <w:r>
        <w:rPr>
          <w:rFonts w:ascii="IRNazanin" w:hAnsi="IRNazanin" w:eastAsia="IRNazanin"/>
          <w:color w:val="111111"/>
          <w:sz w:val="28"/>
          <w:sz w:val="28"/>
          <w:szCs w:val="28"/>
          <w:rtl w:val="true"/>
          <w:lang w:bidi="fa-IR"/>
        </w:rPr>
        <w:t>بعد از آن که معلوم شد روایت اطلاق نداشته و فقط دلالت بر ید غیرمأذون دارد، باید گفت فرقی نمی‌کند که این ید، عدوانی باشد و یا غیر عدوانی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علما</w:t>
      </w:r>
      <w:r>
        <w:rPr>
          <w:rStyle w:val="FootnoteAnchor"/>
          <w:rtl w:val="true"/>
        </w:rPr>
        <w:footnoteReference w:id="115"/>
      </w:r>
      <w:r>
        <w:rPr>
          <w:rFonts w:ascii="IRNazanin" w:hAnsi="IRNazanin" w:eastAsia="IRNazanin"/>
          <w:color w:val="111111"/>
          <w:sz w:val="28"/>
          <w:sz w:val="28"/>
          <w:szCs w:val="28"/>
          <w:rtl w:val="true"/>
          <w:lang w:bidi="fa-IR"/>
        </w:rPr>
        <w:t xml:space="preserve">بر این عقیده‌اند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عادیه و عدوانی است؛ لیکن به نظر می‌رسد که چنین نیست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مواردی می‌شود که ید عدوانی باشد مثل باب غصب، و هم شامل مواردی است که ید غیرعدوانی باشد مثل مورد مقبوض به عقد فاسد، که چون بیع فاسد است، ید مشتری بر مبیع غیرمأذون است؛ چه آن که اگر مالک علم به بطلان معامله داشته باشد، به مشتری اجازه تصرّف در مبیع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در این‌گونه موارد مشتری ضامن است؛ و در صورت باقی بودن مال، باید آن را به بایع بازگرداند؛ و اگر هم مال تلف شده باشد، لازم است که خسارت مبیع را به بایع بپردازد</w:t>
      </w:r>
      <w:r>
        <w:rPr>
          <w:rFonts w:eastAsia="IRNazanin" w:cs="IRNazanin"/>
          <w:color w:val="111111"/>
          <w:sz w:val="28"/>
          <w:szCs w:val="28"/>
          <w:rtl w:val="true"/>
          <w:lang w:bidi="fa-IR"/>
        </w:rPr>
        <w:t>.</w:t>
      </w:r>
    </w:p>
    <w:p>
      <w:pPr>
        <w:pStyle w:val="Heading4"/>
        <w:numPr>
          <w:ilvl w:val="3"/>
          <w:numId w:val="1"/>
        </w:numPr>
        <w:rPr/>
      </w:pPr>
      <w:bookmarkStart w:id="178" w:name="__RefHeading___Toc105583_373438147"/>
      <w:bookmarkStart w:id="179" w:name="_Toc69"/>
      <w:bookmarkEnd w:id="178"/>
      <w:r>
        <w:rPr>
          <w:rtl w:val="true"/>
        </w:rPr>
        <w:t>گفتار سوم</w:t>
      </w:r>
      <w:r>
        <w:rPr>
          <w:rtl w:val="true"/>
        </w:rPr>
        <w:t xml:space="preserve">: </w:t>
      </w:r>
      <w:r>
        <w:rPr>
          <w:rtl w:val="true"/>
        </w:rPr>
        <w:t>شمول روایت نسبت به یدِ مرکّب و منضمّ</w:t>
      </w:r>
      <w:bookmarkEnd w:id="179"/>
    </w:p>
    <w:p>
      <w:pPr>
        <w:pStyle w:val="Heading5"/>
        <w:numPr>
          <w:ilvl w:val="4"/>
          <w:numId w:val="1"/>
        </w:numPr>
        <w:rPr/>
      </w:pPr>
      <w:bookmarkStart w:id="180" w:name="__RefHeading___Toc105585_373438147"/>
      <w:bookmarkStart w:id="181" w:name="_Toc70"/>
      <w:bookmarkEnd w:id="180"/>
      <w:r>
        <w:rPr>
          <w:rtl w:val="true"/>
        </w:rPr>
        <w:t>اشاره</w:t>
      </w:r>
      <w:bookmarkEnd w:id="18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دلیل ید،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اگر شخصی مستقلاً و به تنهایی بر مال غیر تسلط پیدا کند، به طور قطع و یقین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آیا دلیل ید، شامل ید مرکّب نیز می‌شود؟ اگر دو یا چند نفر</w:t>
      </w:r>
      <w:bookmarkStart w:id="182" w:name="pg877_5905"/>
    </w:p>
    <w:p>
      <w:pPr>
        <w:pStyle w:val="BookText"/>
        <w:rPr/>
      </w:pPr>
      <w:bookmarkEnd w:id="182"/>
      <w:r>
        <w:rPr>
          <w:rFonts w:ascii="IRNazanin" w:hAnsi="IRNazanin" w:eastAsia="IRNazanin"/>
          <w:color w:val="111111"/>
          <w:sz w:val="28"/>
          <w:sz w:val="28"/>
          <w:szCs w:val="28"/>
          <w:rtl w:val="true"/>
          <w:lang w:bidi="fa-IR"/>
        </w:rPr>
        <w:t xml:space="preserve">به‌صورت مشترک بر مال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کنند، آیا این حدیث شامل آن می‌شود؟ هم‌چنین 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ید منضمّ نیز می‌شود؟ یعنی در حالی که مالک بر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شخص دیگری هم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به عنوان مثال، زمانی که مالک در خانه خود سکونت دارد، غاصبی نیز قهراً در آن خانه سکونت گزیند</w:t>
      </w:r>
      <w:r>
        <w:rPr>
          <w:rFonts w:eastAsia="IRNazanin" w:cs="IRNazanin"/>
          <w:color w:val="111111"/>
          <w:sz w:val="28"/>
          <w:szCs w:val="28"/>
          <w:rtl w:val="true"/>
          <w:lang w:bidi="fa-IR"/>
        </w:rPr>
        <w:t>.</w:t>
      </w:r>
    </w:p>
    <w:p>
      <w:pPr>
        <w:pStyle w:val="Heading5"/>
        <w:numPr>
          <w:ilvl w:val="4"/>
          <w:numId w:val="1"/>
        </w:numPr>
        <w:rPr/>
      </w:pPr>
      <w:bookmarkStart w:id="183" w:name="__RefHeading___Toc105587_373438147"/>
      <w:bookmarkStart w:id="184" w:name="_Toc71"/>
      <w:bookmarkEnd w:id="183"/>
      <w:r>
        <w:rPr/>
        <w:t>1</w:t>
      </w:r>
      <w:r>
        <w:rPr>
          <w:rtl w:val="true"/>
        </w:rPr>
        <w:t xml:space="preserve"> - </w:t>
      </w:r>
      <w:r>
        <w:rPr>
          <w:rtl w:val="true"/>
        </w:rPr>
        <w:t>دیدگاه محقّق حلّی رحمه الله</w:t>
      </w:r>
      <w:bookmarkEnd w:id="184"/>
    </w:p>
    <w:p>
      <w:pPr>
        <w:pStyle w:val="BookText"/>
        <w:rPr/>
      </w:pPr>
      <w:r>
        <w:rPr>
          <w:rFonts w:ascii="IRNazanin" w:hAnsi="IRNazanin" w:eastAsia="IRNazanin"/>
          <w:color w:val="111111"/>
          <w:sz w:val="28"/>
          <w:sz w:val="28"/>
          <w:szCs w:val="28"/>
          <w:rtl w:val="true"/>
          <w:lang w:bidi="fa-IR"/>
        </w:rPr>
        <w:t>مرحوم محقّق حلّی قدس سره در کتاب الغصب، فرعی را مطرح می‌کنند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سکن الدار مع مالکها قهراً، لم‌یضمن الأصل، وقال الشیخ رحمه الله یضمن النصف؛ وفیه تردّد، منشأه عدم الاستقلال من دون المالک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 در صورتی که شخص غاصب به همراه مالک در منزل ساکن شود، ضامن عین خانه نیست؛ و مرحوم شیخ طوسی می‌فرماید که در اینجا غاصب ضامن نصف است؛ در این فتوای شیخ رحمه الله تردید است؛ چرا که در این مورد، استقلال ید وجود ندارد و ذی‌الید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مالک در خانه تصرّف می‌کند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رحمه الله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عبارت مرحوم محقّق حلّی را معنا می‌کند به این که شخص غاصب همه خانه را ضامن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یضمن جمیع الدار</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به نظر می‌رسد منظور محقّق حلّی رحمه الله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خانه، در مقابل منفعت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غاصب از منافع خانه استفاده کرده و بنابراین، ضامن منافع آن است</w:t>
      </w:r>
      <w:r>
        <w:rPr>
          <w:rFonts w:eastAsia="IRNazanin" w:cs="IRNazanin"/>
          <w:color w:val="111111"/>
          <w:sz w:val="28"/>
          <w:szCs w:val="28"/>
          <w:rtl w:val="true"/>
          <w:lang w:bidi="fa-IR"/>
        </w:rPr>
        <w:t>.</w:t>
      </w:r>
      <w:bookmarkStart w:id="185" w:name="pg877_5906"/>
    </w:p>
    <w:p>
      <w:pPr>
        <w:pStyle w:val="BookText"/>
        <w:rPr/>
      </w:pPr>
      <w:bookmarkEnd w:id="185"/>
      <w:r>
        <w:rPr>
          <w:rFonts w:ascii="IRNazanin" w:hAnsi="IRNazanin" w:eastAsia="IRNazanin"/>
          <w:color w:val="111111"/>
          <w:sz w:val="28"/>
          <w:sz w:val="28"/>
          <w:szCs w:val="28"/>
          <w:rtl w:val="true"/>
          <w:lang w:bidi="fa-IR"/>
        </w:rPr>
        <w:t xml:space="preserve">نتیجه سخن مرحوم محقّق حلّی قدس سره این می‌شود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ید مستقلّ می‌شود و مانند مورد ذکر شده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را باید تذکر داد که محقّق رحمه الله نمی‌خواهد بگوید در مواردی که دو یا چند نفر به صورت مشترک مالی را تصرّف کنند،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آن‌ها نمی‌شود، بلکه مدّعای ایشان آن است که روایت موردی را در برمی‌گیرد که مالک در آن مورد دخالتی نداشته باشد و ید غاصب، منضمّ به ید مالک نشده باشد</w:t>
      </w:r>
      <w:r>
        <w:rPr>
          <w:rFonts w:eastAsia="IRNazanin" w:cs="IRNazanin"/>
          <w:color w:val="111111"/>
          <w:sz w:val="28"/>
          <w:szCs w:val="28"/>
          <w:rtl w:val="true"/>
          <w:lang w:bidi="fa-IR"/>
        </w:rPr>
        <w:t>.</w:t>
      </w:r>
    </w:p>
    <w:p>
      <w:pPr>
        <w:pStyle w:val="Heading5"/>
        <w:numPr>
          <w:ilvl w:val="4"/>
          <w:numId w:val="1"/>
        </w:numPr>
        <w:rPr/>
      </w:pPr>
      <w:bookmarkStart w:id="186" w:name="__RefHeading___Toc105589_373438147"/>
      <w:bookmarkStart w:id="187" w:name="_Toc72"/>
      <w:bookmarkEnd w:id="186"/>
      <w:r>
        <w:rPr/>
        <w:t>2</w:t>
      </w:r>
      <w:r>
        <w:rPr>
          <w:rtl w:val="true"/>
        </w:rPr>
        <w:t xml:space="preserve"> - </w:t>
      </w:r>
      <w:r>
        <w:rPr>
          <w:rtl w:val="true"/>
        </w:rPr>
        <w:t>دیدگاه صاحب جواهر رحمه الله</w:t>
      </w:r>
      <w:bookmarkEnd w:id="187"/>
    </w:p>
    <w:p>
      <w:pPr>
        <w:pStyle w:val="BookText"/>
        <w:rPr/>
      </w:pPr>
      <w:r>
        <w:rPr>
          <w:rFonts w:ascii="IRNazanin" w:hAnsi="IRNazanin" w:eastAsia="IRNazanin"/>
          <w:color w:val="111111"/>
          <w:sz w:val="28"/>
          <w:sz w:val="28"/>
          <w:szCs w:val="28"/>
          <w:rtl w:val="true"/>
          <w:lang w:bidi="fa-IR"/>
        </w:rPr>
        <w:t>در مقابل محقّق حلّی رحمه الله، مرحوم صاحب جواهر قدس سره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محقّق حلّی رحمه الله کسی را نیافتم که در فتوای شیخ طوسی رحمه الله تردید کرده باشد، تا چه رسد به این که قطع و جزم به عدم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شیخ طوسی فتوای به ضمان نصف داده، منظور این است که اگر این خانه تلف شد و از بین رفت، شخص غاصب باید نصف قیمت آن را به مالک بپردازد؛ و در این مسأله، اکثر علما و بلکه مشهور فقها از شیخ طوسی رحمه الله تبعیّت کرده‌اند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در ادامه نظر خود را بیان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مانند این مسأله، حداقل نسبت به نصف خانه، عرفاً غصب صدق می‌کند؛ هرچند که مالک در منزل سکونت دارد؛ و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شخص غاصب از تمام خانه مثل مالک استفاده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همان‌گونه که مالک به آشپزخانه می‌رود و غذا درست می‌کند، غاصب نیز برای طبخ غذا از آشپزخانه استفاده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غاصب ضامن همه‌ی خانه است و نه نصف آن؛ البته اگر هر کدام از مالک و غاصب از نصف خانه استفاده کنند، ضمان نصف معنا</w:t>
      </w:r>
      <w:bookmarkStart w:id="188" w:name="pg877_5907"/>
    </w:p>
    <w:p>
      <w:pPr>
        <w:pStyle w:val="BookText"/>
        <w:rPr/>
      </w:pPr>
      <w:bookmarkEnd w:id="188"/>
      <w:r>
        <w:rPr>
          <w:rFonts w:ascii="IRNazanin" w:hAnsi="IRNazanin" w:eastAsia="IRNazanin"/>
          <w:color w:val="111111"/>
          <w:sz w:val="28"/>
          <w:sz w:val="28"/>
          <w:szCs w:val="28"/>
          <w:rtl w:val="true"/>
          <w:lang w:bidi="fa-IR"/>
        </w:rPr>
        <w:t>دارد و غاصب ضامن همه‌ی خانه نخواهد بود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189" w:name="__RefHeading___Toc105591_373438147"/>
      <w:bookmarkStart w:id="190" w:name="_Toc73"/>
      <w:bookmarkEnd w:id="189"/>
      <w:r>
        <w:rPr/>
        <w:t>3</w:t>
      </w:r>
      <w:r>
        <w:rPr>
          <w:rtl w:val="true"/>
        </w:rPr>
        <w:t xml:space="preserve"> - </w:t>
      </w:r>
      <w:r>
        <w:rPr>
          <w:rtl w:val="true"/>
        </w:rPr>
        <w:t>دیدگاه فاضل مقداد رحمه الله</w:t>
      </w:r>
      <w:bookmarkEnd w:id="190"/>
    </w:p>
    <w:p>
      <w:pPr>
        <w:pStyle w:val="BookText"/>
        <w:rPr/>
      </w:pPr>
      <w:r>
        <w:rPr>
          <w:rFonts w:ascii="IRNazanin" w:hAnsi="IRNazanin" w:eastAsia="IRNazanin"/>
          <w:color w:val="111111"/>
          <w:sz w:val="28"/>
          <w:sz w:val="28"/>
          <w:szCs w:val="28"/>
          <w:rtl w:val="true"/>
          <w:lang w:bidi="fa-IR"/>
        </w:rPr>
        <w:t>در برابر نظر محقّق حلّی رحمه الله که اساس ضمان در این مورد را انکار نمود؛ و مرحوم شیخ طوسی قدس سره که ضمان نسبت به نصف را به صورت مطلق پذیرفت، و بین این که غاصب از تمام خانه استفاده کند و یا از بعض آن، فرقی نگذاشت؛ و صاحب جواهر رحمه الله که معتقد به ضمان نصف است، مگر در صورتی که غاصب از تمام خانه استفاده کند، که در این صورت ضامن تمام آن خواهد بود؛ مرحوم فاضل مقداد قدس سره نظر چهارمی را مطرح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دقّت بحث کنیم، باید ضمان را به نسبت توزیع کنیم؛ بدین صورت که اگر خانه یک مالک داشته باشد، غاصب ضامن نصف آن است؛ و اگر دو مالک باشند، غاصب ضامن یک سوم خانه خواهد بود و به همین صورت مسأله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یقتضی الضمان علی نسبة ما استولی علیه واستقلّ به،</w:t>
      </w:r>
      <w:bookmarkStart w:id="191" w:name="pg877_5908"/>
    </w:p>
    <w:p>
      <w:pPr>
        <w:pStyle w:val="BookText"/>
        <w:rPr/>
      </w:pPr>
      <w:bookmarkEnd w:id="191"/>
      <w:r>
        <w:rPr>
          <w:rFonts w:ascii="IRNazanin" w:hAnsi="IRNazanin" w:eastAsia="IRNazanin"/>
          <w:color w:val="111111"/>
          <w:sz w:val="28"/>
          <w:sz w:val="28"/>
          <w:szCs w:val="28"/>
          <w:rtl w:val="true"/>
          <w:lang w:bidi="fa-IR"/>
        </w:rPr>
        <w:t>إن نصفاً فنصف، وإن ثلثاً فثلث، وإن ربعاً فربع وهکذا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هرچند که فاضل مقداد رحمه الله توزیع ضمان را نسبت به مالک‌های متعدّد قائل شده است، امّا از سخن ایشان استفاده می‌شود که نسبت به تصرّف نیز همین مطلب جریان دارد؛ یعنی اگر کسی به خانه دیگری رفت و یک پنجم آن را بدون اذن مالک تصرف کرد، ضامن این مقدار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یا اگر در یک‌دهم خانه تصرف کرد، در صورت تلف‌شدن خانه، ضامن‌یک‌دهم آن‌است</w:t>
      </w:r>
      <w:r>
        <w:rPr>
          <w:rFonts w:eastAsia="IRNazanin" w:cs="IRNazanin"/>
          <w:color w:val="111111"/>
          <w:sz w:val="28"/>
          <w:szCs w:val="28"/>
          <w:rtl w:val="true"/>
          <w:lang w:bidi="fa-IR"/>
        </w:rPr>
        <w:t>.</w:t>
      </w:r>
    </w:p>
    <w:p>
      <w:pPr>
        <w:pStyle w:val="Heading5"/>
        <w:numPr>
          <w:ilvl w:val="4"/>
          <w:numId w:val="1"/>
        </w:numPr>
        <w:rPr/>
      </w:pPr>
      <w:bookmarkStart w:id="192" w:name="__RefHeading___Toc105593_373438147"/>
      <w:bookmarkStart w:id="193" w:name="_Toc74"/>
      <w:bookmarkEnd w:id="192"/>
      <w:r>
        <w:rPr/>
        <w:t>4</w:t>
      </w:r>
      <w:r>
        <w:rPr>
          <w:rtl w:val="true"/>
        </w:rPr>
        <w:t xml:space="preserve"> - </w:t>
      </w:r>
      <w:r>
        <w:rPr>
          <w:rtl w:val="true"/>
        </w:rPr>
        <w:t>دیدگاه محقّق مراغی رحمه الله</w:t>
      </w:r>
      <w:bookmarkEnd w:id="193"/>
    </w:p>
    <w:p>
      <w:pPr>
        <w:pStyle w:val="Heading6"/>
        <w:numPr>
          <w:ilvl w:val="5"/>
          <w:numId w:val="1"/>
        </w:numPr>
        <w:rPr/>
      </w:pPr>
      <w:bookmarkStart w:id="194" w:name="__RefHeading___Toc105595_373438147"/>
      <w:bookmarkStart w:id="195" w:name="_Toc75"/>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مرحوم صاحب عناوین قدس سره بحث 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ید غیرمستقل را در طی دو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مرکّب و ید منضمّ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این سؤال که آیا دلیل ید، شامل ید مرکّب می‌گردد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ید مرکّب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دو نفر در تسلط بر مال واحد بر دو نوع است؛ نوع اوّل این که هر کدام از دو نفر مستقلاً مسلّط بر نصف باشد؛ مثلاً دو نفر خانه‌ای را تصرّف کنند و هر کدام در نصف آن دخالت و تصرّف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تردیدی وجود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می‌گیرد، و هر یک از این دو نفر ضامن نصف آن مال واحد خواهند بود؛ چه آن که هر یک از این دو نفر نسبت به نصف از آن مال بالاستقلال ید دارند؛ هر چند که ید آن‌ها نسبت به مجموع بالاشتراک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 در مسأله نوع دوّم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این است که هیچ کدام از دو نفر مستقلاً بر جزئی از مال استیلا نداشته باشد، بلکه استیلای هر</w:t>
      </w:r>
    </w:p>
    <w:p>
      <w:pPr>
        <w:pStyle w:val="BookText"/>
        <w:rPr/>
      </w:pPr>
      <w:r>
        <w:rPr>
          <w:rFonts w:ascii="IRNazanin" w:hAnsi="IRNazanin" w:eastAsia="IRNazanin"/>
          <w:color w:val="111111"/>
          <w:sz w:val="28"/>
          <w:sz w:val="28"/>
          <w:szCs w:val="28"/>
          <w:rtl w:val="true"/>
          <w:lang w:bidi="fa-IR"/>
        </w:rPr>
        <w:t>کدام از آن‌ها مرتبط با دیگری باشد؛ به این معنی که هر کدام از آن‌ها اگر نمی‌بود، برای دیگری اساساً استیلائی وجود نمی‌داشت، نه بر قسمتی از مال و نه بر 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استیلای هر کدام از آن‌ها به انضمام استیلای دیگری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حکم مسأله در این نوع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مال تلف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نصف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مرحوم صاحب عناوین قدس سره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شمول دلیل ید نسبت به نوع دوّم، اشکالی به نظر می‌رسد و آن این است که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دو نفر عارضی و غیرمستقل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نیاید، عمرو نمی‌تواند سلطه بر مال پیدا کند و بالعکس، اگر عمرو نیاید، زید نمی‌تواند سلطنت بر مال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استقلال دارد، مجموع مرکّب است و بر یکی از دو ید به تنهایی، استیلا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تا حکم به ضمان شود؛ پس، در این صورت چگونه می‌توان حکم به ضمان کرد؟</w:t>
      </w:r>
    </w:p>
    <w:p>
      <w:pPr>
        <w:pStyle w:val="BookText"/>
        <w:rPr/>
      </w:pPr>
      <w:r>
        <w:rPr>
          <w:rFonts w:ascii="IRNazanin" w:hAnsi="IRNazanin" w:eastAsia="IRNazanin"/>
          <w:color w:val="111111"/>
          <w:sz w:val="28"/>
          <w:sz w:val="28"/>
          <w:szCs w:val="28"/>
          <w:rtl w:val="true"/>
          <w:lang w:bidi="fa-IR"/>
        </w:rPr>
        <w:t xml:space="preserve">جواب می‌دهد که آری، ما نیز قبول داریم که ید هر کدام از این دو نفر بر مال بالاستقلال نیست؛ امّا چون ملاک و مدار در تحقّق ضمان، حصول استیلاست؛ بنابراین، ضمان بر ذمّه هر کسی است که بر مال استیلا دارد و در اینجا با توجّه به این که مستولی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ضمان بر مجموع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اجزای آن تقسیم می‌شود؛ و از انجا که هر کدام از دو ید، قابلیّت قبول ضمان را دارد و ترجیحی در بین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ضامن و دیگری ضامن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 بر هر دو ید توزیع و تقسیم می‌گردد و بنابراین، هر کدام از دو ید ضامن نصف 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یعمّ الدلیل الید المرکّبة؟ الظاهر ذلک، 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اشتراک</w:t>
      </w:r>
    </w:p>
    <w:p>
      <w:pPr>
        <w:pStyle w:val="BookText"/>
        <w:rPr/>
      </w:pPr>
      <w:r>
        <w:rPr>
          <w:rFonts w:ascii="IRNazanin" w:hAnsi="IRNazanin" w:eastAsia="IRNazanin"/>
          <w:color w:val="111111"/>
          <w:sz w:val="28"/>
          <w:sz w:val="28"/>
          <w:szCs w:val="28"/>
          <w:rtl w:val="true"/>
          <w:lang w:bidi="fa-IR"/>
        </w:rPr>
        <w:t>اثنین فی التسلّط علی مالٍ واحد یکون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منهما مسلّطاً علی النصف مستقلاً به، وذلک هو بحث الإشاعة فلکلّ منهما ید بسیطة علی النصف؛ وسیأتی تحقیق ذلک فی البحث الآتی فی بیان المأخوذ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یستولی أحد منهما علی جزء من المال بالمرّة، بل یکون استیلاء کلّ منهما مرتبطاً بالآخر،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منهما لو لم یکن، لم یکن للآخر استیلاء بالمرّة، لا علی کلّ ولا علی بعض، فیکون استیلاء کلّ منهما بانضمام الآخر، فیکون المجموع المرکّب مستولیاً علی المجموع المرکّب من دون استیلاء بعض علی بعض، وهذا هو الید المرکّبة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یفترق الحال فی هذه الصورة والصورة الاُولی فی کون کلّ منهما ضامناً للنصف، أمّا فی الاُولی فواضح، نظراً إلی صدق عموم دلیل الید وهو الاستیلاء، وهو حاصل لکلّ واحد منهما فی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الإشکال فی إدخال الثانیة تحت الدلیل، نظراً إلی أنّ ید کلّ منهما عارضی خالٍ عن الاستقلال، وإنّما المستقلّ هو المجموع المرکّب، فلا یصدق علی أحد منهما الاستیلاء وإثبات الید حتّی یحکم بالضمان، فإذا لم یدخل شیء منهما تحت الدلیل فکیف یحکم بالضمان؟ والوجه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المدار فی الضمان لمّا کان هو الاستیلاء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أنّه الظاهر من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الضمان علی کلّ من استولی، وهنا لمّا کان المجموع المرکّب هو المستولی فیکون الضمان علی المجموع المرکّب فینقسم علی أبعاضه، وحیث إنّ کلاًّ منهما قابل للضمان ولا ترجیح فیوزّع علیهما، فیصیر کلّ منهما ضامناً للنصف</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این که مرحوم صاحب عناوین قدس سره 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ید مرکّب را ثابت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دوّمی که صاحب عناوین رحمه الله مطرح می‌کند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منضمّ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دلیل ید شامل ید منضمّ می‌شود یا نه؟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منضمّه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می‌شود به همان صورتی که در نقل کلام مرحوم محقّق حلی و دیگران مذکور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عناوین رحمه الله در شمول دلیل 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منضمّه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 یک بیان و دلیل برای عدم ضمان و یک دلیل هم برای ضمان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منضمّه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ید مرکّبه دارای دو صورت می‌دانند؛ یک صورت آن که مالک بر نصف خانه ید دارد و غاصب نیز بر نصف دیگر خانه ید پیدا می‌کند؛ در این صورت، تردیدی نیست که غاصب نسبت به نصف خانه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ید منضمّه را نیز به این صورت تصویر می‌کند که ید غاصب با ید مالک مرتبط است؛ به این معنی که اگر مالک از تسلّطش دست بردارد، برای غاصب تسلّطی باقی نمی‌ماند؛ و هم‌چنین اگر غاصب از تسلّطش دست بردارد، برای مالک تسلّطی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فرض کنید حاکم ظالمی مال کسی را در اختیار می‌گیرد لیکن چون آن مال دارای رمز است، بدون وجود مالک نمی‌تواند از آن استفاده کند؛ از دیگر سو، مالک نیز نمی‌تواند به تنهایی از مالش استفاده کند، چرا که حاکم چنین اجازه‌ای به او نمی‌دهد؛ بنابراین، در مقام عمل، توافق می‌کنند که از آن مال به صورت مشترک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عناوین رحمه الله این فرض را از مشکل‌ترین مسائل ید می‌داند و برای هر یک از ضمان وعدم ضمان، دلیلی را بیان می‌کند؛ امّا دلیل عدم ضمان در این مورد،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منضمّه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دو ید، به تنهایی مشمول دلیل ید 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مرکّب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من حیث المجموع از آنجا که تسلط بر مال دارد، ضامن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دلیل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ضمانی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به تبع، حکم بر اجزای آن نیز ثابت است؛ لیکن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منضمّه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جزء ید ضمانی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دیگر غیرضمانی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که نمی‌توان گفت ید مالک ضامن است، پس نمی‌توان گفت مجموع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که مجموع، عنوان ضمان را ندارد، چنان چه شک کنیم که شخص غاصب ضامن است یا خیر، باید استصحاب عدم ضمان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دلیلی برای ضمان را چنین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منضمّه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بلکه از جمله افراد و مصادیق آن است؛ و از آنجا که در ید مرکّب، مجموع مرکّب ضامن است و لازمه ضمان این است که بر اجزایش تقسیم شود، در اینجا نیز مجموع ضامن است؛ منتهی مالک و امثال او ضامن نیستند و این که یک جزء به دلیل خاصّی ضامن نباشد، موجب نمی‌گردد که ضمان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برداشته شود؛ بنابراین، جزء دیگر که ید غاصب است،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عناوین رحمه الله در این فرض نیز اشکالی را مطرح کرده و از آن پاسخ می‌دهند؛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اشکال کند که ثبوت حکمی بر جزء به تبع ثبوت همان حکم بر کلّ است؛ همان طور که در باب صلاة، وجوی هر یک از اجزا به تبع آن وجوبی است که به کلّ صلاة تعلّق پیدا نموده است، و اگر مرکّب واجب نباشد، نمی‌توان گفت اجزای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 که یک حکم وضعی است نیز به همین صورت است؛ بنابراین، اگر کلّ ضامن نباشد، جزء نیز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دو لحاظ صورت گیرد؛ یک لحاظ از جهت مال مضمون است و یک لحاظ نسبت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ضمان نسبت به مال مضمون لحاظ شود، به مرکب و مجموع مربوط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مجموعی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نسبت به افراد لحاظ شود، دیگر عنوان مجموعی ندارد و بلکه از قبیل عامّ استغراقی می‌شود و انحلال به افراد پیدا می‌کند و هر کدام از افراد ضامن خواهند بود؛ در اینجا چون دلیل داریم که مالک نمی‌تواند ضامن باشد، از تحت دلیل ید خارج می‌شود، لکن دیگر اجزا در عموم دلیل باقی می‌مانند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صاحب عناوین رحمه الله بعد از آن که در همین فرض، ضمان را اختیار می‌نماید،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مسأله در نهایت پیچیدگی و اشکال است و باید مورد تأمّل واقع شود تا موضوع روشن گردد؛ و به هر حال، از نظر دلیل ید، فرقی بین ید ابتدایی، ید مترتّبه، ید مستقل، ید مرکّب و ید منضمّ نیست</w:t>
      </w:r>
      <w:r>
        <w:rPr>
          <w:rFonts w:eastAsia="IRNazanin" w:cs="IRNazanin"/>
          <w:color w:val="111111"/>
          <w:sz w:val="28"/>
          <w:szCs w:val="28"/>
          <w:rtl w:val="true"/>
          <w:lang w:bidi="fa-IR"/>
        </w:rPr>
        <w:t>.</w:t>
      </w:r>
      <w:r>
        <w:rPr>
          <w:rStyle w:val="FootnoteAnchor"/>
          <w:rtl w:val="true"/>
        </w:rPr>
        <w:footnoteReference w:id="121"/>
      </w:r>
      <w:bookmarkStart w:id="196" w:name="pg877_5914"/>
    </w:p>
    <w:p>
      <w:pPr>
        <w:pStyle w:val="Heading6"/>
        <w:numPr>
          <w:ilvl w:val="5"/>
          <w:numId w:val="1"/>
        </w:numPr>
        <w:rPr/>
      </w:pPr>
      <w:bookmarkStart w:id="197" w:name="__RefHeading___Toc105597_373438147"/>
      <w:bookmarkStart w:id="198" w:name="_Toc76"/>
      <w:bookmarkEnd w:id="196"/>
      <w:bookmarkEnd w:id="197"/>
      <w:r>
        <w:rPr>
          <w:rtl w:val="true"/>
        </w:rPr>
        <w:t>اشکالات وارد بر دیدگاه محقّق مراغی رحمه الله</w:t>
      </w:r>
      <w:bookmarkEnd w:id="198"/>
    </w:p>
    <w:p>
      <w:pPr>
        <w:pStyle w:val="BookText"/>
        <w:rPr/>
      </w:pPr>
      <w:r>
        <w:rPr>
          <w:rFonts w:ascii="IRNazanin" w:hAnsi="IRNazanin" w:eastAsia="IRNazanin"/>
          <w:color w:val="111111"/>
          <w:sz w:val="28"/>
          <w:sz w:val="28"/>
          <w:szCs w:val="28"/>
          <w:rtl w:val="true"/>
          <w:lang w:bidi="fa-IR"/>
        </w:rPr>
        <w:t>به نظر می‌رسد بر سخنان مرحوم مراغی قدس سره اشکالات متعددی وارد است؛</w:t>
      </w:r>
    </w:p>
    <w:p>
      <w:pPr>
        <w:pStyle w:val="BookText"/>
        <w:rPr/>
      </w:pPr>
      <w:r>
        <w:rPr>
          <w:rFonts w:ascii="IRNazanin" w:hAnsi="IRNazanin" w:eastAsia="IRNazanin"/>
          <w:color w:val="111111"/>
          <w:sz w:val="28"/>
          <w:sz w:val="28"/>
          <w:szCs w:val="28"/>
          <w:rtl w:val="true"/>
          <w:lang w:bidi="fa-IR"/>
        </w:rPr>
        <w:t xml:space="preserve">اوّلین اشکال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من حیث هو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ندارد تا گفته شود ضمان به آن توجّه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امری انتزاعی است و غیر از وجود اجزا چیز دیگری نیست؛ امر انتزاعی نیز قابلیّت تعلّق ضمان ندارد و بلکه اشخاص و عهده آنان است که قالبیت تعلّق ضمان 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حکم تکلیفی و واجب کفایی نز برخی از فقها گفته‌اند واجب به مجموع من حیث المجموع تعلّق می‌گیرد؛ و این حرف مورد اشکال تمام بزرگان قرار گرفته است که چیزی به نام مجموع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عناوین رحمه الله بین ید مرکّب و ید منضمّ تفکیک قائل شده‌اند؛ در حالی که اگر ملاک، صدق استیلاست، باید گفت در مواردی که استیلا صدق کند، ضمان وجود دارد و اگر استیلائی نباشد، ضمان هم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فرقی بین ید مرکّبه و منضمّه نیست و وجهی برای تفکیک در اینجا</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باید گفت که در مورد تعریف غصب میان فقها اختلاف است؛ مشهور فقها در تعریف غصب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الاستقلال علی مال الغیر</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 برخی دیگر هم‌چون محقّق بروجردی رحمه الله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 هو الاستیلاء علی مال الغیر عدواناً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به مرحوم صاحب عناوین قدس سره ایراد گرفته می‌شود که مطالب شما در فرضی است که در تعریف غصب، مسأله استیلا را مطرح کنید و بگویید هرگاه دو نفر بر مال غیر ید مرکب داشتند و مجموعاً استیلا پیدا کنند، ضامن هستند؛ امّا اگر کسی تعریف مشهور را بگوید و این که در باب غصب، استقلال بر مال غیر لازم است، نه در ید مرکّبه و نه در ید منضمّه، استقلال بر مال غیر وجود ندارد؛ به همین جهت نیز محقّق حلّی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خانه دیگری با وجود مالکش قهراً ساکن شود، ضامن نیست؛ زیرا، تصرّف او مستقل از مالک نیست و ید مستقل بر مال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صاحب عناوین رحمه الله باید در اینجا ملاک را مشخص سازد؛ اگر بگوید کاری به باب غصب نداریم و در اینجا فقط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 که آیا شامل ید مرکّبه و منضمّه نیز می‌شود یا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یکی از ادلّه غصب است؛ و ثانیاً، با قطع نظر از تعریف و حقیقت غصب،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فهمیده می‌شود، هم در ید مرکّبه و هم در ید منضمّه استیلا صدق می‌کند؛ پس، چرا میان آن‌ها تفکیک قائل شدید؟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که شاید مهمترین اشکال بر صاحب عناوین رحمه الله</w:t>
      </w:r>
      <w:bookmarkStart w:id="199" w:name="pg877_5916"/>
    </w:p>
    <w:p>
      <w:pPr>
        <w:pStyle w:val="BookText"/>
        <w:rPr/>
      </w:pPr>
      <w:bookmarkEnd w:id="199"/>
      <w:r>
        <w:rPr>
          <w:rFonts w:ascii="IRNazanin" w:hAnsi="IRNazanin" w:eastAsia="IRNazanin"/>
          <w:color w:val="111111"/>
          <w:sz w:val="28"/>
          <w:sz w:val="28"/>
          <w:szCs w:val="28"/>
          <w:rtl w:val="true"/>
          <w:lang w:bidi="fa-IR"/>
        </w:rPr>
        <w:t xml:space="preserve">باشد، این است که اگر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از استیلا دانستیم، باید بحث کنیم در چه مواردی استیلا تحقّق دارد و در چه مواردی استیلا وجود ندارد؛ در هر موردی که استیلا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می‌شود 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نمی‌شود؛ لیکن این مبنای مشهور را مورد مناقشه قرار دادیم و گفتیم در باب مقبوض به سوم، هم فقهای امامیه و هم فقهای اهل‌سنّت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می‌کنند و حال آن که در این مورد، استیلایی وجود ندارد؛ از این رو، گفتیم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کسی که 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در موردی که اخذ و تصرّف صدق کند، ضمان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ید منضمّه، رکوب بر دابه و جلوس بر فراش برای یک لحظه، چون اخذ و تصرّف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عرفاً استیلا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نیز تحقّق‌دارد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ثمره بین مبنای مختار و مبنای مشهور در ید منضمّه به خوبی روشن می‌شود که در این موارد نیز شخص متصرّف ضامن است و هیچ تردیدی در آن راه ندارد</w:t>
      </w:r>
      <w:r>
        <w:rPr>
          <w:rFonts w:eastAsia="IRNazanin" w:cs="IRNazanin"/>
          <w:color w:val="111111"/>
          <w:sz w:val="28"/>
          <w:szCs w:val="28"/>
          <w:rtl w:val="true"/>
          <w:lang w:bidi="fa-IR"/>
        </w:rPr>
        <w:t>.</w:t>
      </w:r>
    </w:p>
    <w:p>
      <w:pPr>
        <w:pStyle w:val="Heading4"/>
        <w:numPr>
          <w:ilvl w:val="3"/>
          <w:numId w:val="1"/>
        </w:numPr>
        <w:rPr/>
      </w:pPr>
      <w:bookmarkStart w:id="200" w:name="__RefHeading___Toc105599_373438147"/>
      <w:bookmarkStart w:id="201" w:name="_Toc77"/>
      <w:bookmarkEnd w:id="200"/>
      <w:r>
        <w:rPr>
          <w:rtl w:val="true"/>
        </w:rPr>
        <w:t>گفتار چهارم</w:t>
      </w:r>
      <w:r>
        <w:rPr>
          <w:rtl w:val="true"/>
        </w:rPr>
        <w:t xml:space="preserve">: </w:t>
      </w:r>
      <w:r>
        <w:rPr>
          <w:rtl w:val="true"/>
        </w:rPr>
        <w:t>شمول روایت نسبت به ید غیر بالغ قاصد</w:t>
      </w:r>
      <w:bookmarkEnd w:id="201"/>
    </w:p>
    <w:p>
      <w:pPr>
        <w:pStyle w:val="Heading5"/>
        <w:numPr>
          <w:ilvl w:val="4"/>
          <w:numId w:val="1"/>
        </w:numPr>
        <w:rPr/>
      </w:pPr>
      <w:bookmarkStart w:id="202" w:name="__RefHeading___Toc105601_373438147"/>
      <w:bookmarkStart w:id="203" w:name="_Toc78"/>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مسأله دیگری که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 است که آیا دلیل ید، اختصاص به بالغ قاصد مختار دارد؟ و بنابراین، از آنجا که صغیر، مجنون و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نیستند و قصد از آن‌ها تمشّی نمی‌شود،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فقها</w:t>
      </w:r>
      <w:r>
        <w:rPr>
          <w:rStyle w:val="FootnoteAnchor"/>
          <w:rtl w:val="true"/>
        </w:rPr>
        <w:footnoteReference w:id="124"/>
      </w:r>
      <w:r>
        <w:rPr>
          <w:rFonts w:ascii="IRNazanin" w:hAnsi="IRNazanin" w:eastAsia="IRNazanin"/>
          <w:color w:val="111111"/>
          <w:sz w:val="28"/>
          <w:sz w:val="28"/>
          <w:szCs w:val="28"/>
          <w:rtl w:val="true"/>
          <w:lang w:bidi="fa-IR"/>
        </w:rPr>
        <w:t xml:space="preserve">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داشته و همه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در بر می‌گیرد؛ بنابراین، اگر کودکی بر مال غیر دست پیدا کرد و آن مال از بین رفت، حکم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ضمان و استقرار علی العهده است، در حق او نیز جاری می‌شود؛ و این کودک ضامن است و باید خسارت مال را به مالکش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بعضی گفته‌اند که اگر یک فعل اختیاری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فاعلی اسناد داده شود، ظهور در این معنا دارد که آن فعل از روی قصد و اختیار از فاعل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امکان اسناد افعال اختیاری به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به همین جهت، در باب حدود و دیات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و کاشف است از این که کودک د راعمال خود اصلاً قصدی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داده می‌شود، منظور از آخذ و ذی‌الید، شخص بالغ، مختار و قاصد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اگر کسی قائل شود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ضمان کودک دارد و شامل ید صغیر می‌شود، باید بحث کند که آیا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مقیِّد دلیل ید باشد یا نه؟ چه بسا کسی بگوید حدیث رفع فقط به احکام تکلیفیه اختصاص دارد و احکام وضعیه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اگر از اوّل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ضمان</w:t>
      </w:r>
      <w:bookmarkStart w:id="204" w:name="pg877_5918"/>
    </w:p>
    <w:p>
      <w:pPr>
        <w:pStyle w:val="BookText"/>
        <w:rPr/>
      </w:pPr>
      <w:bookmarkEnd w:id="204"/>
      <w:r>
        <w:rPr>
          <w:rFonts w:ascii="IRNazanin" w:hAnsi="IRNazanin" w:eastAsia="IRNazanin"/>
          <w:color w:val="111111"/>
          <w:sz w:val="28"/>
          <w:sz w:val="28"/>
          <w:szCs w:val="28"/>
          <w:rtl w:val="true"/>
          <w:lang w:bidi="fa-IR"/>
        </w:rPr>
        <w:t>کودک ندارد، دیگر نیازی به بحث از قیدیّت حدیث رفع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بدان باید توجّه نمود، آن است که در میان فقها معروف است که احکام وضعیّه مشروط به بلوغ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در خصوص حکم وضعی ضمان، چنان چه به این نتیجه رسیدیم که حدیث علی الید شامل صغیر نیز می‌شود، به این مطلب منتهی می‌شویم که حکم وضعی ضمان، مشروط به بلوغ نیست</w:t>
      </w:r>
      <w:r>
        <w:rPr>
          <w:rFonts w:eastAsia="IRNazanin" w:cs="IRNazanin"/>
          <w:color w:val="111111"/>
          <w:sz w:val="28"/>
          <w:szCs w:val="28"/>
          <w:rtl w:val="true"/>
          <w:lang w:bidi="fa-IR"/>
        </w:rPr>
        <w:t>.</w:t>
      </w:r>
    </w:p>
    <w:p>
      <w:pPr>
        <w:pStyle w:val="Heading5"/>
        <w:numPr>
          <w:ilvl w:val="4"/>
          <w:numId w:val="1"/>
        </w:numPr>
        <w:rPr/>
      </w:pPr>
      <w:bookmarkStart w:id="205" w:name="__RefHeading___Toc105603_373438147"/>
      <w:bookmarkStart w:id="206" w:name="_Toc79"/>
      <w:bookmarkEnd w:id="205"/>
      <w:r>
        <w:rPr/>
        <w:t>1</w:t>
      </w:r>
      <w:r>
        <w:rPr>
          <w:rtl w:val="true"/>
        </w:rPr>
        <w:t xml:space="preserve"> - </w:t>
      </w:r>
      <w:r>
        <w:rPr>
          <w:rtl w:val="true"/>
        </w:rPr>
        <w:t>دیدگاه شیخ انصاری رحمه الله</w:t>
      </w:r>
      <w:bookmarkEnd w:id="206"/>
    </w:p>
    <w:p>
      <w:pPr>
        <w:pStyle w:val="Heading6"/>
        <w:numPr>
          <w:ilvl w:val="5"/>
          <w:numId w:val="1"/>
        </w:numPr>
        <w:rPr/>
      </w:pPr>
      <w:bookmarkStart w:id="207" w:name="__RefHeading___Toc105605_373438147"/>
      <w:bookmarkStart w:id="208" w:name="_Toc80"/>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در میان بزرگان و فقهای امامیه، مرحوم شیخ اعظم انصاری قدس سره در کتاب مکاسب</w:t>
      </w:r>
      <w:r>
        <w:rPr>
          <w:rStyle w:val="FootnoteAnchor"/>
          <w:rtl w:val="true"/>
        </w:rPr>
        <w:footnoteReference w:id="127"/>
      </w:r>
      <w:r>
        <w:rPr>
          <w:rFonts w:ascii="IRNazanin" w:hAnsi="IRNazanin" w:eastAsia="IRNazanin"/>
          <w:color w:val="111111"/>
          <w:sz w:val="28"/>
          <w:sz w:val="28"/>
          <w:szCs w:val="28"/>
          <w:rtl w:val="true"/>
          <w:lang w:bidi="fa-IR"/>
        </w:rPr>
        <w:t xml:space="preserve">بیان می‌دارد که استدلال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ضمان کودک ممیّز و مجنون ممیّز وجیه و پسندیده است و این موارد مشمول دلیل ید هستند؛ و به عبارت دیگر، شیخ رحمه الله ادعا می‌کند که این روایت اطلاق دارد و تمام قاصدین را شامل می‌شود، بالغ باشند و یا نابالغ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آنجا که مبنای شیخ انصاری رحمه الله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 است، ایشان اطلاق حدیث را فقط در دایره ممیّزین می‌پذیرند، چه آن که مستولی کسی است که به استیلای خود توجّه دارد؛ لکن بر اساس مبنای مختار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و تصرّف است، اطلاق حدیث فراتر از دایره‌ی ممیّزین است و غیرقاصدین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غیرممیّز و شخص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دایره 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و آنان نیز ضامن خواهند بود</w:t>
      </w:r>
      <w:r>
        <w:rPr>
          <w:rFonts w:eastAsia="IRNazanin" w:cs="IRNazanin"/>
          <w:color w:val="111111"/>
          <w:sz w:val="28"/>
          <w:szCs w:val="28"/>
          <w:rtl w:val="true"/>
          <w:lang w:bidi="fa-IR"/>
        </w:rPr>
        <w:t>.</w:t>
      </w:r>
    </w:p>
    <w:p>
      <w:pPr>
        <w:pStyle w:val="Heading6"/>
        <w:numPr>
          <w:ilvl w:val="5"/>
          <w:numId w:val="1"/>
        </w:numPr>
        <w:rPr/>
      </w:pPr>
      <w:bookmarkStart w:id="209" w:name="__RefHeading___Toc105607_373438147"/>
      <w:bookmarkStart w:id="210" w:name="_Toc81"/>
      <w:bookmarkEnd w:id="209"/>
      <w:r>
        <w:rPr>
          <w:rtl w:val="true"/>
        </w:rPr>
        <w:t>اشکال محقّق اصفهانی رحمه الله به دیدگاه شیخ انصاری رحمه الله</w:t>
      </w:r>
      <w:bookmarkEnd w:id="21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 رحمه الله در حاشیه مکاسب</w:t>
      </w:r>
      <w:r>
        <w:rPr>
          <w:rStyle w:val="FootnoteAnchor"/>
          <w:rtl w:val="true"/>
        </w:rPr>
        <w:footnoteReference w:id="128"/>
      </w:r>
      <w:r>
        <w:rPr>
          <w:rFonts w:ascii="IRNazanin" w:hAnsi="IRNazanin" w:eastAsia="IRNazanin"/>
          <w:color w:val="111111"/>
          <w:sz w:val="28"/>
          <w:sz w:val="28"/>
          <w:szCs w:val="28"/>
          <w:rtl w:val="true"/>
          <w:lang w:bidi="fa-IR"/>
        </w:rPr>
        <w:t>به مرحوم شیخ انصاری قدس سره و این که دلیل ید شامل صبیّ و مجنون ممیّز می‌شود، اشکال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اشکال، تذکر به این مطلب ضروری است که مبنای شیخ انصاری رحمه الله در مورد احکام</w:t>
      </w:r>
    </w:p>
    <w:p>
      <w:pPr>
        <w:pStyle w:val="BookText"/>
        <w:rPr/>
      </w:pPr>
      <w:r>
        <w:rPr>
          <w:rFonts w:ascii="IRNazanin" w:hAnsi="IRNazanin" w:eastAsia="IRNazanin"/>
          <w:color w:val="111111"/>
          <w:sz w:val="28"/>
          <w:sz w:val="28"/>
          <w:szCs w:val="28"/>
          <w:rtl w:val="true"/>
          <w:lang w:bidi="fa-IR"/>
        </w:rPr>
        <w:t>وضعیه این است که احکام وضعیه مجعول مستقل ابتدایی نیستند، بلکه هر حکم وضعی از یک حکم تکلیفی انتزاع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اصفهانی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دلیل 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حالت وجود دارد؛ اوّل آن‌که گفته شود این روایت، حکم وضعی ضمان را انشاء می‌کند و مرحوم شیخ انصاری قدس سره نیز به کرّات گفته‌اند حکم وضعی ضمان از روایت استفاده می‌شود؛ در این صورت، به ایشان اشکال می‌شود که این حرف با مبنای شما در مورد احکام وضعی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اشخاص بالغ می‌توان گفت که چون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الاداء و وجوب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حکم وضعی ضمان نیز از آن انتزاع می‌شود؛ لیک درباره‌ی کودکان که حکم تکلیفی نیست، چگونه حکم وضعی ضمان را از این حدیث استفاده می‌کنید؟</w:t>
      </w:r>
    </w:p>
    <w:p>
      <w:pPr>
        <w:pStyle w:val="BookText"/>
        <w:rPr/>
      </w:pPr>
      <w:r>
        <w:rPr>
          <w:rFonts w:ascii="IRNazanin" w:hAnsi="IRNazanin" w:eastAsia="IRNazanin"/>
          <w:color w:val="111111"/>
          <w:sz w:val="28"/>
          <w:sz w:val="28"/>
          <w:szCs w:val="28"/>
          <w:rtl w:val="true"/>
          <w:lang w:bidi="fa-IR"/>
        </w:rPr>
        <w:t xml:space="preserve">امّا حالت دوّم این است که بگویید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ضمان را جعل نمی‌کند، بلکه حدیث از یک حکم مجعول به نام ضمان، که از یک حکم تکلیفی که دلیل دیگر بر آن دلالت دارد انتزاع شده است، حکایت و اخبار می‌کند؛ در این صورت، با مبنای شما مخالفتی ندارد، امّا دچار اشکالات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مبنای شما مبنی بر انتزاع احکام وضعیه از احکام تکلیفیه را قبول نداریم و این مبنا مردود است؛ و به بیان دیگر، قبلاً در محل خود ثابت نموده‌ایم که انتزاع حکم وضعی از حکم تکلیفی غیر معقول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بر فرض آن که این مبنا را مورد پذیرش قرار دهیم و انتزاع حکم وضعی از حکم تکلیفی را معقول بدانیم، لیکن قابلیّت تطبیق و جریان در این بحث را ندارد؛ زیرا، احکام انتزاعی از لحاظ قوّه و فعل تابع منشأ انتزاعشان هستند؛ به جهت این قاعده که هر چیزی که عنوان بالعرض دارد، باید تابع</w:t>
      </w:r>
    </w:p>
    <w:p>
      <w:pPr>
        <w:pStyle w:val="BookText"/>
        <w:rPr/>
      </w:pPr>
      <w:r>
        <w:rPr>
          <w:rFonts w:ascii="IRNazanin" w:hAnsi="IRNazanin" w:eastAsia="IRNazanin"/>
          <w:color w:val="111111"/>
          <w:sz w:val="28"/>
          <w:sz w:val="28"/>
          <w:szCs w:val="28"/>
          <w:rtl w:val="true"/>
          <w:lang w:bidi="fa-IR"/>
        </w:rPr>
        <w:t>چیزی باشد که بالذات است؛ و در صورتی که منشأ انتزاع، امری بالقوّه و تقدیری باشد، حکمی هم که از آن انتزاع می‌شود، امری بالقوّه و تقدیری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اشکال این است که در این بحث، چگونه از یک حکم تکلیفی تقدیری، حکم انتزاعی فعلی بدست می‌آورید؟ بدین صورت که حکم تکلیفی وجوب الأداء والردّ مشروطاً بالبلوغ متوجّه صغیر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به شرطی که بالغ باشد مکلّف به این 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حکم تکلیفی معلّق و مشروط، حکم وضعی ضمان فعلی را انتزاع می‌کنید که درست نیست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وضعی انتزاعی تابع منشأ انتزاع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بحث که حکم تکلیفی مشروط و معلّق است، حکمی هم که از آن منتزع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مشروط و معلّق باشد و نه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اصفهانی رحمه الله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علیک أنّ مفاد علی الید إمّا جعل حکم وضعی أو الخبر عن جعل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الأوّل فلا یصحّ إلّاممّن یری الاستقلال بالجعل للوضع حتّی یکون جعلاً للضمان ابتداءً، وأمّا من یری أنّه منتزع من حکم تکلیفی فلا مناص له من الإلتزام بأنّ مفاد علی الید جعل حکم تکلیفی یستتبع الضمان الوضعی، وهو هناخلف، لأنّ المفروض عدم ظهوره فی الحکم التکلیفی، وامکان ثبوت مفاده فی حقّ الصغیر الّذی لا تکلیف علیه، فالالتزام بجعل الحکم الوضعی إمّا مستقلاً أو تبعاً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علی أیّ حال، لأنّه لا یری استقلال الوضع، فالالتزام بأنّ مفاده جعل الوضع ابتداءً خلف، ولا یری جعل الحکم التکلیفی بالخبر، فالالتزام بالانتزاع من الحکم التکلیفی الثابت بالخبر خلف أیضاً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الثانی فالاخبار عن وضع منتزع من التکلیف الغیر المجعول بهذا الخبر لا مانع منه فی نفسه، إلّاأنّ فیه انتزاع</w:t>
      </w:r>
      <w:bookmarkStart w:id="211" w:name="pg877_5921"/>
    </w:p>
    <w:p>
      <w:pPr>
        <w:pStyle w:val="BookText"/>
        <w:rPr/>
      </w:pPr>
      <w:bookmarkEnd w:id="211"/>
      <w:r>
        <w:rPr>
          <w:rFonts w:ascii="IRNazanin" w:hAnsi="IRNazanin" w:eastAsia="IRNazanin"/>
          <w:color w:val="111111"/>
          <w:sz w:val="28"/>
          <w:sz w:val="28"/>
          <w:szCs w:val="28"/>
          <w:rtl w:val="true"/>
          <w:lang w:bidi="fa-IR"/>
        </w:rPr>
        <w:t>الوضع من التکلیف غیر معقول کما مرّ بیانه فی هذه التعلیقة مراراً، مضافاً إلی أنّه لو کان معقولاً فی نفسه إلّاأنّ انتزاعه هنا محال، لأنّ الأمر الانتزاعی یتبع منشأ انتزاعه ثبوتاً وعدماً وفعلاً، لمکان تبعیّة ما بالعرض لما بالذات، ولا تکلیف للصغیر فعلاً حتّی ینتزع منه ضمان فعلاً، وفرض خطاب مشروط بالاضافة إلی الصغیر إثبات حکم تقدیری له، فیکون الأمر الانتزاعی تقدیریاً أیضاً ففعلیّة الأمر الانتزاعی وتقدیریة منشأه محال</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 w:name="__RefHeading___Toc105609_373438147"/>
      <w:bookmarkStart w:id="213" w:name="_Toc82"/>
      <w:bookmarkEnd w:id="212"/>
      <w:r>
        <w:rPr>
          <w:rtl w:val="true"/>
        </w:rPr>
        <w:t>پاسخ امام خمینی قدس سره از اشکال محقّق اصفهانی رحمه الله</w:t>
      </w:r>
      <w:bookmarkEnd w:id="213"/>
    </w:p>
    <w:p>
      <w:pPr>
        <w:pStyle w:val="BookText"/>
        <w:rPr/>
      </w:pPr>
      <w:r>
        <w:rPr>
          <w:rFonts w:ascii="IRNazanin" w:hAnsi="IRNazanin" w:eastAsia="IRNazanin"/>
          <w:color w:val="111111"/>
          <w:sz w:val="28"/>
          <w:sz w:val="28"/>
          <w:szCs w:val="28"/>
          <w:rtl w:val="true"/>
          <w:lang w:bidi="fa-IR"/>
        </w:rPr>
        <w:t xml:space="preserve">مرحوم امام قبل از آن که پاسخ اشکال محقّق اصفهانی رحمه الله را بدهند، مطلبی را به صورت کلّی بیان می‌کنند مبنی بر این که اگر از ظاهر روایتی اطلاق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مورد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هم ید بالغ و هم ید غیربالغ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یک اشکال و محذور عقلی مواجه باشد، در صورتی که به هیچ طریقی نتوان بین اطلاق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عقلی جمع کرد، باید آن را کنار گذاشت؛ لیکن در صورتی که بشود ظاهر را با توجیهات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توجیهات بعیده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 لازم است که چنین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یکی از امور بسیار مهمّ در باب اجتهاد است که چنان چه یک دلیل نقلی که حجیّت آن ثابت است با یک دلیل عقلی معارض شود، لازم است هر اندازه که بتوانیم آن دلیل نقلی را توجیه کرده و محذور عقلی را دفع نماییم؛ و نمی‌توان گفت از آنجا که این توجیهات بعید و متضمّن تکلّف است، باید از آن دلیل دست برداشت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بیان این مطلب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مرحوم شیخ انصاری قدس سره یک محذور عقلی وجود دارد و آن این که حکم وضعی عقلاً قابلیّت جعل</w:t>
      </w:r>
    </w:p>
    <w:p>
      <w:pPr>
        <w:pStyle w:val="BookText"/>
        <w:rPr/>
      </w:pPr>
      <w:r>
        <w:rPr>
          <w:rFonts w:ascii="IRNazanin" w:hAnsi="IRNazanin" w:eastAsia="IRNazanin"/>
          <w:color w:val="111111"/>
          <w:sz w:val="28"/>
          <w:sz w:val="28"/>
          <w:szCs w:val="28"/>
          <w:rtl w:val="true"/>
          <w:lang w:bidi="fa-IR"/>
        </w:rPr>
        <w:t>استقلالی ابتدایی ندارد و به یک حکم تکلیفی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دچار اشکال می‌شود که باید برای حفظ ظاهر و اطلاق روایت این اشکال عقلی را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پاسخ اشکال مرحوم اصفهانی را روی هر دو فرض بیان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جوابی که ایشان بر اساس فرض اوّل محقّق اصفهانی رحمه الله بیان می‌کنند، این است که اگر گفته شود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جعل حکم وضعی مستقلاً دارد، می‌گوئیم حکم عقل در اینجا قرینه می‌شود که جعل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داعی جدّی نیست، بلکه یک حکم وضعی صوری بوده و به این انگیزه است که مخاطب به سوی حکم تکلیفی ارشاد و راهنمایی شود، و در حقیقت ارشاد به آن است که دایره تکلیف توسعه و عمومیّت داشته و اختصاص به گروه خاصی ندارد؛ که از این حکم تکلیفی، حکم وضعی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اطلاق حدیث دلیل بر آن است که یک حکم تکلیفی که مطابق با این حکم وضعی صوری است، وجود دارد؛ که همان منشأ انتزاع حکم وضعی واقعی مطابق با این انشاء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قدس سره در مورد این جواب می‌گویند که هرچند این مطلب شبیه اکل از قفاست، و خیلی دور از ذهن است؛ چرا که در این فرض حکم وضعی صوری ارشاد به یک حکم تکلیفی است که از آن حکم وضعی واقعی را انتزاع می‌کنیم، در حالی که می‌توان از ابتدا و بدون آن که مرتکب چنین تکلّفی شویم، حکم وضعی را استفاده نماییم؛ لیکن برای اخذ و تمسک به ظاهر روایت باید همین توجیه را ذکر نماییم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فرض دوّم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جعل سابق است، بهترین پاسخ، این است که بگوییم مبنای مرحوم شیخ انصاری قدس سره مبنی بر این که حکم وضعی باید از حکم تکلیفی انتزاع شود، صحیح نیست؛ امّا اگر بنا بر</w:t>
      </w:r>
    </w:p>
    <w:p>
      <w:pPr>
        <w:pStyle w:val="BookText"/>
        <w:rPr/>
      </w:pPr>
      <w:r>
        <w:rPr>
          <w:rFonts w:ascii="IRNazanin" w:hAnsi="IRNazanin" w:eastAsia="IRNazanin"/>
          <w:color w:val="111111"/>
          <w:sz w:val="28"/>
          <w:sz w:val="28"/>
          <w:szCs w:val="28"/>
          <w:rtl w:val="true"/>
          <w:lang w:bidi="fa-IR"/>
        </w:rPr>
        <w:t>صحت این مبنا گذاشته شود، دیگر اشکال محقّق اصفهانی رحمه الله مبنی بر آن که این مبنای مرحوم شیخ قدس سره در اینجا قابلیت جریان ندارد، وارد نیست و صحیح نمی‌باشد؛ زیرا، در مورد صغیر آن چیزی که وجود دارد این است که صغیر تکلیف منجّز فعلی ندارد، امّا آیا تکلیف به صورت واجب معلّق در حق او جریان ندارد؟ یعنی به این صورت که وجوب در مورد او فعلی است، امّا خود واجب در آینده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چه در مورد صغیر صحیح نیست، آن است که برای او تکلیف فعلی منجّز را قائل شویم؛ اما اگر تکلیف فعلی معلّق را قائل شویم، دیگر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قدس سره در ادامه بیان می‌کند که بر اساس مبنای شیخ انصاری رحمه الله در رجوع قید به ماده و نه هیئت، این مسأله روشن‌تر می‌شود که طبق این مبنا مسأله به نحو واجب معلّق می‌شود؛ و به عبارت دیگر، در قضایای شرطیه، طبق نظر مشهور، چنان چه شرط به هیئت رجوع نماید، وجوب و تکلیف مشروط می‌شود؛ اما طبق مبنای شیخ انصاری رحمه الله که شرط به مادّه رجوع می‌کند، نتیجه، همان واجب معلّق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این اشکال قابل دفع نیست، و آن هنگامی است که شخص مجنون قبل از افاقه و کودک قبل از رسیدن به سن بلوغ از دنیا بروند؛ در این موارد چگونه می‌توان گفت کودکی که قبل از رسیدن به سن بلوغ مرده، تکلیف فعلی داشته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اشکال را بر اساس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قانونیه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می‌توان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قانونی در مقابل خطاب شخصی قرار می‌گیرد؛ بدین صورت که شارع مقدّس در خطاب قانونی، افراد و خصوصیات آن‌ها را مدّ نظر قرار نمی‌دهد؛</w:t>
      </w:r>
    </w:p>
    <w:p>
      <w:pPr>
        <w:pStyle w:val="BookText"/>
        <w:rPr/>
      </w:pPr>
      <w:r>
        <w:rPr>
          <w:rFonts w:ascii="Amiri" w:hAnsi="Amiri" w:eastAsia="Amiri" w:cs="Amiri"/>
          <w:color w:val="111111"/>
          <w:sz w:val="28"/>
          <w:sz w:val="28"/>
          <w:szCs w:val="28"/>
          <w:rtl w:val="true"/>
          <w:lang w:bidi="ar-SA"/>
        </w:rPr>
        <w:t>کاری ندارد که شخص مورد خطاب، بالغ است یا صغیر، مجنون است یا عاقل، مضطرّ است یا مختار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بلکه شارع مقدّس به عنوان مثال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و این تکلیف را به عنوان یک قانون کلّی در شریعت خود بیان می‌فرماید؛ حال، در مورد کودک، صغارت سن، برای او عذر می‌شود که تکلیف فوق از گردنش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نیز گفته می‌شود که کودک چون صغیر است، نسبت به حکم تکلیفی عذر دارد، ولی حکم ضمان به نحو فعلی در مورد او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مرحوم امام خمینی قدس سره با بیان توجیهات فوق به این نتیجه می‌رسند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و شامل ید صغیر و مجنون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مرحوم امام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الوضع، وإطلاقه الشامل لید الصغیر والمجنون الممیّزین، لا یجوز رفع الید عنه إلّا بدلیل، والمدّعی فی المقام هو قیام الدلیل العقلی علی خلافه، فلو أمکن التوجیه بما یدفع به الدلیل العقلی بأیّ وجهٍ ممکن لا یجوز رفع الید عن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الدفع بعیداً عن الأذهان، بنحوٍ لا یصحّ الالتزام به فی مقام الإثبات والإستظهار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یمکن دفعه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فرض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لا إخبار، فلإمکان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ظاهر فی جعل الحکم الوضعی، لکنّ العقل یدفع هذا الظهور؛ لامتناع جعل الوضع ابتداءً علی الفرض، فیصیر حکم العقل قرینة علی انشاء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جدّ وجعل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الإرشاد إلی الحکم التکلیفی الّذی هو منشأ لانتزاع الوضع لدی العقلاء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انشیء بصورة الوضع؛ للإرشاد إلی مقدار سعة التکلیف</w:t>
      </w:r>
    </w:p>
    <w:p>
      <w:pPr>
        <w:pStyle w:val="BookText"/>
        <w:rPr/>
      </w:pPr>
      <w:r>
        <w:rPr>
          <w:rFonts w:ascii="IRNazanin" w:hAnsi="IRNazanin" w:eastAsia="IRNazanin"/>
          <w:color w:val="111111"/>
          <w:sz w:val="28"/>
          <w:sz w:val="28"/>
          <w:szCs w:val="28"/>
          <w:rtl w:val="true"/>
          <w:lang w:bidi="fa-IR"/>
        </w:rPr>
        <w:t>الّذی هو منشأ انتزاع الوضع واقعاً، فإطلاقه دلیل علی ثبوت حکم تکلیفی یطابق هذا الإنشاء الصوری الإرشادی، ویکون منشأ لانتزاع وضع واقعی مطابق للإنشاء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وإن کان بعیداً عن الأذهان، بل شبیهاً بالأکل من القفا، لکنّه کاف فی إمکان الأخذ بالظهور، ومعه یجب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تصویر توجیه التکلیف إلی الصغیر والمجنون، فیأتی فی الفرض الثانی، وهو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 عن جعل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فرض صحّة المبنی، لا یرد علیه ماذکره المستشکل؛ لإمکان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الصغیر والمجنون قابلان لتوجّه التکلیف المعلّق علی زمان البلوغ والإفاقة إلیهما، ولا دلیل علی بطلانه والإجماع لم یثبت بهذا النحو؛ لأنّ المتیقّن منه التکلیف بالأداء فی الحال، وحدیث رفع القلم لو فرض التعمیم للتکلیف، لعلّه ظاهر فی المنجّز لاالمعلّق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الصغیر والمجنون الممیّزین مکلّفان بأداء الغرامة علی نحو الواجب المعلّق، سیّما علی مسلک الشیخ قدس سره؛ من رجوع القیود فی الواجب المشروط إلی المادّة، فلا یصحّ علی مذهبه اشتراط التکلیف بالبلوغ والإفاقة، فلابدّ من أخذ القید إمّا قیداً للمکلّف به، أو قیداً وعنواناً للمکلّف، وفی المقام بعد قیام الحجّة علی ضمان الصغیر الممیّز، یتعیّن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دفع الإشکال العقلی عن ظاهر الحجّة؛ لعدم جواز رفضه بمجرّد إشکال قابل للدفع ولو بتکلّف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الإشکال فی المجنون الّذی لا یفیق، والصغیر الّذی یموت قبل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 الإشکال بوجه یعمّ الموارد، وهو الالتزام بالتکلیف الفعلی القانونی علی الناس جمیعاً، وجعل الجنون والصغر من قبیل الأعذار العقلیّة الّتی التزمنا ببقاء فعلیّة التکلیف معها، فلا مانع من تعلّق الوضع حتّی مع العذر عن التکلیف</w:t>
      </w:r>
      <w:r>
        <w:rPr>
          <w:rFonts w:eastAsia="IRNazanin" w:cs="IRNazanin"/>
          <w:color w:val="111111"/>
          <w:sz w:val="28"/>
          <w:szCs w:val="28"/>
          <w:rtl w:val="true"/>
          <w:lang w:bidi="fa-IR"/>
        </w:rPr>
        <w:t>.</w:t>
      </w:r>
      <w:bookmarkStart w:id="214" w:name="pg877_5926"/>
    </w:p>
    <w:p>
      <w:pPr>
        <w:pStyle w:val="BookText"/>
        <w:rPr/>
      </w:pPr>
      <w:bookmarkEnd w:id="214"/>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التکلّفات لأجل مبنی غیر وجیه، فی غیر محلّها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105611_373438147"/>
      <w:bookmarkStart w:id="216" w:name="_Toc83"/>
      <w:bookmarkEnd w:id="215"/>
      <w:r>
        <w:rPr>
          <w:rtl w:val="true"/>
        </w:rPr>
        <w:t>اشکالات سخن امام خمینی رحمه الله</w:t>
      </w:r>
      <w:bookmarkEnd w:id="216"/>
    </w:p>
    <w:p>
      <w:pPr>
        <w:pStyle w:val="BookText"/>
        <w:rPr/>
      </w:pPr>
      <w:r>
        <w:rPr>
          <w:rFonts w:ascii="IRNazanin" w:hAnsi="IRNazanin" w:eastAsia="IRNazanin"/>
          <w:color w:val="111111"/>
          <w:sz w:val="28"/>
          <w:sz w:val="28"/>
          <w:szCs w:val="28"/>
          <w:rtl w:val="true"/>
          <w:lang w:bidi="fa-IR"/>
        </w:rPr>
        <w:t>در مورد پاسخی که مرحوم امام قدس سره نسبت به اشکال‌های محقّق اصفهانی رحمه الله بیان کردند، مطالبی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قبول است که با وجود دلیل عقلی لازم است در ظاهر دلیل نقلی تصرف نماییم، لکن نمی‌توانیم بپذیریم که همین دلیل عقلی، توجیه روشنی را برای ظاهر دلیل نقلی بیان نماید، بلکه برای توجیه نیازمند قرینۀ دیگری هستیم و در این بحث حضرت امام قدس سره قرینۀ روشنی بر ضمان صوری ذکر نفرمودند؛</w:t>
      </w:r>
    </w:p>
    <w:p>
      <w:pPr>
        <w:pStyle w:val="BookText"/>
        <w:rPr/>
      </w:pPr>
      <w:r>
        <w:rPr>
          <w:rFonts w:ascii="IRNazanin" w:hAnsi="IRNazanin" w:eastAsia="IRNazanin"/>
          <w:color w:val="111111"/>
          <w:sz w:val="28"/>
          <w:sz w:val="28"/>
          <w:szCs w:val="28"/>
          <w:rtl w:val="true"/>
          <w:lang w:bidi="fa-IR"/>
        </w:rPr>
        <w:t>دوّم آن که اگر مبنای ایشان پذیرفته شود، در بسیاری از موارد، مسیر فتوا و نتیجه‌ای که فقها از روایات می‌گیرند، عوض می‌شود؛ در حالی که به نظر می‌رسد در چنین مواردی، لازم است که توجیهات به گونه‌ای باشند که در نزد عرف مورد قبول باشند و با تکلّفات بعیده و مطالبی که فقط اهل فقه و کسانی که با اصطلاحات علمی آن آشنا هستند، نمی‌توان دلیل نقلی مخالف با دلیل عقلی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اینکه واجب معلق در صورتی که امکان آن را بپذیریم، اما در مقام اثبات نیازمند به دلیل است و در این بحث دلیلی بر آن در مقام اثبات وجود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 که خود ایشان نیز متوجّه آن هستند، این است که توجیهات مرحوم امام قدس سره در صورتی معنا دارد و صحیح است که کودک بالغ شود؛</w:t>
      </w:r>
      <w:bookmarkStart w:id="217" w:name="pg877_5927"/>
    </w:p>
    <w:p>
      <w:pPr>
        <w:pStyle w:val="BookText"/>
        <w:rPr/>
      </w:pPr>
      <w:bookmarkEnd w:id="217"/>
      <w:r>
        <w:rPr>
          <w:rFonts w:ascii="IRNazanin" w:hAnsi="IRNazanin" w:eastAsia="IRNazanin"/>
          <w:color w:val="111111"/>
          <w:sz w:val="28"/>
          <w:sz w:val="28"/>
          <w:szCs w:val="28"/>
          <w:rtl w:val="true"/>
          <w:lang w:bidi="fa-IR"/>
        </w:rPr>
        <w:t>بنابراین، اگر کودکی که بر مال غیر تسلّط پیدا کرده است، قبل از رسیدن به سنّ بلوغ بمیرد، نمی‌توان مسأله را از راه واجب معلّق درست کرد؛ زیرا، مردن کودک، کاشف از این است که وجوبی در حق او محقّق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ایشان برای حلّ اشکال از راه خطابات قانونیّه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در بحث اصول فقه نیز بیان داشته‌ایم، به نظر می‌رسد که این مبنا صحیح نبوده و مورد قبول ما نیست؛ گرچه بزرگانی از تلامذه ایشان، هم‌چون والد محقّق و فقیه ما این نظریّه را پذیرفته و در مباحث فقهی بسیاری آن را جاری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قدس سره در انتها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که احکام وضعیّه لازم است از احکام تکلیفیّه انتزاع شود، مطلب غیر صحیحی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ما نیز حق با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نکته قابل توجّه آن است که این اشکال در صورتی مجال دارد که ضمان را یک حکم وضعی بدانیم؛ اما طبق تفسیری که ما برای ضمان بیان نمودیم مبنی بر این که ضمان عبارت است از استقرار در عهده که یک عنوان عامی است و حکم تکلیفی و وضعی از آثار مترتّب بر آن است، مجالی برای این اشکال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6"/>
        <w:numPr>
          <w:ilvl w:val="5"/>
          <w:numId w:val="1"/>
        </w:numPr>
        <w:rPr/>
      </w:pPr>
      <w:bookmarkStart w:id="218" w:name="__RefHeading___Toc105613_373438147"/>
      <w:bookmarkStart w:id="219" w:name="_Toc84"/>
      <w:bookmarkEnd w:id="218"/>
      <w:r>
        <w:rPr>
          <w:rtl w:val="true"/>
        </w:rPr>
        <w:t>توجیه دیدگاه شیخ انصاری رحمه الله</w:t>
      </w:r>
      <w:bookmarkEnd w:id="21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به نوعی بتوان از مرحوم شیخ اعظم قدس سره دفاع کرد؛ به این صورت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باب تکالیف، بلوغ از شرائط دانسته شده است؛ لیکن همین قاعده اشتراط تکالیف به بلوغ قابلیّت تخصیص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مطلب بر خلاف ظاهر کلمات قوم است، اما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إلّاوقد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قاعده، قابلیّت تخصیص دارد؛ و چنان چه دلیلی برای تخصیص وجود داشته باشد، باید به آن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شارع مقدّس بر طبق اطلاق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تکالیفی را بر عهده صبیّ ممیّز 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اگر صبیّ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کند، حکم تکلیفی و وضعی هر دو بر آن مترتّب می‌شود؛ همان طور که در مستقلّات عقلیّه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احکام اختصاصی به بالغین ندارد؛ و اگر عقل در چنین مواردی، حکم را شامل بچّه ممیّز بداند، شارع نیز باید همین رأی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یکی از فرق‌های مهمّ بین حکم عقل و بنای عقلا در این است که در مورد دوّم، شارع می‌تواند مخالفت نماید، اما در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هیچ وجه نمی‌تواند با آن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علی الید، شارع حکم تکلیفی را نیز برای صبیّ ممیّز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اشکال کند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حکم را بردارد؟ در پاسخ به او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بحث ما در این است که 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و با قطع نظر از هر دلیل دیگری، صلاحیّت شمول نسبت به صبیّ ممیّز را دارد یا خیر؟ و بعد از آن که شمول حدیث نسبت به این مورد روشن شد، آنگاه باید مفاد حدیث رفع را کاملاً بررسی نماییم و ببینیم که آیا با این اطلاق مخالفت دارد یا خیر؟ در جواب این پرسش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نیز قابلیّت تخصیص دارد، و این گونه نیست که به صورت واضح بگوییم با حدیث رفع باید همه ادلّه، حتی حدیث علی الید را تقیید بزنیم؛ و چه بسا،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اقوای از حدیث رفع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بر اساس این مطالب، می‌توان از جانب شیخ انصاری رحمه الله این حرف را زد که در کودک ممیّز حکم وضعی ضمان وجود دارد؛ چرا که در این گونه موارد، کودک دارای حکم تکلیفی است و حکم وضعی از این حکم تکلیفی انتزاع می‌شود</w:t>
      </w:r>
      <w:r>
        <w:rPr>
          <w:rFonts w:eastAsia="IRNazanin" w:cs="IRNazanin"/>
          <w:color w:val="111111"/>
          <w:sz w:val="28"/>
          <w:szCs w:val="28"/>
          <w:rtl w:val="true"/>
          <w:lang w:bidi="fa-IR"/>
        </w:rPr>
        <w:t>.</w:t>
      </w:r>
      <w:bookmarkStart w:id="220" w:name="pg877_5929"/>
    </w:p>
    <w:p>
      <w:pPr>
        <w:pStyle w:val="Heading5"/>
        <w:numPr>
          <w:ilvl w:val="4"/>
          <w:numId w:val="1"/>
        </w:numPr>
        <w:rPr/>
      </w:pPr>
      <w:bookmarkStart w:id="221" w:name="__RefHeading___Toc105615_373438147"/>
      <w:bookmarkStart w:id="222" w:name="_Toc85"/>
      <w:bookmarkEnd w:id="220"/>
      <w:bookmarkEnd w:id="221"/>
      <w:r>
        <w:rPr/>
        <w:t>2</w:t>
      </w:r>
      <w:r>
        <w:rPr>
          <w:rtl w:val="true"/>
        </w:rPr>
        <w:t xml:space="preserve"> - </w:t>
      </w:r>
      <w:r>
        <w:rPr>
          <w:rtl w:val="true"/>
        </w:rPr>
        <w:t>دیدگاه محقّق خوئی رحمه الله</w:t>
      </w:r>
      <w:bookmarkEnd w:id="222"/>
    </w:p>
    <w:p>
      <w:pPr>
        <w:pStyle w:val="Heading6"/>
        <w:numPr>
          <w:ilvl w:val="5"/>
          <w:numId w:val="1"/>
        </w:numPr>
        <w:rPr/>
      </w:pPr>
      <w:bookmarkStart w:id="223" w:name="__RefHeading___Toc105617_373438147"/>
      <w:bookmarkStart w:id="224" w:name="_Toc86"/>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مرحوم آقای خوئی قدس سره در این زمینه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وارده در باب این که قصد کودک تا هنگامی که بالغ نشده، لغو است و افعال عمدی کودک را نازل منزله خطا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نمی‌شود که کودک در صورت اتلاف مال غیر ضامن نیست؛ چرا که این ادلّه شامل افعالی می‌شود که موضوع احکام شرعی قرار نمی‌گیرند مگر آن که از روی قصد و اختیار انجام بگیرد؛ در حالی که بعضی از افعال هستند که به خودی خود، موضوع احکام شرعی قرار می‌گیرند، بدون آن که قصد و عمد در آن‌ها لحاظ شده باشد؛ مانند احداث ناقض وضو و طهارت که هرچند از روی جهالت و بدون اختیار حادث شوند، باز ناقض طهارت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اتلاف مال غیر از این قبیل بوده و موجب ضمان است، هر چند در حال غفلت و یا از روی جهل صادر شده باشد، و یا حتی بدون اراده واختیار باشد؛ دلیل این مطلب نیز آن است که در قاعده اتلاف غیر از عنوان اتلاف چیز دیگری به عنوان موضوع قرار داده نشده، و مجرّد این عنوان و تحقّق آن موجب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حدیث رفع در مقام برداشتن احکام الزامی است، می‌توان گفت بچّه تا هنگامی که بچّه است، احکام الزامی متوجّه او نمی‌شود؛ اما این مطلب منافاتی ندارد با این که سبب احکام الزامیه در همان زمان بچّگی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چه صبی در زمان کودکی‌اش مال مردم را تلف کند، سبب ضمان محقّق می‌شود، اما حکم الزامی خروج از عهده بعد از بلوغ متوجّه او می‌شود؛ و یا اگر در کودکی جنابت برای او حاصل شود، حکم وجوب اغتسال بعد از بلوغ متوجّه او 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تردیدی وجود ندارد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الید ما أخذت</w:t>
      </w:r>
    </w:p>
    <w:p>
      <w:pPr>
        <w:pStyle w:val="BookText"/>
        <w:rPr/>
      </w:pPr>
      <w:r>
        <w:rPr>
          <w:rFonts w:ascii="IRNazanin" w:hAnsi="IRNazanin" w:eastAsia="IRNazanin"/>
          <w:color w:val="111111"/>
          <w:sz w:val="28"/>
          <w:sz w:val="28"/>
          <w:szCs w:val="28"/>
          <w:rtl w:val="true"/>
          <w:lang w:bidi="fa-IR"/>
        </w:rPr>
        <w:t xml:space="preserve">حتّی تؤدّی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ید صبی ممیّز نیز می‌شود؛ و کودک ممیّز در صورت تسلط بر مال غیر و تلف یا اتلاف آن، به مقتضای این حدیث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خوئی قدس سره طبق آن چه که در تقریرات ایشان آمده،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 عدم الضمان لأنّ عمد الصبی خطأ، ولأنّ قلم التکلیف قد ارتفع عنه حتّی یحتلم، ولکن هذا التوهّم فاسد، إذ لا شهادة فی شیء من الوجهین المزبورین علی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الظاهر أنّ تنزیل عمد الصبی منزلة خطأه إنّما هو فی الأفعال الّتی لاتکون موضوعاً للأحکام الشّرعیة إلّاإذا صدرت من الفاعل بالإرادة والاختیار ومع القصد والعمد، لا فی الأفعال الّتی هی بنفسها موضوع للأحکام الشرعیة من غیر أن یعتبر فیها القصد والعمد کالجنابة، فإنّها توجب الغسل وإن تحقّقت حال النوم، وکمباشرة النجاسات فإنّها توجب نجاسة البدن وإن کانت المباشرة بغیر التفات إلی النجاسة، وکالأحداث الناقضة للطهارة وإن صدرت جهلاً أو غفلة أو بغیر اختیار، فإنّ شیئاً من تلک الاُمور لا یتوقّف تأثیرها علی صدورها بالارادة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أنّ اتلاف مال الغیر من القبیل الثانی فإنّه یوجب الضمان وإن صدر حال الغفلة والجهل وبدون الإرادة والاختیار، ضرورة أنّه لم یؤخذ فی قاعدة من أتلف عنوان آخر غیر صدق الاتلاف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آنفاً أنّ المراد من دلیل رفع القلم عن الصبیّ إنّما هو رفع الأحکام الالزامیة عنه منذ نعومة أظفاره إلی حدّ بلوغه، وهذا لا ینافی توجّه تلک الأحکام الالزامیّة علیه بعد بلوغه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ذلک أنّ دلیل رفع القلم والتکلیف قد تعلّق بالصبیّ فیدور مدار صبوته، وعلی هذا الضوء فاتلاف الصبی مال غیره</w:t>
      </w:r>
      <w:bookmarkStart w:id="225" w:name="pg877_5931"/>
    </w:p>
    <w:p>
      <w:pPr>
        <w:pStyle w:val="BookText"/>
        <w:rPr/>
      </w:pPr>
      <w:bookmarkEnd w:id="225"/>
      <w:r>
        <w:rPr>
          <w:rFonts w:ascii="IRNazanin" w:hAnsi="IRNazanin" w:eastAsia="IRNazanin"/>
          <w:color w:val="111111"/>
          <w:sz w:val="28"/>
          <w:sz w:val="28"/>
          <w:szCs w:val="28"/>
          <w:rtl w:val="true"/>
          <w:lang w:bidi="fa-IR"/>
        </w:rPr>
        <w:t>سبب للضمان جزماً ولکنّه لا یستتبع الحکم الالزامی إلّابعد بلوغه وإذا بلغ توجّه علیه التکلیف ووجب علیه الخروج عن عهدته، لأنّه وقتئذ یصدق علیه أنّه أتلف مال غیره کما یتوجّه علیه عندئذٍ وجوب الاغتسال مع تحقّق الجنابة منه قبل البلوغ</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105619_373438147"/>
      <w:bookmarkStart w:id="227" w:name="_Toc87"/>
      <w:bookmarkEnd w:id="226"/>
      <w:r>
        <w:rPr>
          <w:rtl w:val="true"/>
        </w:rPr>
        <w:t>اشکالات وارد بر دیدگاه محقّق خوئی رحمه الله</w:t>
      </w:r>
      <w:bookmarkEnd w:id="227"/>
    </w:p>
    <w:p>
      <w:pPr>
        <w:pStyle w:val="BookText"/>
        <w:rPr/>
      </w:pPr>
      <w:r>
        <w:rPr>
          <w:rFonts w:ascii="IRNazanin" w:hAnsi="IRNazanin" w:eastAsia="IRNazanin"/>
          <w:color w:val="111111"/>
          <w:sz w:val="28"/>
          <w:sz w:val="28"/>
          <w:szCs w:val="28"/>
          <w:rtl w:val="true"/>
          <w:lang w:bidi="fa-IR"/>
        </w:rPr>
        <w:t>در مورد وجه اوّل از کلام ایشان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چنین تعابیری که نفی قصد و عمد از صبی می‌کند، مربوط به باب جنایات است و در ابواب دیگر جاری نمی‌شود؛ و به عنوان مثال، نمی‌توان در باب اقامه و قصد عشرة ایام نیز بگوییم قصد صبی اعتباری ندارد، بلکه صبیّ ممیّز می‌تواند قصد ده روز را داشته باشد؛ و یا در باب تقلید، بچّه ممیّز می‌تواند بر طبق یک فتوا عمل کرده و یا التزام به یک فتوا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پاره‌ای از موضوعات، خود آن‌ها موضوع برای احکام هستند، و قصد و اختیار در آن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آن‌ها چنین استفاده می‌شود وگرنه، خود این عناوین نسبت به قصد و عدم قصد اطلاق و عمومیّت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شارع می‌توانست در باب نجاست و یا جنابت، قصد و عمد را لحاظ نماید؛ اما با قراینی که وجود دارد، استفاده می‌شود که در تحقّق این عناوین، قصد و عمد دخالت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لازم است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نماییم که چگونه استفاده می‌شود این تنزیل در افعالی است که در تحقّق آن‌ها قصد و عمد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گفته شود این تنزیل در مواردی است که برای هر یک از عمد و خطا حکم جداگانه‌ای باشد؛ به این معنا که عمد دارای</w:t>
      </w:r>
      <w:bookmarkStart w:id="228" w:name="pg877_5932"/>
    </w:p>
    <w:p>
      <w:pPr>
        <w:pStyle w:val="BookText"/>
        <w:rPr/>
      </w:pPr>
      <w:bookmarkEnd w:id="228"/>
      <w:r>
        <w:rPr>
          <w:rFonts w:ascii="IRNazanin" w:hAnsi="IRNazanin" w:eastAsia="IRNazanin"/>
          <w:color w:val="111111"/>
          <w:sz w:val="28"/>
          <w:sz w:val="28"/>
          <w:szCs w:val="28"/>
          <w:rtl w:val="true"/>
          <w:lang w:bidi="fa-IR"/>
        </w:rPr>
        <w:t>یک حکم و خطا دارای حکم دیگری است، همان طور که در باب قتل خطایی، حکم آن است که عاقله باید دیه مقتول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نمی‌توان گفت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این است که بگوید فقط حکم عمد در افعال عمدی کودک جریان ندارد؛ بلکه در مقام این است که بگوید حکم خطا در سایر موارد بر افعال عمدی کودک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وجه دوّم کلام ایشان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سبب و مسبب بر خلاف ظاهر ادلّه است؛ و ما نمی‌توانیم بپذیریم که در زمان کودکی شخص، سبب ضمان محقّق شده است، اما لزوم خروج از عهده بعد از بلوغ متوجّه او خواهد شد؛ اگر هم بخواهیم به ظاهر حدیث رفع استناد کنیم و آن را بر سایر ادلّه مقدّم گردانیم، باید بگوییم نسبت به صبیّ، اتلاف، جنابت و امثال این‌ها هیچ گونه سببیّتی ندارد و شارع مقدّس از اساس، سببیّت این امور را برای صبیّ الغا نموده است</w:t>
      </w:r>
      <w:r>
        <w:rPr>
          <w:rFonts w:eastAsia="IRNazanin" w:cs="IRNazanin"/>
          <w:color w:val="111111"/>
          <w:sz w:val="28"/>
          <w:szCs w:val="28"/>
          <w:rtl w:val="true"/>
          <w:lang w:bidi="fa-IR"/>
        </w:rPr>
        <w:t>.</w:t>
      </w:r>
    </w:p>
    <w:p>
      <w:pPr>
        <w:pStyle w:val="Heading6"/>
        <w:numPr>
          <w:ilvl w:val="5"/>
          <w:numId w:val="1"/>
        </w:numPr>
        <w:rPr/>
      </w:pPr>
      <w:bookmarkStart w:id="229" w:name="__RefHeading___Toc105621_373438147"/>
      <w:bookmarkStart w:id="230" w:name="_Toc88"/>
      <w:bookmarkEnd w:id="229"/>
      <w:r>
        <w:rPr>
          <w:rtl w:val="true"/>
        </w:rPr>
        <w:t>نتیجه گفتار چهارم</w:t>
      </w:r>
      <w:bookmarkEnd w:id="230"/>
    </w:p>
    <w:p>
      <w:pPr>
        <w:pStyle w:val="BookText"/>
        <w:rPr/>
      </w:pPr>
      <w:r>
        <w:rPr>
          <w:rFonts w:ascii="IRNazanin" w:hAnsi="IRNazanin" w:eastAsia="IRNazanin"/>
          <w:color w:val="111111"/>
          <w:sz w:val="28"/>
          <w:sz w:val="28"/>
          <w:szCs w:val="28"/>
          <w:rtl w:val="true"/>
          <w:lang w:bidi="fa-IR"/>
        </w:rPr>
        <w:t xml:space="preserve">از تمام مطالبی که در این قسمت بیان کردیم، نتیجه می‌گیریم که بدون شک و تردید،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صبیّ ممیّز نیز می‌شود؛ و اگر کودک ممیّزی بر مال غیر، عدواناً، ید پیدا کند، به مقتضای این حدیث ضامن است؛ و حتی حکم تکلیفی وجوب ادا و خروج از عهده نیز شامل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231" w:name="__RefHeading___Toc105623_373438147"/>
      <w:bookmarkStart w:id="232" w:name="_Toc89"/>
      <w:bookmarkEnd w:id="231"/>
      <w:r>
        <w:rPr>
          <w:rtl w:val="true"/>
        </w:rPr>
        <w:t>گفتار پنجم</w:t>
      </w:r>
      <w:r>
        <w:rPr>
          <w:rtl w:val="true"/>
        </w:rPr>
        <w:t xml:space="preserve">: </w:t>
      </w:r>
      <w:r>
        <w:rPr>
          <w:rtl w:val="true"/>
        </w:rPr>
        <w:t>شمول روایت نسبت به ید غیر ابتدایی</w:t>
      </w:r>
      <w:bookmarkEnd w:id="232"/>
    </w:p>
    <w:p>
      <w:pPr>
        <w:pStyle w:val="Heading5"/>
        <w:numPr>
          <w:ilvl w:val="4"/>
          <w:numId w:val="1"/>
        </w:numPr>
        <w:rPr/>
      </w:pPr>
      <w:bookmarkStart w:id="233" w:name="__RefHeading___Toc105625_373438147"/>
      <w:bookmarkStart w:id="234" w:name="_Toc90"/>
      <w:bookmarkEnd w:id="233"/>
      <w:r>
        <w:rPr>
          <w:rtl w:val="true"/>
        </w:rPr>
        <w:t>اشاره</w:t>
      </w:r>
      <w:bookmarkEnd w:id="23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مطالب مهمّ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تردیدی وجود ندارد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شامل ید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شخص از همان ابتدا بر مال ید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امّا سؤال این است که آیا حدیث اطلاق</w:t>
      </w:r>
    </w:p>
    <w:p>
      <w:pPr>
        <w:pStyle w:val="BookText"/>
        <w:rPr/>
      </w:pPr>
      <w:r>
        <w:rPr>
          <w:rFonts w:ascii="IRNazanin" w:hAnsi="IRNazanin" w:eastAsia="IRNazanin"/>
          <w:color w:val="111111"/>
          <w:sz w:val="28"/>
          <w:sz w:val="28"/>
          <w:szCs w:val="28"/>
          <w:rtl w:val="true"/>
          <w:lang w:bidi="fa-IR"/>
        </w:rPr>
        <w:t xml:space="preserve">داشته و شامل ید غیرابتدایی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فقها گاه از آن به ید مترتّبه و ید متعاقبه نیز یاد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 xml:space="preserve">به عبارت دیگر، اگر کسی بر مال غیر ید پیدا کند و شخص دومی بیاید این مال را از او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به قهر و غلبه و یا به رضایت نفر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نفرات بعدی بیایند و بر این مال ید پیدا کنند، آیا حکم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ضمان و یا حکم تکلیفی است، شامل این افراد نیز می‌شود؟</w:t>
      </w:r>
    </w:p>
    <w:p>
      <w:pPr>
        <w:pStyle w:val="BookText"/>
        <w:rPr/>
      </w:pPr>
      <w:r>
        <w:rPr>
          <w:rFonts w:ascii="IRNazanin" w:hAnsi="IRNazanin" w:eastAsia="IRNazanin"/>
          <w:color w:val="111111"/>
          <w:sz w:val="28"/>
          <w:sz w:val="28"/>
          <w:szCs w:val="28"/>
          <w:rtl w:val="true"/>
          <w:lang w:bidi="fa-IR"/>
        </w:rPr>
        <w:t>برای روشن شدن مطلب و رسیدن به پاسخ سؤال، لازم است این نکته بیان شود که ید پیدا کردن بر مال غیر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این است که یک نفر بر اموال متعدّدی ید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واحده بر اموال متعدّده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حکم این صورت، باید گفت که بدون تردید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آن است که چند نفر بطور جداگانه بر اموال متعدّد ید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 متعدّده بر اموال متعدّده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مورد نیز بدون شکّ مشمول حکم دلیل ید می‌شود و هریک از این افراد ضامن مالی که بر آن ید پیدا کرده‌اند،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که مورد این بحث است، این که چند نفر متعاقباً و در زمان‌های مختلف بر یک مال تسلط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 متعدّده بر مال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مورد نیز تحت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فرقی نمی‌کند که ید واحد باشد و یا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حکم تکلیفی را استفاده کنیم، با هیچ اشکالی مواجه نخواهیم شد؛ در این صورت، بر هر کدام از این افراد ردّ مال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جایی است که از حدیث حکم وضعی ضمان را استفاده کنیم؛ چرا که در این صورت تمام این افراد ضامن آن مال خواهند بود و در صورت تلف شدن، بر عهده همه آن‌ها مثل و یا قیمت آن مال می‌آید</w:t>
      </w:r>
      <w:r>
        <w:rPr>
          <w:rFonts w:eastAsia="IRNazanin" w:cs="IRNazanin"/>
          <w:color w:val="111111"/>
          <w:sz w:val="28"/>
          <w:szCs w:val="28"/>
          <w:rtl w:val="true"/>
          <w:lang w:bidi="fa-IR"/>
        </w:rPr>
        <w:t>.</w:t>
      </w:r>
      <w:bookmarkStart w:id="235" w:name="pg877_5934"/>
    </w:p>
    <w:p>
      <w:pPr>
        <w:pStyle w:val="Heading5"/>
        <w:numPr>
          <w:ilvl w:val="4"/>
          <w:numId w:val="1"/>
        </w:numPr>
        <w:rPr/>
      </w:pPr>
      <w:bookmarkStart w:id="236" w:name="__RefHeading___Toc105627_373438147"/>
      <w:bookmarkStart w:id="237" w:name="_Toc91"/>
      <w:bookmarkEnd w:id="235"/>
      <w:bookmarkEnd w:id="236"/>
      <w:r>
        <w:rPr>
          <w:rtl w:val="true"/>
        </w:rPr>
        <w:t>احتمالات موجود در ضمان ایدی متعاقبه</w:t>
      </w:r>
      <w:bookmarkEnd w:id="237"/>
    </w:p>
    <w:p>
      <w:pPr>
        <w:pStyle w:val="BookText"/>
        <w:rPr/>
      </w:pPr>
      <w:r>
        <w:rPr>
          <w:rFonts w:ascii="IRNazanin" w:hAnsi="IRNazanin" w:eastAsia="IRNazanin"/>
          <w:color w:val="111111"/>
          <w:sz w:val="28"/>
          <w:sz w:val="28"/>
          <w:szCs w:val="28"/>
          <w:rtl w:val="true"/>
          <w:lang w:bidi="fa-IR"/>
        </w:rPr>
        <w:t>در این صورت که ایدی متعدده بر مال واحد تعلّق پیدا می‌کند، نسبت به ضامن چند احتمال وجود دارد؛</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گفته شود این از خوش اقبالی مالک است که چندین ید بر مال او قررا گرفته است و همه آن‌ها باید مثل و یا قیمت مالش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نظر عقل نیز محال نمی‌نماید و شارع مقدّس از باب عقوبت غاصبین می‌تواند بگوید همه کسانی که بر مال غیر ید پیدا کرده‌اند، ضامن هستند و باید به مالک خسارت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احتمال آن است که گرچه این مطلب محال عقلی نبوده و از نظر عقل انسان، اشکالی به آن وارد نیست؛ امّا با ضرورت فقه مخالفت دارد؛ ضرورت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خاصّه و چه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مسأله قرار گرفته است که مال واحد بیشتر از یک تدارک و خسارت ندارد؛ اشکال دیگری که می‌توان بیان داشت این است که این احتمال مخالف با اجماع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اوّل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شود یک نفر معین از میان آن افراد ضامن است و باید خسارت را به مالک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مردود است؛ و اشکالش این است که در این صورت، ترجیح بلا مرجّح لازم می‌آید که امری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آن است که گفته شود یک نفر غیرمعیّن ضامن مال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دچار اشکال بوده و باطل است؛ بدین بیان که در اینجا سؤال می‌شود آن یک نفر را چه کسی معیّن می‌کند؟ اگر اختیار به دست خود مالک باشد، بر خلاف ظاهر حدیث خواهد بود؛ زیرا، روایت</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که بر مال غیر ید پیدا کرد، باید خسارت بدهد و نمی‌گوید که در تعیین ضامن، مالک دارای حق است و اختیار مالک در آن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نیز آن است که گفته شود چون ایدی متعدّده است، ید هر کدام از این افراد با دیگری تعارض می‌کند و همه ساقط می‌شوند؛ بنابراین، در مثل این مورد اصلاً ضمانی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احتمال نیز روشن است؛ چه آن که در این صورت لازم می‌آید که مال مالک بدون عوض و بدون تدارک باقی بماند و این ظلم در حق مالک است که امری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یکایک احتمالات فوق کنار رفت، نوبت به احتمال پنجم می‌رسد و آن این که گفته شود همه این افراد ضامن خواهند بود و بین هیچ کدام فرقی نیست؛ همه در اصل ضمان واحد و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گفته می‌شود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هم ید ابتدایی و هم ایدی متعاقبه را در بر می‌گیرد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احتمال، سه اشکال وجود دارد؛ اشکال اوّل این سؤال مطرح می‌شود که با غایت موجود 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غایت در این دلیل می‌گوید اگر خسارت مال ادا شد، ضمان از بین می‌رود؛ به عنوان مثال، در صورتی که مالک به نفر اوّل رجوع کند و او نیز خسارت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یا قیمت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بپردازد، بر طبق غایت، ضمان از بین می‌رود؛ در حالی که طبق این احتمال گفته می‌شود ذمّه نفرات بعدی نیز مشغول است و آن‌ها ضامن هستند و چون این ضمان قابلیت برای ادا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مال واحد بیش از یک ادا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این می‌شود که امکان بری شدن ذمّه آن‌ها از ضمان تا روز قیامت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امکان ندارد که در زمان واحد و در عرض واحد، برای یک مال دو ادا باشد؛ هنگامی که خسارت مال پرداخت شود، دیگر چیزی باقی نمی‌ماند که ادای دیگری بخواهد برای آن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یک مال در زمان واحد نمی‌تواند نزد دو نفر باشد و بلکه خارجاً و تکویناً در نزد یک 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مسأله ضمان و استقرار عهده نیز به همین صورت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دوّمی که بر احتمال پنجم وارد می‌شود، یک اشکال ثبوتی عقلی است؛ و آن این که چگونه مال واحد ضمان‌های متعدّدی پیدا می‌کند؟ چنین چیزی معقول نیست؛ بلکه مال واحد فقط اقتضای یک اشتغال ذمّه را دارد، نه اشتغال‌های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سوّمی نیز بر این احتمال وارد شده است و آن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من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شامل ید ابتدایی نمی‌شود؛ چه آن که دیگر نفرات که بر مال غیر ید پیدا کرده‌اند، آن را از مالکش نگرفته‌اند و در نتیجه، ضامن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به راحتی پاسخ داده می‌شود؛ و آن این که از کدام قسمت روایت استفاده می‌شود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ماأخذت من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قرینه‌ای هم بر این مطلب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بدون رضایت است که همان ید غیرمأذون می‌شود، هم ید ابتدایی و هم ایدی متعاقبه را شامل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از نظر مقام اثبات، بحثی وجود ندارد که اگر ایدی متعدّده بر مال واحد تعلّق پیدا کند، هر کدام از آن‌ها سببیّت برای ضمان دارد و مالک به هر کدام از ذی‌الیدها که بخواهد می‌تواند رجوع کند؛ اگر مال باقی است، آن را بگیرد؛ و در صورت تلف نیز مثل یا قیمتش را اخذ کند</w:t>
      </w:r>
      <w:r>
        <w:rPr>
          <w:rFonts w:eastAsia="IRNazanin" w:cs="IRNazanin"/>
          <w:color w:val="111111"/>
          <w:sz w:val="28"/>
          <w:szCs w:val="28"/>
          <w:rtl w:val="true"/>
          <w:lang w:bidi="fa-IR"/>
        </w:rPr>
        <w:t>.</w:t>
      </w:r>
      <w:bookmarkStart w:id="238" w:name="pg877_5937"/>
    </w:p>
    <w:p>
      <w:pPr>
        <w:pStyle w:val="Heading5"/>
        <w:numPr>
          <w:ilvl w:val="4"/>
          <w:numId w:val="1"/>
        </w:numPr>
        <w:rPr/>
      </w:pPr>
      <w:bookmarkStart w:id="239" w:name="__RefHeading___Toc105629_373438147"/>
      <w:bookmarkStart w:id="240" w:name="_Toc92"/>
      <w:bookmarkEnd w:id="238"/>
      <w:bookmarkEnd w:id="239"/>
      <w:r>
        <w:rPr>
          <w:rtl w:val="true"/>
        </w:rPr>
        <w:t>اشکال ثبوتی وارد بر احتمال پنجم</w:t>
      </w:r>
      <w:bookmarkEnd w:id="240"/>
    </w:p>
    <w:p>
      <w:pPr>
        <w:pStyle w:val="Heading6"/>
        <w:numPr>
          <w:ilvl w:val="5"/>
          <w:numId w:val="1"/>
        </w:numPr>
        <w:rPr/>
      </w:pPr>
      <w:bookmarkStart w:id="241" w:name="__RefHeading___Toc105631_373438147"/>
      <w:bookmarkStart w:id="242" w:name="_Toc93"/>
      <w:bookmarkEnd w:id="241"/>
      <w:r>
        <w:rPr>
          <w:rtl w:val="true"/>
        </w:rPr>
        <w:t>اشاره</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مال واحد در عرض واحد بر عهده‌ی اشخاص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مقام ثبوت، دچار دو اشکال است؛ یکی این که ثبوتاً ادای متعدد امکان ندارد، فکیف یتصوّر تعدّد الضمان؟ و دوّم آن که معقول نیست مال واحد در عرض واحد، در عهده اشخاص متعدّد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بزرگان علما تلاش کرده‌اند که از این اشکال پاسخ دهند و جواب‌های بسیاری نیز مطرح شده است که برای رسیدن به پاسخ صحیح لازم است تک تک آن‌ها را بیان و بررسی نمائیم</w:t>
      </w:r>
      <w:r>
        <w:rPr>
          <w:rFonts w:eastAsia="IRNazanin" w:cs="IRNazanin"/>
          <w:color w:val="111111"/>
          <w:sz w:val="28"/>
          <w:szCs w:val="28"/>
          <w:rtl w:val="true"/>
          <w:lang w:bidi="fa-IR"/>
        </w:rPr>
        <w:t>.</w:t>
      </w:r>
    </w:p>
    <w:p>
      <w:pPr>
        <w:pStyle w:val="Heading6"/>
        <w:numPr>
          <w:ilvl w:val="5"/>
          <w:numId w:val="1"/>
        </w:numPr>
        <w:rPr/>
      </w:pPr>
      <w:bookmarkStart w:id="243" w:name="__RefHeading___Toc105633_373438147"/>
      <w:bookmarkStart w:id="244" w:name="_Toc94"/>
      <w:bookmarkEnd w:id="243"/>
      <w:r>
        <w:rPr/>
        <w:t>1</w:t>
      </w:r>
      <w:r>
        <w:rPr>
          <w:rtl w:val="true"/>
        </w:rPr>
        <w:t xml:space="preserve"> - </w:t>
      </w:r>
      <w:r>
        <w:rPr>
          <w:rtl w:val="true"/>
        </w:rPr>
        <w:t>پاسخ مرحوم آخوند از اشکال ثبوتی</w:t>
      </w:r>
      <w:bookmarkEnd w:id="244"/>
    </w:p>
    <w:p>
      <w:pPr>
        <w:pStyle w:val="Heading6"/>
        <w:numPr>
          <w:ilvl w:val="5"/>
          <w:numId w:val="1"/>
        </w:numPr>
        <w:rPr/>
      </w:pPr>
      <w:bookmarkStart w:id="245" w:name="__RefHeading___Toc105635_373438147"/>
      <w:bookmarkStart w:id="246" w:name="_Toc95"/>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آخوند خراسانی رحمه الله برای حل شدن اشکال می‌فرماید که این مورد از قبیل واجب کفایی است؛ همان‌طور که در واجب کفائی، وجوب بر عهده‌ی همه اشخاص قرار می‌گیرد و در صورت اتیان یک نفر، تکلیف از بقیه افراد ساقط می‌شود، در این مسأله نیز گفته می‌شود که ادای مال به صورت واجب کفایی بر همه ذوالیدها واجب است؛ و اگر یک نفر از آن‌ها قیمت یا مثل مال را به مالکش بپردازد، تکلیف از گردن دیگران ساقط می‌شود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7" w:name="__RefHeading___Toc105637_373438147"/>
      <w:bookmarkStart w:id="248" w:name="_Toc96"/>
      <w:bookmarkEnd w:id="247"/>
      <w:r>
        <w:rPr>
          <w:rtl w:val="true"/>
        </w:rPr>
        <w:t>اشکالات وارد بر پاسخ مرحوم آخوند</w:t>
      </w:r>
      <w:bookmarkEnd w:id="248"/>
    </w:p>
    <w:p>
      <w:pPr>
        <w:pStyle w:val="BookText"/>
        <w:rPr/>
      </w:pPr>
      <w:r>
        <w:rPr>
          <w:rFonts w:ascii="IRNazanin" w:hAnsi="IRNazanin" w:eastAsia="IRNazanin"/>
          <w:color w:val="111111"/>
          <w:sz w:val="28"/>
          <w:sz w:val="28"/>
          <w:szCs w:val="28"/>
          <w:rtl w:val="true"/>
          <w:lang w:bidi="fa-IR"/>
        </w:rPr>
        <w:t>به نظر می‌رسد بر این سخن مرحوم آخوند خراسانی قدس سره سه اشکال وارد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اشکال این است که ایشان صورت مسأله را فقط فرض تلف ذکر می‌کند و به پاسخ اشکال در موردی که مال تلف شده باشد، می‌پردازد؛ در حالی که اشکال در این بحث، اختصاصی به صورت تلف مال ندارد و در</w:t>
      </w:r>
    </w:p>
    <w:p>
      <w:pPr>
        <w:pStyle w:val="BookText"/>
        <w:rPr/>
      </w:pPr>
      <w:r>
        <w:rPr>
          <w:rFonts w:ascii="IRNazanin" w:hAnsi="IRNazanin" w:eastAsia="IRNazanin"/>
          <w:color w:val="111111"/>
          <w:sz w:val="28"/>
          <w:sz w:val="28"/>
          <w:szCs w:val="28"/>
          <w:rtl w:val="true"/>
          <w:lang w:bidi="fa-IR"/>
        </w:rPr>
        <w:t>مواردی هم که مال در دست ذوالیدها باقی باشد، عهده تمامی آن‌ها مشغول است؛ بنابراین، لازم بود که مرحوم آخوند قدس سره اشکال موجود در مسأله را در این فرض نیز پاسخ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مرحوم آخوند در صورتی صحیح است که 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حکمی تکلیفی بدانیم؛ اگر گفته شود که دلیل ید بر حکم تکلیفی وجوب الاداء دلالت دارد، سخن ایشان صحیح است که این حکم تکلیفی به نحو واجب کفایی مطرح باشد؛ در حالی که مشهور فقها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ضمان را استفاده می‌کنند و نه حکم تکلیفی وجوب الاداء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آخوند خراسانی رحمه الله باید به این اشکال با توجّه به نظر مشهور فقها پاسخ دهند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مرحوم آخوند قدس سره از این حدیث حکم تکلیفی استاده نکنند و بلکه منظورشان تنظیر مسأله ضمان در این بحث به باب واجب کفایی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واجب کفایی، وجوب مقیّد به عدم امتثال دیگران است، در این مسأله نیز ضمان مقیّد به عدم ادای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نائینی رحمه الله</w:t>
      </w:r>
      <w:r>
        <w:rPr>
          <w:rStyle w:val="FootnoteAnchor"/>
          <w:rtl w:val="true"/>
        </w:rPr>
        <w:footnoteReference w:id="135"/>
      </w:r>
      <w:r>
        <w:rPr>
          <w:rFonts w:ascii="IRNazanin" w:hAnsi="IRNazanin" w:eastAsia="IRNazanin"/>
          <w:color w:val="111111"/>
          <w:sz w:val="28"/>
          <w:sz w:val="28"/>
          <w:szCs w:val="28"/>
          <w:rtl w:val="true"/>
          <w:lang w:bidi="fa-IR"/>
        </w:rPr>
        <w:t>بر ایشان وارد می‌شود که در باب واجب کفایی تقیید وجوب ممکن است و معنا دارد، لیکن تقیید ضمان حاصلی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واجب کفایی، شارع مقدّس یک حکم وجوبی را بر همه مردم واجب می‌کند و آن را به عدم امتثال دیگران مقیّد می‌کند؛ به صورتی که اگر یک نفر آن تکلیف را انجام دهد، وجوب از ذمّه مابقی ساقط می‌شود؛ و اگر هیچ‌کس آن تکلیف را بجا نیاورد، ذمّه همه مردم به این تکلیف مشغول است و بر ترک آن عقاب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ضمان چنین چیزی محصَّل معنا ندارد و نمی‌توان ضمان را مقیّد به عدم ادای دیگران دانست؛ چرا که معنای این مطلب</w:t>
      </w:r>
      <w:bookmarkStart w:id="249" w:name="pg877_5939"/>
    </w:p>
    <w:p>
      <w:pPr>
        <w:pStyle w:val="BookText"/>
        <w:rPr/>
      </w:pPr>
      <w:bookmarkEnd w:id="249"/>
      <w:r>
        <w:rPr>
          <w:rFonts w:ascii="IRNazanin" w:hAnsi="IRNazanin" w:eastAsia="IRNazanin"/>
          <w:color w:val="111111"/>
          <w:sz w:val="28"/>
          <w:sz w:val="28"/>
          <w:szCs w:val="28"/>
          <w:rtl w:val="true"/>
          <w:lang w:bidi="fa-IR"/>
        </w:rPr>
        <w:t>عدم الضمان است و این که بالفعل هیچ‌کدام از افراد ضامن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پاسخ مرحوم آخوند خراسانی قدس سره قابل قبول نبوده و نمی‌توان از راه تنظیر مسأله ضمان به باب واجب کفایی به اشکال ثبوتی مطرح شده در باب ضمان ایادی متعاقبه پاسخ داد</w:t>
      </w:r>
      <w:r>
        <w:rPr>
          <w:rFonts w:eastAsia="IRNazanin" w:cs="IRNazanin"/>
          <w:color w:val="111111"/>
          <w:sz w:val="28"/>
          <w:szCs w:val="28"/>
          <w:rtl w:val="true"/>
          <w:lang w:bidi="fa-IR"/>
        </w:rPr>
        <w:t>.</w:t>
      </w:r>
    </w:p>
    <w:p>
      <w:pPr>
        <w:pStyle w:val="Heading6"/>
        <w:numPr>
          <w:ilvl w:val="5"/>
          <w:numId w:val="1"/>
        </w:numPr>
        <w:rPr/>
      </w:pPr>
      <w:bookmarkStart w:id="250" w:name="__RefHeading___Toc105639_373438147"/>
      <w:bookmarkStart w:id="251" w:name="_Toc97"/>
      <w:bookmarkEnd w:id="250"/>
      <w:r>
        <w:rPr/>
        <w:t>2</w:t>
      </w:r>
      <w:r>
        <w:rPr>
          <w:rtl w:val="true"/>
        </w:rPr>
        <w:t xml:space="preserve"> - </w:t>
      </w:r>
      <w:r>
        <w:rPr>
          <w:rtl w:val="true"/>
        </w:rPr>
        <w:t>پاسخ محقّق نائینی رحمه الله از اشکال ثبوتی</w:t>
      </w:r>
      <w:bookmarkEnd w:id="251"/>
    </w:p>
    <w:p>
      <w:pPr>
        <w:pStyle w:val="Heading6"/>
        <w:numPr>
          <w:ilvl w:val="5"/>
          <w:numId w:val="1"/>
        </w:numPr>
        <w:rPr/>
      </w:pPr>
      <w:bookmarkStart w:id="252" w:name="__RefHeading___Toc105641_373438147"/>
      <w:bookmarkStart w:id="253" w:name="_Toc98"/>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محقّق نائینی رحمه الله برای حل اشکال راه دیگری را مطرح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ثبوتی این مطلب امکان ندارد و محال است که در زمان واحد دو نفر در عرض یکدیگر و مستقلاً ضامن یک مال باشند؛ بنابراین، اگر در مقام اثبات دیده شود که در یک موردی، اسباب متعدّده برای ضمان وجود دارد، و ظهور در این داشته باشد که در زمان واحد دو نفر یا بیشتر بالاستقلال ضامن هستند، باید آن را به گونه‌ای توجیه کرد؛ و باید به حسب مقام اثبات یکی از دو راه انتخاب شود؛ یا مسأله اشتراک مطرح شود و این که هیچ‌کدام از ذوالیدها به طور مستقل ضامن مال اخذ شده نیستند؛ بلکه هر یک از آن‌ها مقداری از مال را متعهّد هستند و به اندازه‌ای که تصرف کرده‌اند، باید خسارت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مسأله ضمان طولی برگزیده شود که در مباحث آینده توضیح داده خواهد شد</w:t>
      </w:r>
      <w:r>
        <w:rPr>
          <w:rFonts w:eastAsia="IRNazanin" w:cs="IRNazanin"/>
          <w:color w:val="111111"/>
          <w:sz w:val="28"/>
          <w:szCs w:val="28"/>
          <w:rtl w:val="true"/>
          <w:lang w:bidi="fa-IR"/>
        </w:rPr>
        <w:t>.</w:t>
      </w:r>
    </w:p>
    <w:p>
      <w:pPr>
        <w:pStyle w:val="Heading6"/>
        <w:numPr>
          <w:ilvl w:val="5"/>
          <w:numId w:val="1"/>
        </w:numPr>
        <w:rPr/>
      </w:pPr>
      <w:bookmarkStart w:id="254" w:name="__RefHeading___Toc105643_373438147"/>
      <w:bookmarkStart w:id="255" w:name="_Toc99"/>
      <w:bookmarkEnd w:id="254"/>
      <w:r>
        <w:rPr>
          <w:rtl w:val="true"/>
        </w:rPr>
        <w:t>الف</w:t>
      </w:r>
      <w:r>
        <w:rPr>
          <w:rtl w:val="true"/>
        </w:rPr>
        <w:t xml:space="preserve">) </w:t>
      </w:r>
      <w:r>
        <w:rPr>
          <w:rtl w:val="true"/>
        </w:rPr>
        <w:t>اشتراک ذوالیدها</w:t>
      </w:r>
      <w:bookmarkEnd w:id="255"/>
    </w:p>
    <w:p>
      <w:pPr>
        <w:pStyle w:val="BookText"/>
        <w:rPr/>
      </w:pPr>
      <w:r>
        <w:rPr>
          <w:rFonts w:ascii="IRNazanin" w:hAnsi="IRNazanin" w:eastAsia="IRNazanin"/>
          <w:color w:val="111111"/>
          <w:sz w:val="28"/>
          <w:sz w:val="28"/>
          <w:szCs w:val="28"/>
          <w:rtl w:val="true"/>
          <w:lang w:bidi="fa-IR"/>
        </w:rPr>
        <w:t>ایشان در ابتدا مواردی را بیان می‌کنند که به حسب ظاهر، در این موارد، ضمان‌های متعدّدی در عرض یکدیگر هستند و می‌فرماید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درک المبیع أو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ضمان شخص عن البائع للمشتری عهدة الثمن إذا خرج المبیع مستحقاً للغیر، أو ضمان شخص عن المشتری للبائع عهدة المبیع إذا خرج الثمن مستحقاً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تلف المضمون أو امتنع أخذه من</w:t>
      </w:r>
    </w:p>
    <w:p>
      <w:pPr>
        <w:pStyle w:val="BookText"/>
        <w:rPr/>
      </w:pPr>
      <w:r>
        <w:rPr>
          <w:rFonts w:ascii="IRNazanin" w:hAnsi="IRNazanin" w:eastAsia="IRNazanin"/>
          <w:color w:val="111111"/>
          <w:sz w:val="28"/>
          <w:sz w:val="28"/>
          <w:szCs w:val="28"/>
          <w:rtl w:val="true"/>
          <w:lang w:bidi="fa-IR"/>
        </w:rPr>
        <w:t>المضمون عنه یکون عوضه علی الضامن، ففی مورد التلف أو الامتناع لا تشتغل إلّاذمّة الضامن، وفی مورد البقاء وعدم الامتناع لیس المکلّف بالردّ والضمان إلّاالمضمون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ضمان الأعیان المضمونة فحکمها حکم درک المبیع أو الثمن، فإنّ من ضمن عن المستعیر فی العاریة المضمونة، أو ضمن فی مورد الغصب أو المقبوض بالعقد الفاسد فلیس ضامناً مطلقاً، بل عند التلف، وفی هذا الحال لا تشتغل إلّاذمّة‌الضامن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مورد البقاء، فمعنی ضمانها، أنّ علیه إلزام المضمون عنه بالردّ إلی المالک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نائینی رحمه الله اولین مورد را در باب بیع و بحث ضمان مبیع و ثمن مطرح می‌کند؛ بدین صورت که مثلاً زید به بایع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مشتری ضامنم که در صورت عدم پرداخت ثمن آن را بپردازم و همین‌طور به مشتری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بایع ضامن هستم که اگر مبیع را نداد و یا تلف شد، خسارت آن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معامله واقع شد و چنین ضمانی در آن محقّق شد، به حسب ظاهر بدین معناست که نسبت به مبیع معیّن در آن واحد دو نفر ضمان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بایع ضامن است که مبیع را تحویل مشتری دهد و هم زید که ضامن تحویل مبیع به مشتری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ثبوتاً امکان ندارد دو نفر در عرض یکدیگر نسبت به مال واحد ضامن باشند، بنابراین، این مسأله باید به‌گونه‌ای توجیه شود؛ و توجیه آن، یا به این صورت است که از نظر صغروی مسأله را حل نماییم؛ و آن، این که گفته شود ضمان شخص دوّم فقط در صورت تلف شدن مال است و در فرضی که مال موجود می‌باشد، تنها خود بایع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در صورت باقی بودن عین مبیع،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و در صورت تلف آن نیز یک 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ضمانت مبیع را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اینجا اشکال کند که شخص ضامن، در صورت بقای عین مبیع نیز ضامن است و در نتیجه، اجتماع ضامن‌ها پیش می‌آید؛ پس، چرا در فرض بقای مبیع می‌گوئید که فقط بایع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رحمه الله می‌گوید اگر چنین اشکالی مطرح شود، در پاسخ آن می‌گوئیم از نظر کبروی باید توجیه کنیم و بگوییم در اینجا در معنای ضمان نسبت به ضامن دوّم تصرّف می‌کنیم؛ بدین صورت که ضمان شخص دوّم به معنای ضمان شخص اوّل نیست؛ شخص اوّل عهده‌دار مال است که حتی در صورت تلف نیز باید عهده‌دار باشد، اما ضمان شخص دوّم به این نحو است که در فرض بقای عین مبیع ضامن باید بایع را الزام کند به این که مبیع را به مشتری رد کند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دومی که مرحوم میرزای نائینی برای اجتماع ضمان‌ها بیان می‌کند، باب عاریه مضمونه است؛ بدین صورت که علاوه بر آن که مستعیر خودش قبول ضمان می‌کند، شخص دیگری نیز می‌آید و ضمانت مال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یک طرف، شرط ضمان شده است و مستعیر بالفعل ضامن است؛ واز دیگر سو، شخص ثالثی نیز پیدا شده و آن مال را ضمانت کرده است؛ پس، اجتماع دو ضامن در مال واحد تحقّق یافته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 نیز در باب غصب و مقبوض به عقد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رحمه الله در توجیه مورد دوّم و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شخص دوّم در عرض ضمان شخص اوّل نیست و بلکه در فرض تلف مال است؛ تا زمانی که عین مال باقی است، بر مستعیر واجب و لازم است که مال را به معیر بازگرداند، و فقط در</w:t>
      </w:r>
      <w:bookmarkStart w:id="256" w:name="pg877_5942"/>
    </w:p>
    <w:p>
      <w:pPr>
        <w:pStyle w:val="BookText"/>
        <w:rPr/>
      </w:pPr>
      <w:bookmarkEnd w:id="256"/>
      <w:r>
        <w:rPr>
          <w:rFonts w:ascii="IRNazanin" w:hAnsi="IRNazanin" w:eastAsia="IRNazanin"/>
          <w:color w:val="111111"/>
          <w:sz w:val="28"/>
          <w:sz w:val="28"/>
          <w:szCs w:val="28"/>
          <w:rtl w:val="true"/>
          <w:lang w:bidi="fa-IR"/>
        </w:rPr>
        <w:t>صورت تلف شدن مال است که ضمان شخص دوّم معنا پیدا می‌کند؛ نسبت به باب غصب و مقبوض به عقد فاسد نیز مسأله به همین صورت است</w:t>
      </w:r>
      <w:r>
        <w:rPr>
          <w:rFonts w:eastAsia="IRNazanin" w:cs="IRNazanin"/>
          <w:color w:val="111111"/>
          <w:sz w:val="28"/>
          <w:szCs w:val="28"/>
          <w:rtl w:val="true"/>
          <w:lang w:bidi="fa-IR"/>
        </w:rPr>
        <w:t>.</w:t>
      </w:r>
    </w:p>
    <w:p>
      <w:pPr>
        <w:pStyle w:val="Heading6"/>
        <w:numPr>
          <w:ilvl w:val="5"/>
          <w:numId w:val="1"/>
        </w:numPr>
        <w:rPr/>
      </w:pPr>
      <w:bookmarkStart w:id="257" w:name="__RefHeading___Toc105645_373438147"/>
      <w:bookmarkStart w:id="258" w:name="_Toc100"/>
      <w:bookmarkEnd w:id="257"/>
      <w:r>
        <w:rPr>
          <w:rtl w:val="true"/>
        </w:rPr>
        <w:t>ب</w:t>
      </w:r>
      <w:r>
        <w:rPr>
          <w:rtl w:val="true"/>
        </w:rPr>
        <w:t xml:space="preserve">) </w:t>
      </w:r>
      <w:r>
        <w:rPr>
          <w:rtl w:val="true"/>
        </w:rPr>
        <w:t>نظریّه‌ی ضمان طولی</w:t>
      </w:r>
      <w:bookmarkEnd w:id="258"/>
    </w:p>
    <w:p>
      <w:pPr>
        <w:pStyle w:val="BookText"/>
        <w:rPr/>
      </w:pPr>
      <w:r>
        <w:rPr>
          <w:rFonts w:ascii="IRNazanin" w:hAnsi="IRNazanin" w:eastAsia="IRNazanin"/>
          <w:color w:val="111111"/>
          <w:sz w:val="28"/>
          <w:sz w:val="28"/>
          <w:szCs w:val="28"/>
          <w:rtl w:val="true"/>
          <w:lang w:bidi="fa-IR"/>
        </w:rPr>
        <w:t>اما راه دومی که میرزای نائینی رحمه الله برای حل اشکال بیان می‌کند، حل مسأله از راه ضمان طولی است</w:t>
      </w:r>
      <w:r>
        <w:rPr>
          <w:rFonts w:eastAsia="IRNazanin" w:cs="IRNazanin"/>
          <w:color w:val="111111"/>
          <w:sz w:val="28"/>
          <w:szCs w:val="28"/>
          <w:rtl w:val="true"/>
          <w:lang w:bidi="fa-IR"/>
        </w:rPr>
        <w:t>.</w:t>
      </w:r>
    </w:p>
    <w:p>
      <w:pPr>
        <w:pStyle w:val="Heading6"/>
        <w:numPr>
          <w:ilvl w:val="5"/>
          <w:numId w:val="1"/>
        </w:numPr>
        <w:rPr/>
      </w:pPr>
      <w:bookmarkStart w:id="259" w:name="__RefHeading___Toc105647_373438147"/>
      <w:bookmarkStart w:id="260" w:name="_Toc101"/>
      <w:bookmarkEnd w:id="259"/>
      <w:r>
        <w:rPr>
          <w:rtl w:val="true"/>
        </w:rPr>
        <w:t>معنای ضمان طولی</w:t>
      </w:r>
      <w:bookmarkEnd w:id="260"/>
    </w:p>
    <w:p>
      <w:pPr>
        <w:pStyle w:val="BookText"/>
        <w:rPr/>
      </w:pPr>
      <w:r>
        <w:rPr>
          <w:rFonts w:ascii="IRNazanin" w:hAnsi="IRNazanin" w:eastAsia="IRNazanin"/>
          <w:color w:val="111111"/>
          <w:sz w:val="28"/>
          <w:sz w:val="28"/>
          <w:szCs w:val="28"/>
          <w:rtl w:val="true"/>
          <w:lang w:bidi="fa-IR"/>
        </w:rPr>
        <w:t>مرحوم میرزای نائینی قدس سره پس از بیان موارد فوق در شریعت و بیان توجیه آن‌ها، به بحث ضمان طولی می‌پردازند و اشکال ثبوتی در باب ایدی متعاقبه را از همین طریق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ضمان طولی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الضمان طولاً علی أزید من شخص واحد فی زمان واحد فیمکن ثبوتاً، ودلّت علیه الأدلّة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ثبوتاً فلإمکان أن یکون کلّ واحد من الضمناء ضامناً لما یضمنه الآخر، فتشتغل ذمّة أحدهم بما تشتغل ذمّة الآخر به،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من کیس أحدهم ما یؤدّیه الآخر، وهذا النحو من الضمان یمکن أن یکون سببه العقد، أو الإتلاف، أو الید، فالعقد کالضمان بالالتماس، فإذا التمس المدیون من شخص أن یؤدّی دینه ورضی الدائن به فالضامن یصیر ضامناً للدین، والملتمس یکون ضامناً لما یؤدّیه الضامن بمقدار ما یؤدّیه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والإتلاف کضمان الغارّ ما یغترمه المغرور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والید کتعاقب الأیدی الغاصبة، فالغاصب الأوّل ضامن للمالک مایضمنه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یخرج من کیس الثانی ما یغترمه الأوّل، فالغاصب الثانی ضامن لما یضمنه الأوّل</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نائینی قدس سره پس از بیان امکان ضمان طولی در عالم ثبوت و واقع، می‌فرماید این مقدار کافی نیست و بلکه باید دید در مقام اثبات، آیا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ضمانی را استفاده کرد یا نه؟ معنای ضمان طولی عبارت است از این که هر یک از ضامن‌ها، ضمانت مالی را بر عهده دارند که در عهده دیگری آمده است؛ به عبارت دیگر، ضمان هر کدام در طول ضمان دیگری است و ذمّه ید دوّم مشغول است به آن چه که ذمّه شخص اوّل مشغول شده است؛ یعنی، ضامن دوّم، ضامن مالی است که متّصف به این است که در عهده دیگری آمده و مال را بما هو هو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ضمان طولی و ضمان عرضی نیز آن است که در ضمان عرضی هر کدام نسبت به مال خارجی در عرض یکدیگر و بالاستقلال ضامن هستند، و حال آن که در ضمان طولی، هر کدام ضامن آن عهده‌ای هستند که ذمّه دیگری به آن مشغول است؛ و ضمان شخص لاحق در صورتی است که ضامن اوّل ادا نموده باشد؛ بنابراین، آن چه را که ید سابق ادا نموده است، از جیب شخص لاحق نیز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که باید به آن توجّه شود، این است که ضمان طولی همانند سایر موارد طولیّت که یک طرفه است، نیست؛ بلکه مراد طولی بودن از دو طرف است؛ یعنی هر کدام از سابق و لاحق نسبت به یکدیگر چنین ضمان طولی را دارند و غاصب اوّل ضامن چیزی است که بر ذمّه نفر دوّم آمده است، و غاصب دوّم ضامن همانی است که بر ذمّه نفر اوّل آمده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ذکر شد، می‌توان ضمان طولی را در موارد زیر خلاصه نمود</w:t>
      </w:r>
      <w:r>
        <w:rPr>
          <w:rFonts w:eastAsia="IRNazanin" w:cs="IRNazanin"/>
          <w:color w:val="111111"/>
          <w:sz w:val="28"/>
          <w:szCs w:val="28"/>
          <w:rtl w:val="true"/>
          <w:lang w:bidi="fa-IR"/>
        </w:rPr>
        <w:t>:</w:t>
      </w:r>
      <w:bookmarkStart w:id="261" w:name="pg877_5944"/>
    </w:p>
    <w:p>
      <w:pPr>
        <w:pStyle w:val="BookText"/>
        <w:rPr/>
      </w:pPr>
      <w:bookmarkEnd w:id="26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ضمان طولی، مالی که قبلاً بر عهده دیگری آمده است با همین وصف، در عهده شخص دیگر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ضمان طولی، ضامن دوّم آن چه را که ضامن اوّل ادا می‌کند، ضامن است؛ و این ضمان، تعلیقی و یا تقدیری است و عنوان فعلی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طولی بودن در این بحث، طولی بودن از هر دو طرف است؛ یعنی زید ضامن مالی است که در عهده عمرو آمده و عمرو نیز ضامن مالی است که در عهده زید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عبارت مرحوم محقّق نائینی قدس سره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تشتغل ذمّة أحدهم بما تشتغل به ذمّة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Heading6"/>
        <w:numPr>
          <w:ilvl w:val="5"/>
          <w:numId w:val="1"/>
        </w:numPr>
        <w:rPr/>
      </w:pPr>
      <w:bookmarkStart w:id="262" w:name="__RefHeading___Toc105649_373438147"/>
      <w:bookmarkStart w:id="263" w:name="_Toc102"/>
      <w:bookmarkEnd w:id="262"/>
      <w:r>
        <w:rPr>
          <w:rtl w:val="true"/>
        </w:rPr>
        <w:t>اسباب ضمان طولی</w:t>
      </w:r>
      <w:bookmarkEnd w:id="263"/>
    </w:p>
    <w:p>
      <w:pPr>
        <w:pStyle w:val="BookText"/>
        <w:rPr/>
      </w:pPr>
      <w:r>
        <w:rPr>
          <w:rFonts w:ascii="IRNazanin" w:hAnsi="IRNazanin" w:eastAsia="IRNazanin"/>
          <w:color w:val="111111"/>
          <w:sz w:val="28"/>
          <w:sz w:val="28"/>
          <w:szCs w:val="28"/>
          <w:rtl w:val="true"/>
          <w:lang w:bidi="fa-IR"/>
        </w:rPr>
        <w:t>محقّق نائینی قدس سره در ادامه مطالب خود به بحث اسباب ضمان طولی پرداخته و سه سبب را برای آن مطرح می‌کنند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زید مدیون به عمرو باشد و از بکر تقاضا کند که ضامنش شود، به حسب ظاهر دو نفر ضامن یک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ضمان ضامن در طول ضمان مدیون است؛ بدین صورت که شخص ضامن، ضامن دین می‌شود و اگر دین مدیون را به داین پرداخت کند، مدیون ضامن است که آن مقداری را که این شخص به داین داده، پرداخت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ضامن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مایؤدّیه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شخص ضامن بدهد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رحمه الله برای باب اتلاف به غارّ و مغرور مثال می‌زنند، که اگر شخص مغرور چیزی را به مالک بپردازد، همان مقداری که پرداخته بر عهده شخص غارّ می‌آید و او باید این مبلغ را به مغرور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طولی در مورد سبب ید در بحث تعاقب ایدی غاصبه مطرح می‌شود که اگر زید مال عمرو را غصب کرده باشد و بکر از زید غصب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غاصب اوّل که زید است، ضامن مالک بوده و باید خسارتش را بدهد</w:t>
      </w:r>
      <w:r>
        <w:rPr>
          <w:rFonts w:eastAsia="IRNazanin" w:cs="IRNazanin"/>
          <w:color w:val="111111"/>
          <w:sz w:val="28"/>
          <w:szCs w:val="28"/>
          <w:rtl w:val="true"/>
          <w:lang w:bidi="fa-IR"/>
        </w:rPr>
        <w:t>.</w:t>
      </w:r>
      <w:bookmarkStart w:id="264" w:name="pg877_5945"/>
    </w:p>
    <w:p>
      <w:pPr>
        <w:pStyle w:val="BookText"/>
        <w:rPr/>
      </w:pPr>
      <w:bookmarkEnd w:id="264"/>
      <w:r>
        <w:rPr>
          <w:rFonts w:ascii="IRNazanin" w:hAnsi="IRNazanin" w:eastAsia="IRNazanin"/>
          <w:color w:val="111111"/>
          <w:sz w:val="28"/>
          <w:sz w:val="28"/>
          <w:szCs w:val="28"/>
          <w:rtl w:val="true"/>
          <w:lang w:bidi="fa-IR"/>
        </w:rPr>
        <w:t>امّا ضامن مال نیست، بلکه ضامن آن چیزی است که بر عهده غاصب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مالک به غاصب اوّل رجوع کرد و او نیز خسارت مالک را پرداخت در حالی که باید از جیب نفر دوّم خارج می‌شد، می‌تواند به غاصب دوّم رجوع کند و همان چیزی را که به مالک پرداخت کرده است، از غاصب دوّم بگیرد</w:t>
      </w:r>
      <w:r>
        <w:rPr>
          <w:rFonts w:eastAsia="IRNazanin" w:cs="IRNazanin"/>
          <w:color w:val="111111"/>
          <w:sz w:val="28"/>
          <w:szCs w:val="28"/>
          <w:rtl w:val="true"/>
          <w:lang w:bidi="fa-IR"/>
        </w:rPr>
        <w:t>.</w:t>
      </w:r>
    </w:p>
    <w:p>
      <w:pPr>
        <w:pStyle w:val="Heading6"/>
        <w:numPr>
          <w:ilvl w:val="5"/>
          <w:numId w:val="1"/>
        </w:numPr>
        <w:rPr/>
      </w:pPr>
      <w:bookmarkStart w:id="265" w:name="__RefHeading___Toc105651_373438147"/>
      <w:bookmarkStart w:id="266" w:name="_Toc103"/>
      <w:bookmarkEnd w:id="265"/>
      <w:r>
        <w:rPr>
          <w:rtl w:val="true"/>
        </w:rPr>
        <w:t>مقایسه اسباب ضمان طولی با یکدیگر</w:t>
      </w:r>
      <w:bookmarkEnd w:id="266"/>
    </w:p>
    <w:p>
      <w:pPr>
        <w:pStyle w:val="BookText"/>
        <w:rPr/>
      </w:pPr>
      <w:r>
        <w:rPr>
          <w:rFonts w:ascii="IRNazanin" w:hAnsi="IRNazanin" w:eastAsia="IRNazanin"/>
          <w:color w:val="111111"/>
          <w:sz w:val="28"/>
          <w:sz w:val="28"/>
          <w:szCs w:val="28"/>
          <w:rtl w:val="true"/>
          <w:lang w:bidi="fa-IR"/>
        </w:rPr>
        <w:t>مرحوم محقّق نائینی قدس سره پس از بیان اسباب سه‌گانه،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عقد الضمان و اتلاف از محل کلام ما خارج است؛ به همین دلیل، بحث را بر روی مسأله ید متمرکز می‌کنیم؛ لیکن قبل از توضیح مسأله، لازم است که جهات اشتراک و افتراق این اسباب سه‌گانه را مطرح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اشتراک بین اسباب سه‌گانه عبارت است از این که منظور از ضمان در اینجا ضمان فعلی نیست و بلکه ضمان در این موارد،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ضامن در صورتی که دیگری مال را ادا کند به همان مقدار، ضامن خواهد بود؛ در غیر این صورت، ضمانی محقّق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غاصب دوّم در صورتی ضامن است که غاصب اوّل چیزی پرداخت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که در ضمان مبیع، در صورت بقای مال فروخته شده، خود بایع ضامن است؛ و در صورت تلف، شخص دوّم که ضمانت مبیع را پذیرفته،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نائینی در این مورد چنین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الأثر المشترک بینهما فهو أنّ الضامن لما یضمنه الآخر لیس ضمانه فعلیّاً، بل یکون تقدیریّاً،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علی تقدیر أداء الآخر وبمقدار ما یؤدّیه،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المدیون لا یضمن للملتمس حقیقة إلّابعد أداء دینه؛ وکذلک الغاصب الثانی لا</w:t>
      </w:r>
    </w:p>
    <w:p>
      <w:pPr>
        <w:pStyle w:val="BookText"/>
        <w:rPr/>
      </w:pPr>
      <w:r>
        <w:rPr>
          <w:rFonts w:ascii="IRNazanin" w:hAnsi="IRNazanin" w:eastAsia="IRNazanin"/>
          <w:color w:val="111111"/>
          <w:sz w:val="28"/>
          <w:sz w:val="28"/>
          <w:szCs w:val="28"/>
          <w:rtl w:val="true"/>
          <w:lang w:bidi="fa-IR"/>
        </w:rPr>
        <w:t>یضمن للغاصب الأوّل إلّابعد أداء الأوّل</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جهت افتراق اسباب سه‌گانه این است که در عقد الضمان اثری وجود دارد که در مورد اتلاف و ید چنین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این است که در ضمان عقدی، ضامن نسبت به مالک تعدّد ندارد؛ بدین صورت که قبل از قبول ضامن، مدیون خود نسبت به دینی که بر عهده دارد، ضامن است؛ امّا بعد از قبول ضامن، دین بر عهده ضامن قرار می‌گیرد؛ چرا که مبنای فقهای امامیه در باب عقد ضمان این است که انتقال ذمّه صورت می‌گیرد، بر خلاف اهل سنّت که قائل هستند ضمّ ذمّه محقّق می‌شود؛ لیکن در باب اتلاف و ایادی متعاقبه، تعدّد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الأثر المختصّ، ففی مورد الضمان العقدی لا یتعدّد الضامن للمالک؛ لأنّ الدین قبل قبول الملتمس، الضمان علی عهدة المدیون دون غیره، وبعد قبوله فالدین علی عهدته لا غیر؛ لخروجه عن ذمّة الملتمس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الضمان بالتغریر أو تعاقب الأیدی فکلّ من الغارّ إذا کان غاصباً والمغرور وکلّ واحد من الغاصب الأوّل والثانی ضامن للمالک بنحو الطولیّة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میرازی نائینی رحمه الله در ادامه می‌گوید بین مسأله غار و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تعاقب ایدی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فرق است؛ و آن این که اگر مالک به فریب‌دهنده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فریب مال مالک را به دیگری فروخته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او نمی‌تواند به فریب‌خورده بگوید چون من خسارت مال را داده‌ام، تو باید آن را جبران کنی، و حقّ چنین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مورد تعاقب ایدی</w:t>
      </w:r>
      <w:bookmarkStart w:id="267" w:name="pg877_5947"/>
    </w:p>
    <w:p>
      <w:pPr>
        <w:pStyle w:val="BookText"/>
        <w:rPr/>
      </w:pPr>
      <w:bookmarkEnd w:id="267"/>
      <w:r>
        <w:rPr>
          <w:rFonts w:ascii="IRNazanin" w:hAnsi="IRNazanin" w:eastAsia="IRNazanin"/>
          <w:color w:val="111111"/>
          <w:sz w:val="28"/>
          <w:sz w:val="28"/>
          <w:szCs w:val="28"/>
          <w:rtl w:val="true"/>
          <w:lang w:bidi="fa-IR"/>
        </w:rPr>
        <w:t>چنین چیزی وجود دارد و هر سابقی می‌تواند به شخص غاصبی که بعد از او هست، مراجعه کند و خسارت پرداخت کرده را دریافت کند</w:t>
      </w:r>
      <w:r>
        <w:rPr>
          <w:rFonts w:eastAsia="IRNazanin" w:cs="IRNazanin"/>
          <w:color w:val="111111"/>
          <w:sz w:val="28"/>
          <w:szCs w:val="28"/>
          <w:rtl w:val="true"/>
          <w:lang w:bidi="fa-IR"/>
        </w:rPr>
        <w:t>.</w:t>
      </w:r>
    </w:p>
    <w:p>
      <w:pPr>
        <w:pStyle w:val="Heading6"/>
        <w:numPr>
          <w:ilvl w:val="5"/>
          <w:numId w:val="1"/>
        </w:numPr>
        <w:rPr/>
      </w:pPr>
      <w:bookmarkStart w:id="268" w:name="__RefHeading___Toc105653_373438147"/>
      <w:bookmarkStart w:id="269" w:name="_Toc104"/>
      <w:bookmarkEnd w:id="268"/>
      <w:r>
        <w:rPr>
          <w:rtl w:val="true"/>
        </w:rPr>
        <w:t>دیدگاه شهید اوّل رحمه الله در مسأله غارّ و تعاقب ایدی</w:t>
      </w:r>
      <w:bookmarkEnd w:id="269"/>
    </w:p>
    <w:p>
      <w:pPr>
        <w:pStyle w:val="BookText"/>
        <w:rPr/>
      </w:pPr>
      <w:r>
        <w:rPr>
          <w:rFonts w:ascii="IRNazanin" w:hAnsi="IRNazanin" w:eastAsia="IRNazanin"/>
          <w:color w:val="111111"/>
          <w:sz w:val="28"/>
          <w:sz w:val="28"/>
          <w:szCs w:val="28"/>
          <w:rtl w:val="true"/>
          <w:lang w:bidi="fa-IR"/>
        </w:rPr>
        <w:t>مرحوم شهید قدس سره در کتاب دروس</w:t>
      </w:r>
      <w:r>
        <w:rPr>
          <w:rStyle w:val="FootnoteAnchor"/>
          <w:rtl w:val="true"/>
        </w:rPr>
        <w:footnoteReference w:id="141"/>
      </w:r>
      <w:r>
        <w:rPr>
          <w:rFonts w:ascii="IRNazanin" w:hAnsi="IRNazanin" w:eastAsia="IRNazanin"/>
          <w:color w:val="111111"/>
          <w:sz w:val="28"/>
          <w:sz w:val="28"/>
          <w:szCs w:val="28"/>
          <w:rtl w:val="true"/>
          <w:lang w:bidi="fa-IR"/>
        </w:rPr>
        <w:t>فرق دیگری را در مورد مسأله غارّ و مغرور و مسأله تعاقب ایدی بیان می‌کند و آن این که، سبب ضمان در مسأله غارّ و مغرور فعلیّت دارد، لیکن خود ضمان فعلیّت ندارد و تا زمانی که مالک به مغرور رجوع نکرده است، غارّ ضامن نخواهد بود و ضمانی نیست؛ امّا در مسأله تعاقب ایدی، حتّی سبب ضمان غاصب دوّم برای غاصب اوّل نیز فعلیّت ندارد</w:t>
      </w:r>
      <w:r>
        <w:rPr>
          <w:rFonts w:eastAsia="IRNazanin" w:cs="IRNazanin"/>
          <w:color w:val="111111"/>
          <w:sz w:val="28"/>
          <w:szCs w:val="28"/>
          <w:rtl w:val="true"/>
          <w:lang w:bidi="fa-IR"/>
        </w:rPr>
        <w:t>.</w:t>
      </w:r>
    </w:p>
    <w:p>
      <w:pPr>
        <w:pStyle w:val="Heading6"/>
        <w:numPr>
          <w:ilvl w:val="5"/>
          <w:numId w:val="1"/>
        </w:numPr>
        <w:rPr/>
      </w:pPr>
      <w:bookmarkStart w:id="270" w:name="__RefHeading___Toc105655_373438147"/>
      <w:bookmarkStart w:id="271" w:name="_Toc105"/>
      <w:bookmarkEnd w:id="270"/>
      <w:r>
        <w:rPr>
          <w:rtl w:val="true"/>
        </w:rPr>
        <w:t>اشکال محقّق نائینی رحمه الله بر دیدگاه شهید اوّل قدس سره</w:t>
      </w:r>
      <w:bookmarkEnd w:id="271"/>
    </w:p>
    <w:p>
      <w:pPr>
        <w:pStyle w:val="BookText"/>
        <w:rPr/>
      </w:pPr>
      <w:r>
        <w:rPr>
          <w:rFonts w:ascii="IRNazanin" w:hAnsi="IRNazanin" w:eastAsia="IRNazanin"/>
          <w:color w:val="111111"/>
          <w:sz w:val="28"/>
          <w:sz w:val="28"/>
          <w:szCs w:val="28"/>
          <w:rtl w:val="true"/>
          <w:lang w:bidi="fa-IR"/>
        </w:rPr>
        <w:t>میرزای نائینی رحمه الله این سخن شهید قدس سره را رد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بین دو مسأله فرقی نیست؛ چه آن که فرض این است که ید دوّم از ید اوّل ناشی شده و سبب ضمان در نفر دوّم نسبت به نفر اوّل وجود دارد؛ هرچند که تا نفر اوّل خسارتی به مالک نپرداخته باشد، ضمان فعلی برای غاصب دوّم نخواهد بود، و بلکه فقط سبب ضمان در مورد او وجود دارد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رحمه الله پس از بیان این مطالب،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مورد یک مال تعدد ضامن‌ها را تصویر نمود؛ و این در صورتی است که ضمان هر یک در طول ضمان دیگری باشد، هر چند که از نظر زمانی، ضمان‌ها در عرض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مسأله تعاقب ایدی دو نکته وجود دارد؛ اوّل آن که تمام کسانی که بر مال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پیدا کرده‌اند، نسبت به مالک ضامن هستند بدون هیچ فرقی؛ و دیگر آن که هر لاحقی، ضامن سابق نیز هست؛ بدین معنا که اگر نفر قبل، بدل مال را به مالک بدهد، بر نفر بعدی لازم است که آن مقدار را به نفر قبل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ضمان لاحق، ضمان مطلقی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رحمه الله در ادامه مطلب، از کلام خویش اضرابی دارند؛ و آن این که، تاکنون گفتند ضمان لاحق از جهت رتبه متأخّر از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اضراب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از نظر رتبه متأخّر است، از جهت زمانی نیز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ضمان غاصبین نسبت به یکدیگر، امّا در مورد ضمان آن‌ها نسبت به مالک،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بین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وزانی که شامل ید اوّل می‌شود به همان صورت شامل ید اخیر می‌شود و همه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اشکال می‌شود بر میرزای نائینی رحمه الله که ضمان طولی در اینجا به چه صورتی می‌شود؟ مطلبی که شما بیان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شمول دلیل ید هیچ فرقی بین ایدی متعاقبه نیست و همه را به یک صورت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معنای ضمان طولی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ضمان طولی، شخص دوّم ضامن خود مال مالک نیست و بلکه ضامن مالی است که در عهده نفر اوّل قرار گرفته و ذمّه او را مشغول کرده است؛ و حال آن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همه افراد ضامن مال مالک هستند و هیچ فرقی بین ضمان ایدی متعاقبه نسبت به مالک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مقام پاسخ و برای حل این اشکال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نیست که دلیلی مثل دلیل ید عامّ باشد، و ایدی متعاقبه را نیز شامل شود؛ امّا از دیگر سو، بین خود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افراد و نه از جهت شمول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دلیل از حیث عمومیّت نسبت به افراد هیچ فرقی نیست، اما ممکن است</w:t>
      </w:r>
    </w:p>
    <w:p>
      <w:pPr>
        <w:pStyle w:val="BookText"/>
        <w:rPr/>
      </w:pPr>
      <w:r>
        <w:rPr>
          <w:rFonts w:ascii="IRNazanin" w:hAnsi="IRNazanin" w:eastAsia="IRNazanin"/>
          <w:color w:val="111111"/>
          <w:sz w:val="28"/>
          <w:sz w:val="28"/>
          <w:szCs w:val="28"/>
          <w:rtl w:val="true"/>
          <w:lang w:bidi="fa-IR"/>
        </w:rPr>
        <w:t>خود افراد فرق‌هایی داشته باشند که این ضربه‌ای به شمول عام وارد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صورت وجود دارد که لازم است هر کدام به صورت جداگانه، مورد بررسی و دقت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این است که دو مال در میان باشد، به طوری که عمرو بر مال زید دست پیدا می‌کند و خالد نیز بر مال بکر؛ تردیدی نیست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را می‌گیرد و در شمول آن هیچ تفاوتی نیست؛ هر چند که در هر مالی خصوصیاتی وجود دارد، اما هم عمرو و هم خالد ضامن 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معنای ضمان از نظر عقلا و عرف این است که خود مال، جدای از خصوصیاتی که دارد، به عنوان یک کلی در عهده ضامن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نیازی نیست که ضمان در فرض تلف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صورت آن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مال را شامل می‌شود؛ در حالی که یکی مال زید است و دیگر مال بکر است؛ حدیث خصوصیّات شخصیّه را کنار می‌گذارد و خود عین مال را به عنوان یک کلّی در عهده،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دوّم این است که مال واحد باشد و چند نفر بر آن دست پیدا کنند؛ به عنوان مثال، عمرو مال زید را بگیرد و بکر از عمرو، و خالد نیز از 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اخذ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رحمه الله در این صورت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کان من قبیل الثانی فاعتبار ضمانه عرفاً أن یکون بدل المضمون واحداً ذاتاً وفرداً حقیقة؛ لأنّ الأوّل ضامن لما یکون مخرجه فی ذمّة الثانی، والثانی ضامن لما یضمنه الأوّل، فالثانی وإن کان ضامناً للمالک أیضاً بإطلاق الدلیل أو عمومه کالأوّل، إلّإأنّ کلّ واحدٍ لیس ضامناً مطلقاً؛ لأنّ حقیقة ضمان المال الّذی هوفی عهدة الآخر وذمّته أن لا یکون الضمان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تقدیر فالضمانان وإن اجتمعا فی الزمان بمقتضی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إلّاأنّهما لم یجتمعا فی الرتبة؛ لأنّ الغاصب الأوّل ضامن للمالک ما یجب أن یؤخذ من الثانی، وما فی عهدة الثانی هو الّذی ثبت فی عهدة الأوّل، فلم یجتمع الضمانان عرضاً کاجتماعهما علی مذهب الجمهور</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 در این صورت، اعتبار ضمان به این است که از نظر عرف، بدل مضمون یک شییء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بر خلاف صورت قبل که بدل مضمون متعدد بود؛ چند شییء و بر عهده چند نفر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نفر اوّل ضامن چیزی است که مخرجش در ذمّه دوّمی است و نفر دوّم ضامن چیزی است که نفر اوّل ضامن آن است؛ هرچند که نفر دوّم نیز همانند نفر اوّل به اطلاق یا عموم دلیل ید، در مقابل مالک ضامن است، امّا ضمان هیچ‌یک از نفرات بعدی مطلق نیست؛ بلکه نفر دوّم و نفرات بعدی بر مالی دست پیدا کرده‌اند که قبلاً در عهده و بر ذمّه دیگری بوده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نتیجه این می‌شود که ضمان نفر اوّل و نفر دوّم، هرچند که به مقتضای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اتفاق می‌افتد و با هم جمع می‌شوند، لیکن این دو ضمان در عرض یکدیگر و در رتبه‌ی واحد با هم اجتماع ندارند؛ زیرا، غاصب اوّل نسبت به مالک ضامن چیزی است که باید از غاصب دوّم گرفته شود؛ و آن چیزی که در عهده غاصب دوّم آمده، همان است که در ذمّه فرد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ضمان در زمان واحد، در رتبه واحد و در عرض یکدیگر نیستند؛ بر خلاف اهل سنّت که چنین</w:t>
      </w:r>
      <w:bookmarkStart w:id="272" w:name="pg877_5951"/>
    </w:p>
    <w:p>
      <w:pPr>
        <w:pStyle w:val="BookText"/>
        <w:rPr/>
      </w:pPr>
      <w:bookmarkEnd w:id="272"/>
      <w:r>
        <w:rPr>
          <w:rFonts w:ascii="IRNazanin" w:hAnsi="IRNazanin" w:eastAsia="IRNazanin"/>
          <w:color w:val="111111"/>
          <w:sz w:val="28"/>
          <w:sz w:val="28"/>
          <w:szCs w:val="28"/>
          <w:rtl w:val="true"/>
          <w:lang w:bidi="fa-IR"/>
        </w:rPr>
        <w:t>مطلبی را قائل‌اند و می‌گویند اجتماع چند ضمان در عرض یکدیگر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محقّق نائینی رحمه الله اشکال ثبوتی موجود در باب تعاقب ایدی را با توسّل به مسأله ضمان طولی حل می‌کنند و در این صورت، هیچ یک از افراد به صورت مستقل ضامن مال نیستند، بلکه مالک فقط می‌تواند به یکی از آن‌ها رجوع کند و خسارتش را بگیرد؛ فردی هم که خسارت را پرداخت کرده است به نفرات بعدی می‌تواند رجوع کند و همان مقداری را که به مالک بابت خسارت مال داده است، از او طلب کند</w:t>
      </w:r>
      <w:r>
        <w:rPr>
          <w:rFonts w:eastAsia="IRNazanin" w:cs="IRNazanin"/>
          <w:color w:val="111111"/>
          <w:sz w:val="28"/>
          <w:szCs w:val="28"/>
          <w:rtl w:val="true"/>
          <w:lang w:bidi="fa-IR"/>
        </w:rPr>
        <w:t>.</w:t>
      </w:r>
    </w:p>
    <w:p>
      <w:pPr>
        <w:pStyle w:val="Heading6"/>
        <w:numPr>
          <w:ilvl w:val="5"/>
          <w:numId w:val="1"/>
        </w:numPr>
        <w:rPr/>
      </w:pPr>
      <w:bookmarkStart w:id="273" w:name="__RefHeading___Toc105657_373438147"/>
      <w:bookmarkStart w:id="274" w:name="_Toc106"/>
      <w:bookmarkEnd w:id="273"/>
      <w:r>
        <w:rPr>
          <w:rtl w:val="true"/>
        </w:rPr>
        <w:t>آثار ضمان طولی</w:t>
      </w:r>
      <w:bookmarkEnd w:id="274"/>
    </w:p>
    <w:p>
      <w:pPr>
        <w:pStyle w:val="BookText"/>
        <w:rPr/>
      </w:pPr>
      <w:r>
        <w:rPr>
          <w:rFonts w:ascii="IRNazanin" w:hAnsi="IRNazanin" w:eastAsia="IRNazanin"/>
          <w:color w:val="111111"/>
          <w:sz w:val="28"/>
          <w:sz w:val="28"/>
          <w:szCs w:val="28"/>
          <w:rtl w:val="true"/>
          <w:lang w:bidi="fa-IR"/>
        </w:rPr>
        <w:t>میرزای نائینی رحمه الله در انتهای مطالبی که ذکر شد، آثاری را برای تعدد ضامن‌های طولی مطرح می‌کنند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لازمه‌ی ضمان عرضی تعدّد مضمون است در خارج؛ به تعداد افرادی که بر مال دست پیدا کرده‌اند، برای مال مالک بدل وجود دارد؛ امّا لازمه‌ی ضمان طولی این است که بدل مضمون در خارج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تعدّد الضمناء طولاً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وحدة بدل المضمون خارجاً، بل حقیقته تضادّ الجمع فی الوجود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تعاقب ایدی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قاعده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 دوّم فریب غاصب اوّل را نخورده باشد، در صورتی که مالک به او رجوع کند و بدل مضمون را از او بگیرد، وی نمی‌تواند به غاصب اوّل جهت گرفتن چیزی که پرداخت کرده است، مراجعه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باب تعاقب الأیدی إذا لم یکن الثانی مغروراً من الأوّل</w:t>
      </w:r>
      <w:bookmarkStart w:id="275" w:name="pg877_5952"/>
    </w:p>
    <w:p>
      <w:pPr>
        <w:pStyle w:val="BookText"/>
        <w:rPr/>
      </w:pPr>
      <w:bookmarkEnd w:id="275"/>
      <w:r>
        <w:rPr>
          <w:rFonts w:ascii="IRNazanin" w:hAnsi="IRNazanin" w:eastAsia="IRNazanin"/>
          <w:color w:val="111111"/>
          <w:sz w:val="28"/>
          <w:sz w:val="28"/>
          <w:szCs w:val="28"/>
          <w:rtl w:val="true"/>
          <w:lang w:bidi="fa-IR"/>
        </w:rPr>
        <w:t>إذا رجع المالک إلیه لا یرجع هو إلی الأوّل؛ لأنّ لازم ضمان الأوّل شیئاً یجب تدارکه علی اللاحق، وضمان اللاحق شیئاً کان فی عهدة السابق هو أن یرجع السابق إلی اللاحق دون العکس، وهذا عکس قاعدة الغرور</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تعاقب ایدی، سبب ضمان در مورد هر یک از غاصب‌ها وجود دارد و ذمّه آن‌ها مشغول به مال مالک است؛ بنابراین، اشکالی ندارد که ضمان‌های متعددی در زمان واحد اجتماع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بأس بالتزام اجتماع الضمانات المتعدّدة فی زمان واحد کما هو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فی تعاقب الأیدی سواء کان هناک غرور أو لم یکن سبب الضمان للمالک موجود فی کلّ من الضمناء، فإنّ مقتضی وضع الید من کلّ منهم علی مال المالک أن یکون ذمّته مشغولة بما له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6" w:name="__RefHeading___Toc105659_373438147"/>
      <w:bookmarkStart w:id="277" w:name="_Toc107"/>
      <w:bookmarkEnd w:id="276"/>
      <w:r>
        <w:rPr>
          <w:rtl w:val="true"/>
        </w:rPr>
        <w:t>دیدگاه محقّق بجنوردی رحمه الله در مورد ضمان طولی</w:t>
      </w:r>
      <w:bookmarkEnd w:id="277"/>
    </w:p>
    <w:p>
      <w:pPr>
        <w:pStyle w:val="BookText"/>
        <w:rPr/>
      </w:pPr>
      <w:r>
        <w:rPr>
          <w:rFonts w:ascii="IRNazanin" w:hAnsi="IRNazanin" w:eastAsia="IRNazanin"/>
          <w:color w:val="111111"/>
          <w:sz w:val="28"/>
          <w:sz w:val="28"/>
          <w:szCs w:val="28"/>
          <w:rtl w:val="true"/>
          <w:lang w:bidi="fa-IR"/>
        </w:rPr>
        <w:t>بعد از میرزای نائینی رحمه الله، برخی از شاگردان ایشان مثل مرحوم بجنوردی نظر استاد را پذیرفته و قائل به ضمان طولی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ذکر کلمات استاد خود، نتیجه‌گیری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مفاد دلیل ید نسبت به بحث تعاقب ایدی به چهار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به هر یک از غاصبین که بخواهد می‌تواند رجوع کند و خسارتش را بگیرد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مالک به یکی از غاصبین مراجعه کند و طلب خود را بگیرد، حق ندارد به دیگران مراجعه کرده و از آنان چیزی طلب نماید؛ چه آن</w:t>
      </w:r>
      <w:bookmarkStart w:id="278" w:name="pg877_5953"/>
    </w:p>
    <w:p>
      <w:pPr>
        <w:pStyle w:val="BookText"/>
        <w:rPr/>
      </w:pPr>
      <w:bookmarkEnd w:id="278"/>
      <w:r>
        <w:rPr>
          <w:rFonts w:ascii="IRNazanin" w:hAnsi="IRNazanin" w:eastAsia="IRNazanin"/>
          <w:color w:val="111111"/>
          <w:sz w:val="28"/>
          <w:sz w:val="28"/>
          <w:szCs w:val="28"/>
          <w:rtl w:val="true"/>
          <w:lang w:bidi="fa-IR"/>
        </w:rPr>
        <w:t>که دیگر حقّی برای او باقی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تعاقب ایدی، هر سابقی می‌تواند با دو شرط به دو نفر بعدی رجوع کند؛ اوّل این که شخص سابق نسبت به لاحق عنوان غارّ و فریب‌دهنده نداشته باشد؛ و دوّم آن‌که مال مالک در نزد سابق تلف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سابق در صورتی می‌تواند به نفر بعدی رجوع کند که مالک به او رجوع کرده باشد و او نیز مثل و یا قیمت مال را به مالک پرداخته باشد؛ چه آن که گفته شد ضمان لاحق، طولی است و شخص لاحق زمانی ضامن می‌شود که سابق خسارت مال را پرداخت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نتیجة ما ذکرنا واخترنا فی مفاد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المالک إلی أیّ واحد من الغاصبین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رجع إلی أحدهم واستوفی حقّه منه فلیس له الجروع إلی الآخرین لعدم بقاء 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رجوع کلّ سابق إلی اللاحق إن لم یکن غارّاً له، وأیضاً لم یتلف المغصوب عنده، و إلّافمع أحد هذین أو کلاهما فلیس له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رجوع السابق إلی اللاحق لابدّ وأن یکون بعد أداء ما فی ذمّته من المثل أو القیمة؛ وذلک من جهة ما قلنا إنّ الضمان طولی، وإنّ اللاحق ضامن للخسارة والبدل الّذی یعطیه السابق ویدفعه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ضمانه لضمانه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105661_373438147"/>
      <w:bookmarkStart w:id="280" w:name="_Toc108"/>
      <w:bookmarkEnd w:id="279"/>
      <w:r>
        <w:rPr>
          <w:rtl w:val="true"/>
        </w:rPr>
        <w:t>دیدگاه امام خمینی رحمه الله در مورد ضمان طولی</w:t>
      </w:r>
      <w:bookmarkEnd w:id="28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بزرگان و اعاظم معاصر نیز مرحوم امام قدس سره همین نظریّه ضمان طولی را</w:t>
      </w:r>
    </w:p>
    <w:p>
      <w:pPr>
        <w:pStyle w:val="BookText"/>
        <w:rPr/>
      </w:pPr>
      <w:r>
        <w:rPr>
          <w:rFonts w:ascii="IRNazanin" w:hAnsi="IRNazanin" w:eastAsia="IRNazanin"/>
          <w:color w:val="111111"/>
          <w:sz w:val="28"/>
          <w:sz w:val="28"/>
          <w:szCs w:val="28"/>
          <w:rtl w:val="true"/>
          <w:lang w:bidi="fa-IR"/>
        </w:rPr>
        <w:t>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ابتدا بیان می‌کند شخص لاحق که مال را از شخص اوّل و سابق می‌گیرد، بعد از آن است که مال بر عهده نفر قبل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بیان مرحوم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شخص دوّم ضامن وصف مضمونیّت مال است؛ و وصف مضمونیّت قابلیّت تعلّق ید و ضمان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بگوید دوّمی، هم بر مال و هم بر این وصف، ید پیدا نموده است؛ نسبت به مال اثرش معلوم است، اما چه اثری بر این وصف مضمونیت مترتّب است؟ پاسخش این است که اگر شخص سابق وصف مضمونیت را ادا کند و خسارت مالک را بپردازد، نفر دوّم باید همان خسارت را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ادامه، نکته‌ای را بیان می‌کند که در کلام محقّق نائینی و محقّق بجنوردی رحمهما الله ذکر نشده است؛ و آن این که، امام قدس سره می‌گوید در اینجا ضامن دوّم نسبت به مالک ضامن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له مالک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ضامن دوّم نسبت به شخص سابق ضامن است و این نفر اوّل است که نسبت به مالک ضامن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قابل لوقوع الید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للعین، وتصحّ فیه العهدة، وکونه علی الآخذ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وعهدة وصف المضمون علی الضامن الثانی للضامن الأوّل، ترجع عرفاً إلی ضمان‌الخسارة الواقعة علیه من قبل ضمانه، ولیس معنی ذلک أنّ المضمون له هو المالک، بل المضمون له هو الضامن لما ضمنه للمالک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از بیان مطالب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این است که در هر موردی که ید محقّق شود، ضمان وجود دارد؛ به عبارت دیگر، از دلیل ید، اصل ضمان فهمیده می‌شود، امّا این که مضمون له</w:t>
      </w:r>
      <w:bookmarkStart w:id="281" w:name="pg877_5955"/>
    </w:p>
    <w:p>
      <w:pPr>
        <w:pStyle w:val="BookText"/>
        <w:rPr/>
      </w:pPr>
      <w:bookmarkEnd w:id="281"/>
      <w:r>
        <w:rPr>
          <w:rFonts w:ascii="IRNazanin" w:hAnsi="IRNazanin" w:eastAsia="IRNazanin"/>
          <w:color w:val="111111"/>
          <w:sz w:val="28"/>
          <w:sz w:val="28"/>
          <w:szCs w:val="28"/>
          <w:rtl w:val="true"/>
          <w:lang w:bidi="fa-IR"/>
        </w:rPr>
        <w:t>چه کسی است؟ موکول به فهم عرف و عقلاست، و از دلیل ید چیزی فهمیده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شموله لکلّ ما یصدق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والمضمون له غیر مذکور ومحوّل إلی فهم العرف والعقلاء</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105663_373438147"/>
      <w:bookmarkStart w:id="283" w:name="_Toc109"/>
      <w:bookmarkEnd w:id="282"/>
      <w:r>
        <w:rPr>
          <w:rtl w:val="true"/>
        </w:rPr>
        <w:t>اشکالات وارد بر نظریّه‌ی ضمان طولی</w:t>
      </w:r>
      <w:bookmarkEnd w:id="283"/>
    </w:p>
    <w:p>
      <w:pPr>
        <w:pStyle w:val="BookText"/>
        <w:rPr/>
      </w:pPr>
      <w:r>
        <w:rPr>
          <w:rFonts w:ascii="IRNazanin" w:hAnsi="IRNazanin" w:eastAsia="IRNazanin"/>
          <w:color w:val="111111"/>
          <w:sz w:val="28"/>
          <w:sz w:val="28"/>
          <w:szCs w:val="28"/>
          <w:rtl w:val="true"/>
          <w:lang w:bidi="fa-IR"/>
        </w:rPr>
        <w:t>بعد از بیان خلاصه سخنان بزرگانی که قائل به ضمان طولی هستند، باید بررسی کنیم که آیا این نظریّه قابل پذیرش است یا نه؟ نسبت به نظریّه ضمان طولی اشکال‌های متعددی وجود دارد که برخی از آن‌ها در کلمات بزرگانی چون والد معظم حضرت آیت اللّه العظمی فاضل دام ظلّه</w:t>
      </w:r>
      <w:r>
        <w:rPr>
          <w:rStyle w:val="FootnoteAnchor"/>
          <w:rtl w:val="true"/>
        </w:rPr>
        <w:footnoteReference w:id="150"/>
      </w:r>
      <w:r>
        <w:rPr>
          <w:rFonts w:ascii="IRNazanin" w:hAnsi="IRNazanin" w:eastAsia="IRNazanin"/>
          <w:color w:val="111111"/>
          <w:sz w:val="28"/>
          <w:sz w:val="28"/>
          <w:szCs w:val="28"/>
          <w:rtl w:val="true"/>
          <w:lang w:bidi="fa-IR"/>
        </w:rPr>
        <w:t>نیز بیان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اشکالی که وجود دارد، در مورد این مطلب است که گفتند فرق بین ضامن سابق و لاحق در این است که ضامن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خود مال است، امّا ضامن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مال به علاوه وصف مضمونیت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می‌شود که اگر به عقلا مراجعه و از آنان پرسیده شود آیا وصف مضمونیت را در متعلّق ضمان می‌دانید یا 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عقد الضمان که ذمّه مدیون مشغول شده و دیگری می‌آید آن را تضمین می‌کند، چنین چیزی وجود دارد و وصف مضمونیت را داخل در متعلّق ضمان می‌دانند؛ لیکن در باب غصب و تعاقب‌ایدی، هیچ فرقی بین مال در دست نفر اوّل و نفر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این نظر که ضمان همه آن‌ها نسبت به خود مال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اوّل این می‌شود که عقلا ضمان همه ضامن‌ها را به یک صورت می‌دانند و معتقدند همه نسبت به مال مالک و در مقابل او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را که میرزای نائینی رحمه الله به سخن مرحوم آخوند گرفتند، متوجه نظریّه خودشان نیز می‌شود؛ و آن این که ضمان طولی، ضمان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ضمان طولی همان‌طور که خود ایشان نیز تصریح دارند، عبارت است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لاحق لایکون فعلیّاً إلّابعد أداء ضامن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ما احتیاج به ضمان فعلی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رحمه الله فرمودند ضمان لاحق نسبت به سابق بعد از ادای نفر سابق است؛ آیا معنای این مطلب آن است که لاحق فقط نسبت به سابق ضامن است؟ اگر چنین باشد، مالک ابتدائاً نمی‌تواند به او رجوع کند و طلب خسارت نماید؛ و اگر بگویند که لاحق فقط نسبت به مالک ضامن است، این سؤال مطرح می‌شود که چرا گفتید وصف مضمونیت به عهده او می‌آید؟ چرا که لاحق نسبت به سابق ضامن نیست و در نتیجه، این وصف نباید به عهده‌اش بیاید؛ و اگر بگویند لاحق هم نسبت به سابق و هم نسبت به مالک ضامن است، معنایش این است که نفر سابق قبل از آن‌که مالک چیزی از او طلب کند و او نیز خسارتی پرداخت کند، باید بتواند به لاحق مراجعه و از او خسارت طلب کند؛ و حال آن‌که شما گفتید چنین چیزی امکان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مسأله اصلی این است که چرا مالک در زمان واحد نسبت به همه‌ی افراد حق پیدا می‌کند؟ چرا ذمّه همه غاصبین در یک زمان نسبت به مالک مشغول می‌شود؟ میرزای نائینی رحمه الله فرمودند ضمان غاصبین در اینجا ضمان طولی است؛ معنای این حرف آن است که مالک تا می‌تواند به نفر سابق رجوع کند، حق مراجعه به لاحق را ندارد؛ در نتیجه ذمّه غاصبین در یک</w:t>
      </w:r>
    </w:p>
    <w:p>
      <w:pPr>
        <w:pStyle w:val="BookText"/>
        <w:rPr/>
      </w:pPr>
      <w:r>
        <w:rPr>
          <w:rFonts w:ascii="IRNazanin" w:hAnsi="IRNazanin" w:eastAsia="IRNazanin"/>
          <w:color w:val="111111"/>
          <w:sz w:val="28"/>
          <w:sz w:val="28"/>
          <w:szCs w:val="28"/>
          <w:rtl w:val="true"/>
          <w:lang w:bidi="fa-IR"/>
        </w:rPr>
        <w:t>زمان مشغول نمی‌شود؛ و این حرف،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رحمه الله فرمودند ضمان طولی ثبوتاً امکان دارد، ما اگر فرض کنیم که اشکال ثبوتی نداریم؛ لیکن ایشان نتوانستند ضمان طولی را در مقام اثبات، ثابت نمایند؛ در مقام اثبات، ما هستیم و دلیل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ید، موضوع ضمان است و در این صورت، فقط ظهور در ضمان عرضی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که ید، سبب ضمان است نسبت به ضامن قبلی، پس مالک باید از دایره خارج شود و این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و امام رحمهما الله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افراد می‌شود، امّا این که خصوصیّات افراد چگونه باشد و یا این که مضمون له کیست؟ را باید از عرف و عقلا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می‌کنیم مگر امکان دارد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عین مضمونه را معین کند، ولی مضمون له را مشخص نسازد؟ دلیل ید باید تمام اطراف را معین کند؛ هنگامی که ضامن و عین مضمونه مشخص شد، عین مال از برای هر که باشد، همو مضمون 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اوّلاً اصل این کبرای کلّی درست نیست که برای شناخت مضمون له باید سراغ عرف و عقلا رفت؛ بلکه خود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له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که عرف و عقلا مضمون له را معین کنند، هیچ‌گاه عرف نفر قبل را به عنوان مضمون‌له نمی‌شناسد، بلکه ادامه می‌دهد تا مالک، و آن‌گاه، مالک مال را به عنوان مضمون له معرفی می‌کند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ضمان طولی نسبت به شخص دوّم می‌فرمایید این شخص ضامن مال است به اضافه قید مضمونیت، در مورد شخص سوم هم باید بگوئید ضامن مال است به علاوه دو قید مضمونیّت؛ همین‌طور اگر پیش رویم و مثلاً شخص دهمی باشد، باید گفته شود که او ضامن مال است به</w:t>
      </w:r>
      <w:bookmarkStart w:id="284" w:name="pg877_5958"/>
    </w:p>
    <w:p>
      <w:pPr>
        <w:pStyle w:val="BookText"/>
        <w:rPr/>
      </w:pPr>
      <w:bookmarkEnd w:id="284"/>
      <w:r>
        <w:rPr>
          <w:rFonts w:ascii="IRNazanin" w:hAnsi="IRNazanin" w:eastAsia="IRNazanin"/>
          <w:color w:val="111111"/>
          <w:sz w:val="28"/>
          <w:sz w:val="28"/>
          <w:szCs w:val="28"/>
          <w:rtl w:val="true"/>
          <w:lang w:bidi="fa-IR"/>
        </w:rPr>
        <w:t>اضافه نُه قید مضمونیّت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با عرف سازگاری دارد و عرف مساعد آن است؟ قطعاً چنین چیزی را عرف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اشکالات وارد بر ضمان طولی می‌گیریم، این است که این راه حل نیز مفید فایده نبوده و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راه دیگری را جستجو کرد</w:t>
      </w:r>
      <w:r>
        <w:rPr>
          <w:rFonts w:eastAsia="IRNazanin" w:cs="IRNazanin"/>
          <w:color w:val="111111"/>
          <w:sz w:val="28"/>
          <w:szCs w:val="28"/>
          <w:rtl w:val="true"/>
          <w:lang w:bidi="fa-IR"/>
        </w:rPr>
        <w:t>.</w:t>
      </w:r>
    </w:p>
    <w:p>
      <w:pPr>
        <w:pStyle w:val="Heading6"/>
        <w:numPr>
          <w:ilvl w:val="5"/>
          <w:numId w:val="1"/>
        </w:numPr>
        <w:rPr/>
      </w:pPr>
      <w:bookmarkStart w:id="285" w:name="__RefHeading___Toc105665_373438147"/>
      <w:bookmarkStart w:id="286" w:name="_Toc110"/>
      <w:bookmarkEnd w:id="285"/>
      <w:r>
        <w:rPr/>
        <w:t>3</w:t>
      </w:r>
      <w:r>
        <w:rPr>
          <w:rtl w:val="true"/>
        </w:rPr>
        <w:t xml:space="preserve"> - </w:t>
      </w:r>
      <w:r>
        <w:rPr>
          <w:rtl w:val="true"/>
        </w:rPr>
        <w:t>پاسخ صاحب جواهر رحمه الله از اشکال ثبوتی</w:t>
      </w:r>
      <w:bookmarkEnd w:id="286"/>
    </w:p>
    <w:p>
      <w:pPr>
        <w:pStyle w:val="Heading6"/>
        <w:numPr>
          <w:ilvl w:val="5"/>
          <w:numId w:val="1"/>
        </w:numPr>
        <w:rPr/>
      </w:pPr>
      <w:bookmarkStart w:id="287" w:name="__RefHeading___Toc105667_373438147"/>
      <w:bookmarkStart w:id="288" w:name="_Toc111"/>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راه حلّ سوم برای رفع اشکال ثبوتی را مرحوم صاحب جواهر قدس سره ارائه می‌کنند؛ ایشان پس از بیان کلام مرحوم محقّق در شرائع</w:t>
      </w:r>
      <w:r>
        <w:rPr>
          <w:rStyle w:val="FootnoteAnchor"/>
          <w:rtl w:val="true"/>
        </w:rPr>
        <w:footnoteReference w:id="151"/>
      </w:r>
      <w:r>
        <w:rPr>
          <w:rFonts w:ascii="IRNazanin" w:hAnsi="IRNazanin" w:eastAsia="IRNazanin"/>
          <w:color w:val="111111"/>
          <w:sz w:val="28"/>
          <w:sz w:val="28"/>
          <w:szCs w:val="28"/>
          <w:rtl w:val="true"/>
          <w:lang w:bidi="fa-IR"/>
        </w:rPr>
        <w:t>مبنی بر آن که اگر ایدی غاصبه بر مال واحدی تحقّق پیدا کند، مالک مخیّر است که به هر کدام از آن‌ها که بخواهد مراجعه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ضمان بر کسی است که مال مغصوب در دست او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ایشان از قرار ضمان این است که اگر مالک به چنین شخصی مراجعه کرد، حقّ رجوع به دیگران را نخواهد داشت، امّا اگر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کسی که مال را تلف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آن‌ها می‌توانند به این شخص مراجعه کنند و چیزی را که به مالک داده‌اند، از او طلب 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در ادامه به بررسی چند مطلب دیگر می‌پردازد؛ اوّلین مطلب آن است که در مواردی که چند ید بر مال واحد تحقّق پیدا می‌کند، دلیلی بر این که ذمّه تمامی آن‌ها مشغول است، وجود ندارد؛ بلکه فقط ذمّه کسی که مال در دست او تلف می‌شود، مشغول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در مورد رجوع مالک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مالک می‌تواند به هر یک از این افراد جهت مطالبه خسارت مراجعه کند، ربطی به اشتغال ذمّه آنان ندارد؛ بلکه این</w:t>
      </w:r>
    </w:p>
    <w:p>
      <w:pPr>
        <w:pStyle w:val="BookText"/>
        <w:rPr/>
      </w:pPr>
      <w:r>
        <w:rPr>
          <w:rFonts w:ascii="IRNazanin" w:hAnsi="IRNazanin" w:eastAsia="IRNazanin"/>
          <w:color w:val="111111"/>
          <w:sz w:val="28"/>
          <w:sz w:val="28"/>
          <w:szCs w:val="28"/>
          <w:rtl w:val="true"/>
          <w:lang w:bidi="fa-IR"/>
        </w:rPr>
        <w:t>مسأله فقط مجرّد جواز رجوع است که آن را خطاب شرعی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خطاب دلیل ید نسبت به کسی که مال در دست او تلف شده، ذمّی است و در مورد بقیّه افراد،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این که اگر مالک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در دست او تلف نشده است، رجوع کرد و او نیز مال مالک را تدارک کرده و بدل آن را به مالک بپردازد، یک معاوضه قهریه شرعیّه بین مالک و شخصی که مال را تدارک کرده است، واقع می‌شود؛ و نفر سابق صاحب و مالک ذمّه مشغوله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نفر سابق به جای مالک می‌نشیند و لاحق در برابر او ضامن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نفر سابق می‌تواند به لاحق مراجعه کند و او نیز وظیفه دارد مالی را که نفر سابق پرداخت کرده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صاحب جواهر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فی تعاقب أیدیهم بین کونه بصورة الضمان ببیع فاسد ونحوه وعدمه؛ نعم، قرار الضمان علی من تلف المغصوب فی یده منهم، بمعنی أنّه لو رجع المالک علی غیره رجع هو علیه مع فرض عدم زیادة فی العین یختصّ الأوّل بضمانها بخلاف ما لو رجع علیه نفسه، فإنّه لا رجوع له علی غیره، لأنّ ذمّته المشغولة للمالک بالبدل وإن جاز له إلزام غیره باعتبار الغصب بأداء ما اشتغلت ذمّته به، فیملک حینئذ من أدّی بأدائه ما للمالک فی ذمّته بالمعاوضة الشرعیّة القهریّة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اتّضح الفرق بین من تلف المال فی یده وبین غیره الّذی خطابه بالأداء شرعی لا ذمّی، إذ لا دلیل علی شغل ذمم متعدّدة بمال واحد، فحینئذٍ یرجع علیه ولا یرجع هو</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مرحوم صاحب جواهر رحمه الله، مرحوم شهید اوّل قدس سره نیز همین نظر را</w:t>
      </w:r>
      <w:bookmarkStart w:id="289" w:name="pg877_5960"/>
    </w:p>
    <w:p>
      <w:pPr>
        <w:pStyle w:val="BookText"/>
        <w:rPr/>
      </w:pPr>
      <w:bookmarkEnd w:id="289"/>
      <w:r>
        <w:rPr>
          <w:rFonts w:ascii="IRNazanin" w:hAnsi="IRNazanin" w:eastAsia="IRNazanin"/>
          <w:color w:val="111111"/>
          <w:sz w:val="28"/>
          <w:sz w:val="28"/>
          <w:szCs w:val="28"/>
          <w:rtl w:val="true"/>
          <w:lang w:bidi="fa-IR"/>
        </w:rPr>
        <w:t>اظهار کرده و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مالک جایز است که به هر کدام از ذی‌الیدها مراجعه کند و خسارتش را طلب نماید، امّا قرار و استقرار ضمان بر ذمّه فردی است که مال در دستان او تلف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وتعاقب الأیدی العادیة علی العین یوجب تضمین کلّ واحد منهم، وقرار الضمان علی من تلفت فی یده، فیرجع غیره علیه لو رجع</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0" w:name="__RefHeading___Toc105669_373438147"/>
      <w:bookmarkStart w:id="291" w:name="_Toc112"/>
      <w:bookmarkEnd w:id="290"/>
      <w:r>
        <w:rPr>
          <w:rtl w:val="true"/>
        </w:rPr>
        <w:t>اشکالات شیخ انصاری رحمه الله بر پاسخ صاحب جواهر رحمه الله</w:t>
      </w:r>
      <w:bookmarkEnd w:id="291"/>
    </w:p>
    <w:p>
      <w:pPr>
        <w:pStyle w:val="BookText"/>
        <w:rPr/>
      </w:pPr>
      <w:r>
        <w:rPr>
          <w:rFonts w:ascii="IRNazanin" w:hAnsi="IRNazanin" w:eastAsia="IRNazanin"/>
          <w:color w:val="111111"/>
          <w:sz w:val="28"/>
          <w:sz w:val="28"/>
          <w:szCs w:val="28"/>
          <w:rtl w:val="true"/>
          <w:lang w:bidi="fa-IR"/>
        </w:rPr>
        <w:t>مرحوم شیخ انصاری قدس سره در کتاب مکاسب چندین اشکال بر کلام صاحب جواهر رحمه الله وارد می‌کند که به نظر، ایرادات صحیحی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اعظم به صاحب جواهر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می‌کنید که خطاب نسبت به ایدی سابقه، خطاب شرعی تکلیفی است و اما نسبت به کسی که مال در دست او تلف شده، وضعی و ذمّی است؟ سیاق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نسق واحد شامل همه افراد می‌شود و هیچ یک را استثنا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خبیر بأنّه لا وجه للفرق بین خطاب من تلف بیده وخطاب غیره بأنّ خطابه ذمّی وخطاب غیره شرعی؛ مع کون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إلیهما علی السواء، والمفروض أنّه لا خطاب بالنسبة إلیهما غیره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شاید بتوان به این اشکال شیخ رحمه الله پاسخ گفت؛ و آن این که اگر ما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یک حکم تکلیفی استفاده کنیم، باید بگوئیم که در</w:t>
      </w:r>
    </w:p>
    <w:p>
      <w:pPr>
        <w:pStyle w:val="BookText"/>
        <w:rPr/>
      </w:pPr>
      <w:r>
        <w:rPr>
          <w:rFonts w:ascii="IRNazanin" w:hAnsi="IRNazanin" w:eastAsia="IRNazanin"/>
          <w:color w:val="111111"/>
          <w:sz w:val="28"/>
          <w:sz w:val="28"/>
          <w:szCs w:val="28"/>
          <w:rtl w:val="true"/>
          <w:lang w:bidi="fa-IR"/>
        </w:rPr>
        <w:t xml:space="preserve">همه موارد چنین بوده و خطاب، خطاب تکلیفی و شرعی است؛ و یا اگر حکم وضعی را استفاده کنیم، باید بگوئیم که در همه جا چنین است؛ اما مطابق مبنای مرحوم اصفهانی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نیز این مبنا را 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استقرار در عهده دارد، در این صورت، یک معنای عامّی می‌شود که آثار تکلیفی و وضعی می‌تواند بر آن مترتّب شود؛ بنابراین، مال غصب‌شده در عهده همه واقع می‌گردد و تمامی آن‌ها مشمول ضمان موجود در حدیث می‌گردند، لیکن ممکن است خصوصیّات افراد متفاوت باشد؛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در نزد او تلف شده، این شخص خصوصیّتی دارد که دیگران دارای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این شخص، هم حکم تکلیفی وجود دارد و هم حکم وضعی، اما در مورد دیگران که مال نزد آنان تلف نشده، فقط صرف استقرار عهده وجود دارد و فقط بر آن، حکم شرعی و خطاب تکلیفی محض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می‌توان از سخن مرحوم صاحب جواهر در برابر اشکال شیخ انصاری رحمه الله این گونه دفاع کرد؛ و اشکال اوّل ایشان دیگر اشکال واردی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فرق بین خطاب شرعی و خطاب ذمّی قابل درک نیست؛ چگونه می‌توان گفت که خطاب نسبت به ایدی سابقه، خطاب شرعی و تکلیفی است، اما نسبت به کسی که مال در نزد او تلف شده، ذمّی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یکاد یفهم الفرق بین ما ذکره من الخطاب بالأداء والخطاب الذّمی</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مرحوم شیخ انصاری نیز قابل جواب است؛ و آن این که فرق</w:t>
      </w:r>
    </w:p>
    <w:p>
      <w:pPr>
        <w:pStyle w:val="BookText"/>
        <w:rPr/>
      </w:pPr>
      <w:r>
        <w:rPr>
          <w:rFonts w:ascii="IRNazanin" w:hAnsi="IRNazanin" w:eastAsia="IRNazanin"/>
          <w:color w:val="111111"/>
          <w:sz w:val="28"/>
          <w:sz w:val="28"/>
          <w:szCs w:val="28"/>
          <w:rtl w:val="true"/>
          <w:lang w:bidi="fa-IR"/>
        </w:rPr>
        <w:t>میان خطاب شرعی و خطاب ذمّی، همان فرق بین حکم تکلیفی و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قصد دارد بیان کند حکم قابل استفاده از دلیل ید نسبت به دیگران فقط در دایره حکم تکلیفی است، لیکن در مورد کسی که مال در پیش او تلف شده، علاوه بر حکم تکلیفی، حکم وضعی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مقصود شیخ اعظم رحمه الله این باشد که گرچه فرق بین حکم تکلیفی و وضعی واضح و روشن است، اما چون در این بحث، متعلّق حکم تکلیفی همان عنوان ادا هست، چنین خصوصیّتی دارد که فرقی بین وجوب ادا از نظر تکلیفی و وجوب ادا از نظر وضعی نیست؛ وجوب ادا از نظر وضعی به همان حکم تکلیفی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متعلّق حکم تکلیفی عبارت از حفظ بود، بین حکم تکلیفی وجوب حفظ و حکم وضعی ضمان تفاوت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در این اشکال که به نظر وارد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 قائل‌اند تا زمانی که یکی از ایدی غاصبه بدل مال مالک را نداده باشد، هر یدی ضامن، و ذمّه‌اش مشغول است؛ و همین‌طور تا هنگامی که مالک ذمّه فردی از آن‌ها را ابراء نکرده باشد، اشتغال ذمّه وجود دارد؛ پس، چگونه آن را فقط در مورد کسی که مال در نزدش تلف شده، ثابت می‌دانید؟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یکاد یعرف خلاف من أحد فی کون کلّ من ذوی‌الأیدی مشغول الذّمة بالمال فعلاً ما لم یسقط بأداء أحدهم أو إبراء المالک، نظیر الاشتغال بغیره من الدیون فی إجباره علی الدفع أو الدفع عنه من ماله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جواهر رحمه الله اشکال می‌شود که شما معامله قهریّه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 تلف المال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را از کجا استفاده می‌کنید؟ به نظر،</w:t>
      </w:r>
    </w:p>
    <w:p>
      <w:pPr>
        <w:pStyle w:val="BookText"/>
        <w:rPr/>
      </w:pPr>
      <w:r>
        <w:rPr>
          <w:rFonts w:ascii="IRNazanin" w:hAnsi="IRNazanin" w:eastAsia="IRNazanin"/>
          <w:color w:val="111111"/>
          <w:sz w:val="28"/>
          <w:sz w:val="28"/>
          <w:szCs w:val="28"/>
          <w:rtl w:val="true"/>
          <w:lang w:bidi="fa-IR"/>
        </w:rPr>
        <w:t>دلیل و سببی برای این معامله وجود ندارد؛ تنها چیزی که در اینجا وجود دارد، آن است که مالک می‌تواند به کسی که مال در دست او تلف نشده، رجوع کند و او نیز در صورتی که غارّ نباشد، می‌تواند به کسی که مال در دست او تلف شده مراجعه کند و دیگر دلیل ید بر بیشتر از این مقدار دلالت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تملّک غیر من تلف المال بیده لما فی ذمّة من تلف المال بیده بمجرّد دفع البدل، لا یعلم له سبب اختیاری ولا قهری، بل المتّجه علی ما ذکرنا سقوط حقّ المالک عمّن تلف فی یده بمجرّد أداء غیره؛ لعدم تحقّق موضوع التدراک بعد تحقّق التدارک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آخری که شیخ انصاری رحمه الله مطرح می‌نماید، به لازمه سخن صاحب جواهر رحمه الله بر می‌گردد؛ بدین صورت که طبق این بیان، اگر مال از ید اوّل به ید دوّم منتقل شود و سپس از دومی به اوّلی منتقل و در دست او تلف شود، دیگر امکان رجوع برای او نیست؛ و حال آن که اگر نفر دوّم غارّ باشد، نفر اوّل بر طبق فتوای همه‌ی فقها می‌تواند به او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اللازم ممّا ذکره أن لا یرجع الغارم فیمن لحقه فی الید العادیة إلّاإلی من تلف فی یده، مع أنّ الظاهر خلافه؛ فإنّه یجوز له أن یرجع إلی کلّ واحد ممّن بعده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اشکالات پنج‌گانه شیخ انصاری رحمه الله مهمترین اشکال، اشکال سوم است؛ لیکن به نظر ما، اشکال مهم دیگری بر صاحب جواهر رحمه الله وارد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چیزی به نام ضمان و قرار الضمان نداریم؛ تنها چیزی که وجود دارد، این است که یا سبب ضمان در چیزی موجود است و یا آن که چنین سببی وجود ندارد؛ این که گفته شود در مواردی که سبب ضمان موجود است، یک</w:t>
      </w:r>
      <w:bookmarkStart w:id="292" w:name="pg877_5964"/>
    </w:p>
    <w:p>
      <w:pPr>
        <w:pStyle w:val="BookText"/>
        <w:rPr/>
      </w:pPr>
      <w:bookmarkEnd w:id="292"/>
      <w:r>
        <w:rPr>
          <w:rFonts w:ascii="IRNazanin" w:hAnsi="IRNazanin" w:eastAsia="IRNazanin"/>
          <w:color w:val="111111"/>
          <w:sz w:val="28"/>
          <w:sz w:val="28"/>
          <w:szCs w:val="28"/>
          <w:rtl w:val="true"/>
          <w:lang w:bidi="fa-IR"/>
        </w:rPr>
        <w:t>نوع از آن این است که ضمان قرار دارد، فقط صرف یک تعبیر لفظی‌است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مال مالک باقی و از بین نرفته باشد، چگونه می‌توان گفت مالک حقّ دارد به هر کدام از ایدی غاصبه مراجعه کند؟ مرحوم صاحب جواهر فرض مسأله را در صورت تلف بیان کرده و به اشکال ثبوتی پاسخ می‌دهند، و حال آن که عمده اشکال ثبوتی در فرضی است که هنوز مال تلف نشده باشد؛ اینجاست که اشکال می‌شود اشتغال ذمّه‌های متعدد نسبت به مال واحد چگونه تصوّر می‌شود؟</w:t>
      </w:r>
    </w:p>
    <w:p>
      <w:pPr>
        <w:pStyle w:val="BookText"/>
        <w:rPr/>
      </w:pPr>
      <w:r>
        <w:rPr>
          <w:rFonts w:ascii="IRNazanin" w:hAnsi="IRNazanin" w:eastAsia="IRNazanin"/>
          <w:color w:val="111111"/>
          <w:sz w:val="28"/>
          <w:sz w:val="28"/>
          <w:szCs w:val="28"/>
          <w:rtl w:val="true"/>
          <w:lang w:bidi="fa-IR"/>
        </w:rPr>
        <w:t xml:space="preserve">بنابراین، با توجّه به اشکالات وارد بر سخن صاحب جواهر رحمه الله معلوم می‌شود که راه حلّ‌ایشان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 نمی‌باشد</w:t>
      </w:r>
      <w:r>
        <w:rPr>
          <w:rFonts w:eastAsia="IRNazanin" w:cs="IRNazanin"/>
          <w:color w:val="111111"/>
          <w:sz w:val="28"/>
          <w:szCs w:val="28"/>
          <w:rtl w:val="true"/>
          <w:lang w:bidi="fa-IR"/>
        </w:rPr>
        <w:t>.</w:t>
      </w:r>
    </w:p>
    <w:p>
      <w:pPr>
        <w:pStyle w:val="Heading6"/>
        <w:numPr>
          <w:ilvl w:val="5"/>
          <w:numId w:val="1"/>
        </w:numPr>
        <w:rPr/>
      </w:pPr>
      <w:bookmarkStart w:id="293" w:name="__RefHeading___Toc105671_373438147"/>
      <w:bookmarkStart w:id="294" w:name="_Toc113"/>
      <w:bookmarkEnd w:id="293"/>
      <w:r>
        <w:rPr/>
        <w:t>4</w:t>
      </w:r>
      <w:r>
        <w:rPr>
          <w:rtl w:val="true"/>
        </w:rPr>
        <w:t xml:space="preserve"> - </w:t>
      </w:r>
      <w:r>
        <w:rPr>
          <w:rtl w:val="true"/>
        </w:rPr>
        <w:t>پاسخ شیخ انصاری رحمه الله از اشکال ثبوتی</w:t>
      </w:r>
      <w:bookmarkEnd w:id="294"/>
    </w:p>
    <w:p>
      <w:pPr>
        <w:pStyle w:val="BookText"/>
        <w:rPr/>
      </w:pPr>
      <w:r>
        <w:rPr>
          <w:rFonts w:ascii="IRNazanin" w:hAnsi="IRNazanin" w:eastAsia="IRNazanin"/>
          <w:color w:val="111111"/>
          <w:sz w:val="28"/>
          <w:sz w:val="28"/>
          <w:szCs w:val="28"/>
          <w:rtl w:val="true"/>
          <w:lang w:bidi="fa-IR"/>
        </w:rPr>
        <w:t>راه چهارم را مرحوم شیخ انصاری رحمه الله ارائه می‌دهد؛ ایشان در کتاب مکاسب پس از آن‌که به سخن صاحب جواهر رحمه الله اشکال می‌کند، خود به بیان راه حلی برای دفع اشکال ثبوتی در مقام می‌پردازند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به سخن میرزای نائینی رحمه الله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در بیان این که چرا سابق می‌تواند به لاحق رجوع کند، می‌گوید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الوجه فی رجوعه هو أنّ السابق اشتغلت ذمّته بالبدل قبل اللاحق، فإذا حصل المال فی ید اللاحق فقد ضمن شیئاً له بدلٌ، فهذا الضمان یرجع إلی ضمان واحد من البدل والمبدل علی سبیل البدل؛ إذ لا یعقل ضمان المبدل معیّناً من دون البدل، وإلّا خرج بدله عن کونه بدلاً، فما یدفعه الثانی فإنّما هو تدارک لما استقرّ تدارکه فی ذمّة الأوّل، بخلاف ما یدفعه الأوّل؛ فإنّه تدارک نفس العین معیّناً؛ إذ لم یحدث له تدارک آخر بعدُ، فإن أدّاه إلی</w:t>
      </w:r>
    </w:p>
    <w:p>
      <w:pPr>
        <w:pStyle w:val="BookText"/>
        <w:rPr/>
      </w:pPr>
      <w:r>
        <w:rPr>
          <w:rFonts w:ascii="IRNazanin" w:hAnsi="IRNazanin" w:eastAsia="IRNazanin"/>
          <w:color w:val="111111"/>
          <w:sz w:val="28"/>
          <w:sz w:val="28"/>
          <w:szCs w:val="28"/>
          <w:rtl w:val="true"/>
          <w:lang w:bidi="fa-IR"/>
        </w:rPr>
        <w:t>المالک سقط تدارک الأوّل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یجوزدفعه إلی الأوّل قبل دفع الأوّل إلی المالک؛ لأنّه من باب الغرامة والتدارک، فلا اشتغال للذّمة قبل حصول التدارک، ولیس من قبیل العوض لما فی ذمّة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فحال الأوّل مع الثانی کحال الضامن مع المضمون عنه فی أنّه لا یستحقّ الدفع إلیه إلّابعد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تلف المال فی یده ضامن لأحد الشخصین علی البدل من المالک ومن سبقه فی الید، فیشتغل ذمّته إمّا بتدارک العین، وإمّا بتدارک ما تدارکها، وهذا اشتغال شخص واحد بشیئین لشخصین علی البدل، کما کان فی الأیدی المتعاقبة اشتغال ذمّة أشخاص علی البدل بشیء واحد لشخص واحد</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جواز رجوع سابق به لاحق این است که پیش از لاحق، شخص سابق در قبال بدل کالا مسؤولیت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هنگامی که کالا به دست نفر بعد می‌رسد،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چیزی خواهد بود که بدل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بدل آن در ذمّه نفر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ضمانت آن است که بعدی در قبال یکی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و یا مبدل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البدلیة و تخییر ضامن است؛ زیرا، متصوّر نیست که نفر بعد، فقط ضامن مبدل بوده و در برابر بدل مسؤولیت نداشته باشد؛ چه آن که در این صورت، بدل عنوان بدلیت را از دست خواهد داد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چه را که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جبران چیزی است که بر عهده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لیکن آن چه را که ید سابق می‌پردازد، جبران خود مبدل بشمار می‌رود؛ زیرا، هنوز جبران دیگری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دوّم، آن را به مالک بدهد، ضرورت جبران از شخص اوّل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نیست که شخص دوّم پیش از آن که شخص اوّل بدل را به</w:t>
      </w:r>
    </w:p>
    <w:p>
      <w:pPr>
        <w:pStyle w:val="BookText"/>
        <w:rPr/>
      </w:pPr>
      <w:r>
        <w:rPr>
          <w:rFonts w:ascii="IRNazanin" w:hAnsi="IRNazanin" w:eastAsia="IRNazanin"/>
          <w:color w:val="111111"/>
          <w:sz w:val="28"/>
          <w:sz w:val="28"/>
          <w:szCs w:val="28"/>
          <w:rtl w:val="true"/>
          <w:lang w:bidi="fa-IR"/>
        </w:rPr>
        <w:t>مالک بدهد به وی بدل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پرداخت بدل از سوی شخص دوّم به‌شخص اوّل از باب غرامت و جبران خسارت‌اوصورت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 از آن که شخص اوّل تدارک نموده و بدل را به مالک بدهد، شخص دوّم مسؤولیت جبران خسارت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نیست که همچون عوض چیزی که در ذمّه شخص اوّل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از باب غرامت و تدارک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شخص اوّل، با شخص دوّم، دقیقاً مانند وضعیت ضامن با کسی است که ضمانت او را نموده است؛ و در این جهت که پیش از پرداخت بدهی از سوی ضامن،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نیست که مضمون عنه بدهی را به او بپردازد، تفاوتی بین مسأله ضامن و مضمون عنه و مسأله مورد بحث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در دست او تلف شده در قبال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کسی که پیش از او بر مال مسلط گردیده است، یعنی ید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علی البدل، ضمانت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ذمّه او یا مشغول به جبران 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مالک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جبران نمودن چیزی است که شخص قبلی به عنوان تدارک و جبران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این به معنای اشتغال ذمّه یک نفر به دو چیز در قبال دو نفر به طور علی البدل است؛ همان‌طور که در ایادی متعاقبه، ذمّه افراد متعدّد علی البدل به یک چیز و در قبال یک تن، مشغول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مرحوم شیخ انصاری قدس سره در حلّ مشکل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بعد از 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 در اختیار 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شخص دوّم علی سبیل البدلیّة ضامن یکی از دو چیز است؛ یا ضامن عین مال است و یا ضامن بدل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نفر دوّم ضامن یکی از دو چیز، و در مقابل دو</w:t>
      </w:r>
      <w:bookmarkStart w:id="295" w:name="pg877_5967"/>
    </w:p>
    <w:p>
      <w:pPr>
        <w:pStyle w:val="BookText"/>
        <w:rPr/>
      </w:pPr>
      <w:bookmarkEnd w:id="295"/>
      <w:r>
        <w:rPr>
          <w:rFonts w:ascii="IRNazanin" w:hAnsi="IRNazanin" w:eastAsia="IRNazanin"/>
          <w:color w:val="111111"/>
          <w:sz w:val="28"/>
          <w:sz w:val="28"/>
          <w:szCs w:val="28"/>
          <w:rtl w:val="true"/>
          <w:lang w:bidi="fa-IR"/>
        </w:rPr>
        <w:t>شخص است؛ یا ضامن عین مال است در برابر مالک که از عین مال به مبدل تعبیر می‌شود؛ و یا ضامن بدل مال در برابر نفر اوّل است؛ و هر کدام از اینها را که ادا کرد، ضمان و مسؤولیت او برطرف می‌شود</w:t>
      </w:r>
      <w:r>
        <w:rPr>
          <w:rFonts w:eastAsia="IRNazanin" w:cs="IRNazanin"/>
          <w:color w:val="111111"/>
          <w:sz w:val="28"/>
          <w:szCs w:val="28"/>
          <w:rtl w:val="true"/>
          <w:lang w:bidi="fa-IR"/>
        </w:rPr>
        <w:t>.</w:t>
      </w:r>
    </w:p>
    <w:p>
      <w:pPr>
        <w:pStyle w:val="Heading5"/>
        <w:numPr>
          <w:ilvl w:val="4"/>
          <w:numId w:val="1"/>
        </w:numPr>
        <w:rPr/>
      </w:pPr>
      <w:bookmarkStart w:id="296" w:name="__RefHeading___Toc105673_373438147"/>
      <w:bookmarkStart w:id="297" w:name="_Toc114"/>
      <w:bookmarkEnd w:id="296"/>
      <w:r>
        <w:rPr>
          <w:rtl w:val="true"/>
        </w:rPr>
        <w:t>اشکالات وارد بر پاسخ شیخ انصاری رحمه الله</w:t>
      </w:r>
      <w:bookmarkEnd w:id="297"/>
    </w:p>
    <w:p>
      <w:pPr>
        <w:pStyle w:val="Heading6"/>
        <w:numPr>
          <w:ilvl w:val="5"/>
          <w:numId w:val="1"/>
        </w:numPr>
        <w:rPr/>
      </w:pPr>
      <w:bookmarkStart w:id="298" w:name="__RefHeading___Toc105675_373438147"/>
      <w:bookmarkStart w:id="299" w:name="_Toc115"/>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مرحوم سیّد یزدی قدس سره در حاشیه کتاب مکاسب بر این نظر شیخ انصاری رحمه الله اشکالات متعدّدی را وارد می‌کند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اشکالی که سیّد یزدی رحمه الله مطرح می‌نماید، این است که ضمان محتاج به سبب است و تاسبب آن محقّق نشود، ضمانی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عین مال، هرکدام از ید سابق و لاحق که بر آن، ید پیدا کنند، ضامن هستند؛ چرا که ید سبب برای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مرحوم شیخ می‌گوید ید لاحق به بدل نیز ضامن است، دلیل آن چیست؟ در اینجا سببی از برای ضمان ید لاحق نسبت به بدل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بین ید سابق و لاحق در این است که قبل از مشغول شدن ذمّه لاحق، ذمّه فرد سابق مشغول شده است و إلّا هر دو باهم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مرحوم شیخ می‌خواهد بگوید بدل از توابع عین و مثل منفعت است؛ و از آنجا که خود عین مورد ضمان قرار گرفته، بدل آن نیز به دلیل تبعیّت از عین مورد ضمان قرار می‌گیرد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یزدی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نظر باطلی است و نمی‌توان گفت بدل از توابع عین است، و همانند منافع و نمائات نمی‌باشد؛ در منافع و نمائات این‌گونه است که قبض و اخذ عین، قبض و اخذ آن‌ها نیز هست و گرفتن عین کفایت می‌کند، و حال آن که در بدل چنین چیزی وجود ندارد و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منافع و نمائات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تلف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بدل، سببی از</w:t>
      </w:r>
    </w:p>
    <w:p>
      <w:pPr>
        <w:pStyle w:val="BookText"/>
        <w:rPr/>
      </w:pPr>
      <w:r>
        <w:rPr>
          <w:rFonts w:ascii="IRNazanin" w:hAnsi="IRNazanin" w:eastAsia="IRNazanin"/>
          <w:color w:val="111111"/>
          <w:sz w:val="28"/>
          <w:sz w:val="28"/>
          <w:szCs w:val="28"/>
          <w:rtl w:val="true"/>
          <w:lang w:bidi="fa-IR"/>
        </w:rPr>
        <w:t>برای ضمان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ضمان العین الّتی لها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عوض فی ذمّة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ما ذکره من ضمان واحد من البدل والمبدّل، کیف؟ والبدل لم یتحقّق فیه سبب الضمان؛ إذ لم یثبت‌تحت ید الضامن، ولا أتلفه ولا غیر ذلک، فلا وجه لکونه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کونه من توابع العین کماتری؛ إذ لیس هذا من شؤون العین کالمنافع والنماءات المتجدّدة؛ حیث إنّها مقبوضة بتبعیّة قبض العین، بخلاف التدارک الثابت فی ذمّة السابق فإنّه لیس مقبوضاً للاحق أصلاً، فلا وجه لضمانه له، وهذا واضح جدّاً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که از اشکال قبل صرف‌نظر کنیم و بگوئیم به بدل نیز ضمان تعلّق می‌گیرد، لیکن این سؤال مطرح می‌شود که چرا شخص لاحق در مقابل ضامن اوّل نسبت به بدل ضمان دارد؟ مگر بدل عین به مالک مربوط نمی‌شود؟ ضامن اوّل نیز ضامن بدل است، و در مقابل مالک ضامن است؛ یعنی بدل از برای مالک است و چیزی به عنوان ضامن اوّل نداریم که بگوئیم مال اوست؛ نتیجه آن که باید گفته شود ضامن دوّم و ید لاحق نسبت به بدل نیز در مقابل مالک ضامن است و نه در مقابل ید سابق و ضامن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ذلک کان مقتضاه ضمانه لمالکه، وهو مالک العین، لا لمن علیه البدل، فإنّ البدل الّذی فی ذمّة السابق إنّما هو لمالک العین، فبدله وهو ما فی ذمّة اللاحق أیضاً یکون للمالک، وهو من له البدل، ولا وجه لکونه لمن علیه البدل، وهو الضامن السابق، وهذا أیضاً واضح</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سوّمی که مرحوم سیّد قدس سره مطرح می‌کند، این است که اگر مال از ید</w:t>
      </w:r>
    </w:p>
    <w:p>
      <w:pPr>
        <w:pStyle w:val="BookText"/>
        <w:rPr/>
      </w:pPr>
      <w:r>
        <w:rPr>
          <w:rFonts w:ascii="IRNazanin" w:hAnsi="IRNazanin" w:eastAsia="IRNazanin"/>
          <w:color w:val="111111"/>
          <w:sz w:val="28"/>
          <w:sz w:val="28"/>
          <w:szCs w:val="28"/>
          <w:rtl w:val="true"/>
          <w:lang w:bidi="fa-IR"/>
        </w:rPr>
        <w:t xml:space="preserve">سابق به ید لاحق برسد، طبق بیان مرحوم شیخ قدس سره، ید لاحق، هم بدل و هم مبدل را ضامن است؛ حال، اگردوباره ید سابق مال را از ید لاحق بگیرد و در دست او مال تلف شود، لازمه سخن شیخ انصاری رحمه الله این است که هرچند مال در دست نفر اوّل تلف شده است،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لاحق و نفر دوّم مراجعه و خسارت و غرامت دریافت کند؛ و این لازمه، واضح البطلان است؛ زیرا، همان کسی ضامن است که مال در دست او تلف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ما ذکره أن یکون فی مسألة ضمان الاثنین لواحد بناءً علی صحّته للضامن الأوّل الرجوع علی الضامن الثانی إذا رفع العوض إلی الممضون له، فإنّ الثانی قد ضمن ما له بدل فی ذمّة الضامن الأوّل، مع أنّه لیس له ذلک، بل إنّما یرجع إلی المضمون عنه لو ضمن بإذنه، ولو کان متبرّعاً فلا یرجع علی أحد، وأیضاً فی ضمان العهدة وضمان الأعیان المضمونة إذا قلنا بجواز الرجوع إلی کلّ من الضامن والمضمون عنه کما استظهره المصنّف منهم یلزم جواز رجوع المضمون عنه إلی الضامن إذا فرض رجوع المالک علیه، ولا یمکن الالتزام به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یزدی قدس سره غیر از این سه اشکال، چهار اشکال دیگر نیز مطرح می‌کنند که جهت اطلاع از آن‌ها خود مراجعه کنید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مهمترین اشکالی که در اینجا وجود دارد و در گذشته نیز بیان کردیم، این است که اصلاً قوام اشکال به مسأله تلف و بدل نیست تا اشکال را در این فرض پاسخ گوئیم، بلکه قوام اشکال در صورت بقای عین مال است؛ و آن این که اگر عین مال از ید اوّل به ید دوّم و همین‌طور چندین نفر دیگر انتقال پیدا کرد، چرا ذمّه تمامی آن‌ها مشغول می‌شود، با این که مال واحد است؟</w:t>
      </w:r>
      <w:bookmarkStart w:id="300" w:name="pg877_5970"/>
    </w:p>
    <w:p>
      <w:pPr>
        <w:pStyle w:val="BookText"/>
        <w:rPr/>
      </w:pPr>
      <w:bookmarkEnd w:id="300"/>
      <w:r>
        <w:rPr>
          <w:rFonts w:ascii="IRNazanin" w:hAnsi="IRNazanin" w:eastAsia="IRNazanin"/>
          <w:color w:val="111111"/>
          <w:sz w:val="28"/>
          <w:sz w:val="28"/>
          <w:szCs w:val="28"/>
          <w:rtl w:val="true"/>
          <w:lang w:bidi="fa-IR"/>
        </w:rPr>
        <w:t>بنابراین، پاسخ و راه حلّی را که مرحوم شیخ انصاری قدس سره بیان می‌کنند، نیز تمام نبوده و دچار اشکال است</w:t>
      </w:r>
      <w:r>
        <w:rPr>
          <w:rFonts w:eastAsia="IRNazanin" w:cs="IRNazanin"/>
          <w:color w:val="111111"/>
          <w:sz w:val="28"/>
          <w:szCs w:val="28"/>
          <w:rtl w:val="true"/>
          <w:lang w:bidi="fa-IR"/>
        </w:rPr>
        <w:t>.</w:t>
      </w:r>
    </w:p>
    <w:p>
      <w:pPr>
        <w:pStyle w:val="Heading6"/>
        <w:numPr>
          <w:ilvl w:val="5"/>
          <w:numId w:val="1"/>
        </w:numPr>
        <w:rPr/>
      </w:pPr>
      <w:bookmarkStart w:id="301" w:name="__RefHeading___Toc105677_373438147"/>
      <w:bookmarkStart w:id="302" w:name="_Toc116"/>
      <w:bookmarkEnd w:id="301"/>
      <w:r>
        <w:rPr/>
        <w:t>5</w:t>
      </w:r>
      <w:r>
        <w:rPr>
          <w:rtl w:val="true"/>
        </w:rPr>
        <w:t xml:space="preserve"> - </w:t>
      </w:r>
      <w:r>
        <w:rPr>
          <w:rtl w:val="true"/>
        </w:rPr>
        <w:t>پاسخ پنجم به اشکال ثبوتی</w:t>
      </w:r>
      <w:bookmarkEnd w:id="302"/>
    </w:p>
    <w:p>
      <w:pPr>
        <w:pStyle w:val="BookText"/>
        <w:rPr/>
      </w:pPr>
      <w:r>
        <w:rPr>
          <w:rFonts w:ascii="IRNazanin" w:hAnsi="IRNazanin" w:eastAsia="IRNazanin"/>
          <w:color w:val="111111"/>
          <w:sz w:val="28"/>
          <w:sz w:val="28"/>
          <w:szCs w:val="28"/>
          <w:rtl w:val="true"/>
          <w:lang w:bidi="fa-IR"/>
        </w:rPr>
        <w:t>برخی دیگر از بزرگان و از جمله والد معظّم</w:t>
      </w:r>
      <w:r>
        <w:rPr>
          <w:rStyle w:val="FootnoteAnchor"/>
          <w:rtl w:val="true"/>
        </w:rPr>
        <w:footnoteReference w:id="163"/>
      </w:r>
      <w:r>
        <w:rPr>
          <w:rFonts w:ascii="IRNazanin" w:hAnsi="IRNazanin" w:eastAsia="IRNazanin"/>
          <w:color w:val="111111"/>
          <w:sz w:val="28"/>
          <w:sz w:val="28"/>
          <w:szCs w:val="28"/>
          <w:rtl w:val="true"/>
          <w:lang w:bidi="fa-IR"/>
        </w:rPr>
        <w:t>مسأله را از راه اعتبار حل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ذمم متعدّده نسبت به مال واحد اشتغال پیدا کند؛ چرا که این مسأله یک امر اعتباری است و شارع مقدّس می‌تواند چنین اعتباری را لحاظ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نیز به نظر ما اشکال دارد؛ درست است که اعتبار، خفیف المؤونه و کم زحمت است، لیکن باید گفت که اعتبار هم ملاک لازم دارد و به محض آن که یک امری اعتباری شد، نمی‌توان هر چیزی را بر آن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ملکیت یک امر اعتباری نیست؟، چگونه است که در آن‌جا نمی‌شود یک مال واحد در زمان واحد به طور مستقل از برای دو نفر در عرض یکدیگر بالاستقلال باشد، در این بحث نیز به همین صورت است؛ و امکان ندارد که ذمم متعدده در آن واحد باهم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اشکال دوّم این است که تمام بحث در چگونگی و کیفیّت همین امر اعتباری است، و به دنبال این مطلب هستیم که شارع مقدّس بر حسب ادلّه اثباتی ذمّه‌های متعدد را نسبت به مال واحد مشغول می‌بیند، چگونه آن را اعتبار فرموده است</w:t>
      </w:r>
      <w:r>
        <w:rPr>
          <w:rFonts w:eastAsia="IRNazanin" w:cs="IRNazanin"/>
          <w:color w:val="111111"/>
          <w:sz w:val="28"/>
          <w:szCs w:val="28"/>
          <w:rtl w:val="true"/>
          <w:lang w:bidi="fa-IR"/>
        </w:rPr>
        <w:t>.</w:t>
      </w:r>
      <w:bookmarkStart w:id="303" w:name="pg877_5971"/>
    </w:p>
    <w:p>
      <w:pPr>
        <w:pStyle w:val="BookText"/>
        <w:rPr/>
      </w:pPr>
      <w:bookmarkEnd w:id="303"/>
      <w:r>
        <w:rPr>
          <w:rFonts w:ascii="IRNazanin" w:hAnsi="IRNazanin" w:eastAsia="IRNazanin"/>
          <w:color w:val="111111"/>
          <w:sz w:val="28"/>
          <w:sz w:val="28"/>
          <w:szCs w:val="28"/>
          <w:rtl w:val="true"/>
          <w:lang w:bidi="fa-IR"/>
        </w:rPr>
        <w:t>بنابراین، اعتبار، ملاک می‌خواهد و بدون آن نمی‌شود مطلبی را درست کرد</w:t>
      </w:r>
      <w:r>
        <w:rPr>
          <w:rFonts w:eastAsia="IRNazanin" w:cs="IRNazanin"/>
          <w:color w:val="111111"/>
          <w:sz w:val="28"/>
          <w:szCs w:val="28"/>
          <w:rtl w:val="true"/>
          <w:lang w:bidi="fa-IR"/>
        </w:rPr>
        <w:t>.</w:t>
      </w:r>
    </w:p>
    <w:p>
      <w:pPr>
        <w:pStyle w:val="Heading5"/>
        <w:numPr>
          <w:ilvl w:val="4"/>
          <w:numId w:val="1"/>
        </w:numPr>
        <w:rPr/>
      </w:pPr>
      <w:bookmarkStart w:id="304" w:name="__RefHeading___Toc105679_373438147"/>
      <w:bookmarkStart w:id="305" w:name="_Toc117"/>
      <w:bookmarkEnd w:id="304"/>
      <w:r>
        <w:rPr>
          <w:rtl w:val="true"/>
        </w:rPr>
        <w:t>جمع‌بندی و بیان پاسخ برگزیده</w:t>
      </w:r>
      <w:bookmarkEnd w:id="305"/>
    </w:p>
    <w:p>
      <w:pPr>
        <w:pStyle w:val="BookText"/>
        <w:rPr/>
      </w:pPr>
      <w:r>
        <w:rPr>
          <w:rFonts w:ascii="IRNazanin" w:hAnsi="IRNazanin" w:eastAsia="IRNazanin"/>
          <w:color w:val="111111"/>
          <w:sz w:val="28"/>
          <w:sz w:val="28"/>
          <w:szCs w:val="28"/>
          <w:rtl w:val="true"/>
          <w:lang w:bidi="fa-IR"/>
        </w:rPr>
        <w:t>روشن شد که هیچ یک از پاسخ‌های داده شده، خالی از اشکال و مناقشه نیست؛ اما بعد از ملاحظه همه آن‌ها، به نظر می‌رسد که جواب مرحوم آخوند خراسانی به واقع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عنوان مشکل مطرح است، وجود ضمان‌های متعدّد در عرض یکدیگر است که باعث مشغول شدن ذمّه‌های متعدّد در عرض یکدیگر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می‌توانیم ضمان را به واجب کفایی تنظیر نماییم؛ به این صورت که اگر یکی از آن‌ها ذمّه‌اش را نسبت به آن مال بری کند، از دیگر ذمّه‌ها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مهمّ بر نظریّه مرحوم آخوند همان مطلبی است که در کلام محقّق نائینی قدس سره آمده،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کلام مرحوم آخوند، وجودِ ضمان معلّق و غیر فعلی است، و چنین ضمانی، در حقیقت، به معنای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از این اشکال جواب داد؛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 هر یک از ایادی، به صورت منجّز و بالفعل محقّق است؛ نهایت این که، اگر یکی از این اشخاص آن را ادا کند، ذمّه دیگران بری می‌شود؛ و معنای این کلام، ضمان معلّق و غیر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 مرحوم نائینی اشکال می‌کنیم که چرا بین حکم تکلیفی و حکم وضعی فرق گذاشته‌اید، و چرا معنای موجودِ واجب کفایی را در حکم تکلیفی صحیح دانسته‌اید، اما در مورد حکم وضعی فرموده‌اید که این معنا محصّلی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نه تنها این معنا قابل تصویر در حکم وضعی ضمان است، بلکه موجب تعلیقی بودن آن نیز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مالک می‌تواند به هر کدام از صاحبان ید مراجعه کند، عین مال و یا بدل آن را دریافت کند</w:t>
      </w:r>
      <w:r>
        <w:rPr>
          <w:rFonts w:eastAsia="IRNazanin" w:cs="IRNazanin"/>
          <w:color w:val="111111"/>
          <w:sz w:val="28"/>
          <w:szCs w:val="28"/>
          <w:rtl w:val="true"/>
          <w:lang w:bidi="fa-IR"/>
        </w:rPr>
        <w:t>.</w:t>
      </w:r>
      <w:bookmarkStart w:id="306" w:name="pg877_5972"/>
    </w:p>
    <w:p>
      <w:pPr>
        <w:pStyle w:val="BookText"/>
        <w:rPr/>
      </w:pPr>
      <w:bookmarkEnd w:id="306"/>
      <w:r>
        <w:rPr>
          <w:rFonts w:ascii="IRNazanin" w:hAnsi="IRNazanin" w:eastAsia="IRNazanin"/>
          <w:color w:val="111111"/>
          <w:sz w:val="28"/>
          <w:sz w:val="28"/>
          <w:szCs w:val="28"/>
          <w:rtl w:val="true"/>
          <w:lang w:bidi="fa-IR"/>
        </w:rPr>
        <w:t>اما مسأله رجوع لاحق به سابق، فقط در صورتی مطرح است که غرور و فریب وجود داشته باشد؛ و این مطلب، ارتباطی به حدیث علی الید و ضمان مستفاد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مطلبی که باقی می‌ماند، این است که چرا دیگران می‌توانند به کسی که مال نزد او تلف شده است، رجوع کرده و خسارت از او دریافت کنند؟</w:t>
      </w:r>
    </w:p>
    <w:p>
      <w:pPr>
        <w:pStyle w:val="BookText"/>
        <w:rPr/>
      </w:pPr>
      <w:r>
        <w:rPr>
          <w:rFonts w:ascii="IRNazanin" w:hAnsi="IRNazanin" w:eastAsia="IRNazanin"/>
          <w:color w:val="111111"/>
          <w:sz w:val="28"/>
          <w:sz w:val="28"/>
          <w:szCs w:val="28"/>
          <w:rtl w:val="true"/>
          <w:lang w:bidi="fa-IR"/>
        </w:rPr>
        <w:t xml:space="preserve">اگر کسی که مال نزد او تلف شده، نسبت به دیگران عنوان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بحثی نیست و مطلب روشن است؛ اما اگر این شخص چنین عنوانی نداشته باشد،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او از این جهت است که وی می‌توانست با ادا کردن مال به مالک، ذمّه همه را بری کند؛ لیکن در این امر، تعلّل ورزید و از انجام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نظر عقلایی، مسؤولیت او بیش از دیگران است؛ و به همین جهت، دیگران می‌توانند در صورت عدم غرور به او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شود که بین این مطلب و آن چه که در گذشته به عنوان قرار ضمان مورد مناقشه قرار دادیم، تفاوت است</w:t>
      </w:r>
      <w:r>
        <w:rPr>
          <w:rFonts w:eastAsia="IRNazanin" w:cs="IRNazanin"/>
          <w:color w:val="111111"/>
          <w:sz w:val="28"/>
          <w:szCs w:val="28"/>
          <w:rtl w:val="true"/>
          <w:lang w:bidi="fa-IR"/>
        </w:rPr>
        <w:t>.</w:t>
      </w:r>
    </w:p>
    <w:p>
      <w:pPr>
        <w:pStyle w:val="Heading3"/>
        <w:numPr>
          <w:ilvl w:val="2"/>
          <w:numId w:val="1"/>
        </w:numPr>
        <w:rPr/>
      </w:pPr>
      <w:bookmarkStart w:id="307" w:name="__RefHeading___Toc105681_373438147"/>
      <w:bookmarkStart w:id="308" w:name="_Toc118"/>
      <w:bookmarkEnd w:id="307"/>
      <w:r>
        <w:rPr>
          <w:rtl w:val="true"/>
        </w:rPr>
        <w:t>فصل دوّم</w:t>
      </w:r>
      <w:r>
        <w:rPr>
          <w:rtl w:val="true"/>
        </w:rPr>
        <w:t>: «</w:t>
      </w:r>
      <w:r>
        <w:rPr>
          <w:rtl w:val="true"/>
        </w:rPr>
        <w:t>اخذ</w:t>
      </w:r>
      <w:r>
        <w:rPr>
          <w:rtl w:val="true"/>
        </w:rPr>
        <w:t>»</w:t>
      </w:r>
      <w:r>
        <w:rPr>
          <w:rtl w:val="true"/>
        </w:rPr>
        <w:t xml:space="preserve">، </w:t>
      </w:r>
      <w:r>
        <w:rPr>
          <w:rtl w:val="true"/>
        </w:rPr>
        <w:t>«</w:t>
      </w:r>
      <w:r>
        <w:rPr>
          <w:rtl w:val="true"/>
        </w:rPr>
        <w:t>مأخوذ</w:t>
      </w:r>
      <w:r>
        <w:rPr>
          <w:rtl w:val="true"/>
        </w:rPr>
        <w:t xml:space="preserve">» </w:t>
      </w:r>
      <w:r>
        <w:rPr>
          <w:rtl w:val="true"/>
        </w:rPr>
        <w:t>و دیگر مفردات روایت</w:t>
      </w:r>
      <w:bookmarkEnd w:id="308"/>
    </w:p>
    <w:p>
      <w:pPr>
        <w:pStyle w:val="Heading4"/>
        <w:numPr>
          <w:ilvl w:val="3"/>
          <w:numId w:val="1"/>
        </w:numPr>
        <w:rPr/>
      </w:pPr>
      <w:bookmarkStart w:id="309" w:name="__RefHeading___Toc105683_373438147"/>
      <w:bookmarkStart w:id="310" w:name="_Toc119"/>
      <w:bookmarkEnd w:id="309"/>
      <w:r>
        <w:rPr>
          <w:rtl w:val="true"/>
        </w:rPr>
        <w:t>گفتار اوّل</w:t>
      </w:r>
      <w:r>
        <w:rPr>
          <w:rtl w:val="true"/>
        </w:rPr>
        <w:t xml:space="preserve">: </w:t>
      </w:r>
      <w:r>
        <w:rPr>
          <w:rtl w:val="true"/>
        </w:rPr>
        <w:t>اعتبار اخذ و قبض در ضمان</w:t>
      </w:r>
      <w:bookmarkEnd w:id="310"/>
    </w:p>
    <w:p>
      <w:pPr>
        <w:pStyle w:val="BookText"/>
        <w:rPr/>
      </w:pPr>
      <w:r>
        <w:rPr>
          <w:rFonts w:ascii="IRNazanin" w:hAnsi="IRNazanin" w:eastAsia="IRNazanin"/>
          <w:color w:val="111111"/>
          <w:sz w:val="28"/>
          <w:sz w:val="28"/>
          <w:szCs w:val="28"/>
          <w:rtl w:val="true"/>
          <w:lang w:bidi="fa-IR"/>
        </w:rPr>
        <w:t>از نکات قابل بحث در این حدیث، آن است که آیا لازم است شخص ضامن، مال را از دیگری به نحو عدوانی اخذ و یا قبض نموده باشد، یا آن که این عنوان خصوصیت ندارد و چنان چه مالی در اختیار کسی باشد بدون آن که از طرف مالک و یا شارع مأذون باشد، باز هم مسأله ضمان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مواردی که فقها به این قاعده استدلال نموده‌اند، ملاحظه می‌نماییم که ملاک مأذون نبودن از طرف مالک ویا شارع است؛ و عنوان اخذ یا قبض، یک عنوان غالبی است که 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فقها به این قاعده تمسک کرده‌اند و عنوان اخذ و قبض در آن خصوصیت ندارد، می‌توان به موارد زیر اشاره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زکات، فقها فتوا داده‌اند که چنان چه مالک، زکات را از مال</w:t>
      </w:r>
      <w:bookmarkStart w:id="311" w:name="pg877_5975"/>
    </w:p>
    <w:p>
      <w:pPr>
        <w:pStyle w:val="BookText"/>
        <w:rPr/>
      </w:pPr>
      <w:bookmarkEnd w:id="311"/>
      <w:r>
        <w:rPr>
          <w:rFonts w:ascii="IRNazanin" w:hAnsi="IRNazanin" w:eastAsia="IRNazanin"/>
          <w:color w:val="111111"/>
          <w:sz w:val="28"/>
          <w:sz w:val="28"/>
          <w:szCs w:val="28"/>
          <w:rtl w:val="true"/>
          <w:lang w:bidi="fa-IR"/>
        </w:rPr>
        <w:t>خویش جدا کند و کنار بگذارد تا آن را به مستحق برساند؛ در صورتی که تمکّن و توانایی این امر را داشته باشد و انجام ندهد، ضامن است؛ و برای ضمان، به عموم قاعده علی الید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اوّل قدس سره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عزل المالک الزکاة إمّا وجوباً عند ادراک الوفاة أو ندباً، فإن لم یکن تمکّن من الإخراج فلا ضمان مع التلف وإلّا ضمن لقاعدة الید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باب زکات آمده است که اگر مالک، با وجود مستحقّ در شهر، زکات را به بلد و شهر دیگری منتقل کند و در راه، این مال تلف شود، ضامن است؛ در این مورد نیز برای ضمان به قاعده علی الید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زکات را به شخص غنی بپردازد، اعمّ از این که نسبت به حرمت این عمل، جاهل باشد و یا این که از روی علم و عمد آن را انجام دهد، لازم است از او پس بگیرد؛ و چنان چه مال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خمس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خمس مال، بعد از استقرار آن، تلف شود، ضمان وجود دارد؛ و برای ضمان به عموم علی الید استدلال شده است</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312" w:name="__RefHeading___Toc105685_373438147"/>
      <w:bookmarkStart w:id="313" w:name="_Toc120"/>
      <w:bookmarkEnd w:id="312"/>
      <w:r>
        <w:rPr>
          <w:rtl w:val="true"/>
        </w:rPr>
        <w:t>گفتار دوّم</w:t>
      </w:r>
      <w:r>
        <w:rPr>
          <w:rtl w:val="true"/>
        </w:rPr>
        <w:t xml:space="preserve">: </w:t>
      </w:r>
      <w:r>
        <w:rPr>
          <w:rtl w:val="true"/>
        </w:rPr>
        <w:t>مراد از مال مأخوذ چیست ؟</w:t>
      </w:r>
      <w:bookmarkEnd w:id="313"/>
    </w:p>
    <w:p>
      <w:pPr>
        <w:pStyle w:val="BookText"/>
        <w:rPr/>
      </w:pPr>
      <w:r>
        <w:rPr>
          <w:rFonts w:ascii="IRNazanin" w:hAnsi="IRNazanin" w:eastAsia="IRNazanin"/>
          <w:color w:val="111111"/>
          <w:sz w:val="28"/>
          <w:sz w:val="28"/>
          <w:szCs w:val="28"/>
          <w:rtl w:val="true"/>
          <w:lang w:bidi="fa-IR"/>
        </w:rPr>
        <w:t>از نکات دیگر قابل طرح در بحث از این قاعده، آن است که مراد از مأخوذ یا مقبوض چیست؟ آیا لازم است که مال اخذ شده از اموال آدمی باشد که متعلّق ملک یا حق آنان است، یا این که قاعده به این عنوان اختصاص ندارد و بلکه در مورد غیر اموال آدمی نیز جریان دارد؟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کلمات فقها استفاده می‌شود که چنین اختصاصی وجود ندارد؛</w:t>
      </w:r>
    </w:p>
    <w:p>
      <w:pPr>
        <w:pStyle w:val="BookText"/>
        <w:rPr/>
      </w:pPr>
      <w:r>
        <w:rPr>
          <w:rFonts w:ascii="IRNazanin" w:hAnsi="IRNazanin" w:eastAsia="IRNazanin"/>
          <w:color w:val="111111"/>
          <w:sz w:val="28"/>
          <w:sz w:val="28"/>
          <w:szCs w:val="28"/>
          <w:rtl w:val="true"/>
          <w:lang w:bidi="fa-IR"/>
        </w:rPr>
        <w:t>بلکه در برخی از موارد، نسبت به صید در حال احرام به آن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قدس سره در کتاب منتهی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ملک صیداً فی الحلّ بأحد أسالیب التملّک فلا یُحرم حتّی یحلیّه ولا یدخل معه الحرم فإن أدخله زال ملکه عنه ووجب إرساله لأنّ الحرم مأمن له وهذا الحکم مقطوع به فی کلام الأصحاب وأسنده العلّامة فی المنتهی إلی علمائنا مؤذناً بدعوی الإجماع علیه فلو أهمل فی الإرسال ومات قبل إرساله ولو لآفة سماویة أو أتلفه وجب علیه ضمانه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استدلال بر ضمان در این فرض که محرِم صید را رها ننموده و در دست او تلف شده است، علاوه بر روایات موجوده مانند صحیحه‌ی بکیر</w:t>
      </w:r>
      <w:r>
        <w:rPr>
          <w:rStyle w:val="FootnoteAnchor"/>
          <w:rtl w:val="true"/>
        </w:rPr>
        <w:footnoteReference w:id="167"/>
      </w:r>
      <w:r>
        <w:rPr>
          <w:rFonts w:ascii="IRNazanin" w:hAnsi="IRNazanin" w:eastAsia="IRNazanin"/>
          <w:color w:val="111111"/>
          <w:sz w:val="28"/>
          <w:sz w:val="28"/>
          <w:szCs w:val="28"/>
          <w:rtl w:val="true"/>
          <w:lang w:bidi="fa-IR"/>
        </w:rPr>
        <w:t>و اجماع، به قاعده‌ی علی الید نیز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در منتهی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تلف تحت الید العادیة فلزمه الضمان کمال الآدمی</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مرحوم صاحب جواهر قدس سره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حینئذ مضموناً بالدخول تحت الید العادیة فکان کالمغصوب</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استدلال به قاعده علی الید در چنین موردی صحیح نباشد؛ زیرا، در چنین فرضی، غایت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امکان تحقّق ندارد؛ و اگر واقعاً ضمان وجود داشته باشد، به چه کسی باید ادا نماید؟</w:t>
      </w:r>
      <w:bookmarkStart w:id="314" w:name="pg877_5977"/>
    </w:p>
    <w:p>
      <w:pPr>
        <w:pStyle w:val="BookText"/>
        <w:rPr/>
      </w:pPr>
      <w:bookmarkEnd w:id="314"/>
      <w:r>
        <w:rPr>
          <w:rFonts w:ascii="IRNazanin" w:hAnsi="IRNazanin" w:eastAsia="IRNazanin"/>
          <w:color w:val="111111"/>
          <w:sz w:val="28"/>
          <w:sz w:val="28"/>
          <w:szCs w:val="28"/>
          <w:rtl w:val="true"/>
          <w:lang w:bidi="fa-IR"/>
        </w:rPr>
        <w:t>مگر این که فرض کنیم صیدی را قبلاً از شخص مُحلّ که مالک بوده، اخذ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آن است که در چنین موردی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صید در دست مُحرم تلف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باید کفّاره آن را بپردازد و بین ضمان و کفّاره فرق واضح و روشنی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روایت وارده در این مورد،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أحدهما علیهما السلام عن رجل أصاب طیراً فی الحلّ فاشتراه فأدخله الحرم فمات؟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حین أدخله الرحم خلی سبیله فلا شیء علیه، وإن کان أمسکه حتّی مات فعلیه الفداء</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105687_373438147"/>
      <w:bookmarkStart w:id="316" w:name="_Toc121"/>
      <w:bookmarkEnd w:id="315"/>
      <w:r>
        <w:rPr>
          <w:rtl w:val="true"/>
        </w:rPr>
        <w:t>گفتار سوم</w:t>
      </w:r>
      <w:r>
        <w:rPr>
          <w:rtl w:val="true"/>
        </w:rPr>
        <w:t xml:space="preserve">: </w:t>
      </w:r>
      <w:r>
        <w:rPr>
          <w:rtl w:val="true"/>
        </w:rPr>
        <w:t>لزوم مالیّت داشتن مأخوذ</w:t>
      </w:r>
      <w:bookmarkEnd w:id="316"/>
    </w:p>
    <w:p>
      <w:pPr>
        <w:pStyle w:val="BookText"/>
        <w:rPr/>
      </w:pPr>
      <w:r>
        <w:rPr>
          <w:rFonts w:ascii="IRNazanin" w:hAnsi="IRNazanin" w:eastAsia="IRNazanin"/>
          <w:color w:val="111111"/>
          <w:sz w:val="28"/>
          <w:sz w:val="28"/>
          <w:szCs w:val="28"/>
          <w:rtl w:val="true"/>
          <w:lang w:bidi="fa-IR"/>
        </w:rPr>
        <w:t>پرسش دیگری که وجود دارد، این است که آیا لازم است مأخوذ مالیّت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موردی که شیء مالیّت داشته باشد، ندارد؛ بلکه چنان چه چیزی که از نظر عرفی و عقلایی مالیّت ندارد نیز مورد غصب واقع گردد، این حدیث در آن مورد هم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چنان چه یک دانه و یا دو دانه گندم که از نظر عرفی مالیّت ندارد و در مقابل آن مالی پرداخت نمی‌شود، مورد غصب قرار گیرد، به مقتضای حدیث علی الید ردّ آن به مالک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ثانی قدس سره در جامع المقاصد آورده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أجزاء الملک وإن بلغت القلّة مملوکة قطعاً، ولا یجوز لأحد إنتزاعها غصباً، ویجب ردّ العین، ومع التلف فالمثل،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317" w:name="pg877_5979"/>
    </w:p>
    <w:p>
      <w:pPr>
        <w:pStyle w:val="Heading4"/>
        <w:numPr>
          <w:ilvl w:val="3"/>
          <w:numId w:val="1"/>
        </w:numPr>
        <w:rPr/>
      </w:pPr>
      <w:bookmarkStart w:id="318" w:name="__RefHeading___Toc105689_373438147"/>
      <w:bookmarkStart w:id="319" w:name="_Toc122"/>
      <w:bookmarkEnd w:id="317"/>
      <w:bookmarkEnd w:id="318"/>
      <w:r>
        <w:rPr>
          <w:rtl w:val="true"/>
        </w:rPr>
        <w:t>گفتار چهارم</w:t>
      </w:r>
      <w:r>
        <w:rPr>
          <w:rtl w:val="true"/>
        </w:rPr>
        <w:t xml:space="preserve">: </w:t>
      </w:r>
      <w:r>
        <w:rPr>
          <w:rtl w:val="true"/>
        </w:rPr>
        <w:t>مقصود از اداء چیست ؟</w:t>
      </w:r>
      <w:bookmarkEnd w:id="319"/>
    </w:p>
    <w:p>
      <w:pPr>
        <w:pStyle w:val="BookText"/>
        <w:rPr/>
      </w:pPr>
      <w:r>
        <w:rPr>
          <w:rFonts w:ascii="IRNazanin" w:hAnsi="IRNazanin" w:eastAsia="IRNazanin"/>
          <w:color w:val="111111"/>
          <w:sz w:val="28"/>
          <w:sz w:val="28"/>
          <w:szCs w:val="28"/>
          <w:rtl w:val="true"/>
          <w:lang w:bidi="fa-IR"/>
        </w:rPr>
        <w:t>اگر چنان چه مال غیر، در جهتی استفاده شود که از نظر عرف، جدا کردن آن مال از آن جهت، عادتاً ممکن نباشد، مثلاً چنان چه کسی آهن یا آجری را غصب کند و از آن در یک ساختمان استفاده کند، به خصوص که آن ساختمان، ساختمان بزرگی باشد؛ یا مثلاً نخی را در دوختن لباس و یا جرّاحی انسان و حیوانی به کار برده است؛ و یا آن که به واسطه مخلوط و ممزوج نمودن آن چیز با مال دیگری، برگرداندن مال زا نظر عرف متعذّر باشد، تکلیف آن به چه صورتی است؟ در این که با این عمل، شخص مرتکب حرام و معصیت شده، تردیدی وجود ندارد؛ اما سؤال این است که در چنین مواردی آیا ردّ عین، که مستلزم تخریب ساختمان بسیار عظیم بوده، واجب است؟ یا این که می‌توان گفت چنین مواردی، در حکم تلف است و باید مثل و یا قیمت آن را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چنان چه بازگرداندن مال موجب تلف نفس محترم و یا حیوانی گردد، جایز نیست که عین مال را بازگرداند؛ و از مواردی است که امتناع شرعی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والممتنع شرعاً کالممتنع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تردیدی نیست اگر غاصب، این مال را با مال شخص سوّمی مرتبط سازد، مثلاً آن را در ساختمان دیگری به کار ببرد، در حکم تالف است و غاصب باید بدل آن را به مالک بپردازد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و محلّ کلام در موردی است که غاصب آن مال غصبی را در ساختمان و اموال مربوط به خود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این فرض بیان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غصب ساجة</w:t>
      </w:r>
      <w:r>
        <w:rPr>
          <w:rStyle w:val="FootnoteAnchor"/>
          <w:rtl w:val="true"/>
        </w:rPr>
        <w:footnoteReference w:id="172"/>
      </w:r>
      <w:r>
        <w:rPr>
          <w:rFonts w:ascii="IRNazanin" w:hAnsi="IRNazanin" w:eastAsia="IRNazanin"/>
          <w:color w:val="111111"/>
          <w:sz w:val="28"/>
          <w:sz w:val="28"/>
          <w:szCs w:val="28"/>
          <w:rtl w:val="true"/>
          <w:lang w:bidi="fa-IR"/>
        </w:rPr>
        <w:t>فادرجها فی بنائه أو بنی علیه، لم یملک الغاصب الساجة، وکان علیه ردّها إلی مالکها وإن کان فی ذلک قلع ما بناه فی ملکه</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کسی چوبی را غصب کند و در ساختمان بکار ببرد، مالک آن چوب نمی‌شود و واجب است آن را به مالک رد نماید؛ هر چند که ردّ آن مستلزم از بین بردن ساختمان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علمای عامّه، شافعی</w:t>
      </w:r>
      <w:r>
        <w:rPr>
          <w:rStyle w:val="FootnoteAnchor"/>
          <w:rtl w:val="true"/>
        </w:rPr>
        <w:footnoteReference w:id="174"/>
      </w:r>
      <w:r>
        <w:rPr>
          <w:rFonts w:ascii="IRNazanin" w:hAnsi="IRNazanin" w:eastAsia="IRNazanin"/>
          <w:color w:val="111111"/>
          <w:sz w:val="28"/>
          <w:sz w:val="28"/>
          <w:szCs w:val="28"/>
          <w:rtl w:val="true"/>
          <w:lang w:bidi="fa-IR"/>
        </w:rPr>
        <w:t>، مالک</w:t>
      </w:r>
      <w:r>
        <w:rPr>
          <w:rStyle w:val="FootnoteAnchor"/>
          <w:rtl w:val="true"/>
        </w:rPr>
        <w:footnoteReference w:id="175"/>
      </w:r>
      <w:r>
        <w:rPr>
          <w:rFonts w:ascii="IRNazanin" w:hAnsi="IRNazanin" w:eastAsia="IRNazanin"/>
          <w:color w:val="111111"/>
          <w:sz w:val="28"/>
          <w:sz w:val="28"/>
          <w:szCs w:val="28"/>
          <w:rtl w:val="true"/>
          <w:lang w:bidi="fa-IR"/>
        </w:rPr>
        <w:t>و احمد</w:t>
      </w:r>
      <w:r>
        <w:rPr>
          <w:rStyle w:val="FootnoteAnchor"/>
          <w:rtl w:val="true"/>
        </w:rPr>
        <w:footnoteReference w:id="176"/>
      </w:r>
      <w:r>
        <w:rPr>
          <w:rFonts w:ascii="IRNazanin" w:hAnsi="IRNazanin" w:eastAsia="IRNazanin"/>
          <w:color w:val="111111"/>
          <w:sz w:val="28"/>
          <w:sz w:val="28"/>
          <w:szCs w:val="28"/>
          <w:rtl w:val="true"/>
          <w:lang w:bidi="fa-IR"/>
        </w:rPr>
        <w:t>همین نظریّه را دارند؛ لیکن ابوحنیفه با این نظریّه مخالفت کرده، و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ساجه واجب نیست و بکله شخص غاصب باید قیمت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خلاف</w:t>
      </w:r>
      <w:r>
        <w:rPr>
          <w:rStyle w:val="FootnoteAnchor"/>
          <w:rtl w:val="true"/>
        </w:rPr>
        <w:footnoteReference w:id="177"/>
      </w:r>
      <w:r>
        <w:rPr>
          <w:rFonts w:ascii="IRNazanin" w:hAnsi="IRNazanin" w:eastAsia="IRNazanin"/>
          <w:color w:val="111111"/>
          <w:sz w:val="28"/>
          <w:sz w:val="28"/>
          <w:szCs w:val="28"/>
          <w:rtl w:val="true"/>
          <w:lang w:bidi="fa-IR"/>
        </w:rPr>
        <w:t>و ابن ادریس در سرائر</w:t>
      </w:r>
      <w:r>
        <w:rPr>
          <w:rStyle w:val="FootnoteAnchor"/>
          <w:rtl w:val="true"/>
        </w:rPr>
        <w:footnoteReference w:id="178"/>
      </w:r>
      <w:r>
        <w:rPr>
          <w:rFonts w:ascii="IRNazanin" w:hAnsi="IRNazanin" w:eastAsia="IRNazanin"/>
          <w:color w:val="111111"/>
          <w:sz w:val="28"/>
          <w:sz w:val="28"/>
          <w:szCs w:val="28"/>
          <w:rtl w:val="true"/>
          <w:lang w:bidi="fa-IR"/>
        </w:rPr>
        <w:t>، یکی از ادلّه‌ی فتوای خود را حدیث علی الید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در چنین موردی، عرف، حکم به تلف می‌کند؛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یا آجر و یا آهنی که در یک ساختمان به کار رفته است، از نظر عرف در حکم تلف است؛ و در این صورت، نوبت به مثل و یا قیمت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غایت در این حدیث، اداء است، به شرط آن که از نظر عرف، امکان ادا باشد؛ و در چنین مواردی، امکان ادا عرفاً وجود ندارد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بجنوردی به این نظریّه تمایل پیدا کرده‌اند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ایشان پس از آن که نقل می‌کنند فقها در چنین مواردی قائل به وجوب ردّ شده‌اند،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الإنصاف، أنّ الإلتزام بهذا مشکل ویأباه الذوق الفقهی خصوصاً إذا کان موجباً لضرر مالی عظیم کما إذا کان المغصوب خشبة وصغها الغاصب فی أساس بنائه بحیث یکون ردّها موجباً لهدم ذلک البنیان العظیم، فالاُولی أن یقال بأنّه فی حکم التلف إن کان التعذّر دائمیّاً ومورد بدل الحیلولة إن کان موقتاً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آن است که التزام به این قول مشکل بوده، و ذوق فقهی آن را برنمی‌تابد؛ به خصوص آن که موجب ضرر مالی بسیار بزرگی شود؛ مانند این که مال غصب شده چوبی باشد و غاصب آن را در پِی و اساس ساختمان به کار برده باشد، و بازگرداندن عین آن چوب باعث ویرانی آن ساختمان عظیم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سزاوارتر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حکم تلف است، در صورتی که تعذّر دائمی باشد؛ اما اگر تعذّر موقّتی باشد، غاصب باید بدل حیلوله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بعید نیست در چنین موردی از قاعده لا ضرر نیز استفاده شود؛ به این بیان که حکم شارع به قَلع بنایی که بسیار عظیم بوده و مخارج زیادی برای او پرداخت شده است، جهت رد نمودن یک آجر و یا یک شاخه آهن، حکم ضرری است، که به موجب این قاعده، مورد نفی واقع شده است؛ و در موردی که برای عین، بدلی مانند مثل یا قیمت وجود دارد، با جریان قاعده لا ضرر می‌توان گفت که دیگر ردّ عین لازم نیست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فرع، می‌توان نظیر آن را نیز استفاده کرد؛ و آن این که اگر رد عین مال مستلزم مخارج زیادی باشد، مثلاً عین را در یکی از نقاط بسیار دور دست قرار داده است که از نظر عرف باید صدها برابر قیمت آن را خرج کند تا بتواند آن مال را بدست آورد و به مالکش برگرداند؛ در این فرض هم می‌توانیم بگوئیم عین مال در حکم شییء تلف شده است، و نوبت به مثل یا قیمت آن</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فرع هم همان دلیل فرع گذشته است، و باید اینطور بیان نمائیم که غایت در حدیث، در صورتی است که ادا از نظر عرف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صورتی که عین مال موجود باشد، و لیکن غاصب در آن تغییری ایجاد نموده است؛ مانند این که گندمی را غصب نموده و آن را تبدیل به آرد و نان نموده است، یا این که گوسفندی را غصب نموده، آن را ذبح کرده و به اجزای مختلفی تقسیم نموده است؛ در این صورت، از نظر عرف، ردّ و ادای عین مال امکان دارد و می‌توان به حدیث علی الید استدلال نمود؛ و همان طور که متقدّمین و متأخّرین از فقهای شیعه</w:t>
      </w:r>
      <w:r>
        <w:rPr>
          <w:rStyle w:val="FootnoteAnchor"/>
          <w:rtl w:val="true"/>
        </w:rPr>
        <w:footnoteReference w:id="180"/>
      </w:r>
      <w:r>
        <w:rPr>
          <w:rFonts w:ascii="IRNazanin" w:hAnsi="IRNazanin" w:eastAsia="IRNazanin"/>
          <w:color w:val="111111"/>
          <w:sz w:val="28"/>
          <w:sz w:val="28"/>
          <w:szCs w:val="28"/>
          <w:rtl w:val="true"/>
          <w:lang w:bidi="fa-IR"/>
        </w:rPr>
        <w:t>و کثیری از فقهای عامّه مانند شافعی و احمد</w:t>
      </w:r>
      <w:r>
        <w:rPr>
          <w:rStyle w:val="FootnoteAnchor"/>
          <w:rtl w:val="true"/>
        </w:rPr>
        <w:footnoteReference w:id="181"/>
      </w:r>
      <w:r>
        <w:rPr>
          <w:rFonts w:ascii="IRNazanin" w:hAnsi="IRNazanin" w:eastAsia="IRNazanin"/>
          <w:color w:val="111111"/>
          <w:sz w:val="28"/>
          <w:sz w:val="28"/>
          <w:szCs w:val="28"/>
          <w:rtl w:val="true"/>
          <w:lang w:bidi="fa-IR"/>
        </w:rPr>
        <w:t>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عین مال را به مالک ردّ نماید و ارش و تفاوت را نیز به او بپردازد، و اگر با تغییر ازدیاد قیمت پیدا کرد، غاصب استحقاق چیزی را ندارد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آن است که اگر مال مالک با مال شخص دیگری مخلوط و یا ممزوج شود، در این صورت، چنان چه استهلاکی</w:t>
      </w:r>
      <w:r>
        <w:rPr>
          <w:rStyle w:val="FootnoteAnchor"/>
          <w:rtl w:val="true"/>
        </w:rPr>
        <w:footnoteReference w:id="182"/>
      </w:r>
      <w:r>
        <w:rPr>
          <w:rFonts w:ascii="IRNazanin" w:hAnsi="IRNazanin" w:eastAsia="IRNazanin"/>
          <w:color w:val="111111"/>
          <w:sz w:val="28"/>
          <w:sz w:val="28"/>
          <w:szCs w:val="28"/>
          <w:rtl w:val="true"/>
          <w:lang w:bidi="fa-IR"/>
        </w:rPr>
        <w:t>واقع شده باشد، مانند این</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مالک نمک باشد و این نمک با خمیری مخلوط شود؛ این صورت، در حکم تلف است، و غاصب باید بدل آن را به مالک بپردازد؛ و چنان چه استهلاکی واقع نشده باشد، اما قابل جدا کردن از یکدیگر نباشند، در این جا به صورت کلّی دو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هر دو مال از نظر قیمت مساوی با یکدیگرند؛ در این فرض، تردیدی نیست که شرکت به نسبت مقدار هر کدام از دو مال است؛ اگر مال یکی دو برابر مال دیگری باشد، در مال مخلوط شده نیز به همین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یک سوم و دو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آن دو مال مخلوط شده، از نظر قیمت با یکدیگر مساوی نباشند؛ 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دارای یک کیلو برنج غیر مرغوب به قیمت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دیگری دو کیلو برنج مرغوب به قیمت </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داشته باشد؛ در این صورت، تردیدی نیست که شرکت قهری بین این دو طرف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مقدار شرکت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دو فرض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دو مال به توسط شخص غاصب انجام نگیرد؛ و بلکه خود به خود آن دو مال مخلوط شوند، و یا آن که توسط شخص دیگری که غاصب نیست این دو مال مخلوط شوند، مانند مواردی که به اشتباه امتزاج صورت می‌گیرد و غصبی نیز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بخواهیم بگوییم نسبت هر کدام از مال‌ها در مال ممزوج همان نسبت قبل است، مستلزم ربا خواهد شد؛ زیرا، در مثال فوق، نسبت دوّمی به اوّلی دو برابر است، و اگر همان نسبت انجام شود، نتیجه آن می‌شود که مالک مالی را داده و در مقابل، از همان جنس با اضافه دریافت نموده، و این مستلزم ربا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فرض، لازم است قیمت هر کدام را نسبت به یکدیگر محاسبه نموده، و سپس، قیمت مجموع را نیز به دست آوریم؛ و در مرحله سوم، نسبت اوّل را از مجموع کسر نماییم؛ چون نسبت اوّل آن است که قیمت</w:t>
      </w:r>
    </w:p>
    <w:p>
      <w:pPr>
        <w:pStyle w:val="BookText"/>
        <w:rPr/>
      </w:pPr>
      <w:r>
        <w:rPr>
          <w:rFonts w:ascii="IRNazanin" w:hAnsi="IRNazanin" w:eastAsia="IRNazanin"/>
          <w:color w:val="111111"/>
          <w:sz w:val="28"/>
          <w:sz w:val="28"/>
          <w:szCs w:val="28"/>
          <w:rtl w:val="true"/>
          <w:lang w:bidi="fa-IR"/>
        </w:rPr>
        <w:t>دوّمی دو برابر و نیم اوّلی است، در قیمت مجموع باید همین را ملاحظه کنیم؛ لذا، دو برابر و نیم از مال مخلوط شده مربوط به شخصی که دارای برنج مرغوب بوده می‌شود، و بقیه مال به مالک برنج غیر مرغوب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مثال فوق، اگر قیمت برنج مخلوط شده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باشد، باید آن را سه قسمت کرد و دو قسمت نیم را به مالک برنج مرغوب داد که می‌شود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نیم قسمت را به مالک برنج غیر مرغوب داد که می‌شود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به همین قسمت از عین مال شریکند؛ یعنی از برنج مخلوط شده به مقدار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مالک برنج غیر مرغوب، و به مقدار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مالک برنج مرغوب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بجنوردی نیز در این فرض، همین نظریّه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وأن تکون الشرکة بنسبة قیمة المالین فی قیمة مجموع الممتزجین، لا فی نفس الممتزجین کی لا یلزم الربا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دوّم، این که مخلوط شدن دو مال توسط شخص غاصب انجام پذیرد؛ این فرض نیز دارای دو صورت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یا آن مال را با مال خودش مخلوط می‌کند و یا با مال دیگر آن را مخلوط می‌سازد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اوّل، یا مال غاصب از مال مالک بهتر است و یا عکس آن است؛ در قسم اوّل که مال غاصب بهتر است، ظاهر آن است که نسبت به مقدار هر دو مال شراکت حاصل می‌شود؛ مثلاً اگر قبل از مخلوط شدن، مال غاصب یک کیلو و مال مالک دو کیلو بوده است، بعد از مخلوط شدن، نسبت به مال موجود، همین نسبت برقرار است؛ یعنی دو سوم مربوط به مالک و یک سوم مربوط به غاصب است؛ و اگر اشکال شود که این دو سوم مالک قیمتش بیشتر از آن دو کیلوی قبل از مخلوط شدن است، در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رزقی</w:t>
      </w:r>
      <w:bookmarkStart w:id="320" w:name="pg877_5992"/>
    </w:p>
    <w:p>
      <w:pPr>
        <w:pStyle w:val="BookText"/>
        <w:rPr/>
      </w:pPr>
      <w:bookmarkEnd w:id="320"/>
      <w:r>
        <w:rPr>
          <w:rFonts w:ascii="IRNazanin" w:hAnsi="IRNazanin" w:eastAsia="IRNazanin"/>
          <w:color w:val="111111"/>
          <w:sz w:val="28"/>
          <w:sz w:val="28"/>
          <w:szCs w:val="28"/>
          <w:rtl w:val="true"/>
          <w:lang w:bidi="fa-IR"/>
        </w:rPr>
        <w:t>است که خداوند قسمت او نموده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 به نظر می‌رسد که این مطلب صحیح نباشد؛ و در این صورت نیز ربا لازم می‌آید؛ بنابراین، در این قسم نیز باید همانند فرض اوّل از فروض مسأله عمل نمود؛ و نسبت قیمت هر کدام از دو مال به یکدیگر را بررسی کرده و به همان نسبت، از مجموع قیمت به هر یک داده شود؛ تا نسبت به مالک اضافه‌ای و نسبت به غاصب نقصانی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دوّم که مال مالک بهتر است، ظاهر آن است که این قسم نیز همان حکم قسم اوّل را دارد و نمی‌توان بین این دو فرقی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تفاوتی را که مرحوم محقّق بجنوردی بین این دو قسم از صورت اوّل بیان کرده‌اند،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فرض نیز آن است که غاصب مال مالک را با مال شخص دیگری غیر از خودش مخلوط کرده باشد؛ در این صورت نیز همانند صورت اوّل، به نظر می‌رسد که بایستی قیمت هر کدام از دو مال را نسبت به یکدیگر ملاحظه کرد، و همان نسبت را از قیمت مجموع به هر یک از دو مالک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آن است که استدلال و یا استیناس به این تعبیر که در مواردی زیاده قیمت را برای یکی از دو طرف بپذیریم، و دلیل آن را رزقٌ رَزَقه اللّه تعالی قرار دهیم، علاوه بر این که فاقد اعتبار و استناد فقهی است، باید گفت که چنین تعبیری، مصادره به مطلوب بوده و به هیچ عنوان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321" w:name="__RefHeading___Toc105691_373438147"/>
      <w:bookmarkStart w:id="322" w:name="_Toc123"/>
      <w:bookmarkEnd w:id="321"/>
      <w:r>
        <w:rPr>
          <w:rtl w:val="true"/>
        </w:rPr>
        <w:t>گفتار پنجم</w:t>
      </w:r>
      <w:r>
        <w:rPr>
          <w:rtl w:val="true"/>
        </w:rPr>
        <w:t xml:space="preserve">: </w:t>
      </w:r>
      <w:r>
        <w:rPr>
          <w:rtl w:val="true"/>
        </w:rPr>
        <w:t>ظهور غایت مذکور در روایت، در ردّ تام</w:t>
      </w:r>
      <w:bookmarkEnd w:id="32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مطالب مورد بحث در قاعده ضمان ید، آن است که از غایت مذکور در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استفاده‌ای می‌شود؟ آیا از آن استفاده می‌شود که</w:t>
      </w:r>
    </w:p>
    <w:p>
      <w:pPr>
        <w:pStyle w:val="BookText"/>
        <w:rPr/>
      </w:pPr>
      <w:r>
        <w:rPr>
          <w:rFonts w:ascii="IRNazanin" w:hAnsi="IRNazanin" w:eastAsia="IRNazanin"/>
          <w:color w:val="111111"/>
          <w:sz w:val="28"/>
          <w:sz w:val="28"/>
          <w:szCs w:val="28"/>
          <w:rtl w:val="true"/>
          <w:lang w:bidi="fa-IR"/>
        </w:rPr>
        <w:t>مجرّد وصول و ردّ مال به مالک، در رفع ضمان کفایت می‌کند، هر چند که مالک جاهل به موضوع باشد؟ یا این که غایت ظهور در ردّ تام و کامل دارد، به این معنی که لازم است مالک، علم به موضوع داشته باشد و سلطنت کامل بر مال خودش پیدا کند وگرنه ادا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حقّ در مسأله، قول دوّم است؛ به این دلیل که حدیث ظهور دارد که بعد از ادا، مالک باید سلطنت کامل و تامّی را بر مال خودش پیدا نماید؛ و چنان چه جاهل باشد، چنین سلطنتی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غاصب مقداری از مال را به مالک برگرداند و یااین که به مالک اجازه دهد تصرّفات محدودی نسبت به مال خودش داشته باشد، مثلاً به او بگوید هر روز می‌توانی این مال را از این مکان به آن مکان معیّن انتقال دهی و سپس آن را به مکان قبل برگردانی، تردیدی نیست که در این دو فرض، ادا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حدیث استفاده می‌شود مال باید به همان صورتی که قبل از غصب در اختیار مالک بوده، در اختیار او داده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اگر غاصب طعامی را غصب کند و سپس همان طعام را در اختیار مالک قرار دهد و او بخورد، بدون آن که علم به موضوع داشته باشد، ضمان غاصب بر طرف نمی‌شود</w:t>
      </w:r>
      <w:r>
        <w:rPr>
          <w:rFonts w:eastAsia="IRNazanin" w:cs="IRNazanin"/>
          <w:color w:val="111111"/>
          <w:sz w:val="28"/>
          <w:szCs w:val="28"/>
          <w:rtl w:val="true"/>
          <w:lang w:bidi="fa-IR"/>
        </w:rPr>
        <w:t>.</w:t>
      </w:r>
      <w:bookmarkStart w:id="323" w:name="pg877_5996"/>
    </w:p>
    <w:p>
      <w:pPr>
        <w:pStyle w:val="Heading2"/>
        <w:numPr>
          <w:ilvl w:val="1"/>
          <w:numId w:val="1"/>
        </w:numPr>
        <w:rPr/>
      </w:pPr>
      <w:bookmarkStart w:id="324" w:name="__RefHeading___Toc105693_373438147"/>
      <w:bookmarkStart w:id="325" w:name="_Toc124"/>
      <w:bookmarkEnd w:id="323"/>
      <w:bookmarkEnd w:id="324"/>
      <w:r>
        <w:rPr>
          <w:rtl w:val="true"/>
        </w:rPr>
        <w:t>بخش سوم</w:t>
      </w:r>
      <w:r>
        <w:rPr>
          <w:rtl w:val="true"/>
        </w:rPr>
        <w:t xml:space="preserve">: </w:t>
      </w:r>
      <w:r>
        <w:rPr>
          <w:rtl w:val="true"/>
        </w:rPr>
        <w:t>تنبیهات قاعده ی ضمان ید</w:t>
      </w:r>
      <w:bookmarkEnd w:id="325"/>
    </w:p>
    <w:p>
      <w:pPr>
        <w:pStyle w:val="Heading3"/>
        <w:numPr>
          <w:ilvl w:val="2"/>
          <w:numId w:val="1"/>
        </w:numPr>
        <w:rPr/>
      </w:pPr>
      <w:bookmarkStart w:id="326" w:name="__RefHeading___Toc105695_373438147"/>
      <w:bookmarkStart w:id="327" w:name="_Toc125"/>
      <w:bookmarkEnd w:id="326"/>
      <w:r>
        <w:rPr>
          <w:rtl w:val="true"/>
        </w:rPr>
        <w:t>تنبیه اوّل</w:t>
      </w:r>
      <w:r>
        <w:rPr>
          <w:rtl w:val="true"/>
        </w:rPr>
        <w:t xml:space="preserve">: </w:t>
      </w:r>
      <w:r>
        <w:rPr>
          <w:rtl w:val="true"/>
        </w:rPr>
        <w:t>تأثیر علم و جهل نسبت به موضوع در قاعده</w:t>
      </w:r>
      <w:bookmarkEnd w:id="327"/>
    </w:p>
    <w:p>
      <w:pPr>
        <w:pStyle w:val="BookText"/>
        <w:rPr/>
      </w:pPr>
      <w:r>
        <w:rPr>
          <w:rFonts w:ascii="IRNazanin" w:hAnsi="IRNazanin" w:eastAsia="IRNazanin"/>
          <w:color w:val="111111"/>
          <w:sz w:val="28"/>
          <w:sz w:val="28"/>
          <w:szCs w:val="28"/>
          <w:rtl w:val="true"/>
          <w:lang w:bidi="fa-IR"/>
        </w:rPr>
        <w:t xml:space="preserve">مسأله دیگری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بحث می‌شود، این است که بر اساس اطلاق موجود در این روایت، در حکمی که از این دلیل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یا تکلیفی و یا اعمّ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فرقی نیست که شخص عالم باشد به این که آن مال، مال غیر است و یا جاهل به این مسأله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مقصود از علم و جهل در این بحث، علم و جهل به اصل حکم نیست؛ بلکه مراد علم و جهل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این بحث را به بحث علم که یکی از شرایط عامّه تکلیف است، مرتبط بدانیم و چه بسا، در برخی از کلمات بین این دو بحث خلط صورت گرفت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از این حدیث، فقط حکم وضعی ضمان را استفاده می‌کنند، بر این عقیده‌اند که در احکام وضعیه، فرقی بین علم و جهل نیست و شخص غاصب در هر دو صورت ضامن است؛ اما طبق مبنای بزرگانی چون محقّق نراقی و محقّق ایروانی رحمهما الله که از این حدیث فقط حکم تکلیفی وجوب</w:t>
      </w:r>
      <w:bookmarkStart w:id="328" w:name="pg877_6002"/>
    </w:p>
    <w:p>
      <w:pPr>
        <w:pStyle w:val="BookText"/>
        <w:rPr/>
      </w:pPr>
      <w:bookmarkEnd w:id="328"/>
      <w:r>
        <w:rPr>
          <w:rFonts w:ascii="IRNazanin" w:hAnsi="IRNazanin" w:eastAsia="IRNazanin"/>
          <w:color w:val="111111"/>
          <w:sz w:val="28"/>
          <w:sz w:val="28"/>
          <w:szCs w:val="28"/>
          <w:rtl w:val="true"/>
          <w:lang w:bidi="fa-IR"/>
        </w:rPr>
        <w:t>الردّ یا وجوب الحفظ را استفاده می‌کنند، آیا باز هم، چنین شمولی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در این صورت نیز فرقی بین علم به موضوع و جهل به آن نیست؛ و دلیل در هر دو مبنا، آن است که در موضوع این حدیث، علم به غصب و یا جهل به آن اخذ نشده است</w:t>
      </w:r>
      <w:r>
        <w:rPr>
          <w:rFonts w:eastAsia="IRNazanin" w:cs="IRNazanin"/>
          <w:color w:val="111111"/>
          <w:sz w:val="28"/>
          <w:szCs w:val="28"/>
          <w:rtl w:val="true"/>
          <w:lang w:bidi="fa-IR"/>
        </w:rPr>
        <w:t>.</w:t>
      </w:r>
    </w:p>
    <w:p>
      <w:pPr>
        <w:pStyle w:val="Heading3"/>
        <w:numPr>
          <w:ilvl w:val="2"/>
          <w:numId w:val="1"/>
        </w:numPr>
        <w:rPr/>
      </w:pPr>
      <w:bookmarkStart w:id="329" w:name="__RefHeading___Toc105697_373438147"/>
      <w:bookmarkStart w:id="330" w:name="_Toc126"/>
      <w:bookmarkEnd w:id="329"/>
      <w:r>
        <w:rPr>
          <w:rtl w:val="true"/>
        </w:rPr>
        <w:t>تنبیه دوّم</w:t>
      </w:r>
      <w:r>
        <w:rPr>
          <w:rtl w:val="true"/>
        </w:rPr>
        <w:t xml:space="preserve">: </w:t>
      </w:r>
      <w:r>
        <w:rPr>
          <w:rtl w:val="true"/>
        </w:rPr>
        <w:t>جریان قاعده در منافع مستوفاة و غیر مستوفاة</w:t>
      </w:r>
      <w:bookmarkEnd w:id="330"/>
    </w:p>
    <w:p>
      <w:pPr>
        <w:pStyle w:val="Heading4"/>
        <w:numPr>
          <w:ilvl w:val="3"/>
          <w:numId w:val="1"/>
        </w:numPr>
        <w:rPr/>
      </w:pPr>
      <w:bookmarkStart w:id="331" w:name="__RefHeading___Toc105699_373438147"/>
      <w:bookmarkStart w:id="332" w:name="_Toc127"/>
      <w:bookmarkEnd w:id="331"/>
      <w:r>
        <w:rPr>
          <w:rtl w:val="true"/>
        </w:rPr>
        <w:t>اشاره</w:t>
      </w:r>
      <w:bookmarkEnd w:id="33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مواردی که به این قاعده تمسّک شده است، مورد منافع مبیع در بیع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معامله‌ای، مشتری علاوه بر این که لازم است عین مبیع را به بایع ردّ کند، چنان چه از منافع آن استفاده نموده باشد، باید عوض آن را به مالک عین بپردازد؛ و ظاهر برخی از عبارات فقها مثل ابن‌ادریس رحمه الله در سرائر آن است که این منافع نیز در حکم غصب است؛ و در نتیجه، در آن ضمان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تمسّک به دو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 المسلم لا یحلّ إلّابطیب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که تردیدی نیست همان گونه که بر اعیان، مالیّت صدق می‌کند، بر منافع نیز مالیّت صادق است؛ و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مالیّت اشیا به سبب منافعی است که دارند، و عین مال با قطع نظر از منافع، مالیّت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عموم حدیث علی الید استدلال شده است؛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علاوه بر عین، شامل منافع هم بدانیم؛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منافع مستوفاة از مصادیق مال است، و در عرف، در برابر آن، مال</w:t>
      </w:r>
      <w:bookmarkStart w:id="333" w:name="pg877_6005"/>
    </w:p>
    <w:p>
      <w:pPr>
        <w:pStyle w:val="BookText"/>
        <w:rPr/>
      </w:pPr>
      <w:bookmarkEnd w:id="333"/>
      <w:r>
        <w:rPr>
          <w:rFonts w:ascii="IRNazanin" w:hAnsi="IRNazanin" w:eastAsia="IRNazanin"/>
          <w:color w:val="111111"/>
          <w:sz w:val="28"/>
          <w:sz w:val="28"/>
          <w:szCs w:val="28"/>
          <w:rtl w:val="true"/>
          <w:lang w:bidi="fa-IR"/>
        </w:rPr>
        <w:t>پرداخت می‌شود؛ و ثانیاً، قبض عین، قبض منافع نیز هست و استیلای بر عین، استیلای بر منافع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در صدق اخذ و استیلای بر منافع به سبب قبض عین، اشکال کرده‌اند، در حالی که به نظر می‌رسد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تردیدی وجود ندارد که قبض و استیلای بر عین، مساوی با استیلای بر منافع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این است که در باب اجاره اعیان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حقیقت آن را تملیک منفعت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به سبب قبض عین، مورد قبض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از حدیث استفاده نمودیم که علی الید کنایه از تصرّف است، و اگر کسی در صدق قبض یا استیلا تردید نماید، در صدق تصرّف نسبت به منافع نمی‌تواند تردید داشته باشد؛ و عرف، به صورت واضح می‌گوید منافع عین در این مدّت در تصرّف شخص بوده است</w:t>
      </w:r>
      <w:r>
        <w:rPr>
          <w:rFonts w:eastAsia="IRNazanin" w:cs="IRNazanin"/>
          <w:color w:val="111111"/>
          <w:sz w:val="28"/>
          <w:szCs w:val="28"/>
          <w:rtl w:val="true"/>
          <w:lang w:bidi="fa-IR"/>
        </w:rPr>
        <w:t>.</w:t>
      </w:r>
    </w:p>
    <w:p>
      <w:pPr>
        <w:pStyle w:val="Heading4"/>
        <w:numPr>
          <w:ilvl w:val="3"/>
          <w:numId w:val="1"/>
        </w:numPr>
        <w:rPr/>
      </w:pPr>
      <w:bookmarkStart w:id="334" w:name="__RefHeading___Toc105701_373438147"/>
      <w:bookmarkStart w:id="335" w:name="_Toc128"/>
      <w:bookmarkEnd w:id="334"/>
      <w:r>
        <w:rPr>
          <w:rtl w:val="true"/>
        </w:rPr>
        <w:t>دیدگاه شیخ انصاری و سیّد یزدی رحمهما الله در مورد صدق اخذ بر منافع</w:t>
      </w:r>
      <w:bookmarkEnd w:id="335"/>
    </w:p>
    <w:p>
      <w:pPr>
        <w:pStyle w:val="BookText"/>
        <w:rPr/>
      </w:pPr>
      <w:r>
        <w:rPr>
          <w:rFonts w:ascii="IRNazanin" w:hAnsi="IRNazanin" w:eastAsia="IRNazanin"/>
          <w:color w:val="111111"/>
          <w:sz w:val="28"/>
          <w:sz w:val="28"/>
          <w:szCs w:val="28"/>
          <w:rtl w:val="true"/>
          <w:lang w:bidi="fa-IR"/>
        </w:rPr>
        <w:t xml:space="preserve">از کلمات مرحوم شیخ اعظم انصاری رحمه الله در مکاسب، استفاده می‌شود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منافع 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إشکال فی عدم شمول صلة الموصول للمنافع وحصولها فی الید بقبض العین لا یوجب صدق الأخذ، ودعوی أنّه کنایة عن مطلق الإستیلاء الحاصل فی المنافع بقبض الاعیان، مشکلة</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است که شیخ انصاری قدس سره در این که حدیث کنایه از مطلق استیلا بوده و تمام انواع آن را شامل می‌شود، اشکال می‌کند؛ و وجه اشکال عدم وجود دلیل بر چنین اطلاقی است؛ و یا آن که چنین اطلاقی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استیلای فی الجمله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یزدی در حاشیه، نسبت به این سخن مرحوم شیخ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فیه أصلاً، إذ من المعلوم أنّ الأخذ لیس بمعنی القبض بالید، وإلّا لزم عدم الحکم بالضمان فی کثیر من الموارد، هذا مع أنّه یمکن أن یقال یکفی صدق الأخذ بالنسبة إلی العین فی ضمان المنافع، فإنّ حاصل المعنی أنّ ما أخذت الید مضمونة ویجب الخروج عن عهدتها ومن شؤون الخروج عن عهدة العین أداء عوض منافعها کما أنّ من شؤونه أرش العیب ونحوه</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آن چه ذکر شد، حتی اگر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منافع صدق نمی‌کند، اما تردیدی نیست که استیلای بر عین، استیلای بر منافع هست؛ دقیق‌تر آن که، ذکر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کنایه از تصرّف است، و تصرّف در عین، ملازم و یا به معنای تصرّف در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گفته شود در استیلا یا تصرّف، مستولی علیه، بایستی وجود حقیقی ثابت داشته باشد؛ و حال آن که، منفعت، وجود بالفعل ندارد، و نمی‌توانیم استیلا و یا تصرّف بالفعل در آن تصوّر کنیم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قاعده علی الید، فقط در منافع مستوفاة صحیح است، اما در منافع غیر مستوفاة نمی‌توان به آن استدلال کرد؛ چه آن که، هیچ یک از عناوین تصرّف و یا استیلا و یا اخذ و قبض بر آن صدق نمی‌کند؛ و در چنین منافعی می‌توان به قاعده عقلائیه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فوّت مال الغیر فهو له ضامن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مال دیگری را از بین ببرد، چه عین و چه منفعت را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مرتکزات و مسلّمات نزد عقلا بوده، و شارع مقدّس نیز آن را ردع ننموده است،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در برخی کلمات آمده، مبنی بر این که</w:t>
      </w:r>
      <w:bookmarkStart w:id="336" w:name="pg877_6009"/>
    </w:p>
    <w:p>
      <w:pPr>
        <w:pStyle w:val="BookText"/>
        <w:rPr/>
      </w:pPr>
      <w:bookmarkEnd w:id="336"/>
      <w:r>
        <w:rPr>
          <w:rFonts w:ascii="IRNazanin" w:hAnsi="IRNazanin" w:eastAsia="IRNazanin"/>
          <w:color w:val="111111"/>
          <w:sz w:val="28"/>
          <w:sz w:val="28"/>
          <w:szCs w:val="28"/>
          <w:rtl w:val="true"/>
          <w:lang w:bidi="fa-IR"/>
        </w:rPr>
        <w:t xml:space="preserve">ممکن است از حدیث علی الید بر ضمان منافع غیر مستوفاة استفاده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هر چند منافع 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اخذ عین مورد اخذ واقع می‌شود؛ و اگر زمانی بگذرد و مورد استفاده واقع نشود، صدق اتلاف بر آن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خالی از تحقیق و دقّت است؛ زیرا، همان گونه که بیان شد، از نظر عرفی، واضح است که بر چنین منافعی صدق اخذ، قبض، یا استیلا و یا تصرّف منتفی است؛ و اگر چنین عناوینی منتفی باشد، دیگر عنوان اتلاف به هیچ وجه صادق نیست؛ چه آن که، این عنوان متفرّع بر یکی از عناوین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4"/>
        <w:numPr>
          <w:ilvl w:val="3"/>
          <w:numId w:val="1"/>
        </w:numPr>
        <w:rPr/>
      </w:pPr>
      <w:bookmarkStart w:id="337" w:name="__RefHeading___Toc105703_373438147"/>
      <w:bookmarkStart w:id="338" w:name="_Toc129"/>
      <w:bookmarkEnd w:id="337"/>
      <w:r>
        <w:rPr>
          <w:rtl w:val="true"/>
        </w:rPr>
        <w:t>دیدگاه فقیه محقّق والد معظّم در مورد منافع غیر مستوفاة</w:t>
      </w:r>
      <w:bookmarkEnd w:id="338"/>
    </w:p>
    <w:p>
      <w:pPr>
        <w:pStyle w:val="BookText"/>
        <w:rPr/>
      </w:pPr>
      <w:r>
        <w:rPr>
          <w:rFonts w:ascii="IRNazanin" w:hAnsi="IRNazanin" w:eastAsia="IRNazanin"/>
          <w:color w:val="111111"/>
          <w:sz w:val="28"/>
          <w:sz w:val="28"/>
          <w:szCs w:val="28"/>
          <w:rtl w:val="true"/>
          <w:lang w:bidi="fa-IR"/>
        </w:rPr>
        <w:t xml:space="preserve">فقیه محقّق والد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نظرند که منافع غیر مستوفاة نیز مورد استدلال به این قاعده است؛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ذکرنا تظهر دلالة القاعدة علی ضمان المنافع غیر المستوفاة أیضاً، لأنّ الإستیفاء لا دخل له فی صدق الأخذ، فإنّ الأخذ تعلّق بالمنافع بتبع تعلّقه بالعین سواء استوفاها، کما إذا سکن فی الدار المأخوذة، أم لم یستوفها، کما إذا لم یستفد من الدار المأخوذة شیئاً</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این فرمایش قابل مناقشه است؛ و آن این که، قضیه تبعیّت منافع به تبعیّت عین، یک اعتبار عرفی و عقلایی بوده، و در خصوص منافع مستوفاة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اعتبار تبعیّت در منافع غیر مستوفاة وجود ندارد؛ و به عبارت روشن‌تر، در موردی که منفعتی به فعلیّت برسد، و به اصطلاح استیفا شود، تبعیّت وجود دارد؛ اما در موردی که منفعت به فعلیّت نرسد، عرف، اعتبار تبعیّت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آن است که، بالاخره، بین</w:t>
      </w:r>
      <w:bookmarkStart w:id="339" w:name="pg877_6011"/>
    </w:p>
    <w:p>
      <w:pPr>
        <w:pStyle w:val="BookText"/>
        <w:rPr/>
      </w:pPr>
      <w:bookmarkEnd w:id="339"/>
      <w:r>
        <w:rPr>
          <w:rFonts w:ascii="IRNazanin" w:hAnsi="IRNazanin" w:eastAsia="IRNazanin"/>
          <w:color w:val="111111"/>
          <w:sz w:val="28"/>
          <w:sz w:val="28"/>
          <w:szCs w:val="28"/>
          <w:rtl w:val="true"/>
          <w:lang w:bidi="fa-IR"/>
        </w:rPr>
        <w:t>کسی که از خانه استفاده می‌کند و کسی که از آن استفاده نکرده، نزد عرف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را که این محقّق بزرگ فرموده‌اند، مبنی بر آن که در صدق اخذ، عنوان استیفا دخالت ندارد، مطلب صحیحی است؛ اما کلام در این است که آیا در این موارد، از نظر عرف، اعتبار تبعیّت می‌شود یا خیر؟ آری، اگر تبعیّت را یک امر اعتباری ندانیم، و بلکه آن را یک امر واقعی قهری بدانیم، در این صورت، فرقی بین استیفا و عدم آن، وجود ندارد</w:t>
      </w:r>
      <w:r>
        <w:rPr>
          <w:rFonts w:eastAsia="IRNazanin" w:cs="IRNazanin"/>
          <w:color w:val="111111"/>
          <w:sz w:val="28"/>
          <w:szCs w:val="28"/>
          <w:rtl w:val="true"/>
          <w:lang w:bidi="fa-IR"/>
        </w:rPr>
        <w:t>.</w:t>
      </w:r>
    </w:p>
    <w:p>
      <w:pPr>
        <w:pStyle w:val="Heading4"/>
        <w:numPr>
          <w:ilvl w:val="3"/>
          <w:numId w:val="1"/>
        </w:numPr>
        <w:rPr/>
      </w:pPr>
      <w:bookmarkStart w:id="340" w:name="__RefHeading___Toc105705_373438147"/>
      <w:bookmarkStart w:id="341" w:name="_Toc130"/>
      <w:bookmarkEnd w:id="340"/>
      <w:r>
        <w:rPr>
          <w:rtl w:val="true"/>
        </w:rPr>
        <w:t>دیدگاه محقّق اصفهانی و خویی رحمهما الله در مورد جریان قاعده در منافع</w:t>
      </w:r>
      <w:bookmarkEnd w:id="341"/>
    </w:p>
    <w:p>
      <w:pPr>
        <w:pStyle w:val="BookText"/>
        <w:rPr/>
      </w:pPr>
      <w:r>
        <w:rPr>
          <w:rFonts w:ascii="IRNazanin" w:hAnsi="IRNazanin" w:eastAsia="IRNazanin"/>
          <w:color w:val="111111"/>
          <w:sz w:val="28"/>
          <w:sz w:val="28"/>
          <w:szCs w:val="28"/>
          <w:rtl w:val="true"/>
          <w:lang w:bidi="fa-IR"/>
        </w:rPr>
        <w:t>مرحوم محقّق اصفهانی در حاشیه مکاسب</w:t>
      </w:r>
      <w:r>
        <w:rPr>
          <w:rStyle w:val="FootnoteAnchor"/>
          <w:rtl w:val="true"/>
        </w:rPr>
        <w:footnoteReference w:id="188"/>
      </w:r>
      <w:r>
        <w:rPr>
          <w:rFonts w:ascii="IRNazanin" w:hAnsi="IRNazanin" w:eastAsia="IRNazanin"/>
          <w:color w:val="111111"/>
          <w:sz w:val="28"/>
          <w:sz w:val="28"/>
          <w:szCs w:val="28"/>
          <w:rtl w:val="true"/>
          <w:lang w:bidi="fa-IR"/>
        </w:rPr>
        <w:t>و به تبعیّت از ایشان، مرحوم محقّق خویی در مصباح الفقاهة</w:t>
      </w:r>
      <w:r>
        <w:rPr>
          <w:rStyle w:val="FootnoteAnchor"/>
          <w:rtl w:val="true"/>
        </w:rPr>
        <w:footnoteReference w:id="189"/>
      </w:r>
      <w:r>
        <w:rPr>
          <w:rFonts w:ascii="IRNazanin" w:hAnsi="IRNazanin" w:eastAsia="IRNazanin"/>
          <w:color w:val="111111"/>
          <w:sz w:val="28"/>
          <w:sz w:val="28"/>
          <w:szCs w:val="28"/>
          <w:rtl w:val="true"/>
          <w:lang w:bidi="fa-IR"/>
        </w:rPr>
        <w:t xml:space="preserve">، معتقدند که حدیث علی الید، اگر چه ممکن است از نظر صدر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منافع نیز بشود، اما با توجّه به آن چه که در ذیل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غایتی که بیان شده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منافع نمی‌شود؛ زیرا، ادا، ظهور در ادای همان مال گرفته شده را دارد؛ و ردّ مأخوذ نسبت به منافع امکان ندارد؛ چه آن که، تا هنگامی که در خارج موجود نشود، مضمون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اصفهانی قدس سره فرموده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تصدق التأدیة فی المنافع مطلقاً، وظاهر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کون عهدة المأخوذ مغیّاةً بأداء نفس المأخوذ، والمنافع لتدرّجها فی الوجود لا أداء لها بعد أخذها فی حدّ ذاتها، لا کالعین التی لها أداء فی حدّ ذاتها، وإن عرضها الاقناع إبتداء أو بقاءً، وفرض اتّحاد الموجود التدریجی مع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فیصدق الأخذ بالاستیلاء علی طرف هذا الواحد والأداء بأداء طرفه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یکاد یفید شیئاً، لأنّ المراد ضمان الفائت أو المستوفی، فأداء ما لم یفت ولم یستوف غیر مجد فی ارتفاع ضمان المأخوذ باستیفائه أو بالاستیلاء علیه مع فواته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کلام محقّق 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مطلب را در کلامشان 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علی الید، ضمان و عهده مغیّی به ادا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ادا، ادای خود آن چیزی است که مورد اخذ واقع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منافع به حسب ذات، قابلیّت ادا ندارد؛ زیرا، از امور تدریجیه هستند، و این تدرّج در وجود، سبب می‌شود که قابلیّت ادا را به حسب ذات نداشته باشند؛ به خلاف اعیان، که ذاتاً قابلیّت ادا دارد، هر چند که ممکن است به جهت عارض شدن مانعی، در ابتدا، یا از جهت بقا، قابل ادا نباشند؛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قسمت چهارم کلام، ایشان از یک سؤال مقدّری پاسخ داده‌اند،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منافع وجود تدریجی دارند، اما این وجود تدریجی، به عنوان یک وجود واحد تلقّی می‌شود؛ بنابراین، چنان چه نسبت به یک طرف این وجود واحد، استیلا حاصل شود، می‌توان گفت با ادای طرف دیگر، ادا تحقّق پیدا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طرف آخر را ادا کند، گویا که این وجود واحد ادا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رحمه الله در جواب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فرضی نمی‌تواند مفید باشد؛ زیرا، مقصود از ضمان، ادای چیزی است که فوت شده و یا استیفا گردیده است؛ از این جهت، ادای چیزی که فوت و یا استیفا نشده باشد، در رفع ضمان شییء مستوفی و یا فائت کفایت نمی‌کند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ایشان در این جواب آن است که حتی اگر نسبت به منافع نیز ادا</w:t>
      </w:r>
      <w:bookmarkStart w:id="342" w:name="pg877_6015"/>
    </w:p>
    <w:p>
      <w:pPr>
        <w:pStyle w:val="BookText"/>
        <w:rPr/>
      </w:pPr>
      <w:bookmarkEnd w:id="342"/>
      <w:r>
        <w:rPr>
          <w:rFonts w:ascii="IRNazanin" w:hAnsi="IRNazanin" w:eastAsia="IRNazanin"/>
          <w:color w:val="111111"/>
          <w:sz w:val="28"/>
          <w:sz w:val="28"/>
          <w:szCs w:val="28"/>
          <w:rtl w:val="true"/>
          <w:lang w:bidi="fa-IR"/>
        </w:rPr>
        <w:t>صدق کند، لکن ادا بایستی نسبت به یک چیزی که فوت و یا استیفا شده باشد، صورت پذیرد؛ بنابراین، ادای چیزی که فوت نشده و یا استیفا نشده است، در رفع ضمان اثری ندارد</w:t>
      </w:r>
      <w:r>
        <w:rPr>
          <w:rFonts w:eastAsia="IRNazanin" w:cs="IRNazanin"/>
          <w:color w:val="111111"/>
          <w:sz w:val="28"/>
          <w:szCs w:val="28"/>
          <w:rtl w:val="true"/>
          <w:lang w:bidi="fa-IR"/>
        </w:rPr>
        <w:t>.</w:t>
      </w:r>
    </w:p>
    <w:p>
      <w:pPr>
        <w:pStyle w:val="Heading4"/>
        <w:numPr>
          <w:ilvl w:val="3"/>
          <w:numId w:val="1"/>
        </w:numPr>
        <w:rPr/>
      </w:pPr>
      <w:bookmarkStart w:id="343" w:name="__RefHeading___Toc105707_373438147"/>
      <w:bookmarkStart w:id="344" w:name="_Toc131"/>
      <w:bookmarkEnd w:id="343"/>
      <w:r>
        <w:rPr>
          <w:rtl w:val="true"/>
        </w:rPr>
        <w:t>اشکالات مرحوم امام به دیدگاه محقّق اصفهانی رحمه الله</w:t>
      </w:r>
      <w:bookmarkEnd w:id="344"/>
    </w:p>
    <w:p>
      <w:pPr>
        <w:pStyle w:val="BookText"/>
        <w:rPr/>
      </w:pPr>
      <w:r>
        <w:rPr>
          <w:rFonts w:ascii="IRNazanin" w:hAnsi="IRNazanin" w:eastAsia="IRNazanin"/>
          <w:color w:val="111111"/>
          <w:sz w:val="28"/>
          <w:sz w:val="28"/>
          <w:szCs w:val="28"/>
          <w:rtl w:val="true"/>
          <w:lang w:bidi="fa-IR"/>
        </w:rPr>
        <w:t>فقیه اعظم امام خمینی رحمه الله</w:t>
      </w:r>
      <w:r>
        <w:rPr>
          <w:rStyle w:val="FootnoteAnchor"/>
          <w:rtl w:val="true"/>
        </w:rPr>
        <w:footnoteReference w:id="191"/>
      </w:r>
      <w:r>
        <w:rPr>
          <w:rFonts w:ascii="IRNazanin" w:hAnsi="IRNazanin" w:eastAsia="IRNazanin"/>
          <w:color w:val="111111"/>
          <w:sz w:val="28"/>
          <w:sz w:val="28"/>
          <w:szCs w:val="28"/>
          <w:rtl w:val="true"/>
          <w:lang w:bidi="fa-IR"/>
        </w:rPr>
        <w:t>ابتدا دو اشکال بر مرحوم محقّق اصفهانی قدس سره وارد نموده و سپس اساس اشکال ایشان را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خود مرحوم محقّق اصفهانی بیان کرده‌اند؛ ایشان تصریح کردند که اگر منافع را مفروض الوجود بگیریم، قابلیّت تملّک و استیلا را دارد، و در نتیجه، همین وجودی که تقدیراً به نحو وجود ثابت تلقّی شده است، شأنیّت ادا را دارد؛ به عبارت دیگر، اگر ادا را در مورد وجود واقعی متصرّم در نظر بگیریم، امکان ادا نیست، و اگر نسبت به وجود فرضی بگیریم، امکان و شأنیّت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ادا نسبت به بعضی از فروض و خصوصیّات، در غایت کفایت می‌کند؛ و در تحقّق غایت، جمع خصوصیّات لازم نیست؛ البته مرحوم امام در ادامه، نسبت به این اشکال تأمّل فرموده‌اند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اساس اشکال محقّق اصفهانی رحمه الله نیز فرموده‌اند که حلّ اشکال مرحوم اصفهانی این است که آن چه در روایت علی الید مورد توجّه و عنایت قرار گرفته است، ضمان نسبت به مأخوذ است؛ و ذکر غایت تأثیر و دخالتی در آن نداشته، و بلکه برای تحدید موضوع است؛ به این معنا که ضمان به مال مأخوذی که تا کنون ادا نشده است، تعلّق پیدا می‌کند؛ اما در این روایت، نظری به امکان تأدیه و عدم امکان آن نیست، و حتی نظری به شأنیّت و</w:t>
      </w:r>
      <w:bookmarkStart w:id="345" w:name="pg877_6016"/>
    </w:p>
    <w:p>
      <w:pPr>
        <w:pStyle w:val="BookText"/>
        <w:rPr/>
      </w:pPr>
      <w:bookmarkEnd w:id="345"/>
      <w:r>
        <w:rPr>
          <w:rFonts w:ascii="IRNazanin" w:hAnsi="IRNazanin" w:eastAsia="IRNazanin"/>
          <w:color w:val="111111"/>
          <w:sz w:val="28"/>
          <w:sz w:val="28"/>
          <w:szCs w:val="28"/>
          <w:rtl w:val="true"/>
          <w:lang w:bidi="fa-IR"/>
        </w:rPr>
        <w:t>عدم شأنیّت تأدیه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در این حدیث، مانند غایتِ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و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نظیف حتّی تعلم أنّه قذر</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است؛ در این دو روایت، حکم حلیّت و طهارت برای چیزی که مشکوک است، جعل شده، اما دیگر نظری به حصول علم ندارد، تا ادّعا شود که ظهور در موردی دارد که امکان حصول علم و شأنیّت آن باشد</w:t>
      </w:r>
      <w:r>
        <w:rPr>
          <w:rFonts w:eastAsia="IRNazanin" w:cs="IRNazanin"/>
          <w:color w:val="111111"/>
          <w:sz w:val="28"/>
          <w:szCs w:val="28"/>
          <w:rtl w:val="true"/>
          <w:lang w:bidi="fa-IR"/>
        </w:rPr>
        <w:t>.</w:t>
      </w:r>
    </w:p>
    <w:p>
      <w:pPr>
        <w:pStyle w:val="Heading4"/>
        <w:numPr>
          <w:ilvl w:val="3"/>
          <w:numId w:val="1"/>
        </w:numPr>
        <w:rPr/>
      </w:pPr>
      <w:bookmarkStart w:id="346" w:name="__RefHeading___Toc105709_373438147"/>
      <w:bookmarkStart w:id="347" w:name="_Toc132"/>
      <w:bookmarkEnd w:id="346"/>
      <w:r>
        <w:rPr>
          <w:rtl w:val="true"/>
        </w:rPr>
        <w:t>پاسخ استاد به اشکالات مرحوم امام</w:t>
      </w:r>
      <w:bookmarkEnd w:id="347"/>
    </w:p>
    <w:p>
      <w:pPr>
        <w:pStyle w:val="BookText"/>
        <w:rPr/>
      </w:pPr>
      <w:r>
        <w:rPr>
          <w:rFonts w:ascii="IRNazanin" w:hAnsi="IRNazanin" w:eastAsia="IRNazanin"/>
          <w:color w:val="111111"/>
          <w:sz w:val="28"/>
          <w:sz w:val="28"/>
          <w:szCs w:val="28"/>
          <w:rtl w:val="true"/>
          <w:lang w:bidi="fa-IR"/>
        </w:rPr>
        <w:t>به نظر می‌رسد که اشکالات سه گانه مرحوم امام قابل جواب است؛</w:t>
      </w:r>
    </w:p>
    <w:p>
      <w:pPr>
        <w:pStyle w:val="BookText"/>
        <w:rPr/>
      </w:pPr>
      <w:r>
        <w:rPr>
          <w:rFonts w:ascii="IRNazanin" w:hAnsi="IRNazanin" w:eastAsia="IRNazanin"/>
          <w:color w:val="111111"/>
          <w:sz w:val="28"/>
          <w:sz w:val="28"/>
          <w:szCs w:val="28"/>
          <w:rtl w:val="true"/>
          <w:lang w:bidi="fa-IR"/>
        </w:rPr>
        <w:t>پاسخ اشکال اوّل ایشان آن است که مرحوم اصفهانی در انتهای کلام خود، این اشکال را مطرح کرده و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وجود واحد، می‌توان مسأله ادا را تصویر نمود، اما مقصود از ضمان، یک نوع ادای خاص است؛ که عبارت باشد از ادای چیزی که فوت شده و یا استیفا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ادای چیزی که فوت و یا استیفا نشده باشد، در رفع ضمان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کرده‌اند که نسبت به منافع، نه عنوان فوت و نه عنوان استیفا، هیچ یک محقّق نیست؛ چرا که عنوان فوت و یا استیفا باید به صورت واقعی و حقیقی باشد، و فرض آن‌ها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مرحوم امام در آخر اشکال، امر به تأمّل فرمودند، می‌گوییم ظاهر از غایت آن است که ادا به صورت فی الجمله کفایت نمی‌کند و ادا، بایستی با تمام خصوصیّات تحقّق پیدا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 سوم نیز آن است که اولاً، به نظر می‌رسد در اشکال مرحوم اصفهانی، فرقی نیست که غایت را قید برای حکم قرار دهیم یا آن را قید برای</w:t>
      </w:r>
      <w:bookmarkStart w:id="348" w:name="pg877_6018"/>
    </w:p>
    <w:p>
      <w:pPr>
        <w:pStyle w:val="BookText"/>
        <w:rPr/>
      </w:pPr>
      <w:bookmarkEnd w:id="348"/>
      <w:r>
        <w:rPr>
          <w:rFonts w:ascii="IRNazanin" w:hAnsi="IRNazanin" w:eastAsia="IRNazanin"/>
          <w:color w:val="111111"/>
          <w:sz w:val="28"/>
          <w:sz w:val="28"/>
          <w:szCs w:val="28"/>
          <w:rtl w:val="true"/>
          <w:lang w:bidi="fa-IR"/>
        </w:rPr>
        <w:t>موضوع بدانیم؛ زیرا، در صورت دوّم هم موضوع مقیّد می‌شود به صورتی که ادا امکان داشته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ضمان عبارت است از مال گرفته شده‌ای که ادای آن امکان داشته باشد؛ و این معنا در منافع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ادا به عنوان قید مطرح نباشد و بلکه به عنوان ظرف باشد، دیگر مجالی برای این مطلب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که ایشان حدیث را به دو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لک حلال حتّی تعلم أنّه حرام بعینه، و کلّ شیء نظیف حتّی تعلم أنّه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فرمودند، مشکلی را حل نمی‌کند؛ چه آن که، در این دو حدیث موضوع، شییء مشکوک و غیر معلوم است؛ و غایت حلّیت و طهارت، عبارت است از علم به حرمت و یا نجاست؛ و روشن است که باید ملتزم شویم چنین غایتی به حسب واقع، امکان تحقّق را دارد؛ زیرا، در غیر این صورت، ذکر آن لغو خواهد بود</w:t>
      </w:r>
      <w:r>
        <w:rPr>
          <w:rFonts w:eastAsia="IRNazanin" w:cs="IRNazanin"/>
          <w:color w:val="111111"/>
          <w:sz w:val="28"/>
          <w:szCs w:val="28"/>
          <w:rtl w:val="true"/>
          <w:lang w:bidi="fa-IR"/>
        </w:rPr>
        <w:t>.</w:t>
      </w:r>
    </w:p>
    <w:p>
      <w:pPr>
        <w:pStyle w:val="Heading4"/>
        <w:numPr>
          <w:ilvl w:val="3"/>
          <w:numId w:val="1"/>
        </w:numPr>
        <w:rPr/>
      </w:pPr>
      <w:bookmarkStart w:id="349" w:name="__RefHeading___Toc105711_373438147"/>
      <w:bookmarkStart w:id="350" w:name="_Toc133"/>
      <w:bookmarkEnd w:id="349"/>
      <w:r>
        <w:rPr>
          <w:rtl w:val="true"/>
        </w:rPr>
        <w:t>ادامه سخن مرحوم امام خمینی رحمه الله</w:t>
      </w:r>
      <w:bookmarkEnd w:id="350"/>
    </w:p>
    <w:p>
      <w:pPr>
        <w:pStyle w:val="BookText"/>
        <w:rPr/>
      </w:pPr>
      <w:r>
        <w:rPr>
          <w:rFonts w:ascii="IRNazanin" w:hAnsi="IRNazanin" w:eastAsia="IRNazanin"/>
          <w:color w:val="111111"/>
          <w:sz w:val="28"/>
          <w:sz w:val="28"/>
          <w:szCs w:val="28"/>
          <w:rtl w:val="true"/>
          <w:lang w:bidi="fa-IR"/>
        </w:rPr>
        <w:t>این فقیه عظیم الشأن، بعد از بیان سه اشکالی که بر مرحوم محقّق اصفهانی وارد کردند، دو مطلب دیگر نیز بیان می‌کنند؛ مطلب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این حدیث، بر ظاهر آن جمود کنیم و غایت را مربوط به حکم قرار دهیم، و ادّعا کنیم که در مأخوذ شأنیّت ادا لازم است، هم چنین مسأله سالبه به انتفای موضوع را که در منافع مطرح است را کنار گذاریم، باید در این فرض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دلالت بر ضمان دارد تا هنگامی که عین در عالم خارج موجود و باقی است؛ و اگر از بین برود، دیگر ضمانی نیست؛ چرا که معدوم شأنیّت ادا ندارد، و عدم ادا در معدوم، از باب سالبه به انتفای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نمی‌توانیم شأنیّت در زمان وجود را سبب قرار دهیم تا این که در زمان تلف، عنوان سالبه به انتفای محمول پیدا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امر به تأمّل فرموده‌اند که ظاهراً اشاره به همان مطلب صفحه گذشته</w:t>
      </w:r>
      <w:bookmarkStart w:id="351" w:name="pg877_6020"/>
    </w:p>
    <w:p>
      <w:pPr>
        <w:pStyle w:val="BookText"/>
        <w:rPr/>
      </w:pPr>
      <w:bookmarkEnd w:id="351"/>
      <w:r>
        <w:rPr>
          <w:rFonts w:ascii="IRNazanin" w:hAnsi="IRNazanin" w:eastAsia="IRNazanin"/>
          <w:color w:val="111111"/>
          <w:sz w:val="28"/>
          <w:sz w:val="28"/>
          <w:szCs w:val="28"/>
          <w:rtl w:val="true"/>
          <w:lang w:bidi="fa-IR"/>
        </w:rPr>
        <w:t>از کتاب ایشان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ظهور غایت، ادای اجمالی و فی الجمله کفایت می‌کند، و لازم نیست ادا با تمام خصوصیّات و فروض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اشاره به این معنا داشته باشد که چون عین از نظر عرف، دارای بدل است، و ادای بدل به منزله‌ی ادای مبدل است، بنابراین، در صورت تلف نیز شأنیّت و صلاحیّت ادا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غایت را قید حکم قرار دهیم، مفهوم حدیث، این قضیّه تامّه سالبه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یؤدّ المأخوذ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موضوع عبارت است از مال مأخوذ، و محمول آن ادا است؛ چنان چه این جمله را یک جمله تامّه تلقّی نماییم، در این جمله، سلب محمول در زمان بقای موضوع است؛ و بنابراین، شأنیّت ادا دیگر ارتباطی به غایت 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این برداشت از روایت، به صورتی که ادا و شأنیّت آن هیچ ارتباطی به غایت و معنا نداشته باشد، کاملاً خلاف متفاهم عرفی است؛ علاوه آن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یؤدّ المأخوذ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نمی‌توانیم به صورت قضیّه تامّه تلقّی نماییم، و هیچ وجه صحیحی ندارد، جز این که صرف فرض باشد</w:t>
      </w:r>
      <w:r>
        <w:rPr>
          <w:rFonts w:eastAsia="IRNazanin" w:cs="IRNazanin"/>
          <w:color w:val="111111"/>
          <w:sz w:val="28"/>
          <w:szCs w:val="28"/>
          <w:rtl w:val="true"/>
          <w:lang w:bidi="fa-IR"/>
        </w:rPr>
        <w:t>.</w:t>
      </w:r>
    </w:p>
    <w:p>
      <w:pPr>
        <w:pStyle w:val="Heading4"/>
        <w:numPr>
          <w:ilvl w:val="3"/>
          <w:numId w:val="1"/>
        </w:numPr>
        <w:rPr/>
      </w:pPr>
      <w:bookmarkStart w:id="352" w:name="__RefHeading___Toc105713_373438147"/>
      <w:bookmarkStart w:id="353" w:name="_Toc134"/>
      <w:bookmarkEnd w:id="352"/>
      <w:r>
        <w:rPr>
          <w:rtl w:val="true"/>
        </w:rPr>
        <w:t>اشکالات فقیه محقّق والد معظّم بر دیدگاه محقّق اصفهانی رحمه الله</w:t>
      </w:r>
      <w:bookmarkEnd w:id="353"/>
    </w:p>
    <w:p>
      <w:pPr>
        <w:pStyle w:val="BookText"/>
        <w:rPr/>
      </w:pPr>
      <w:r>
        <w:rPr>
          <w:rFonts w:ascii="Amiri" w:hAnsi="Amiri" w:eastAsia="Amiri" w:cs="Amiri"/>
          <w:color w:val="111111"/>
          <w:sz w:val="28"/>
          <w:sz w:val="28"/>
          <w:szCs w:val="28"/>
          <w:rtl w:val="true"/>
          <w:lang w:bidi="ar-SA"/>
        </w:rPr>
        <w:t>والد محقّق</w:t>
      </w:r>
      <w:r>
        <w:rPr>
          <w:rStyle w:val="FootnoteAnchor"/>
          <w:rtl w:val="true"/>
        </w:rPr>
        <w:footnoteReference w:id="194"/>
      </w:r>
      <w:r>
        <w:rPr>
          <w:rFonts w:ascii="IRNazanin" w:hAnsi="IRNazanin" w:eastAsia="IRNazanin"/>
          <w:color w:val="111111"/>
          <w:sz w:val="28"/>
          <w:sz w:val="28"/>
          <w:szCs w:val="28"/>
          <w:rtl w:val="true"/>
          <w:lang w:bidi="fa-IR"/>
        </w:rPr>
        <w:t>در نقد سخن مرحوم محقّق اصفهانی، دو اشکال بر آن وارد می‌کنند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در منافع، هم ابتداءً و هم استدامةً صدق می‌کند؛ زیرا، همان طور که اخذ منافع به تبع اخذ عین است، ادای منافع ابتداءً نیز به تبع ادای عین است؛ اما به صورت استدامةً، باید در این فرض، منافع را نازل منزله‌ی تلف عین بدانیم؛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ادای عین در فرض تلف، به</w:t>
      </w:r>
      <w:bookmarkStart w:id="354" w:name="pg877_6022"/>
    </w:p>
    <w:p>
      <w:pPr>
        <w:pStyle w:val="BookText"/>
        <w:rPr/>
      </w:pPr>
      <w:bookmarkEnd w:id="354"/>
      <w:r>
        <w:rPr>
          <w:rFonts w:ascii="IRNazanin" w:hAnsi="IRNazanin" w:eastAsia="IRNazanin"/>
          <w:color w:val="111111"/>
          <w:sz w:val="28"/>
          <w:sz w:val="28"/>
          <w:szCs w:val="28"/>
          <w:rtl w:val="true"/>
          <w:lang w:bidi="fa-IR"/>
        </w:rPr>
        <w:t>تحقّق ادای مثل یا قیمت است، ادای منافع نیز به ادای عوض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حدیث استفاده می‌شود که امکان تحقّق غایت، هر چند ابتداءً باشد، در صحّت حکم کفایت می‌کند؛ چرا که، حتّی نسبت به اعیان، ادای خود آن‌ها در صورت تلف،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از حدیث، شرطیّت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صورت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کنیم، لازمه‌اش آن است که برخی از اعیان، از دایره شمول این روایت خارج باشند؛ مانند اعیانی که به صورت تدریجی از بین می‌روند؛ هم چون یخ در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روشن است که ادا به صورت بقا امکان ندارد؛ از دیگر سو، کسی نمی‌تواند ادّعا کند که چنین موردی از این قاعده خارج است</w:t>
      </w:r>
      <w:r>
        <w:rPr>
          <w:rFonts w:eastAsia="IRNazanin" w:cs="IRNazanin"/>
          <w:color w:val="111111"/>
          <w:sz w:val="28"/>
          <w:szCs w:val="28"/>
          <w:rtl w:val="true"/>
          <w:lang w:bidi="fa-IR"/>
        </w:rPr>
        <w:t>.</w:t>
      </w:r>
    </w:p>
    <w:p>
      <w:pPr>
        <w:pStyle w:val="Heading4"/>
        <w:numPr>
          <w:ilvl w:val="3"/>
          <w:numId w:val="1"/>
        </w:numPr>
        <w:rPr/>
      </w:pPr>
      <w:bookmarkStart w:id="355" w:name="__RefHeading___Toc105715_373438147"/>
      <w:bookmarkStart w:id="356" w:name="_Toc135"/>
      <w:bookmarkEnd w:id="355"/>
      <w:r>
        <w:rPr>
          <w:rtl w:val="true"/>
        </w:rPr>
        <w:t>پاسخ استاد به اشکالات فقیه محقّق والد معظّم</w:t>
      </w:r>
      <w:bookmarkEnd w:id="356"/>
    </w:p>
    <w:p>
      <w:pPr>
        <w:pStyle w:val="BookText"/>
        <w:rPr/>
      </w:pPr>
      <w:r>
        <w:rPr>
          <w:rFonts w:ascii="IRNazanin" w:hAnsi="IRNazanin" w:eastAsia="IRNazanin"/>
          <w:color w:val="111111"/>
          <w:sz w:val="28"/>
          <w:sz w:val="28"/>
          <w:szCs w:val="28"/>
          <w:rtl w:val="true"/>
          <w:lang w:bidi="fa-IR"/>
        </w:rPr>
        <w:t>به نظر می‌رسد اشکال اوّلی که ایشان بیان فرمودند، قابل جواب است؛ زیرا، اوّلاً، هیچ ملازمه‌ای وجود ندارد که اگر اخذ منافع به تبع اخذ عین باشد، لازم باشد که ادای منافع هم به تبع ادای عین باشد؛ و شاهد این مطلب آن است که اگر ادای منافع به ادای عین باشد، لازم می‌آید بعد از ردّ عین، دیگر، نسبت به منافع حتی منافع مستوفاة ضمانی نباشد؛ چه آن که به حسب فرض، منافع ادا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انصاف آن است که تعبیر به عوض یا بدل، نسبت به منافع خالی از تسامح نیست؛ و هیچ گاه در عرف، چیزی به عنوان بدل منافع تلقّی نمی‌شود؛ و لذا، مسأله‌ی قیمی یا مثلی بودن فقط در اعیان است؛ اما در منافع، باید مسأله‌ی اجرت المثل را فقط مطرح نمود؛ و روشن است که بین اجرت المثل و عنوان بدل فرق است</w:t>
      </w:r>
      <w:r>
        <w:rPr>
          <w:rFonts w:eastAsia="IRNazanin" w:cs="IRNazanin"/>
          <w:color w:val="111111"/>
          <w:sz w:val="28"/>
          <w:szCs w:val="28"/>
          <w:rtl w:val="true"/>
          <w:lang w:bidi="fa-IR"/>
        </w:rPr>
        <w:t>.</w:t>
      </w:r>
      <w:bookmarkStart w:id="357" w:name="pg877_6024"/>
    </w:p>
    <w:p>
      <w:pPr>
        <w:pStyle w:val="BookText"/>
        <w:rPr/>
      </w:pPr>
      <w:bookmarkEnd w:id="357"/>
      <w:r>
        <w:rPr>
          <w:rFonts w:ascii="IRNazanin" w:hAnsi="IRNazanin" w:eastAsia="IRNazanin"/>
          <w:color w:val="111111"/>
          <w:sz w:val="28"/>
          <w:sz w:val="28"/>
          <w:szCs w:val="28"/>
          <w:rtl w:val="true"/>
          <w:lang w:bidi="fa-IR"/>
        </w:rPr>
        <w:t xml:space="preserve">ثالثاً، این که فرموده‌اند از حدیث استفاده می‌شود که تحقّق غایت، هرچند که ابتدایی باشد، در ضمان کفایت می‌کند، قابل مناقشه است؛ زیرا، علاوه بر این که لازمه این بیان آن است که در تحقّق غایت، امکان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صورت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در حالی که غایت ظهور در آن دارد که با تمام خصوصیّات باید تحقّق پیدا کند؛ این اشکال مطرح می‌شود که ممکن است در مقابل این ادّعا گفته شود که از حدیث استفاده می‌شود که قابلیّت ذاتی غایت در این حکم لازم است و این قابلیّت ذاتی در منافع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بیان، ضغف اشکال دوّم ایشان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قسمت، روشن شد که اشکالات مرحوم امام خمینی و والد محقّق بر کلام مرحوم اصفهانی وارد نیست؛ و کلام ایشان، متین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می‌توان این نکته را ذکر نمود که کلام مرحوم اصفهانی مبتنی بر آن است که ما نسبت به الفاظ وارده در این حدیث، تعبّد داشته، و آن را یک قاعده شرعی تعبّدی بدانیم؛ اما اگر بر خصوصیّات الفاظ تعبّدی نداشته باشیم، دیگر نمی‌توانیم به ظهور غایت استدلال نماییم؛ و نیز اگر این حدیث را ارشاد به یک امر عقلایی بدانیم، باید ببینیم که عقلا، ضمان را در منافع جاری می‌کنند یا خیر؟</w:t>
      </w:r>
      <w:r>
        <w:rPr>
          <w:rFonts w:eastAsia="IRNazanin" w:cs="IRNazanin"/>
          <w:color w:val="111111"/>
          <w:sz w:val="28"/>
          <w:szCs w:val="28"/>
          <w:rtl w:val="true"/>
          <w:lang w:bidi="fa-IR"/>
        </w:rPr>
        <w:t>.</w:t>
      </w:r>
    </w:p>
    <w:p>
      <w:pPr>
        <w:pStyle w:val="Heading4"/>
        <w:numPr>
          <w:ilvl w:val="3"/>
          <w:numId w:val="1"/>
        </w:numPr>
        <w:rPr/>
      </w:pPr>
      <w:bookmarkStart w:id="358" w:name="__RefHeading___Toc105717_373438147"/>
      <w:bookmarkStart w:id="359" w:name="_Toc136"/>
      <w:bookmarkEnd w:id="358"/>
      <w:r>
        <w:rPr>
          <w:rtl w:val="true"/>
        </w:rPr>
        <w:t>جریان قاعده در مال دارای منافع متعدّد</w:t>
      </w:r>
      <w:bookmarkEnd w:id="359"/>
    </w:p>
    <w:p>
      <w:pPr>
        <w:pStyle w:val="BookText"/>
        <w:rPr/>
      </w:pPr>
      <w:r>
        <w:rPr>
          <w:rFonts w:ascii="IRNazanin" w:hAnsi="IRNazanin" w:eastAsia="IRNazanin"/>
          <w:color w:val="111111"/>
          <w:sz w:val="28"/>
          <w:sz w:val="28"/>
          <w:szCs w:val="28"/>
          <w:rtl w:val="true"/>
          <w:lang w:bidi="fa-IR"/>
        </w:rPr>
        <w:t>بحث دیگری که در منافع مطرح است،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دارای منافع متعدّدی باشد، در این حالت، دو فرض مطرح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متعدّد از نظر عرف قابلیّت اجتماع در زمان واحد را دارند، و عرف، در یک زمان واحد، همه‌ی آن منافع را استیفا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تردیدی نیست که بنا بر ضمان منافع، چه مستوفاة و چه غیر مستوفاة، شخص غاصب، ضامن همه این منافع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دارای منافع متعدّد است، منافع آن در زمان واحد، قابلیّت اجتماع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صورت‌هایی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یک منفعت نادری را استیفا نموده، در حالی که خود مالک و یا در میان عرف، نفع مهم‌تری که قیمت بیشتری دارد را استفاده می‌کنند؛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غاصب، یک ماشین باری را غصب کند، لکن از آن استفاده باربری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نمی‌توانیم بگوییم فقط منفعتی را که استیفا نموده باید بپردازد؛ بلکه قیمت منفعت استفاده نشده را هم باید بپردازد؛ مگر آن که بگوییم منافع غیر مستوفاة ضمان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غاصب از هیچ کدام از آن منافع استفاده نکند؛ در این صورت، آیا این شخص، ضامن منفعتی است که از نظر عرف قیمت بیشتری دارد یا آن که ضامن یکی از منافع است به صورت تخییری؟ در این فرض نیز آیا تخییر به دست مالک است یا در اختیار ضامن است؟</w:t>
      </w:r>
    </w:p>
    <w:p>
      <w:pPr>
        <w:pStyle w:val="BookText"/>
        <w:rPr/>
      </w:pPr>
      <w:r>
        <w:rPr>
          <w:rFonts w:ascii="IRNazanin" w:hAnsi="IRNazanin" w:eastAsia="IRNazanin"/>
          <w:color w:val="111111"/>
          <w:sz w:val="28"/>
          <w:sz w:val="28"/>
          <w:szCs w:val="28"/>
          <w:rtl w:val="true"/>
          <w:lang w:bidi="fa-IR"/>
        </w:rPr>
        <w:t>مرحوم محقّق بجنوردی</w:t>
      </w:r>
      <w:r>
        <w:rPr>
          <w:rStyle w:val="FootnoteAnchor"/>
          <w:rtl w:val="true"/>
        </w:rPr>
        <w:footnoteReference w:id="195"/>
      </w:r>
      <w:r>
        <w:rPr>
          <w:rFonts w:ascii="IRNazanin" w:hAnsi="IRNazanin" w:eastAsia="IRNazanin"/>
          <w:color w:val="111111"/>
          <w:sz w:val="28"/>
          <w:sz w:val="28"/>
          <w:szCs w:val="28"/>
          <w:rtl w:val="true"/>
          <w:lang w:bidi="fa-IR"/>
        </w:rPr>
        <w:t>در این جا قائل به تفصیل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این است که باید ببینیم مستند و مدرک ضمان چیست؟ اگر دلیل ضمان را قاعده تفویت قرار دهیم، باید حکم کنیم منفعتی را که مالیّت بیشتر دارد، ضامن است؛ زیرا، از طرفی نمی‌توانیم تفویت جمیع منافع را به ضامن نسبت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فرض این است که منافع از حیث وجودی متضادّند و قابلیّت اجتماع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غاصب هم در میان نبود، حصول جمیع ممکن نبود؛ بنابراین، شخص غاصب، جمیع منافع را ضامن نیست و بلکه منفعت دارای قیمت بیشتر را ضامن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دلیل ضمان قاعده ید باشد، مرحوم بجنوردی در این فرض سخنی ندارند، لیکن والد محقّق که همین تفصیل را اختیار فرموده‌اند</w:t>
      </w:r>
      <w:r>
        <w:rPr>
          <w:rStyle w:val="FootnoteAnchor"/>
          <w:rtl w:val="true"/>
        </w:rPr>
        <w:footnoteReference w:id="196"/>
      </w:r>
      <w:r>
        <w:rPr>
          <w:rFonts w:ascii="IRNazanin" w:hAnsi="IRNazanin" w:eastAsia="IRNazanin"/>
          <w:color w:val="111111"/>
          <w:sz w:val="28"/>
          <w:sz w:val="28"/>
          <w:szCs w:val="28"/>
          <w:rtl w:val="true"/>
          <w:lang w:bidi="fa-IR"/>
        </w:rPr>
        <w:t>، بیان می‌کنند</w:t>
      </w:r>
      <w:bookmarkStart w:id="360" w:name="pg877_6028"/>
    </w:p>
    <w:p>
      <w:pPr>
        <w:pStyle w:val="BookText"/>
        <w:rPr/>
      </w:pPr>
      <w:bookmarkEnd w:id="360"/>
      <w:r>
        <w:rPr>
          <w:rFonts w:ascii="IRNazanin" w:hAnsi="IRNazanin" w:eastAsia="IRNazanin"/>
          <w:color w:val="111111"/>
          <w:sz w:val="28"/>
          <w:sz w:val="28"/>
          <w:szCs w:val="28"/>
          <w:rtl w:val="true"/>
          <w:lang w:bidi="fa-IR"/>
        </w:rPr>
        <w:t>که در این جا، هر چند که منافع با یکدیگر متضادّند، باید حکم کنیم که شخص غاصب جمیع منافع را ضامن است؛ زیرا، مطابق این قاعده، ملاک، تحقّق استیلا و صدق آن است؛ و استیلای بر جمیع منافع به تبع استیلای بر عین است؛ تضادّ در عالم وجود ارتباطی به استیلا که ملاک ضمان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استدلال صحیح نباشد؛ زیرا، گرچه ملاک در قاعده ید، طبق تفسیر مشهور، استیلا و سلطه است؛ اما در این استیلا و سلطه، باید متعلّق آن را از نظر عرف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که مالی دارای منافع متضادّ است، عرف استیلای بر جمیع منافع را نمی‌پذیرد؛ و همان طور که در گذشته نیز بیان نمودیم، گرچه استیلای بر منافع به تبعیّت استیلای بر عین است، اما این تبعیّت یک امر اعتباری است و عرف، نسبت به همه منافع تبعیّت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تفصیل نمی‌تواند مطابق با تحقیق باشد و صحیح آن است که در چنین صورتی که مال دارای منافع متضادّه است، غاصب، ضامن قیمتی است که مالیّت بیشتری را دارد؛ و فرقی نیست که دلیل ضمان را قاعده ید بدانیم، یا قاعده‌ی تفویت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بحث از منافع را به پایان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ضمان، مسأله قیمی و مثلی نیز مطرح است که در جای خود باید مورد بحث قرار گیرد، و از دایره این قاعده خارج است</w:t>
      </w:r>
      <w:r>
        <w:rPr>
          <w:rFonts w:eastAsia="IRNazanin" w:cs="IRNazanin"/>
          <w:color w:val="111111"/>
          <w:sz w:val="28"/>
          <w:szCs w:val="28"/>
          <w:rtl w:val="true"/>
          <w:lang w:bidi="fa-IR"/>
        </w:rPr>
        <w:t>.</w:t>
      </w:r>
    </w:p>
    <w:p>
      <w:pPr>
        <w:pStyle w:val="Heading3"/>
        <w:numPr>
          <w:ilvl w:val="2"/>
          <w:numId w:val="1"/>
        </w:numPr>
        <w:rPr/>
      </w:pPr>
      <w:bookmarkStart w:id="361" w:name="__RefHeading___Toc105719_373438147"/>
      <w:bookmarkStart w:id="362" w:name="_Toc137"/>
      <w:bookmarkEnd w:id="361"/>
      <w:r>
        <w:rPr>
          <w:rtl w:val="true"/>
        </w:rPr>
        <w:t>تنبیه سوم</w:t>
      </w:r>
      <w:r>
        <w:rPr>
          <w:rtl w:val="true"/>
        </w:rPr>
        <w:t xml:space="preserve">: </w:t>
      </w:r>
      <w:r>
        <w:rPr>
          <w:rtl w:val="true"/>
        </w:rPr>
        <w:t>بررسی شمول قاعده نسبت به حُرّ</w:t>
      </w:r>
      <w:bookmarkEnd w:id="362"/>
    </w:p>
    <w:p>
      <w:pPr>
        <w:pStyle w:val="Heading4"/>
        <w:numPr>
          <w:ilvl w:val="3"/>
          <w:numId w:val="1"/>
        </w:numPr>
        <w:rPr/>
      </w:pPr>
      <w:bookmarkStart w:id="363" w:name="__RefHeading___Toc105721_373438147"/>
      <w:bookmarkStart w:id="364" w:name="_Toc138"/>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تردیدی نیست که حدیث علی الید همان گونه که شامل اموال خارجی می‌شود، شامل انسان بنده و عبد به عنوان این که یکی از مصادیق اموال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بنده‌ی دیگری را غصب کرد، طبق این حدیث، باید آن عبد را به صاحب و مالکش برگرداند؛ و چنان چه تلف شود، لازم است که قیمت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اختلاف در این است که اگر شخص و یا حکومت، یک انسان حرّ و آزادی را در اختیار بگیرد و به عنوان مثال او را برای مدّتی زندانی کند، آیا این حدیث شامل چنین موردی نیز می‌شود؛ به صورتی که دلالت بر لزوم ادا و ردّ آن شخص در صورت بقا، و پرداخت دیه کامل او در صورت تلف داشته باشد؟ علاوه بر این، اختلاف دیگری که وجود دارد، این است که آیا گیرنده، ضامن منافع این شخص آزاد می‌باشد یا خیر؟ بنابراین، لازم است که بحث را در دو مقام دنبال کنیم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کتاب‌های فقهی معمولاً بین این دو مقام تفکیک نشده است و</w:t>
      </w:r>
      <w:bookmarkStart w:id="365" w:name="pg877_6032"/>
    </w:p>
    <w:p>
      <w:pPr>
        <w:pStyle w:val="BookText"/>
        <w:rPr/>
      </w:pPr>
      <w:bookmarkEnd w:id="365"/>
      <w:r>
        <w:rPr>
          <w:rFonts w:ascii="IRNazanin" w:hAnsi="IRNazanin" w:eastAsia="IRNazanin"/>
          <w:color w:val="111111"/>
          <w:sz w:val="28"/>
          <w:sz w:val="28"/>
          <w:szCs w:val="28"/>
          <w:rtl w:val="true"/>
          <w:lang w:bidi="fa-IR"/>
        </w:rPr>
        <w:t>غالب آن‌ها بحث را در عمل حُرّ متمرکز نموده، و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عمل حُرّ می‌تواند به عنوان عوض معامله قرار گیرد، آیا قاعده‌ی ضمان در عمل حُرّ جریان دارد یا خیر؟ برخی مانند مرحوم سیّد یزدی در حاشیه مکاسب قائل به ضمان در این مورد شده، و بین حُرّی که بالفعل دارای حرفه و کسبی باشد 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و بر آن، مال صدق می‌کند، و حُرّی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عمل او مال صدق نمی‌کند، تفصیل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قائل به ضمان و در دومی به عدم ضمان قائل شده‌اند، که علاوه بر تمسّک به قاعده اتلاف، سیره عقلائیه و قاعده احترام عمل مسلمان، به قاعده ضمان ید نیز استدلال نموده‌اند</w:t>
      </w:r>
      <w:r>
        <w:rPr>
          <w:rFonts w:eastAsia="IRNazanin" w:cs="IRNazanin"/>
          <w:color w:val="111111"/>
          <w:sz w:val="28"/>
          <w:szCs w:val="28"/>
          <w:rtl w:val="true"/>
          <w:lang w:bidi="fa-IR"/>
        </w:rPr>
        <w:t>.</w:t>
      </w:r>
    </w:p>
    <w:p>
      <w:pPr>
        <w:pStyle w:val="Heading4"/>
        <w:numPr>
          <w:ilvl w:val="3"/>
          <w:numId w:val="1"/>
        </w:numPr>
        <w:rPr/>
      </w:pPr>
      <w:bookmarkStart w:id="366" w:name="__RefHeading___Toc105723_373438147"/>
      <w:bookmarkStart w:id="367" w:name="_Toc139"/>
      <w:bookmarkEnd w:id="366"/>
      <w:r>
        <w:rPr>
          <w:rtl w:val="true"/>
        </w:rPr>
        <w:t>مقام اوّل</w:t>
      </w:r>
      <w:r>
        <w:rPr>
          <w:rtl w:val="true"/>
        </w:rPr>
        <w:t xml:space="preserve">: </w:t>
      </w:r>
      <w:r>
        <w:rPr>
          <w:rtl w:val="true"/>
        </w:rPr>
        <w:t>بررسی ضمان نسبت به حُرّ</w:t>
      </w:r>
      <w:bookmarkEnd w:id="367"/>
    </w:p>
    <w:p>
      <w:pPr>
        <w:pStyle w:val="Heading5"/>
        <w:numPr>
          <w:ilvl w:val="4"/>
          <w:numId w:val="1"/>
        </w:numPr>
        <w:rPr/>
      </w:pPr>
      <w:bookmarkStart w:id="368" w:name="__RefHeading___Toc105725_373438147"/>
      <w:bookmarkStart w:id="369" w:name="_Toc140"/>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مرحوم محقّق قدس سره در شرائع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 لا یضمن بالغصب ولو کان صغیراً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رحمه الله نیز در توضیح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عیناً ولا منفعة بلا خلاف محقّق أجده فیه</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ایشان علاوه بر ادّعای عدم خلاف و بلکه عدم اشکال در عدم ضمان حُرّ،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عدم کونه مالاً حتی یتحقّق فیه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انسان حرّ مال محسوب نمی‌شود که ضمان در مورد او محقّق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محقّق در المختصر النافع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التلف لا بسببه کالموت ولدغ الحیّة فقولان</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ایشان ادّعا کرده در موردی که تلف به سبب</w:t>
      </w:r>
    </w:p>
    <w:p>
      <w:pPr>
        <w:pStyle w:val="BookText"/>
        <w:rPr/>
      </w:pPr>
      <w:r>
        <w:rPr>
          <w:rFonts w:ascii="IRNazanin" w:hAnsi="IRNazanin" w:eastAsia="IRNazanin"/>
          <w:color w:val="111111"/>
          <w:sz w:val="28"/>
          <w:sz w:val="28"/>
          <w:szCs w:val="28"/>
          <w:rtl w:val="true"/>
          <w:lang w:bidi="fa-IR"/>
        </w:rPr>
        <w:t>غاصب نباشد، دو قول در مسأله وجود دارد؛ مرحوم صاحب جواهر نیز به آن ایراد کرده و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در مسأله دو قول باشد، به آن دست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اینان، مرحوم فیض کاشانی قدس سره در مفاتیح قول به عدم ضمان را تضعیف نموده و مرحوم سبزواری قدس سره در کفایه قول به عدم ضمان را به مشهور نسبت داده‌اند</w:t>
      </w:r>
      <w:r>
        <w:rPr>
          <w:rStyle w:val="FootnoteAnchor"/>
          <w:rtl w:val="true"/>
        </w:rPr>
        <w:footnoteReference w:id="200"/>
      </w:r>
      <w:r>
        <w:rPr>
          <w:rFonts w:ascii="IRNazanin" w:hAnsi="IRNazanin" w:eastAsia="IRNazanin"/>
          <w:color w:val="111111"/>
          <w:sz w:val="28"/>
          <w:sz w:val="28"/>
          <w:szCs w:val="28"/>
          <w:rtl w:val="true"/>
          <w:lang w:bidi="fa-IR"/>
        </w:rPr>
        <w:t>که دلالت دارد غیر مشهور به ضمان حرّ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حلّی رحمه الله در مهذّب و مرحوم شهید در روضة ادّعای اجماع بر عدم ضمان صغیر چنان چه به موت طبیعی تلف شود، نموده‌اند</w:t>
      </w:r>
      <w:r>
        <w:rPr>
          <w:rStyle w:val="FootnoteAnchor"/>
          <w:rtl w:val="true"/>
        </w:rPr>
        <w:footnoteReference w:id="201"/>
      </w:r>
      <w:r>
        <w:rPr>
          <w:rFonts w:ascii="IRNazanin" w:hAnsi="IRNazanin" w:eastAsia="IRNazanin"/>
          <w:color w:val="111111"/>
          <w:sz w:val="28"/>
          <w:sz w:val="28"/>
          <w:szCs w:val="28"/>
          <w:rtl w:val="true"/>
          <w:lang w:bidi="fa-IR"/>
        </w:rPr>
        <w:t>؛ از این رو، در عبارات فقها تعمیم داده شده و همه‌ی آن‌ها فرموده‌اند که حُرّ به سبب غصب، مورد ضمان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شرائع فرموده است حُرّ علاوه بر آن که به سبب غصب، مورد ضمان واقع نمی‌شود، اگر غرق و یا سوخته شود و غاصب سببیّتی در این امر نداشته باشد، باز هم غاصب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مبسوط و فخر المحقّقین در ایضاح 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این فتوا را به اشهر و مرحوم سبزواری در کفایة الأحکام آن را به مشهور نسبت داده است، امّا صاحب جواهر رحمه الله این نسبت را نپذیرفته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صورتی که حُرّ صغیر باشد و به وسیله نیش مار یا عقرب زمانی که در دست غاصب است، تلف شود، مرحوم شیخ طوسی در کتاب الجراح</w:t>
      </w:r>
    </w:p>
    <w:p>
      <w:pPr>
        <w:pStyle w:val="BookText"/>
        <w:rPr/>
      </w:pPr>
      <w:r>
        <w:rPr>
          <w:rFonts w:ascii="IRNazanin" w:hAnsi="IRNazanin" w:eastAsia="IRNazanin"/>
          <w:color w:val="111111"/>
          <w:sz w:val="28"/>
          <w:sz w:val="28"/>
          <w:szCs w:val="28"/>
          <w:rtl w:val="true"/>
          <w:lang w:bidi="fa-IR"/>
        </w:rPr>
        <w:t>مبسوط فتوا به ضمان داده است؛ شهید اوّل رحمه الله در دروس و نیز شیخ رحمه الله در خلاف و مرحوم علّامه در مختلف این رأی را تقویت نموده‌اند؛ و در تبصره و حاشیه ارشاد و برخی دیگر از کتاب‌های فقهی این قول اختیار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عامّه نیز ابوحنیفه این رأی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فقها این قول را فقط نقل نموده، و هیچ ترجیحی نسبت به آن نداده‌اند؛ مانند مرحوم محقّق در المختصر النافع، فاضل آبی رحمه الله در کشف الرموز، علّامه رحمه الله در تحریر و ارشاد، مرحوم شهید ثانی در غایة المراد و ابن فهد رحمه الله در 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بعد از نقل این اقوال،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وجه ظاهر تقتضی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دلیل روشنی بر ضمان حُرّ صغیری که به این صورت تلف شده باشد، نداریم؛ و آن چه به عنوان دلیل مطرح هست، دو امر است که هر دوی آن‌ها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وجه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کسی ادّعا کند در این فرض، غاصب به علت غصب، سبب در تلف شدن او شده است؛ مانند این‌که کسی در راه چاهی حفر کند و دیگری در آن قرار گیرد؛ همان طور که در این مورد سببیّت وجود دارد، در این بحث و مسأله نیز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واضح المنع است؛ زیرا، در مقیس علیه مسأله سببیّت از نظر عرف واضح است، اما در مقیس، سببیّت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روایات،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استعار حراً صغیراً فعیب فهو ضامن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بر حسب این روایت، در ما نحن فیه، ضمان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قدس سره به این روایت دو اشکال وارد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سند این روایت ضعیف است؛ و دوّم این‌که، بر فرض صحّت سند، هیچ فقیهی به این روایت عمل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ردّ هر دو دلیل، دو توهّم را ذکر کرده و پاسخ می‌دهد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صغیر ضمان را نپذیریم، این امر موجب می‌شود کسانی که به دنبال قتل اطفال هستند، حیله‌ای داشته باشند؛ به عبارت دیگر، باید</w:t>
      </w:r>
    </w:p>
    <w:p>
      <w:pPr>
        <w:pStyle w:val="BookText"/>
        <w:rPr/>
      </w:pPr>
      <w:r>
        <w:rPr>
          <w:rFonts w:ascii="IRNazanin" w:hAnsi="IRNazanin" w:eastAsia="IRNazanin"/>
          <w:color w:val="111111"/>
          <w:sz w:val="28"/>
          <w:sz w:val="28"/>
          <w:szCs w:val="28"/>
          <w:rtl w:val="true"/>
          <w:lang w:bidi="fa-IR"/>
        </w:rPr>
        <w:t>بگوییم نفس غصب و عدوان با ضمان مناسبت دارد، و گرنه چنین تالی فاسدی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 مجرّد اعتبار و استحسان است؛ و در فقه برای فقیه قابل اتّکا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مملوک صغیر یا مجنونی را در مسبعه قرار دهد که درّندگان او را از بین می‌برند، در این صورت مسلّماً ضمان وجود دارد، آیا ضمان در این مورد، اقتضای ضمان در ما نحن فیه را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اقتضایی نیست؛ زیرا، در آن مورد مسأله تسبیب به وضوح وجود دارد و شخص غاصب، سببیّت عرفی در این امر دارد، اما در مسأله مورد بحث، غاصب سببیّت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قدس سره در انتهای بحث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فالمتّجه عدم الضمان مع فرض عدم تقصیر منه فی حفظه بالاهمال ونحوه وربما یحمل القول بالضمان علی ما لو أهمل، بحیث یکون سببا فی تلفه لکونه غیر قابل لحفظ نفسه بخلاف ما إذا لم یهمل فاتّفق تلفه بأمر لا مدخل لاهماله فیه، وحینئذ یکون النزاع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ایشان متین است، اما نکته‌ی مهمّ آن است که در فرض اهمال، قتل استناد به غاصب پیدا می‌کند؛ و آیا مقصود از ضمان در این فرض، همان دیه مقدّره است یا این‌که مقصود آن است که حُرّ صغیر را به منزله مملوک صغیر فرض کرده و آن را قیمت‌گذاری نماییم؟ ظاهر آن است که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مقدّره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در نتیجه، از بحث ضمان اصطلاحی در باب غصب، به طور کلّ خارج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در کتاب الغصب تحریر الوسیلة در 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استولی علی حُرّ فحبسه لم یتحقّق الغصب لا بالنسبة إلی عینه ولا بالنسبة إلی منفعته، وإن أثم بذلک وظلمه سواء کان کبیراً أو صغیراً، فلیس علیه ضمان الید الّذی هو من أحکام الغصب، فلو أصابه حرق أو غرق أو مات تحت استیلائه من غیر تسبیب منه لم یضمن</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استفاده می‌شود که ایشان در صدق عنوان استیلای بر حُرّ تردیدی ندارند، امّا چون بر شخص حُرّ، عنوان مالِ غیر یا حقِّ غیر صدق نمی‌کند، تعریف غصب شامل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تعریف غصب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الاستیلاء علی ما للغیر من مال أو حقّ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 این کلام مناقشه شود به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تعریفی در هیچ آیه، یا روایتی و یا دلیل معتبری وارد نشده است تا این که بتواند مستند حکم شرعی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استیلای بر مال دیگری یا حقّ دیگری غصب باشد، به طریق اولی استیلای بر نفس غیر، عنوان غصب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 قابل جواب است؛ به این صورت که غصب، یک عنوان انتزاعی یا اعتباری است که در میان عقلا وجود دارد و در امور اعتباری یا انتزاعی، اولویّت راه ندارد؛ و با مراجعه به عقلا می‌بینیم که آنان در استیلای بر نفس غیر، عنوان غصب را اعتبار نمی‌کنند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خوئی قدس سره نیز در کتاب الغصب منهاج الصالحین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استولی علی حرّ فتلف عنده فلا ضمان علی المستولی وإن کان الحرّ صغیراً إلّاأن یکون تلفه مستنداً إلیه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 معتقدند نسبت به استیلای بر حُرّ، هیچ‌گونه ضمانی وجود ندارد؛ و اگر در زمان استیلا، شخص حرّ خود به خود تلف شود و از بین برود، شخص مستولی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نیز همانند امام خمینی رحمه الله یک مورد را استثنا می‌کنند، و آن موردی است که تلف شخص حُرّ مستند به مستولی باشد؛ در این صورت، شخص مستولی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استثنای از مورد غصب نیست، و بلکه دلیل آن مسأله اتلاف و یا سببیّت در قتل است، که از محل کلام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والد محقّق</w:t>
      </w:r>
      <w:r>
        <w:rPr>
          <w:rStyle w:val="FootnoteAnchor"/>
          <w:rtl w:val="true"/>
        </w:rPr>
        <w:footnoteReference w:id="206"/>
      </w:r>
      <w:r>
        <w:rPr>
          <w:rFonts w:ascii="IRNazanin" w:hAnsi="IRNazanin" w:eastAsia="IRNazanin"/>
          <w:color w:val="111111"/>
          <w:sz w:val="28"/>
          <w:sz w:val="28"/>
          <w:szCs w:val="28"/>
          <w:rtl w:val="true"/>
          <w:lang w:bidi="fa-IR"/>
        </w:rPr>
        <w:t>در این رابطه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الید اطلاق دارد، و نسبت به شخص آزاد نیز استیلا تحقّق پیدا می‌کند، بنابراین، ضمان نسبت به او کاملاً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ادلّه نیز قرینه‌ای بر این که اطلاق را تقیید بزنیم،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شرح تحریر با استاد خود در این بحث مخالفت نموده و قائل شده‌اند ضمان در استیلای بر حُرّ مطابق با قاعده است؛ مگر آن که در مقابل آن اجماعی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فی الحکم بعدم الضمان فیه من الاستناد إلی الاجماع لا القاعدة المقتضیة لثبوت الضمان فی الفرض المزبور</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برخی از بزرگان مانند محقّق رشتی رحمه الله</w:t>
      </w:r>
      <w:r>
        <w:rPr>
          <w:rStyle w:val="FootnoteAnchor"/>
          <w:rtl w:val="true"/>
        </w:rPr>
        <w:footnoteReference w:id="208"/>
      </w:r>
      <w:r>
        <w:rPr>
          <w:rFonts w:ascii="IRNazanin" w:hAnsi="IRNazanin" w:eastAsia="IRNazanin"/>
          <w:color w:val="111111"/>
          <w:sz w:val="28"/>
          <w:sz w:val="28"/>
          <w:szCs w:val="28"/>
          <w:rtl w:val="true"/>
          <w:lang w:bidi="fa-IR"/>
        </w:rPr>
        <w:t>اصرار دارند که این حدیث، شامل شخص آزاد نمی‌شود</w:t>
      </w:r>
      <w:r>
        <w:rPr>
          <w:rFonts w:eastAsia="IRNazanin" w:cs="IRNazanin"/>
          <w:color w:val="111111"/>
          <w:sz w:val="28"/>
          <w:szCs w:val="28"/>
          <w:rtl w:val="true"/>
          <w:lang w:bidi="fa-IR"/>
        </w:rPr>
        <w:t>.</w:t>
      </w:r>
      <w:bookmarkStart w:id="370" w:name="pg877_6044"/>
    </w:p>
    <w:p>
      <w:pPr>
        <w:pStyle w:val="Heading5"/>
        <w:numPr>
          <w:ilvl w:val="4"/>
          <w:numId w:val="1"/>
        </w:numPr>
        <w:rPr/>
      </w:pPr>
      <w:bookmarkStart w:id="371" w:name="__RefHeading___Toc105727_373438147"/>
      <w:bookmarkStart w:id="372" w:name="_Toc141"/>
      <w:bookmarkEnd w:id="370"/>
      <w:bookmarkEnd w:id="371"/>
      <w:r>
        <w:rPr>
          <w:rtl w:val="true"/>
        </w:rPr>
        <w:t>دیدگاه محقّق رشتی رحمه الله در ضمان حرّ</w:t>
      </w:r>
      <w:bookmarkEnd w:id="372"/>
    </w:p>
    <w:p>
      <w:pPr>
        <w:pStyle w:val="BookText"/>
        <w:rPr/>
      </w:pPr>
      <w:r>
        <w:rPr>
          <w:rFonts w:ascii="IRNazanin" w:hAnsi="IRNazanin" w:eastAsia="IRNazanin"/>
          <w:color w:val="111111"/>
          <w:sz w:val="28"/>
          <w:sz w:val="28"/>
          <w:szCs w:val="28"/>
          <w:rtl w:val="true"/>
          <w:lang w:bidi="fa-IR"/>
        </w:rPr>
        <w:t>مرحوم محقّق رشتی در رابطه با این که حدیث علی الید شامل حرّ نمی‌شود، سه مطلب ذکر نموده‌اند</w:t>
      </w:r>
      <w:r>
        <w:rPr>
          <w:rStyle w:val="FootnoteAnchor"/>
          <w:rtl w:val="true"/>
        </w:rPr>
        <w:footnoteReference w:id="209"/>
      </w:r>
      <w:r>
        <w:rPr>
          <w:rFonts w:ascii="IRNazanin" w:hAnsi="IRNazanin" w:eastAsia="IRNazanin"/>
          <w:color w:val="111111"/>
          <w:sz w:val="28"/>
          <w:sz w:val="28"/>
          <w:szCs w:val="28"/>
          <w:rtl w:val="true"/>
          <w:lang w:bidi="fa-IR"/>
        </w:rPr>
        <w:t>که جهت روشن شدن بحث، لازم است که هر سه صورت را جداگانه مورد تدقیق و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در موردی تصویر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ملکیّت باشد؛ و ضامن به عنوان مالکیّت نسبت به شییء استیلا پیدا کرده، و آن شییء متّصف به صفت مملوکیّت باشد؛ در حالی که شخص آزاد چنین وصفی را ندارد؛ چرا که خود، عنوان مالک دارد و دیگر، قابل اتّصاف به صفت مملوکیّت نیست و اجتماع مالک و مملوک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فتوای مرحوم علّامه</w:t>
      </w:r>
      <w:r>
        <w:rPr>
          <w:rStyle w:val="FootnoteAnchor"/>
          <w:rtl w:val="true"/>
        </w:rPr>
        <w:footnoteReference w:id="210"/>
      </w:r>
      <w:r>
        <w:rPr>
          <w:rFonts w:ascii="IRNazanin" w:hAnsi="IRNazanin" w:eastAsia="IRNazanin"/>
          <w:color w:val="111111"/>
          <w:sz w:val="28"/>
          <w:sz w:val="28"/>
          <w:szCs w:val="28"/>
          <w:rtl w:val="true"/>
          <w:lang w:bidi="fa-IR"/>
        </w:rPr>
        <w:t xml:space="preserve">است که اگر کسی لباس شخص حرّ صغیری را غصب کند، ضمان آور نیست؛ زیرا، اگر خودش را نیز غصب کند، موجب ضمان نمی‌شود؛ چه آن که انسان صغیر، هر چند مقهور دست غاصب است، اما صفت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قاعده مأخوذ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صادق نیست؛ و اگر نسبت به خود او صادق نباشد، نسبت به لباس او نیز صادق نخواهد بود؛ چرا که به اعتبار استقلال ذاتی و مالکیّت ذاتی خودش، بر لباس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اشکالات زیر وارد می‌شود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یدِ عدوانی و یا یدِ غیر مأذون است؛ و هیچ قرینه‌ای بر این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متّصف به صفت ملکیّت و مالکیّت باشد،</w:t>
      </w:r>
    </w:p>
    <w:p>
      <w:pPr>
        <w:pStyle w:val="BookText"/>
        <w:rPr/>
      </w:pPr>
      <w:r>
        <w:rPr>
          <w:rFonts w:ascii="IRNazanin" w:hAnsi="IRNazanin" w:eastAsia="IRNazanin"/>
          <w:color w:val="111111"/>
          <w:sz w:val="28"/>
          <w:sz w:val="28"/>
          <w:szCs w:val="28"/>
          <w:rtl w:val="true"/>
          <w:lang w:bidi="fa-IR"/>
        </w:rPr>
        <w:t>نداریم؛ و اساساً، در کلام ایشان، هیچ دلیلی بر این مطلب که یدِ موجبِ ضمان، یدِ کاشف از ملکیّت است، اقامه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استشهاد ایشان به فتوای مرحوم علّامه صحیح نیست؛ زیرا، در صحّت این فتوا مناقشه است؛ چه آن که تردیدی نیست که در ضمان، بین لباس شخص صغیر و لباس شخص کبیر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مرحوم علاّمه آن است که از طریق حدیث علی الید، نمی‌توان برای ضمان در لباس صغیر استدلال نمود، باید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اطلاق حدیث، به خوبی شامل لباس صغیر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بپذیریم بر خود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نمی‌کند، ملازمه‌ای نیست‌که بر لباس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 محقّق</w:t>
      </w:r>
      <w:r>
        <w:rPr>
          <w:rStyle w:val="FootnoteAnchor"/>
          <w:rtl w:val="true"/>
        </w:rPr>
        <w:footnoteReference w:id="211"/>
      </w:r>
      <w:r>
        <w:rPr>
          <w:rFonts w:ascii="IRNazanin" w:hAnsi="IRNazanin" w:eastAsia="IRNazanin"/>
          <w:color w:val="111111"/>
          <w:sz w:val="28"/>
          <w:sz w:val="28"/>
          <w:szCs w:val="28"/>
          <w:rtl w:val="true"/>
          <w:lang w:bidi="fa-IR"/>
        </w:rPr>
        <w:t>دو توجیه برای کلام مرحوم علّامه ذکر نموده، و سپس، هر دو را مورد مناقشه قرار داده‌اند؛</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علّامه رحمه الله آن است که اگر چه کلمه ید، در قاعده ضمان ید متّصف به عدوانی بوده و با کلمه ید، در قاعده اماریّت ید که متّصف به مشکوک بودن است، اختلاف دارد، اما در هر دو قاعده موصوف،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ید، 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تردیدی نیست که در قاعده اماریّت، کلمه ید، ظهور در چیزی دارد که متّصف به مملوکیّت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آن متّصف به مملوکیّت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یدِ بر خمر و یا خنزیر اماره بر ملکیّت نیست؛ بنابراین، در قاعده ضمان نیز مراد از ید، بایستی همین معنا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 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با دو اشکال مواجه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دلیلی نداریم که هر دو قاعده باید در این معنا یکسان باشند؛ بلکه قرینه مناسبت حکم و موضوع در قاعده‌ی اماریّت دلالت بر این دارد که مراد، یدِ بر چیزی است که قابلیّت اتّصاف به ملکیّت را داشته باشد، و در چنین موردی است که ید</w:t>
      </w:r>
    </w:p>
    <w:p>
      <w:pPr>
        <w:pStyle w:val="BookText"/>
        <w:rPr/>
      </w:pPr>
      <w:r>
        <w:rPr>
          <w:rFonts w:ascii="IRNazanin" w:hAnsi="IRNazanin" w:eastAsia="IRNazanin"/>
          <w:color w:val="111111"/>
          <w:sz w:val="28"/>
          <w:sz w:val="28"/>
          <w:szCs w:val="28"/>
          <w:rtl w:val="true"/>
          <w:lang w:bidi="fa-IR"/>
        </w:rPr>
        <w:t>می‌تواند کاشف از ملکیّت باشد؛ اما این قرینه، در قاعده ضمان ید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قاعده اماریّت هم می‌توان گفت که اختصاص به چنین موردی ندارد؛ بلکه در مواردی هم که اتّصاف به ملکیّت نیست، این قاعده جاری است؛ 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اختیار مردی باشد و آن مرد با وی به صورت زوجیّت برخورد کند؛ در چنین موردی اگر شک شود که این زن زوجه اوست یا خیر؟ مقتضای قاعده ید، آن است که حکم بر زوجیّت او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شاهد آن است که قاعده ید، اختصاص به موردی که متّصف به مملوکیّت شود،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اشکال دوّم ایشان قابل مناقشه است؛ چرا که، حکم به زوجیّت در چنین موردی، بر طبق قاعده‌ی تقدیم ظاهر بر اصل است؛ به این معنا که ظاهر حال مسلمانان آن است که ارتباط وی با زن بیگانه مطابق موازین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زوجیّت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آن است که اگر قضیّه به عکس باشد، یعنی شک شود که مرد همسر این زن است یا نه؟، می‌توانیم حکم به زوجیّت کنیم؛ که اگر مسأله ید و قاعده ید مطرح باشد، روشن است که نمی‌توان آن را در دو طرف جاری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مرد بر زن، ید دارد و هم زن بر مرد، ید دارد؛ اما قاعده تقدیم ظاهر بر اصل را می‌توان در هر دو طرف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دیگری که برای کلام مرحوم علّامه بیان می‌کنند، این است که از ذیل کلام ایشان استفاده می‌شود که از معنای عرفی ید، چنین می‌فهمیم که در موردی که ملکیّت و اختصاص ناشی از ملکیّت هست، معنای ید، بر آن صدق می‌کند؛ و در موردی که ملکیّت تصوّر ندارد، در آن مورد، ید، صدق نمی‌کند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این توجیه می‌شود، آن است که روشن است در فهم معانی الفاظ وارد شده در کتاب و سنّت بایستی به عرف مراجعه</w:t>
      </w:r>
    </w:p>
    <w:p>
      <w:pPr>
        <w:pStyle w:val="BookText"/>
        <w:rPr/>
      </w:pPr>
      <w:r>
        <w:rPr>
          <w:rFonts w:ascii="IRNazanin" w:hAnsi="IRNazanin" w:eastAsia="IRNazanin"/>
          <w:color w:val="111111"/>
          <w:sz w:val="28"/>
          <w:sz w:val="28"/>
          <w:szCs w:val="28"/>
          <w:rtl w:val="true"/>
          <w:lang w:bidi="fa-IR"/>
        </w:rPr>
        <w:t>نماییم؛ و با مراجعه به عرف روشن می‌شود که در صدق ید و استیلا، به هیچ وجه مملوکیّت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آن است که در عمل آدم‌ربایی، از نظر عرفی، استیلا هست، و حال آن که هیچ عنوان مملوکیّتی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کلام مرحوم علّامه مبنی بر آن که در صدق ید، صفت مملوکیّت وجود دارد، کلامی است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رشتی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بپذیریم عنوان ید و استیلا بر انسان آزاد صدق می‌کند، اما غایت موجود در حدیث علی الید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قرینه می‌شود که موصول موجود در متن روایت، شامل حرّ نشود؛ زیرا، در پرداختن دیه‌ی حرّ، عنوان ادا صدق نمی‌کند؛ و اگر حرّ تلف شود و غاصب دیه او را به ورثه‌اش بپردازد، باز ادا صدق نمی‌کند؛ زیرا، ادا در صورتی تحقّق دارد که بدل، جای مُبدل و به عوض مُبدل باشد؛ و از این جهت، پرداخت مثل و یا قیمت، در اشیای دارای مالیّت، عنوان بدل را دارد، و گویا با پرداخت آن، مُبدل پرداخت شده است؛ در حالی که این عنوان، در پرداخت دیه‌ی حرّ وجود ندارد؛ چه آن که دیه، عوض از شخص نیست و بلکه، در حقیقت، به عنوان جریمه و عقوبت است؛ و با پرداخت دیه، هیچ گاه خود آن انسان دفع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رشتی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مبتنی است بر این که از غایت موجود در روایت، پرداخت مثل و یا قیمت را در صورت تلف، استفاده کنیم؛ اما اگر مبنای دیگر را بپذیریم که از غایت، حکمِ صورت تلف استفاده نمی‌شود؛ بلکه حکم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باید از شرع و یا از عرف بگیریم، در این صورت،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الید، بر ضمان حرّ صغیر دلالت دارد؛ و در صورت تلف، بایستی دیه او پرداخت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ادّعا کند که تعبیر به ضمان، شامل پرداخت دیه نمی‌شود، چرا که</w:t>
      </w:r>
    </w:p>
    <w:p>
      <w:pPr>
        <w:pStyle w:val="BookText"/>
        <w:rPr/>
      </w:pPr>
      <w:r>
        <w:rPr>
          <w:rFonts w:ascii="IRNazanin" w:hAnsi="IRNazanin" w:eastAsia="IRNazanin"/>
          <w:color w:val="111111"/>
          <w:sz w:val="28"/>
          <w:sz w:val="28"/>
          <w:szCs w:val="28"/>
          <w:rtl w:val="true"/>
          <w:lang w:bidi="fa-IR"/>
        </w:rPr>
        <w:t>عنوان عوض را ندارد، و ضمان، فقط اختصاص به امور مالی دارد،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روایت، لفظ ضمان وارد نشده است، و این تعبیر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ثانیاً، این که ضمان، اختصاص به اشیایی داشته باشد که در عرف به آن‌ها مال می‌گویند، مورد قبول نیست؛ و شاهد آن تعبیر ضمان در باب طبیب و امام جماعت است؛ و ثالثاً، حتی اگر بپذیریم تعبیر به ضمان، اختصاص به اموال دارد، اما تردیدی نیست که تعبیر به عهده چنین اختصاصی را ندراد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مطلب دوّم نیز چند اشکال وارد است</w:t>
      </w:r>
      <w:r>
        <w:rPr>
          <w:rStyle w:val="FootnoteAnchor"/>
          <w:rtl w:val="true"/>
        </w:rPr>
        <w:footnoteReference w:id="212"/>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چه بپذیریم حکم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غایت استفاده نمی‌شود و بلکه یک حکم شرعی است که از طریق دیگر استفاده می‌شود، واضح است که برای ثبوت آن نیاز به دلیل دیگر داریم که آن دلیل در مورد حرّ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روایتی از وهب بن وهب ابوالبختری از امام صادق علیه السلام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استعار عبداً لقوم آخرین، فهو له ضامن، ومن استعار حرّاً صغیراً ضمن</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از آن، ضمان نسبت به صغیر حرّ استفاده می‌شود؛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به جهت وجود وهب بن وهب که از دروغگوترین افراد هست</w:t>
      </w:r>
      <w:r>
        <w:rPr>
          <w:rStyle w:val="FootnoteAnchor"/>
          <w:rtl w:val="true"/>
        </w:rPr>
        <w:footnoteReference w:id="214"/>
      </w:r>
      <w:r>
        <w:rPr>
          <w:rFonts w:ascii="IRNazanin" w:hAnsi="IRNazanin" w:eastAsia="IRNazanin"/>
          <w:color w:val="111111"/>
          <w:sz w:val="28"/>
          <w:sz w:val="28"/>
          <w:szCs w:val="28"/>
          <w:rtl w:val="true"/>
          <w:lang w:bidi="fa-IR"/>
        </w:rPr>
        <w:t>، مخدوش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مورد عمل اصحاب واقع نشده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اجماع است؛ زیرا، اجماع فقها بر عدم وجود ضمان در عاریه قائم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بپذیریم که بر اخذ حرّ، ید و استیلا صدق می‌کند، و همین طور بپذیریم که نسبت به استیلای بر انسان، ضمان هم صادق است، همان گونه</w:t>
      </w:r>
    </w:p>
    <w:p>
      <w:pPr>
        <w:pStyle w:val="BookText"/>
        <w:rPr/>
      </w:pPr>
      <w:r>
        <w:rPr>
          <w:rFonts w:ascii="IRNazanin" w:hAnsi="IRNazanin" w:eastAsia="IRNazanin"/>
          <w:color w:val="111111"/>
          <w:sz w:val="28"/>
          <w:sz w:val="28"/>
          <w:szCs w:val="28"/>
          <w:rtl w:val="true"/>
          <w:lang w:bidi="fa-IR"/>
        </w:rPr>
        <w:t xml:space="preserve">که در امور مالی صدق می‌کند؛ و نسبت به روایت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معتبر نبوده و اثبات حکم شرعی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راوی آشنای به اسالیب لغت عرب است، می‌تواند این مقدار را اثبات کند که در چنین مواردی تعبیر به ضمان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فرض، چاره‌ای نیست که نسبت به حرّ، مسأله خروج از عهده و رافع ضمان را بپذیریم؛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ضمان ثابت باشد، تردیدی نیست که حتماً برای رفع آن رافعی وجود دارد؛ و این رافع، بر طبق حدیث علی الید، چیزی غیر از ادا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پرداختن دیه نیز مانند پرداختن مثل و یا قیمت، بایستی از مصادیق ادا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آن است که اشکال دوّم، وارد نیست؛ و بر پرداختن دیه حرّ، کلمه ادا صدق نمی‌کند؛ زیرا، بحث در آن است که آیا غایت موجود در این روایت، می‌تواند قرینه بر تخصیص موصول به غیر حرّ شود یا خیر؟ و روشن است که اگر ضمان در انسان آزاد ثابت باشد، ملازمه ندارد که رافع آن عنوان ادا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دلیلی نداریم که در همه موارد، رافع ضمان، مصداق برای ادا باشد؛ بلکه، در مثل پرداخت دیه، مصداق برای عقوبت و جریمه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عنوان ادا را توسعه داده و علاوه بر ادای حقیقی، شامل ادای حکمی نیز شود، بعید نیست که دفع دیه عنوان ادای 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رشتی در مطلب سوم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متبادر از موصول است، مال است؛ چرا که کلمه ادا، اگر به افعالی مانند نماز نسبت داده شود، نیازی به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اما اگر به اعیان و امور غیر مالی نسبت داده شود، به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 و در این فرض، ادا، نیاز به مؤدّی إلیه و کسی که مال به او تحویل داده شود،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مؤدّی إلیه نیز در مالی که غصب می‌شود یا عنوان مالک را دارد و یا عنوان مستحقّ، و حال آن که در بحث حرّ هیچ یک از این عناوین نیست؛ شاهدش نیز آن است که در ردّ حرّ مغصوب نمی‌توانیم تعبیر کنیم که ردّ آن به مالک یا مستحقّ او واجب است؛ و حتی نمی‌توان</w:t>
      </w:r>
      <w:bookmarkStart w:id="373" w:name="pg877_6057"/>
    </w:p>
    <w:p>
      <w:pPr>
        <w:pStyle w:val="BookText"/>
        <w:rPr/>
      </w:pPr>
      <w:bookmarkEnd w:id="373"/>
      <w:r>
        <w:rPr>
          <w:rFonts w:ascii="IRNazanin" w:hAnsi="IRNazanin" w:eastAsia="IRNazanin"/>
          <w:color w:val="111111"/>
          <w:sz w:val="28"/>
          <w:sz w:val="28"/>
          <w:szCs w:val="28"/>
          <w:rtl w:val="true"/>
          <w:lang w:bidi="fa-IR"/>
        </w:rPr>
        <w:t>گفت که به وارث او ردّ نماییم؛ چرا که وارث، عنوان مالک یا مستحقّ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محقّق</w:t>
      </w:r>
      <w:r>
        <w:rPr>
          <w:rStyle w:val="FootnoteAnchor"/>
          <w:rtl w:val="true"/>
        </w:rPr>
        <w:footnoteReference w:id="215"/>
      </w:r>
      <w:r>
        <w:rPr>
          <w:rFonts w:ascii="IRNazanin" w:hAnsi="IRNazanin" w:eastAsia="IRNazanin"/>
          <w:color w:val="111111"/>
          <w:sz w:val="28"/>
          <w:sz w:val="28"/>
          <w:szCs w:val="28"/>
          <w:rtl w:val="true"/>
          <w:lang w:bidi="fa-IR"/>
        </w:rPr>
        <w:t>بر این مطلب اشکال کرده و سه صورت تصویر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حرّ در دست غاصب بمیرد، تردیدی نیست که در حکم تلف بوده، و ادای دیه و قیمت آن به وارثش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شخص حرّ اجیر دیگری شده باشد و منفعت خاصّ او و یا تمام منافعش ملک دیگری شده باشد، مؤدّی إلیه تصویر و معنا دارد؛ و او همان مالک و اجاره کننده انسان آزاد است که بایستی قیمت منافع را به او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حرّ زنده باشد و منفعتش نیز ملک دیگری نباشد، در صورتی که صغیر باشد و در زندگی استقلال نداشته باشد، باید قیمت او را به ولیّ او ادا نمود؛ و لازم نیست مؤدّی إلیه مالک یا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فهم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آن انسان آزاد، بزرگسال باشد، چون در ضمان نمی‌توانیم بین کبیر و صغیر فرقی قائل شویم و قول به فصل نداریم، باید ضمان را بپذیریم، و در معنای آن تصرّف کنیم؛ به این صورت که در ادا لازم نیست مؤدّی إلیه شخصی معیّن باشد تا بگوییم یا باید مالک باشد و یا مستحقّ؛ بلکه مراد از ادا، ارجاع آن به صورتی است که قبل از غصب به همان صورت بوده؛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همان شرائط و خصوصیّات قبل از غصب برگردانیم، و این معنا در حرّ نیز قابل تصویر است</w:t>
      </w:r>
      <w:r>
        <w:rPr>
          <w:rFonts w:eastAsia="IRNazanin" w:cs="IRNazanin"/>
          <w:color w:val="111111"/>
          <w:sz w:val="28"/>
          <w:szCs w:val="28"/>
          <w:rtl w:val="true"/>
          <w:lang w:bidi="fa-IR"/>
        </w:rPr>
        <w:t>.</w:t>
      </w:r>
    </w:p>
    <w:p>
      <w:pPr>
        <w:pStyle w:val="Heading5"/>
        <w:numPr>
          <w:ilvl w:val="4"/>
          <w:numId w:val="1"/>
        </w:numPr>
        <w:rPr/>
      </w:pPr>
      <w:bookmarkStart w:id="374" w:name="__RefHeading___Toc105729_373438147"/>
      <w:bookmarkStart w:id="375" w:name="_Toc142"/>
      <w:bookmarkEnd w:id="374"/>
      <w:r>
        <w:rPr>
          <w:rtl w:val="true"/>
        </w:rPr>
        <w:t>تحقیق مسأله در مقام اوّل</w:t>
      </w:r>
      <w:bookmarkEnd w:id="37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تردیدی نیست که این حدیث از نظر موصول اطلاق داشته و شامل انسان آزاد نیز می‌شود؛ لیکن انصاف آن است که نمی‌توانیم غایت در حدیث</w:t>
      </w:r>
      <w:bookmarkStart w:id="376" w:name="pg877_6059"/>
    </w:p>
    <w:p>
      <w:pPr>
        <w:pStyle w:val="BookText"/>
        <w:rPr/>
      </w:pPr>
      <w:bookmarkEnd w:id="376"/>
      <w:r>
        <w:rPr>
          <w:rFonts w:ascii="IRNazanin" w:hAnsi="IRNazanin" w:eastAsia="IRNazanin"/>
          <w:color w:val="111111"/>
          <w:sz w:val="28"/>
          <w:sz w:val="28"/>
          <w:szCs w:val="28"/>
          <w:rtl w:val="true"/>
          <w:lang w:bidi="fa-IR"/>
        </w:rPr>
        <w:t xml:space="preserve">علی الید را به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حقیقی و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 و یا آن که بگوییم نیازی به مؤدّی إلیه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عرفی حدیث، در اموال و اعیان خارجی است که قابلیّت ردّ به مالک را دارند؛ و شامل اخذ حُرّ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 اعیان خارجی، مسأله تلف مطرح، و بدل آن که مثل یا قیمت است، جایگزین آن می‌شود؛ در حالی که در شخص حرّ، چنان چه خود به خود بمیرد، نمی‌توان گفت تلف حقیقی و یا تلف حکمی محقّق شده است؛ زیرا، اگر بپذیریم که در حکم تلف است، باید ملتزم شویم که غاصب باید دیه او را بپردازد؛ و این بر خلاف ضرورت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پرداخت دیه، مشروط به تحقّق عنوان قتل غیر عمد و استناد قتل به قاتل است، و چنان چه این عنوان محقّق نشود، هیچ سببی از نظر شرع برای پرداخت 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رأی 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 تلف حکمی دارد و باید دیه انسان آزاد پرداخت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ضرورت فقه که دیه را منوط به تحقّق قتل می‌کند،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می‌توان ادّعا کرد که در شخص حرّ، مسأله ضمان به طور کلّی منتفی است؛ و شارع مقدّس مسأله دیه را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شریعت، شارع مقدّس، ضمان به ردّ عین و یا به مثل و قیمت را در اموال و اعیان خارجی که مورد داد و ستد قرار می‌گیرند و طرف برای اضافه واقع می‌شوند، قرار داده است؛ اما در انسان‌های آزاد فقط عنوان دیه را تثبیت فرموده است، و این عنوان موضوع معیّن و مستقلّی دارد که هیچ گونه ارتباطی به مثل و یا قیمت ندارد</w:t>
      </w:r>
      <w:r>
        <w:rPr>
          <w:rFonts w:eastAsia="IRNazanin" w:cs="IRNazanin"/>
          <w:color w:val="111111"/>
          <w:sz w:val="28"/>
          <w:szCs w:val="28"/>
          <w:rtl w:val="true"/>
          <w:lang w:bidi="fa-IR"/>
        </w:rPr>
        <w:t>.</w:t>
      </w:r>
    </w:p>
    <w:p>
      <w:pPr>
        <w:pStyle w:val="Heading4"/>
        <w:numPr>
          <w:ilvl w:val="3"/>
          <w:numId w:val="1"/>
        </w:numPr>
        <w:rPr/>
      </w:pPr>
      <w:bookmarkStart w:id="377" w:name="__RefHeading___Toc105731_373438147"/>
      <w:bookmarkStart w:id="378" w:name="_Toc143"/>
      <w:bookmarkEnd w:id="377"/>
      <w:r>
        <w:rPr>
          <w:rtl w:val="true"/>
        </w:rPr>
        <w:t>مقام دوّم</w:t>
      </w:r>
      <w:r>
        <w:rPr>
          <w:rtl w:val="true"/>
        </w:rPr>
        <w:t xml:space="preserve">: </w:t>
      </w:r>
      <w:r>
        <w:rPr>
          <w:rtl w:val="true"/>
        </w:rPr>
        <w:t>بررسی ضمان نسبت به منافع حُرّ</w:t>
      </w:r>
      <w:bookmarkEnd w:id="378"/>
    </w:p>
    <w:p>
      <w:pPr>
        <w:pStyle w:val="Heading5"/>
        <w:numPr>
          <w:ilvl w:val="4"/>
          <w:numId w:val="1"/>
        </w:numPr>
        <w:rPr/>
      </w:pPr>
      <w:bookmarkStart w:id="379" w:name="__RefHeading___Toc105733_373438147"/>
      <w:bookmarkStart w:id="380" w:name="_Toc144"/>
      <w:bookmarkEnd w:id="379"/>
      <w:r>
        <w:rPr>
          <w:rtl w:val="true"/>
        </w:rPr>
        <w:t>اشاره</w:t>
      </w:r>
      <w:bookmarkEnd w:id="3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ضمان را نسبت به خود حُرّ بپذیریم، تردیدی نیست که ضمان نسبت به منافع او به طریق اولی ثابت است؛ اما اگر ضمان را نسبت به خود حرّ نپذیریم، همان‌گونه که مقتضای تحقیق چنین است و نسبت به حرّ ضمانی</w:t>
      </w:r>
    </w:p>
    <w:p>
      <w:pPr>
        <w:pStyle w:val="BookText"/>
        <w:rPr/>
      </w:pPr>
      <w:r>
        <w:rPr>
          <w:rFonts w:ascii="IRNazanin" w:hAnsi="IRNazanin" w:eastAsia="IRNazanin"/>
          <w:color w:val="111111"/>
          <w:sz w:val="28"/>
          <w:sz w:val="28"/>
          <w:szCs w:val="28"/>
          <w:rtl w:val="true"/>
          <w:lang w:bidi="fa-IR"/>
        </w:rPr>
        <w:t>نیست، این سؤال پیش می‌آید که آیا نسبت به منافع او، اعمّ از مستوفاة و غیر مستوفاة، ضمانی وجود دارد یا خیر؟</w:t>
      </w:r>
    </w:p>
    <w:p>
      <w:pPr>
        <w:pStyle w:val="BookText"/>
        <w:rPr/>
      </w:pPr>
      <w:r>
        <w:rPr>
          <w:rFonts w:ascii="IRNazanin" w:hAnsi="IRNazanin" w:eastAsia="IRNazanin"/>
          <w:color w:val="111111"/>
          <w:sz w:val="28"/>
          <w:sz w:val="28"/>
          <w:szCs w:val="28"/>
          <w:rtl w:val="true"/>
          <w:lang w:bidi="fa-IR"/>
        </w:rPr>
        <w:t>از کلمات فقها، در مجموع چهار نظریّه استفاده می‌شود؛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مطلقا؛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ضمان مطلقا؛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تفصیل بین حرِّ کسوب و غیر کسوب؛ 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منافع مستوفاة و منافع غیر مستوفاة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دو مورد زیر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حُرّ اجیرِ شخص دیگری باشد و غاصب او را حبس کند تا منفعت وی فوت شود، غاصب ضامن منفعت فوت شده نسبت به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خمینی قدس سره در تحریر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أجیراً لغیره فی زمان فحبسه حتّی مضی ضمن منفعته الفائتة للمستأجر</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خوئی قدس سره نیز در منهاج الصالحین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منع حرّاً عن عمله لم یضمن إلّاإذا کان أجیراً خاصّاً لغیره فیضمن لمن استأجره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ضمان در این فرع آن است که منفعت حُرّ با عقد اجاره در ملک دیگری واقع شده است، و در حقیقت، غاصب، آن چه را که ملک و مال دیگری بوده تلف نموده است؛ بنابراین، از مصادیق قاعده اتلاف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روشن است که در این صورت، قاعده ضمان ید جریان ندارد؛ زیرا، عنوان اخذ و قبض بر آن صدق نمی‌کند؛ و اگر هم این عنوان صدق کند، غایتِ موجود در حدیث، امکان تحقّق ندارد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غاصب از حُرّ و منافع او در کارهای مربوط به خود و یا دیگران استفاده نماید، تردیدی نیست که نسبت به آن ضامن بوده و بایستی اجرة المثل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قاعده اتلاف و یا حدیث علی الید نیست، بلکه از</w:t>
      </w:r>
      <w:bookmarkStart w:id="381" w:name="pg877_6063"/>
    </w:p>
    <w:p>
      <w:pPr>
        <w:pStyle w:val="BookText"/>
        <w:rPr/>
      </w:pPr>
      <w:bookmarkEnd w:id="381"/>
      <w:r>
        <w:rPr>
          <w:rFonts w:ascii="IRNazanin" w:hAnsi="IRNazanin" w:eastAsia="IRNazanin"/>
          <w:color w:val="111111"/>
          <w:sz w:val="28"/>
          <w:sz w:val="28"/>
          <w:szCs w:val="28"/>
          <w:rtl w:val="true"/>
          <w:lang w:bidi="fa-IR"/>
        </w:rPr>
        <w:t>جهت احترام عمل مسلمان است؛ و چون در این مورد، عمل حُرّ به امر غاصب انجام گرفته است، باید اجرة المثل آن را پرداخت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روشن شدن این دو مورد، باید در دو جهت بحث نماییم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در حُرِّ کسوب و دوّم در حُرِّ غیر کسوب</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05735_373438147"/>
      <w:bookmarkStart w:id="383" w:name="_Toc145"/>
      <w:bookmarkEnd w:id="382"/>
      <w:r>
        <w:rPr>
          <w:rtl w:val="true"/>
        </w:rPr>
        <w:t>جهت اوّل</w:t>
      </w:r>
      <w:r>
        <w:rPr>
          <w:rtl w:val="true"/>
        </w:rPr>
        <w:t xml:space="preserve">: </w:t>
      </w:r>
      <w:r>
        <w:rPr>
          <w:rtl w:val="true"/>
        </w:rPr>
        <w:t>عمل حرِّ کسوب</w:t>
      </w:r>
      <w:bookmarkEnd w:id="383"/>
    </w:p>
    <w:p>
      <w:pPr>
        <w:pStyle w:val="BookText"/>
        <w:rPr/>
      </w:pPr>
      <w:r>
        <w:rPr>
          <w:rFonts w:ascii="IRNazanin" w:hAnsi="IRNazanin" w:eastAsia="IRNazanin"/>
          <w:color w:val="111111"/>
          <w:sz w:val="28"/>
          <w:sz w:val="28"/>
          <w:szCs w:val="28"/>
          <w:rtl w:val="true"/>
          <w:lang w:bidi="fa-IR"/>
        </w:rPr>
        <w:t>نسبت به حُرّی که دارای صنعت و حرفه است، چنان چه غاصب او را حبس کند، به گونه‌ای که زمانی که در آن می‌تواند کار مفیدی انجام دهد، بگذرد و در اثر حبس، آن عمل انجام نگیرد؛ آیا در این صورت، غاصب ضامن این منافع است یا خیر؟</w:t>
      </w:r>
    </w:p>
    <w:p>
      <w:pPr>
        <w:pStyle w:val="BookText"/>
        <w:rPr/>
      </w:pPr>
      <w:r>
        <w:rPr>
          <w:rFonts w:ascii="IRNazanin" w:hAnsi="IRNazanin" w:eastAsia="IRNazanin"/>
          <w:color w:val="111111"/>
          <w:sz w:val="28"/>
          <w:sz w:val="28"/>
          <w:szCs w:val="28"/>
          <w:rtl w:val="true"/>
          <w:lang w:bidi="fa-IR"/>
        </w:rPr>
        <w:t>در این فرض، روشن است که قاعده علی الید جریان ندارد؛ زیرا، تردیدی نیست که اگر در این فرض، ید و استیلا هم صدق کند، عنوان اخذ و قبض و نیز عنوان ادا که غایت واقع شده است،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مطرح می‌شود این است که آیا این فرض می‌تواند از مصادیق قاعده اتلاف باشد؟</w:t>
      </w:r>
    </w:p>
    <w:p>
      <w:pPr>
        <w:pStyle w:val="BookText"/>
        <w:rPr/>
      </w:pPr>
      <w:r>
        <w:rPr>
          <w:rFonts w:ascii="IRNazanin" w:hAnsi="IRNazanin" w:eastAsia="IRNazanin"/>
          <w:color w:val="111111"/>
          <w:sz w:val="28"/>
          <w:sz w:val="28"/>
          <w:szCs w:val="28"/>
          <w:rtl w:val="true"/>
          <w:lang w:bidi="fa-IR"/>
        </w:rPr>
        <w:t>مرحوم سیّد در حاشیه مکاسب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حُرِّ کسوب، از نظر عرف مال است، و چون غاصب این مال را اتلاف نموده، پس ضامن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یفرق بین عمل الکسوب وغیره، ویقال أنّ الأوّل مال عرفی دون الثانی، وهذا غیر بعید عن الصواب للصدق العرفی فی الأوّل دون الثانی</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مسأله ضمان بین کسوب و غیر</w:t>
      </w:r>
    </w:p>
    <w:p>
      <w:pPr>
        <w:pStyle w:val="BookText"/>
        <w:rPr/>
      </w:pPr>
      <w:r>
        <w:rPr>
          <w:rFonts w:ascii="IRNazanin" w:hAnsi="IRNazanin" w:eastAsia="IRNazanin"/>
          <w:color w:val="111111"/>
          <w:sz w:val="28"/>
          <w:sz w:val="28"/>
          <w:szCs w:val="28"/>
          <w:rtl w:val="true"/>
          <w:lang w:bidi="fa-IR"/>
        </w:rPr>
        <w:t>کسوب فرق است، در مسأله‌ی تعلّق استطاعت هم می‌توانیم بین این دو فرق بگذاریم؛ به این معنی که کسی که کسوب است و می‌تواند با کار و عمل خود، زاد و راحله‌ی حجّ را تأمین کند، مستطیع است؛ اما کسی که حرفه و صنعتی ندارد، مستیطع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محقّق بعد از آن که از کلام مرحوم سیّد استفاده نموده‌اند که ایشان معتقد است نسبت به منافع حُرّ اجماعی بر عدم ضمان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نسبت به خود حُرّ چنین اجماعی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أنّ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نفی السیّد البُعد عنه عن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الأقوی للصدق العرفی ولعدم الفرق بینه وبین عمل العبد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بزرگوار و محقّق آقای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بر مرحوم سیّد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موضوع قاعدة الاتلاف، هو مجرّد المال، بل المعتبر فیه إتلاف مال الغیر، ولو فرضنا ثبوت المالیّة لعمل الحُرّ فهو لا یُعدّ ذا مال وإن کانت حرفته مالاً، هذا فضلاً عن أنّه یصعب دعوی اعتبار الکسوب ذا مال عند العقلاء وإن کان عمله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استفاده می‌شود که ایشان در مال و مالیّت، فعلیّت آن را شرط می‌دانند و عنوان مال الغیر که موضوع در قاعده اتلاف است، ظهور در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مقصود ایشان این مطلب باشد، به نظر می‌رسد که کلام متینی است و عمل حُرِّ کسوب، بالفعل عنوان مالیّت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برخی از عبارات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بعمل الحرّ أثر عمله وإلّإ؛ فنفسه قبل الوجود معدوم وفی حاله متدرج الوجود یوجد شیء منه ویفنی، وبعد الفراغ أیضاً معدوم، فلا یقبل الاتّصاف بکونه مالاً فی شیء من الأحوال</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توجیه غیر قابل قبول است، و مراد از عمل، خود همان عمل است؛ و ارتباطی به نتیجه و اثر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عمل حُرِّ کسوب روشن است که مالیّت، فعلیّت ندارد، و لااقل فعلیّت آن مشکوک است؛ و بر فرض که مالیّت آن را بپذیریم، به هیچ وجه عنوان اتلاف از نظر عرف، در اینجا صدق نمی‌کند؛ گرچه غاصب مانع تحقّق آن شده است، امّا این، سببِ صدق اتلاف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قاعده اتلاف در این بحث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می‌توان به سیره‌ی عقلائیه تمسّک کرد؛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غاصب، حُرّی را حبس می‌کند، عقلا او را نسبت به عمل فوت شده ضامن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سیره‌ای از سیره‌های جدید و در نتیجه، غیر معتبر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سیره‌های جدید عقلائی که در میان ادله‌ی شرعی، ولو به نحو اطلاق یا عموم ردع و منعی برای آن نداشته باشیم،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از برخی عبارات مرحوم امام خمینی و والد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بپذیریم سیره‌های جدید اعتبار ندارد، امّا باید گفت این سیره به عنوان یک ارتکاز عقلائی است که در مرتکزات جمیع عقلای عالم در تمام زمان‌ها وجود دارد، به طوری که اگر بگوییم غاصب فقط یک خلاف شرعی را مرتکب شده و او را موظّف به پرداخت غرامت ندانیم، یک امر مستنکر و غیر قابل قبولی در نزد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طبق سیره‌ی عقلائیه نسبت به حُرِّ کسوب تردیدی نیست که ضمان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منافع حُرِّ کسوب، اجماعی بر عدم ضمان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آقای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کلمات اصحاب استفاده می‌شود، عدم ضمان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مبسوط‌</w:t>
      </w:r>
      <w:r>
        <w:rPr>
          <w:rStyle w:val="FootnoteAnchor"/>
          <w:rtl w:val="true"/>
        </w:rPr>
        <w:footnoteReference w:id="221"/>
      </w:r>
      <w:r>
        <w:rPr>
          <w:rFonts w:ascii="IRNazanin" w:hAnsi="IRNazanin" w:eastAsia="IRNazanin"/>
          <w:color w:val="111111"/>
          <w:sz w:val="28"/>
          <w:sz w:val="28"/>
          <w:szCs w:val="28"/>
          <w:rtl w:val="true"/>
          <w:lang w:bidi="fa-IR"/>
        </w:rPr>
        <w:t>تصریح به عدم ضمان نموده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مقتضی المذهب والأخبار وأصل البرائة وان یختار الضمان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در مختلف و محقّق اردبیلی رحمه الله و مرحوم صاحب جواهر هم تصریح به عدم ضمان نموده‌اند؛ اما آن چه که اجماع را بر هم می‌زند، کلام مرحوم علّامه در تذکره</w:t>
      </w:r>
      <w:r>
        <w:rPr>
          <w:rStyle w:val="FootnoteAnchor"/>
          <w:rtl w:val="true"/>
        </w:rPr>
        <w:footnoteReference w:id="222"/>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حبسه مدّة اجرة وعطّل منافعه فالأقوی أنّه لا یضمن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اقوی در اینجا با اجماع مناسبت ندارد، و اگر در این مورد اجماع وجود داشت، لازم بود که به آن تمسّک می‌کرد و دیگر نباید تعبیر به اقوی کند؛ از اینجا نتیجه می‌گیریم اجماع مدّعی در کلمات قوم، اجماع بر کبری است؛ یعنی اجماع قائم است بر این که حُرّ تحت ید قرار نمی‌گیرد؛ و دیگر اجماع بر صغری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بر این فرمایش مناقشاتی وارد باشد،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اقوی هیچ منافاتی با اجماعی بودن ندارد؛ و لزومی ندارد که در موارد اجماعی حتماً به اجماع تمسّک شود؛ و چه بسا علّت اقوی بودن همان اجماعی بودن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کلمات اجماع بر کبری را استفاده کنیم، کاملاً خلاف ظاهر کلمات قوم است؛ به خصوص با تعبیری که مرحوم شیخ طوسی بیان داشتند که عدم ضمان، مقتضای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این است که اجماع بر عدم ضمان در منافع ثابت است؛ و با این اجماع، سیره عقلائیه مورد ردع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و بلکه احتمال قوی آن است که این اجماع، مدرکی</w:t>
      </w:r>
      <w:bookmarkStart w:id="384" w:name="pg877_6071"/>
    </w:p>
    <w:p>
      <w:pPr>
        <w:pStyle w:val="BookText"/>
        <w:rPr/>
      </w:pPr>
      <w:bookmarkEnd w:id="384"/>
      <w:r>
        <w:rPr>
          <w:rFonts w:ascii="IRNazanin" w:hAnsi="IRNazanin" w:eastAsia="IRNazanin"/>
          <w:color w:val="111111"/>
          <w:sz w:val="28"/>
          <w:sz w:val="28"/>
          <w:szCs w:val="28"/>
          <w:rtl w:val="true"/>
          <w:lang w:bidi="fa-IR"/>
        </w:rPr>
        <w:t>معلّل باشد؛ و در این صورت، از اعتبار ساقط می‌شود</w:t>
      </w:r>
      <w:r>
        <w:rPr>
          <w:rFonts w:eastAsia="IRNazanin" w:cs="IRNazanin"/>
          <w:color w:val="111111"/>
          <w:sz w:val="28"/>
          <w:szCs w:val="28"/>
          <w:rtl w:val="true"/>
          <w:lang w:bidi="fa-IR"/>
        </w:rPr>
        <w:t>.</w:t>
      </w:r>
    </w:p>
    <w:p>
      <w:pPr>
        <w:pStyle w:val="Heading5"/>
        <w:numPr>
          <w:ilvl w:val="4"/>
          <w:numId w:val="1"/>
        </w:numPr>
        <w:rPr/>
      </w:pPr>
      <w:bookmarkStart w:id="385" w:name="__RefHeading___Toc105737_373438147"/>
      <w:bookmarkStart w:id="386" w:name="_Toc146"/>
      <w:bookmarkEnd w:id="385"/>
      <w:r>
        <w:rPr>
          <w:rtl w:val="true"/>
        </w:rPr>
        <w:t>جهت دوّم</w:t>
      </w:r>
      <w:r>
        <w:rPr>
          <w:rtl w:val="true"/>
        </w:rPr>
        <w:t xml:space="preserve">: </w:t>
      </w:r>
      <w:r>
        <w:rPr>
          <w:rtl w:val="true"/>
        </w:rPr>
        <w:t>عمل حُرِّ غیر کسوب</w:t>
      </w:r>
      <w:bookmarkEnd w:id="386"/>
    </w:p>
    <w:p>
      <w:pPr>
        <w:pStyle w:val="BookText"/>
        <w:rPr/>
      </w:pPr>
      <w:r>
        <w:rPr>
          <w:rFonts w:ascii="IRNazanin" w:hAnsi="IRNazanin" w:eastAsia="IRNazanin"/>
          <w:color w:val="111111"/>
          <w:sz w:val="28"/>
          <w:sz w:val="28"/>
          <w:szCs w:val="28"/>
          <w:rtl w:val="true"/>
          <w:lang w:bidi="fa-IR"/>
        </w:rPr>
        <w:t>روشن است که اگر در حُرِّ کسوب قائل به ضمان شویم، در حرِّ غیر کسوب به طریق اولی باید ضمان را نپذیریم؛ و ظاهر این است که اگر اجماع بر عدم ضمان را قائل شویم، فرقی بین کسوب و غیر کسوب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سیره‌ی عقلائیه در منافع حُرّ بر ضمان ثابت است، و در این سیره‌ی عقلائیه فرقی بین کسوب و غیر کسوب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387" w:name="__RefHeading___Toc105739_373438147"/>
      <w:bookmarkStart w:id="388" w:name="_Toc147"/>
      <w:bookmarkEnd w:id="387"/>
      <w:r>
        <w:rPr>
          <w:rtl w:val="true"/>
        </w:rPr>
        <w:t>تنبیه چهارم</w:t>
      </w:r>
      <w:r>
        <w:rPr>
          <w:rtl w:val="true"/>
        </w:rPr>
        <w:t xml:space="preserve">: </w:t>
      </w:r>
      <w:r>
        <w:rPr>
          <w:rtl w:val="true"/>
        </w:rPr>
        <w:t>شمول روایت نسبت به اوقاف خاصّه و عامّه</w:t>
      </w:r>
      <w:bookmarkEnd w:id="388"/>
    </w:p>
    <w:p>
      <w:pPr>
        <w:pStyle w:val="Heading4"/>
        <w:numPr>
          <w:ilvl w:val="3"/>
          <w:numId w:val="1"/>
        </w:numPr>
        <w:rPr/>
      </w:pPr>
      <w:bookmarkStart w:id="389" w:name="__RefHeading___Toc105741_373438147"/>
      <w:bookmarkStart w:id="390" w:name="_Toc148"/>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از دیگر مباحث مربوط به حدیث علی الید، این است که اگر غاصبی زمین یا مال وقفی را غصب کند، آیا چنین موردی در این حدیث، داخل است و یا این که حدیث اختصاص به مواردی دارد که عنوان ملک طلق را دارد؟</w:t>
      </w:r>
    </w:p>
    <w:p>
      <w:pPr>
        <w:pStyle w:val="BookText"/>
        <w:rPr/>
      </w:pPr>
      <w:r>
        <w:rPr>
          <w:rFonts w:ascii="IRNazanin" w:hAnsi="IRNazanin" w:eastAsia="IRNazanin"/>
          <w:color w:val="111111"/>
          <w:sz w:val="28"/>
          <w:sz w:val="28"/>
          <w:szCs w:val="28"/>
          <w:rtl w:val="true"/>
          <w:lang w:bidi="fa-IR"/>
        </w:rPr>
        <w:t>در این مورد، باید وقف خاصّ را از وقف عامّ جدا کرده و مسأله را به صورت مجزّا بررسی نماییم</w:t>
      </w:r>
      <w:r>
        <w:rPr>
          <w:rFonts w:eastAsia="IRNazanin" w:cs="IRNazanin"/>
          <w:color w:val="111111"/>
          <w:sz w:val="28"/>
          <w:szCs w:val="28"/>
          <w:rtl w:val="true"/>
          <w:lang w:bidi="fa-IR"/>
        </w:rPr>
        <w:t>.</w:t>
      </w:r>
    </w:p>
    <w:p>
      <w:pPr>
        <w:pStyle w:val="Heading4"/>
        <w:numPr>
          <w:ilvl w:val="3"/>
          <w:numId w:val="1"/>
        </w:numPr>
        <w:rPr/>
      </w:pPr>
      <w:bookmarkStart w:id="391" w:name="__RefHeading___Toc105743_373438147"/>
      <w:bookmarkStart w:id="392" w:name="_Toc149"/>
      <w:bookmarkEnd w:id="391"/>
      <w:r>
        <w:rPr>
          <w:rtl w:val="true"/>
        </w:rPr>
        <w:t>اوقاف خاصّه</w:t>
      </w:r>
      <w:bookmarkEnd w:id="392"/>
    </w:p>
    <w:p>
      <w:pPr>
        <w:pStyle w:val="BookText"/>
        <w:rPr/>
      </w:pPr>
      <w:r>
        <w:rPr>
          <w:rFonts w:ascii="IRNazanin" w:hAnsi="IRNazanin" w:eastAsia="IRNazanin"/>
          <w:color w:val="111111"/>
          <w:sz w:val="28"/>
          <w:sz w:val="28"/>
          <w:szCs w:val="28"/>
          <w:rtl w:val="true"/>
          <w:lang w:bidi="fa-IR"/>
        </w:rPr>
        <w:t>اما وقف خاصّ، ظاهراً تردیدی نیست که حدیث علی الید شامل وقف خاصّ می‌شود؛ و اگر غاصبی، یک زمین یا مکانی که وقف خاصّ است را غصب نماید، به مقتضای این حدیث ضامن است؛ و ردّ عین آن در صورت بقا، و یا مثل و قیمت آن در صورت تلف، بر شخص غاصب واجب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حکم، میان سه مبنا و نظریّه‌ای که در وقف خاصّ وجود دارد، فرقی نیست؛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خاصّ، عین موقوفه در ملک واقف باقی می‌ماند، اما</w:t>
      </w:r>
    </w:p>
    <w:p>
      <w:pPr>
        <w:pStyle w:val="BookText"/>
        <w:rPr/>
      </w:pPr>
      <w:r>
        <w:rPr>
          <w:rFonts w:ascii="IRNazanin" w:hAnsi="IRNazanin" w:eastAsia="IRNazanin"/>
          <w:color w:val="111111"/>
          <w:sz w:val="28"/>
          <w:sz w:val="28"/>
          <w:szCs w:val="28"/>
          <w:rtl w:val="true"/>
          <w:lang w:bidi="fa-IR"/>
        </w:rPr>
        <w:t>موقوف علیهم بر آن حقّ پیدا می‌کنند؛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موقوفه از ملک واقف خارج می‌شود و در ملک موقوف علیهم داخل می‌شود؛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موقوفه از ملک واقف خارج می‌شود، اما در ملک موقوف علیهم نیز داخل نمی‌شود و بلکه منافع آن ملک موقوف علیهم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در وقف خاصّ، تردیدی نیست که حقّی مخصوص وجود دارد، و حدیث علی الید همان طوری که شامل اعیان می‌شود، شامل حقوق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و 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غصب این اوقاف از نظر حکم تکلیفی حرمت غصب و نیز حکم تکلیفی وجوب ردّ تردیدی نیست، امّا نسبت به حکم ضمان چهار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دروس و محقّق بروجردی رحمه الله این نظریّه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ضمان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عبارت مرحوم صاحب جواهر این نظر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اوقاف عامّه‌ای که برای جهت خاصی نباشد و اوقاف عامّه‌ای که برای جهت خاصی مثل فقرا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فرض اوّل ضمان را نپذیرفته‌اند و نسبت به فرض دوّم ضمان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 سره و والد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پذیرفته‌اند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محقّق رشتی بین اوقاف عامّه‌ای که ید بر آن‌ها تحقّق ندارد و بین اوقاف عامّه‌ای که ید بر آن‌ها تحقّق دارد، تفصیل داده‌اند؛ و در فرض دوّم که ضمان را پذیرفته‌اند، بین منافع اخروی مانند ذکر، دعا و نماز، و بین منافع دنیوی تفصیل داده‌اند</w:t>
      </w:r>
      <w:r>
        <w:rPr>
          <w:rFonts w:eastAsia="IRNazanin" w:cs="IRNazanin"/>
          <w:color w:val="111111"/>
          <w:sz w:val="28"/>
          <w:szCs w:val="28"/>
          <w:rtl w:val="true"/>
          <w:lang w:bidi="fa-IR"/>
        </w:rPr>
        <w:t>.</w:t>
      </w:r>
      <w:bookmarkStart w:id="393" w:name="pg877_6078"/>
    </w:p>
    <w:p>
      <w:pPr>
        <w:pStyle w:val="Heading4"/>
        <w:numPr>
          <w:ilvl w:val="3"/>
          <w:numId w:val="1"/>
        </w:numPr>
        <w:rPr/>
      </w:pPr>
      <w:bookmarkStart w:id="394" w:name="__RefHeading___Toc105745_373438147"/>
      <w:bookmarkStart w:id="395" w:name="_Toc150"/>
      <w:bookmarkEnd w:id="393"/>
      <w:bookmarkEnd w:id="394"/>
      <w:r>
        <w:rPr>
          <w:rtl w:val="true"/>
        </w:rPr>
        <w:t>دیدگاه شهید اوّل رحمه الله در اوقاف عامّه</w:t>
      </w:r>
      <w:bookmarkEnd w:id="395"/>
    </w:p>
    <w:p>
      <w:pPr>
        <w:pStyle w:val="BookText"/>
        <w:rPr/>
      </w:pPr>
      <w:r>
        <w:rPr>
          <w:rFonts w:ascii="IRNazanin" w:hAnsi="IRNazanin" w:eastAsia="IRNazanin"/>
          <w:color w:val="111111"/>
          <w:sz w:val="28"/>
          <w:sz w:val="28"/>
          <w:szCs w:val="28"/>
          <w:rtl w:val="true"/>
          <w:lang w:bidi="fa-IR"/>
        </w:rPr>
        <w:t>مرحوم شهید در کتاب دروس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أثبت یده علی مثل المساجد والمشاعر والرباط والمدارس، ضمن العین والمنفعة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این عبارت، حدیث علی الید، در اوقاف عامّه نیز جریان دارد؛ و ظاهر آن است که در صدق ید بر این امور نیز تردیدی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روشن‌تر شدن مطلب، می‌توانیم ادّعا کنیم که در اوقاف عامّه، اصل مسأله ضمان به خوبی تصویر دارد؛ و اگر کسی مسجد و یا مدرسه‌ای را از بین ببرد، بدون هیچ تردیدی، بر طبق قاعده، ضمان محقّق است؛ و نمی‌توانیم به حکم تکلیفی حرمت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طوری که مسأله ضمان از راه اتلاف قابل تصویر است، هم‌چنین ضمان را از راه تسلّط و ید نیز می‌توان اثبات کرد؛ نهایت آن که، ممکن است گفته شود در این موارد، ادا و غایت معنا ندارد، و مؤدّی إلیه وجود ندارد؛ که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مؤدّی إلیه، عموم مردم‌اند، و به خوبی ادا که غایت در حدیث است، تحقّق دارد</w:t>
      </w:r>
      <w:r>
        <w:rPr>
          <w:rFonts w:eastAsia="IRNazanin" w:cs="IRNazanin"/>
          <w:color w:val="111111"/>
          <w:sz w:val="28"/>
          <w:szCs w:val="28"/>
          <w:rtl w:val="true"/>
          <w:lang w:bidi="fa-IR"/>
        </w:rPr>
        <w:t>.</w:t>
      </w:r>
    </w:p>
    <w:p>
      <w:pPr>
        <w:pStyle w:val="Heading4"/>
        <w:numPr>
          <w:ilvl w:val="3"/>
          <w:numId w:val="1"/>
        </w:numPr>
        <w:rPr/>
      </w:pPr>
      <w:bookmarkStart w:id="396" w:name="__RefHeading___Toc105747_373438147"/>
      <w:bookmarkStart w:id="397" w:name="_Toc151"/>
      <w:bookmarkEnd w:id="396"/>
      <w:r>
        <w:rPr>
          <w:rtl w:val="true"/>
        </w:rPr>
        <w:t>دیدگاه صاحب جواهر رحمه الله در اوقاف عامّه</w:t>
      </w:r>
      <w:bookmarkEnd w:id="39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224"/>
      </w:r>
      <w:r>
        <w:rPr>
          <w:rFonts w:ascii="IRNazanin" w:hAnsi="IRNazanin" w:eastAsia="IRNazanin"/>
          <w:color w:val="111111"/>
          <w:sz w:val="28"/>
          <w:sz w:val="28"/>
          <w:szCs w:val="28"/>
          <w:rtl w:val="true"/>
          <w:lang w:bidi="fa-IR"/>
        </w:rPr>
        <w:t>در ضمان، مال بودن را معتبر می‌داند؛ و در مسجد و مشاعر که منفعت آن ملک کسی نیست و دیگران فقط مالک انتفاع هستند، ضمان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طرق و رباطات و شوارع که ملک عموم مسلمین است، ابتداءً فرموده است می‌توان ضمان عین و منفعت را پذیرفت، امّا سپس اشکال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هو لا یخلو من نظر، لقوّة احتمال کونه</w:t>
      </w:r>
      <w:bookmarkStart w:id="398" w:name="pg877_6080"/>
    </w:p>
    <w:p>
      <w:pPr>
        <w:pStyle w:val="BookText"/>
        <w:rPr/>
      </w:pPr>
      <w:bookmarkEnd w:id="398"/>
      <w:r>
        <w:rPr>
          <w:rFonts w:ascii="IRNazanin" w:hAnsi="IRNazanin" w:eastAsia="IRNazanin"/>
          <w:color w:val="111111"/>
          <w:sz w:val="28"/>
          <w:sz w:val="28"/>
          <w:szCs w:val="28"/>
          <w:rtl w:val="true"/>
          <w:lang w:bidi="fa-IR"/>
        </w:rPr>
        <w:t>کالتحریر فی الخروج عن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ثبوت ضمان در مواردی که مجرّد تحقّق حقّ است، مانند این که راهن به صورت عدوانی بر عین مرهونة ید پیدا کند و در این زمان، آن عین مرهونه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مسالک ضمان را قائل شده در حالی که حقّ مرتهن مال نیست و به منزله آن است؛ و همین طور اگر کسی بر مدرسه، یا رباط و یا مسجد ید پیدا کرد، ضمان را انکار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فقط غصب و نوعی از ظلم تحقّق دارد؛ و ضمان را فقط در اموال جاری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مسأله رهن قائل به وجوب دفع مثل یا قیمت از طرف راهن است؛ امّا این را حکم وضعی ضمان نسبت به حقّ ارتهان نمی‌داند، بلکه در این مورد، وجوب ردّ مثل یا قیمت، به سبب وجود دلیل خاصّ، حکم شرعی است</w:t>
      </w:r>
      <w:r>
        <w:rPr>
          <w:rFonts w:eastAsia="IRNazanin" w:cs="IRNazanin"/>
          <w:color w:val="111111"/>
          <w:sz w:val="28"/>
          <w:szCs w:val="28"/>
          <w:rtl w:val="true"/>
          <w:lang w:bidi="fa-IR"/>
        </w:rPr>
        <w:t>.</w:t>
      </w:r>
    </w:p>
    <w:p>
      <w:pPr>
        <w:pStyle w:val="Heading4"/>
        <w:numPr>
          <w:ilvl w:val="3"/>
          <w:numId w:val="1"/>
        </w:numPr>
        <w:rPr/>
      </w:pPr>
      <w:bookmarkStart w:id="399" w:name="__RefHeading___Toc105749_373438147"/>
      <w:bookmarkStart w:id="400" w:name="_Toc152"/>
      <w:bookmarkEnd w:id="399"/>
      <w:r>
        <w:rPr>
          <w:rtl w:val="true"/>
        </w:rPr>
        <w:t>دیدگاه محقّق رشتی رحمه الله در مورد اوقاف عامّه</w:t>
      </w:r>
      <w:bookmarkEnd w:id="400"/>
    </w:p>
    <w:p>
      <w:pPr>
        <w:pStyle w:val="BookText"/>
        <w:rPr/>
      </w:pPr>
      <w:r>
        <w:rPr>
          <w:rFonts w:ascii="IRNazanin" w:hAnsi="IRNazanin" w:eastAsia="IRNazanin"/>
          <w:color w:val="111111"/>
          <w:sz w:val="28"/>
          <w:sz w:val="28"/>
          <w:szCs w:val="28"/>
          <w:rtl w:val="true"/>
          <w:lang w:bidi="fa-IR"/>
        </w:rPr>
        <w:t>مرحوم محقّق رشتی اوقاف عامّه را سه قسمت کرده‌اند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آن‌ها به طور کلّی از تملّک غاصبین و ید آن‌ها خارج است؛ و از زمانی که خلق شده‌اند، ید هیچ کسی بر آن محقّق نبوده است؛ بلکه صرف یک حبس شرعی نسبت به چیزی که مباح بالاصالة بوده است، می‌باشد؛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عرفات، مکّه و 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صورت، قائل شده‌اند که مسأله مانند شخص حرّ است؛ و همان گونه که در حرّ، ضمان را نپذیرفتند، در این فرض نیز ضمان را منتفی دانسته‌اند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قسمت از کلام ایشان، آن است که در این صورت، فرض آن است که یدِ مالکی و اختصاصِ ملکی بر آن مال محقّق نیست؛ در نتیجه،</w:t>
      </w:r>
    </w:p>
    <w:p>
      <w:pPr>
        <w:pStyle w:val="BookText"/>
        <w:rPr/>
      </w:pPr>
      <w:r>
        <w:rPr>
          <w:rFonts w:ascii="IRNazanin" w:hAnsi="IRNazanin" w:eastAsia="IRNazanin"/>
          <w:color w:val="111111"/>
          <w:sz w:val="28"/>
          <w:sz w:val="28"/>
          <w:szCs w:val="28"/>
          <w:rtl w:val="true"/>
          <w:lang w:bidi="fa-IR"/>
        </w:rPr>
        <w:t>موضوعاً از محلّ بحث خارج می‌شود؛ به خلاف شخص حرّ که ید بر آن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قسم از اوقاف عامّه را بایستی به طور کلّی از محلّ نزاع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روشن می‌شود آن چه که والد محقّق فرموده‌اند</w:t>
      </w:r>
      <w:r>
        <w:rPr>
          <w:rStyle w:val="FootnoteAnchor"/>
          <w:rtl w:val="true"/>
        </w:rPr>
        <w:footnoteReference w:id="226"/>
      </w:r>
      <w:r>
        <w:rPr>
          <w:rFonts w:ascii="IRNazanin" w:hAnsi="IRNazanin" w:eastAsia="IRNazanin"/>
          <w:color w:val="111111"/>
          <w:sz w:val="28"/>
          <w:sz w:val="28"/>
          <w:szCs w:val="28"/>
          <w:rtl w:val="true"/>
          <w:lang w:bidi="fa-IR"/>
        </w:rPr>
        <w:t xml:space="preserve">، مبنی بر این که این قسم از نظر حکمی، همان حکم حرّ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ایشان در آن مسأله قائل به ضمان هستند، در این مورد نیز ضمان را پذیرفته‌اند، هم نسبت به عین و هم نسبت به 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البته در صورتی که عنوان ید را بر این موارد تصویر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رشتی در این قسم، تحقّق عنوان ید را از نظر موضوعی،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دیگر، اوقاف عامّه‌ای است که ید تملّک در آن‌ها راه پیدا می‌کند؛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عنوان مسجد دارد، غاصب با ادّعای دروغ ملکیّت، آن را در تصرّف خود درآورد؛ و سپس برای دیگران، کذب او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منافع دنیوی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رکوب، تطرّق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مربوط به منافع اخروی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متعرّض فرض دوّم نشده، اما در مورد فرض اوّل، ضمان را هم نسبت به عین و هم نسبت به منافع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محقّق در مورد فرض دوّم که مرحوم محقّق رشتی حکم آن را بیان ننموده‌اند، فرموده‌اند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أنّه إن کان المأخوذ مثل فرش المسجد وحصیره وسائر ما یتعلّق به، فلا ینبغی الإشکال أیضاً فی ضمان العین والمنفعة معاً؛ لأنّه مال مأخوذ وله مالک وهو المسجد بناء علی صحّة اعتبار</w:t>
      </w:r>
      <w:bookmarkStart w:id="401" w:name="pg877_6084"/>
    </w:p>
    <w:p>
      <w:pPr>
        <w:pStyle w:val="BookText"/>
        <w:rPr/>
      </w:pPr>
      <w:bookmarkEnd w:id="401"/>
      <w:r>
        <w:rPr>
          <w:rFonts w:ascii="IRNazanin" w:hAnsi="IRNazanin" w:eastAsia="IRNazanin"/>
          <w:color w:val="111111"/>
          <w:sz w:val="28"/>
          <w:sz w:val="28"/>
          <w:szCs w:val="28"/>
          <w:rtl w:val="true"/>
          <w:lang w:bidi="fa-IR"/>
        </w:rPr>
        <w:t>الملکیّة له، کما هو الظاهر؛ فلا یرتفع الضمان إلّابالأداء عیناً أو مثلاً أو قیمة؛ وإن کان المأخوذ نفس المسجد، فالظاهر شمول الحدیث له أیضاً کما قلنا فی الحرّ فیترتّب علیه ضمان العین؛ فإذا انهدم بمثل‌السیل یجب علی الضامن تعمیره وتجدید بناءه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مجال للحکم بضمان المنافع بعد کون المنفعة من الاُمور الاُخرویّة مثل الصلاة والذکر؛ وهل الحکم کذلک فیما إذا اتّخذ المسجد المستولی علیه مسکناً ومحلاًّ لسکناه وسکنی أهله مثلاً، فلا یضمن ما یقابله من المالیّة أو یضمن؟ الظاهر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می‌رسد بخش اوّل عبارت ایشان، به فرض اوّل از قسم دوّم کلام مرحوم محقّق رشتی باز می‌گردد که اوقاف عامّه‌ای هستند که منافع دنیوی مثل سکونت و رکوب دارند؛ به عبارت دیگر، چنین منافعی در عرف، از آن‌ها مورد توقّع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مورد قائل به ضمان شده‌اند؛ مرحوم رشتی نیز در این فرض ضمان عین و منفعت را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آخر عبارت که منافع اخروی است، روشن است که در آن‌ها ضمان معنا ندارد؛ چرا که در صدق منفعت در این امور، تردید است؛ و استفاده نماز و یا ذکر عنوان منفعت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از قبیل انتفاع باشد؛ همان گونه که نفس حضور در مسجد و نشستن در آن جا و یا حتی خوابیدن را نمی‌توان از منافع مسجد محسوب نمود</w:t>
      </w:r>
      <w:r>
        <w:rPr>
          <w:rFonts w:eastAsia="IRNazanin" w:cs="IRNazanin"/>
          <w:color w:val="111111"/>
          <w:sz w:val="28"/>
          <w:szCs w:val="28"/>
          <w:rtl w:val="true"/>
          <w:lang w:bidi="fa-IR"/>
        </w:rPr>
        <w:t>.</w:t>
      </w:r>
    </w:p>
    <w:p>
      <w:pPr>
        <w:pStyle w:val="Heading4"/>
        <w:numPr>
          <w:ilvl w:val="3"/>
          <w:numId w:val="1"/>
        </w:numPr>
        <w:rPr/>
      </w:pPr>
      <w:bookmarkStart w:id="402" w:name="__RefHeading___Toc105751_373438147"/>
      <w:bookmarkStart w:id="403" w:name="_Toc153"/>
      <w:bookmarkEnd w:id="402"/>
      <w:r>
        <w:rPr>
          <w:rtl w:val="true"/>
        </w:rPr>
        <w:t>دیدگاه محقّق بروجردی رحمه الله در مورد اوقاف عامّه</w:t>
      </w:r>
      <w:bookmarkEnd w:id="403"/>
    </w:p>
    <w:p>
      <w:pPr>
        <w:pStyle w:val="BookText"/>
        <w:rPr/>
      </w:pPr>
      <w:r>
        <w:rPr>
          <w:rFonts w:ascii="IRNazanin" w:hAnsi="IRNazanin" w:eastAsia="IRNazanin"/>
          <w:color w:val="111111"/>
          <w:sz w:val="28"/>
          <w:sz w:val="28"/>
          <w:szCs w:val="28"/>
          <w:rtl w:val="true"/>
          <w:lang w:bidi="fa-IR"/>
        </w:rPr>
        <w:t>ایشان در کتاب الغصب</w:t>
      </w:r>
      <w:r>
        <w:rPr>
          <w:rStyle w:val="FootnoteAnchor"/>
          <w:rtl w:val="true"/>
        </w:rPr>
        <w:footnoteReference w:id="227"/>
      </w:r>
      <w:r>
        <w:rPr>
          <w:rFonts w:ascii="IRNazanin" w:hAnsi="IRNazanin" w:eastAsia="IRNazanin"/>
          <w:color w:val="111111"/>
          <w:sz w:val="28"/>
          <w:sz w:val="28"/>
          <w:szCs w:val="28"/>
          <w:rtl w:val="true"/>
          <w:lang w:bidi="fa-IR"/>
        </w:rPr>
        <w:t>موقوفات را به سه قسم تقسیم کرده‌اند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عین موقوفه برای جماعت معیّنی وقف شود به این منظور که آن جماعت از منافع آن استفاده نمایند، و در نتیجه، منافع، ملک آنان محسوب</w:t>
      </w:r>
    </w:p>
    <w:p>
      <w:pPr>
        <w:pStyle w:val="BookText"/>
        <w:rPr/>
      </w:pPr>
      <w:r>
        <w:rPr>
          <w:rFonts w:ascii="IRNazanin" w:hAnsi="IRNazanin" w:eastAsia="IRNazanin"/>
          <w:color w:val="111111"/>
          <w:sz w:val="28"/>
          <w:sz w:val="28"/>
          <w:szCs w:val="28"/>
          <w:rtl w:val="true"/>
          <w:lang w:bidi="fa-IR"/>
        </w:rPr>
        <w:t>شود، ضمان نسبت به عین و منفعت، هر دو،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برای جهت یا عنوانی وقف شود، مانند این که زمینی را برای عنوان مسجد یا مدرسه وقف کنند به نحوی که منافع آن ملک برای همان عنوان و جهت باشد و متولّی آن را اجاره دهد و اجرت آن را صرف در همان جهت نماید؛ حکم این قسم نیز همان حکم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چیزی برای جمیع مردم یا برای جماعت معیّنی وقف شده باشد، امّا نه به نحوی که آن جماعت مالک منفعت گردند و بلکه فقط صرف انتفاع باشد، مانند این که مدرسه‌ای را وقف نمایند تا طلّاب در آن سکونت کنند؛ ایشان در تحقّق غصب در این مورد و در شمول حدیث علی الید نسبت به این مورد، دو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گرچه ملک موقوف علیهم نیست، امّا متعلّق حقّ آنان است، مانند عین مرهونه که متعلّق حقّ مرتهن است؛ در نتیجه، ضمان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عین خارجی نه ملک کسی است و نه منافع آن ملک کسی است و موقوف علیهم فقط حقّ انتفاع دارند؛ در این صورت، اگر غاصب مانع استفاده آنان شود، فقط مرتکب حرام شده و ضمان و غصبی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این دو احتمال، اوّلی را ترجیح داده و معتقدند لازم نیست عینی که استیلای بر آن وجود دارد، در حدیث علی الید ملک باشد؛ بلکه آن چه بر طبق این حدیث لازم است،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بر عین مالی استیلا پیدا کند به طوری که آثار قبل از استیلا دیگر بر آن مترتّب نگردد؛ و این امر، موجب ضمان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حدیث، نه مأخوذ منه لازم است و نه مؤدّی إلیه، بلکه مالی که باید به نحو خاصّی در اختیار کسی باشد اگر دیگری بر آن استیلا پیدا کند به صورتی که دیگر آن آثار خاصّ در میان نباشد، ضمان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در غصب مساجد نیز ضمان را پذیرفته و حدیث علی الید را در آن و نظائر آن، جاری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 محقّق</w:t>
      </w:r>
      <w:r>
        <w:rPr>
          <w:rStyle w:val="FootnoteAnchor"/>
          <w:rtl w:val="true"/>
        </w:rPr>
        <w:footnoteReference w:id="228"/>
      </w:r>
      <w:r>
        <w:rPr>
          <w:rFonts w:ascii="IRNazanin" w:hAnsi="IRNazanin" w:eastAsia="IRNazanin"/>
          <w:color w:val="111111"/>
          <w:sz w:val="28"/>
          <w:sz w:val="28"/>
          <w:szCs w:val="28"/>
          <w:rtl w:val="true"/>
          <w:lang w:bidi="fa-IR"/>
        </w:rPr>
        <w:t>در ذیل کلام محقّق بروجردی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اوقاف عامّه‌ای که منفعت آن برای جهت خاصّی باشد، ضمان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باغی را برای فقرا یا برای جهت خاصّی مثل مسجد یا مدرسه وقف نموده باشند و غاصبی آن را غصب کند، ضامن است؛ امّا اوقاف عامّه‌ای که برای جهت خاصّی نباشد مثل خود مساجد یا مقابر یا طرق و شوارع، در اینها فقط حکم تکلیفی حرمت غصب و حکم تکلیفی وجوب ردّ ثابت است و دیگر ضمانی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مقابل فرمایش استاد خودشان محقّق بروجردی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المتفاهم العرفی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 شیئاً قابلاً للأخذ ممّن یتعلّق به من مالکه أو ذی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عنوانی در مثل مسجد یا مدرسه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عنوان غصب، حرمت آن و وجوب 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چه که مرحوم بروجردی در مورد حقّ رهانت قائل شده و مانند شهید دوّم قدس سره در مسالک ضمان را پذیرفته، اشکال کرده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فی‌کلام سیّدنا الاُستاذ من ثبوت الحقّ فی هذه الموارد مثل ثبوت حقّ الرهن بالاضافة إلی المرتهن یدفعه أنّ لازمه ثبوت حقّین بالنسبة إلی الطالب الواجد لشرائط وقف المدرسة أو أسکن فی إحدی حجراتها، أحدهما حقّ السکونة والثانی حقّ الاولویّة الموجود فی المساکن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بالاضافة إلی حقّ الاولویّة الموجود للسابق فی المسجد فإنّ تصرّف مکانه حینئذ یستلزم عدم رعایة الحقّین إذا اضطرّ بعد</w:t>
      </w:r>
      <w:bookmarkStart w:id="404" w:name="pg877_6090"/>
    </w:p>
    <w:p>
      <w:pPr>
        <w:pStyle w:val="BookText"/>
        <w:rPr/>
      </w:pPr>
      <w:bookmarkEnd w:id="404"/>
      <w:r>
        <w:rPr>
          <w:rFonts w:ascii="IRNazanin" w:hAnsi="IRNazanin" w:eastAsia="IRNazanin"/>
          <w:color w:val="111111"/>
          <w:sz w:val="28"/>
          <w:sz w:val="28"/>
          <w:szCs w:val="28"/>
          <w:rtl w:val="true"/>
          <w:lang w:bidi="fa-IR"/>
        </w:rPr>
        <w:t>غصب حقّ الاولویّة إلی الخروج من المسجد رأساً مع أنّه من الظاهر خلافه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105753_373438147"/>
      <w:bookmarkStart w:id="406" w:name="_Toc154"/>
      <w:bookmarkEnd w:id="405"/>
      <w:r>
        <w:rPr>
          <w:rtl w:val="true"/>
        </w:rPr>
        <w:t>اشکالات وارد بر دیدگاه محقّق بروجردی رحمه الله</w:t>
      </w:r>
      <w:bookmarkEnd w:id="406"/>
    </w:p>
    <w:p>
      <w:pPr>
        <w:pStyle w:val="BookText"/>
        <w:rPr/>
      </w:pPr>
      <w:r>
        <w:rPr>
          <w:rFonts w:ascii="IRNazanin" w:hAnsi="IRNazanin" w:eastAsia="IRNazanin"/>
          <w:color w:val="111111"/>
          <w:sz w:val="28"/>
          <w:sz w:val="28"/>
          <w:szCs w:val="28"/>
          <w:rtl w:val="true"/>
          <w:lang w:bidi="fa-IR"/>
        </w:rPr>
        <w:t>بر کلام ایشان مناقشاتی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طوری که در گذشته نیز بیان نمودیم، گرچه در حدیث علی الید، عنوان اخذ یا قبض یا اداء آمده است، امّا هیچ کدام از این‌ها خصوصیّتی ندارد؛ بلکه این عبارت، ارشاد به یک حکم عقلائی است که دائره‌ی آن محدود به اخذ و مأخوذٌمنه و مؤدّی إلیه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که در رهن، حقّی برای مرتهن ثابت است، تردیدی وجود ندارد؛ اعمّ از این که با تصرّف عدوانی راهن، ضمان را بپذیریم و یا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پذیرفتن ضمان کاشف از وجود حقّ برای مرتهن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آورده‌اند باید در طالب واجد شرایط دو حقّ را بپذیریم، یکی حقّ السکونة و دیگر حقّ اولویت، به نظر می‌رسد چنین لازمی بر کلام مرحوم بروجردی مترتّب نمی‌شود؛ و از نظر عقلا حقّ اولویّت همان حقّ سکونت است و یک حقّ مستقلی نیست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روشن شد که کلام محقّق بروجردی رحمه الله تامّ است و باید در اوقاف عامّه، در همه موارد ضمان را مطابق ضوابط و قواعد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ارتکاز متشرّعه مانع از این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ارتکاز متشرّعه در این موارد ضمان وجود ندارد؛ و چه بسا شارع مقدّس در مساجد، رباطات و شوارع به همان حکم تکلیفی حرمت غصب و وجوب ردّ اکتفا نموده باشد؛ و اساساً ضمان را برای عدم تضییع اموال و املاک مردم تنظیم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407" w:name="pg877_6095"/>
    </w:p>
    <w:p>
      <w:pPr>
        <w:pStyle w:val="Heading3"/>
        <w:numPr>
          <w:ilvl w:val="2"/>
          <w:numId w:val="1"/>
        </w:numPr>
        <w:rPr/>
      </w:pPr>
      <w:bookmarkStart w:id="408" w:name="__RefHeading___Toc105755_373438147"/>
      <w:bookmarkStart w:id="409" w:name="_Toc155"/>
      <w:bookmarkEnd w:id="407"/>
      <w:bookmarkEnd w:id="408"/>
      <w:r>
        <w:rPr>
          <w:rtl w:val="true"/>
        </w:rPr>
        <w:t>تنبیه پنجم</w:t>
      </w:r>
      <w:r>
        <w:rPr>
          <w:rtl w:val="true"/>
        </w:rPr>
        <w:t xml:space="preserve">: </w:t>
      </w:r>
      <w:r>
        <w:rPr>
          <w:rtl w:val="true"/>
        </w:rPr>
        <w:t>موضوعیّت پرداختِ به مالک در رفع ضمان</w:t>
      </w:r>
      <w:bookmarkEnd w:id="409"/>
    </w:p>
    <w:p>
      <w:pPr>
        <w:pStyle w:val="BookText"/>
        <w:rPr/>
      </w:pPr>
      <w:r>
        <w:rPr>
          <w:rFonts w:ascii="IRNazanin" w:hAnsi="IRNazanin" w:eastAsia="IRNazanin"/>
          <w:color w:val="111111"/>
          <w:sz w:val="28"/>
          <w:sz w:val="28"/>
          <w:szCs w:val="28"/>
          <w:rtl w:val="true"/>
          <w:lang w:bidi="fa-IR"/>
        </w:rPr>
        <w:t xml:space="preserve">مطلب دیگر آن است که غایت مذکور در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موضوعیّت دارد یا خیر؟ به عبارت دیگر، در صورتی که عین مال باقی است و امکان ردّ آن به مالک وجود دارد، آیا ادای آن به مالک تنها راه برای رفع ضمان است یا این که ادا خصوصیت و موضوعیت ندارد؟</w:t>
      </w:r>
    </w:p>
    <w:p>
      <w:pPr>
        <w:pStyle w:val="BookText"/>
        <w:rPr/>
      </w:pPr>
      <w:r>
        <w:rPr>
          <w:rFonts w:ascii="IRNazanin" w:hAnsi="IRNazanin" w:eastAsia="IRNazanin"/>
          <w:color w:val="111111"/>
          <w:sz w:val="28"/>
          <w:sz w:val="28"/>
          <w:szCs w:val="28"/>
          <w:rtl w:val="true"/>
          <w:lang w:bidi="fa-IR"/>
        </w:rPr>
        <w:t xml:space="preserve">یکی از فروعی که فقها در باب غصب بیان نموده‌اند، آن است که اگر غاصبی مالی را از کسی غصب کند، سپس مالک مال،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از غاصب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رهن در مقابل دین و قرضی که بر عهده او است، قرار دهد، آیا مجرّد رهن گذاشتن رافع ضمان است؟ به عبارت دیگر، آیا ضمانی که به سبب غصب حاصل شده است، به سبب رهن زائل می‌شود یا خیر؟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که ضمان زائل می‌شود، بدین معنا است که غایت وارد در حدیث، موضوعیّت ندارد، و بلکه امور دیگر هم می‌تواند رافع ضمان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Style w:val="FootnoteAnchor"/>
          <w:rtl w:val="true"/>
        </w:rPr>
        <w:footnoteReference w:id="230"/>
      </w:r>
      <w:r>
        <w:rPr>
          <w:rFonts w:ascii="Amiri" w:hAnsi="Amiri" w:eastAsia="Amiri" w:cs="Amiri"/>
          <w:color w:val="111111"/>
          <w:sz w:val="28"/>
          <w:sz w:val="28"/>
          <w:szCs w:val="28"/>
          <w:rtl w:val="true"/>
          <w:lang w:bidi="ar-SA"/>
        </w:rPr>
        <w:t>، محقّق</w:t>
      </w:r>
      <w:r>
        <w:rPr>
          <w:rStyle w:val="FootnoteAnchor"/>
          <w:rtl w:val="true"/>
        </w:rPr>
        <w:footnoteReference w:id="231"/>
      </w:r>
      <w:r>
        <w:rPr>
          <w:rFonts w:ascii="Amiri" w:hAnsi="Amiri" w:eastAsia="Amiri" w:cs="Amiri"/>
          <w:color w:val="111111"/>
          <w:sz w:val="28"/>
          <w:sz w:val="28"/>
          <w:szCs w:val="28"/>
          <w:rtl w:val="true"/>
          <w:lang w:bidi="ar-SA"/>
        </w:rPr>
        <w:t>، علّامه</w:t>
      </w:r>
      <w:r>
        <w:rPr>
          <w:rStyle w:val="FootnoteAnchor"/>
          <w:rtl w:val="true"/>
        </w:rPr>
        <w:footnoteReference w:id="232"/>
      </w:r>
      <w:r>
        <w:rPr>
          <w:rFonts w:ascii="Amiri" w:hAnsi="Amiri" w:eastAsia="Amiri" w:cs="Amiri"/>
          <w:color w:val="111111"/>
          <w:sz w:val="28"/>
          <w:sz w:val="28"/>
          <w:szCs w:val="28"/>
          <w:rtl w:val="true"/>
          <w:lang w:bidi="ar-SA"/>
        </w:rPr>
        <w:t>، شهید اوّل</w:t>
      </w:r>
      <w:r>
        <w:rPr>
          <w:rStyle w:val="FootnoteAnchor"/>
          <w:rtl w:val="true"/>
        </w:rPr>
        <w:footnoteReference w:id="233"/>
      </w:r>
      <w:r>
        <w:rPr>
          <w:rFonts w:ascii="IRNazanin" w:hAnsi="IRNazanin" w:eastAsia="IRNazanin"/>
          <w:color w:val="111111"/>
          <w:sz w:val="28"/>
          <w:sz w:val="28"/>
          <w:szCs w:val="28"/>
          <w:rtl w:val="true"/>
          <w:lang w:bidi="fa-IR"/>
        </w:rPr>
        <w:t>، شهید ثانی</w:t>
      </w:r>
      <w:r>
        <w:rPr>
          <w:rStyle w:val="FootnoteAnchor"/>
          <w:rtl w:val="true"/>
        </w:rPr>
        <w:footnoteReference w:id="234"/>
      </w:r>
      <w:r>
        <w:rPr>
          <w:rFonts w:ascii="Amiri" w:hAnsi="Amiri" w:eastAsia="Amiri" w:cs="Amiri"/>
          <w:color w:val="111111"/>
          <w:sz w:val="28"/>
          <w:sz w:val="28"/>
          <w:szCs w:val="28"/>
          <w:rtl w:val="true"/>
          <w:lang w:bidi="ar-SA"/>
        </w:rPr>
        <w:t>و محقّق ثانی</w:t>
      </w:r>
      <w:r>
        <w:rPr>
          <w:rStyle w:val="FootnoteAnchor"/>
          <w:rtl w:val="true"/>
        </w:rPr>
        <w:footnoteReference w:id="235"/>
      </w:r>
      <w:r>
        <w:rPr>
          <w:rFonts w:ascii="IRNazanin" w:hAnsi="IRNazanin" w:eastAsia="IRNazanin"/>
          <w:color w:val="111111"/>
          <w:sz w:val="28"/>
          <w:sz w:val="28"/>
          <w:szCs w:val="28"/>
          <w:rtl w:val="true"/>
          <w:lang w:bidi="fa-IR"/>
        </w:rPr>
        <w:t>تصریح نموده‌اند رهن زائل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236"/>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ضمان مختار اکثر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مرحوم علّامه در قواعد</w:t>
      </w:r>
      <w:r>
        <w:rPr>
          <w:rStyle w:val="FootnoteAnchor"/>
          <w:rtl w:val="true"/>
        </w:rPr>
        <w:footnoteReference w:id="237"/>
      </w:r>
      <w:r>
        <w:rPr>
          <w:rFonts w:ascii="IRNazanin" w:hAnsi="IRNazanin" w:eastAsia="IRNazanin"/>
          <w:color w:val="111111"/>
          <w:sz w:val="28"/>
          <w:sz w:val="28"/>
          <w:szCs w:val="28"/>
          <w:rtl w:val="true"/>
          <w:lang w:bidi="fa-IR"/>
        </w:rPr>
        <w:t>و محقّق اردبیلی</w:t>
      </w:r>
      <w:r>
        <w:rPr>
          <w:rStyle w:val="FootnoteAnchor"/>
          <w:rtl w:val="true"/>
        </w:rPr>
        <w:footnoteReference w:id="238"/>
      </w:r>
      <w:r>
        <w:rPr>
          <w:rFonts w:ascii="IRNazanin" w:hAnsi="IRNazanin" w:eastAsia="IRNazanin"/>
          <w:color w:val="111111"/>
          <w:sz w:val="28"/>
          <w:sz w:val="28"/>
          <w:szCs w:val="28"/>
          <w:rtl w:val="true"/>
          <w:lang w:bidi="fa-IR"/>
        </w:rPr>
        <w:t>و برخی دیگر، معقتد به زوال ضمان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 آن است که بر حسب ظاهر حدیث، غایت موضوعیت دارد؛ و چون در فرض مسأله، ادا محقّق نشده است، ضمان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گرچه بر حسب قواعد و ضوابط، چنین تعابیری ظهور در موضوعیّت دارد، لیکن این مطلب در فرضی است که قرائن بر خلاف در میان نباشد، و در فرض مسأله، قرائنی داریم دالّ بر این که این عنوان خصوصیت و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بعد از تحقّق غصب، مالک ذمّه غاصب را ابرا نماید و رضایت خویش را اعلام کند، تردیدی نیست که ضمان رفع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غاصب به مالک دسترسی پیدا نکند، می‌تواند عین مال یا قیمت آن را از جانب مالک به عنوان صدقه به فقیر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بااذنی است که از طرف شارع مقدّس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 بالاخره، عین مال به مالک ادا نشده است؛ و حال آن که عنوان صدقه با اذنی که از شارع</w:t>
      </w:r>
    </w:p>
    <w:p>
      <w:pPr>
        <w:pStyle w:val="BookText"/>
        <w:rPr/>
      </w:pPr>
      <w:r>
        <w:rPr>
          <w:rFonts w:ascii="IRNazanin" w:hAnsi="IRNazanin" w:eastAsia="IRNazanin"/>
          <w:color w:val="111111"/>
          <w:sz w:val="28"/>
          <w:sz w:val="28"/>
          <w:szCs w:val="28"/>
          <w:rtl w:val="true"/>
          <w:lang w:bidi="fa-IR"/>
        </w:rPr>
        <w:t>صادر شده‌است، رافع ضمان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قرائن روشن می‌شود که غایت مذکور در حدیث علی الید،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توجه به آن لازم است، این است که با رهن قرار دادن، چه بسا بتوان گفت ید از عنوان ید عدوانی خارج و منقلب به ید غیر عدوانی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مسأله رهن، مسأله قراض و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غاصب مالی را غصب کند، صاحب مال می‌تواند آن مال را به عنوان عقد مضاربه با غاصب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ابن برّاج رحمه الله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فی ید غیره ألف غصباً فقارض به صاحب المال الغاصب علیه کان صحیحاً</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همین‌طور محقّق ثانی رحمه الله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ضارب الغاصب بالمال الّذی فی یده فلا کلام فی الصحّة</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علّامه قدس سره نیز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عندنا لاستجماع شرائط الصحّة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 محدّث بحرانی رحمه الله تصریح نموده که این حکم اجماعی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الحکم إتّفاقی عند الأصحاب إذ لم أقف علی نقل خلاف فی المسالة</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بررسی کلمات فقها استفاده می‌شود که در اصل صحّت مضاربه تردید و خلافی نیست؛ بلکه خلاف در این است که آیا به مجرّد عقد مضاربه، عنوان غصب و اثر آن که عبارت از ضمان است، از بین می‌رود یا خیر؟ در پاسخ این سؤال، دو قول وجود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آن است که به مجرّد عقد مضاربه، ضمان از بین می‌رود؛ زیرا، عنوان غصب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قواعد</w:t>
      </w:r>
      <w:r>
        <w:rPr>
          <w:rStyle w:val="FootnoteAnchor"/>
          <w:rtl w:val="true"/>
        </w:rPr>
        <w:footnoteReference w:id="243"/>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ضمان الغصب یتبع الغصب والغصب قد زال بعقد القراض فیزول 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w:t>
      </w:r>
    </w:p>
    <w:p>
      <w:pPr>
        <w:pStyle w:val="BookText"/>
        <w:rPr/>
      </w:pPr>
      <w:r>
        <w:rPr>
          <w:rFonts w:ascii="IRNazanin" w:hAnsi="IRNazanin" w:eastAsia="IRNazanin"/>
          <w:color w:val="111111"/>
          <w:sz w:val="28"/>
          <w:sz w:val="28"/>
          <w:szCs w:val="28"/>
          <w:rtl w:val="true"/>
          <w:lang w:bidi="fa-IR"/>
        </w:rPr>
        <w:t>المحقّقین رحمه الله در ایضاح الفوائد نیز همین نظریّه را پذیرفته، و استدلال نموده است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القراض أمانة فصحّة عقده یوجب کون المال أمانة لأنّ معنی الصحّة ترتّب الأثر ولانتفاء علّة الضمان لزوال الغصب ولأنّه أذن فی بقائه فی یده</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بحرانی و محقّق اردبیلی رحمهما الله نیز با این رأی موافقت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رحمه الله در عروه نیز همین نظریّه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انّه یرتفع الضمان بذلک لانقلاب الید حینئذ فینقلب الحکم</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اکثر محشّین عروه نیز با نظریّه سیّد موافقت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علمای عامّه نیز ابوحنیفه و مالک همین نظریّه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آن است که به مجرّد عقد مضاربه، ضمان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رحمه الله در جامع المقاصد همین نظریّه را اختیار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الأقرب بقاء الضمان للاستصحاب حتّی یحصل الناقل، ولقوله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باستمرار الضمان إلی زمان الأداء، أداء المال إلی البائع ثمناً، لأنّ الضمان متعلّق بالمدفوع وقد خرج عن الملک والمبیع مال تجدّد علی حکم الأمانة ولا خلاف فی هذا</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دیگر از فقها، از جمله شهید ثانی رحمه الله در مسالک</w:t>
      </w:r>
      <w:r>
        <w:rPr>
          <w:rStyle w:val="FootnoteAnchor"/>
          <w:rtl w:val="true"/>
        </w:rPr>
        <w:footnoteReference w:id="247"/>
      </w:r>
      <w:r>
        <w:rPr>
          <w:rFonts w:ascii="IRNazanin" w:hAnsi="IRNazanin" w:eastAsia="IRNazanin"/>
          <w:color w:val="111111"/>
          <w:sz w:val="28"/>
          <w:sz w:val="28"/>
          <w:szCs w:val="28"/>
          <w:rtl w:val="true"/>
          <w:lang w:bidi="fa-IR"/>
        </w:rPr>
        <w:t>، شیخ طوسی رحمه الله در مبسوط‌</w:t>
      </w:r>
      <w:r>
        <w:rPr>
          <w:rStyle w:val="FootnoteAnchor"/>
          <w:rtl w:val="true"/>
        </w:rPr>
        <w:footnoteReference w:id="248"/>
      </w:r>
      <w:r>
        <w:rPr>
          <w:rFonts w:ascii="IRNazanin" w:hAnsi="IRNazanin" w:eastAsia="IRNazanin"/>
          <w:color w:val="111111"/>
          <w:sz w:val="28"/>
          <w:sz w:val="28"/>
          <w:szCs w:val="28"/>
          <w:rtl w:val="true"/>
          <w:lang w:bidi="fa-IR"/>
        </w:rPr>
        <w:t>، محقّق سبزورای رحمه الله در کفایة الاحکام</w:t>
      </w:r>
      <w:r>
        <w:rPr>
          <w:rStyle w:val="FootnoteAnchor"/>
          <w:rtl w:val="true"/>
        </w:rPr>
        <w:footnoteReference w:id="249"/>
      </w:r>
      <w:r>
        <w:rPr>
          <w:rFonts w:ascii="IRNazanin" w:hAnsi="IRNazanin" w:eastAsia="IRNazanin"/>
          <w:color w:val="111111"/>
          <w:sz w:val="28"/>
          <w:sz w:val="28"/>
          <w:szCs w:val="28"/>
          <w:rtl w:val="true"/>
          <w:lang w:bidi="fa-IR"/>
        </w:rPr>
        <w:t>، محقّق حلّی رحمه الله در شرائع</w:t>
      </w:r>
      <w:r>
        <w:rPr>
          <w:rStyle w:val="FootnoteAnchor"/>
          <w:rtl w:val="true"/>
        </w:rPr>
        <w:footnoteReference w:id="25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مرحوم نجفی رحمه الله در جواهر الکلام</w:t>
      </w:r>
      <w:r>
        <w:rPr>
          <w:rStyle w:val="FootnoteAnchor"/>
          <w:rtl w:val="true"/>
        </w:rPr>
        <w:footnoteReference w:id="251"/>
      </w:r>
      <w:r>
        <w:rPr>
          <w:rFonts w:ascii="IRNazanin" w:hAnsi="IRNazanin" w:eastAsia="IRNazanin"/>
          <w:color w:val="111111"/>
          <w:sz w:val="28"/>
          <w:sz w:val="28"/>
          <w:szCs w:val="28"/>
          <w:rtl w:val="true"/>
          <w:lang w:bidi="fa-IR"/>
        </w:rPr>
        <w:t>همین نظریّه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استصحاب، مهمترین دلیل آنان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بین صحّت عقد مضاربه و ضمان منافاتی نیست؛ چرا که در سایر موارد که عقد مضاربه واقع می‌شود، چنان چه عامل، تعدّی و تفریط نماید،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بین ضمان و صحّت عقد مضاربه منافاتی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از حدیث علی الید استفاده می‌شود غاصب باید مال را یا به مالک برگرداند و یا به کسی که از طرف مالک مأذون است؛ و با عقد مضاربه، چنان چه عامل، با آن مال، جنسی را از بایعی خریداری کند، چون از طرف مالک، بایع مأذون است، پول را تحویل بگیرد، در این صورت هم ادا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هر سه دلیل فوق مخدوش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استصحاب روشن است که با تحقّق عقد مضاربه، ید از عنوان ید عدوانی به ید امانی انقلاب پیدا کرده است، و چنان چه عقد مضاربه را صحیح بدانیم، باید آثار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مترتّب نمائیم؛ و حتّی باید بپذیریم ضمانی که معلول غصب بوده، از بین می‌رود؛ و چنان چه بعد از تحقق عقد مضاربه، عامل، در حفظ آن مال، تعدّی و تفریط نکرده باشد و آن مال تلف شود، ضمانی در کار نخواهد بود؛ و اگر تعدّی نموده باشد، ضمان جدیدی که معلول علّت جدیدی است، تحقق پیدا می‌کند؛ و با انقلابی که حاصل شده، دیگر مجالی برای استصحاب نیست</w:t>
      </w:r>
      <w:r>
        <w:rPr>
          <w:rFonts w:eastAsia="IRNazanin" w:cs="IRNazanin"/>
          <w:color w:val="111111"/>
          <w:sz w:val="28"/>
          <w:szCs w:val="28"/>
          <w:rtl w:val="true"/>
          <w:lang w:bidi="fa-IR"/>
        </w:rPr>
        <w:t>.</w:t>
      </w:r>
      <w:bookmarkStart w:id="410" w:name="pg877_6106"/>
    </w:p>
    <w:p>
      <w:pPr>
        <w:pStyle w:val="BookText"/>
        <w:rPr/>
      </w:pPr>
      <w:bookmarkEnd w:id="410"/>
      <w:r>
        <w:rPr>
          <w:rFonts w:ascii="IRNazanin" w:hAnsi="IRNazanin" w:eastAsia="IRNazanin"/>
          <w:color w:val="111111"/>
          <w:sz w:val="28"/>
          <w:sz w:val="28"/>
          <w:szCs w:val="28"/>
          <w:rtl w:val="true"/>
          <w:lang w:bidi="fa-IR"/>
        </w:rPr>
        <w:t>و امّا دلیل دوّم، بطلان آن از مطلب قبل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بین عقد مضاربه و ضمان منافاتی نیست، امّا این عدم منافات، اختصاص به تعدّی و تفریط بعد از عقد مضاربه دارد؛ در حالی که بحث فعلاً در حین عقد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صحّت عقد مضاربه و ترتیب اثر آن، ملازمه‌ی روشنی با رفع عنوان غصب دارد، و یَد را تبدیل به یَد امانی می‌کند؛ و بنابراین، اثر غصب که عبارت از ضمان است،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سوم که استدلال به حدیث علی الید است، بطلان استدلال به آن از مطالب گذشته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ذکر نمودیم، استدلال به حدیث در این مورد، در صورتی قابل قبول است که غایت موجود در آن، موضوعیّت داشته باشد، در حالی که بیان نمودیم این غایت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مطلب آن است که قول اوّل مطابق با تحقیق است؛ و همان طور که رهن را رافع ضمان دانستیم، باید عقد قراض یا مضاربه را نیز رافع بدانیم؛ و نمی‌توان بین این دو عنوان فرقی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هیچ نیازی به دفع مال به بایع نیست، و این که برخی گفته‌اند به مجرّد عقد مضاربه، ضمان از بین نمی‌رود، و بلکه چنان چه غاصب مال را به دیگری مانند بایع سلعه تحویل داد، ضمان مرتفع می‌شود، هیچ دلیلی بر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بحث روشن می‌شود اگر مالک مال را به عنوان ودیعه، یا اجاره و یا هبه در اختیار غاصب قرار دهد، در تمامی صورت‌ها ضمان مرتفع می‌شود</w:t>
      </w:r>
      <w:r>
        <w:rPr>
          <w:rFonts w:eastAsia="IRNazanin" w:cs="IRNazanin"/>
          <w:color w:val="111111"/>
          <w:sz w:val="28"/>
          <w:szCs w:val="28"/>
          <w:rtl w:val="true"/>
          <w:lang w:bidi="fa-IR"/>
        </w:rPr>
        <w:t>.</w:t>
      </w:r>
    </w:p>
    <w:p>
      <w:pPr>
        <w:pStyle w:val="Heading3"/>
        <w:numPr>
          <w:ilvl w:val="2"/>
          <w:numId w:val="1"/>
        </w:numPr>
        <w:rPr/>
      </w:pPr>
      <w:bookmarkStart w:id="411" w:name="__RefHeading___Toc105757_373438147"/>
      <w:bookmarkStart w:id="412" w:name="_Toc156"/>
      <w:bookmarkEnd w:id="411"/>
      <w:r>
        <w:rPr>
          <w:rtl w:val="true"/>
        </w:rPr>
        <w:t>فهرست منابع</w:t>
      </w:r>
      <w:bookmarkEnd w:id="4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بحر العلوم، السیّد محمّد، بلغة الفقیه،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بن السیّد محمّد تقی آل بحر العلوم،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الطبعة الرّابعة،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الأردبیلی، احمد بن محمّد، مجمع الفائدة والبرهان فی شرح إرشاد الأذهان،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العراقی، علی‌پناه اشتهاردی و حسین الیزدی،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الأرنؤوط، شعیب و بشّار عوّاد معروف، تحریر تقریب التهذیب،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الإحسائی، محمّد بن علی بن ابراهیم المعروف بابن ابی جمهور، عوالی اللئالی العزیزیّة فی الأحادیث الدینیّة،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مجتبی العراقی،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علیه السلام،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الأسدی، 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المطلب فی تحقیق المذهب،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 فی مجمع البحوث الإسلامیة،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قواعد الأحکام فی معرفة الحلال والحرام،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مختلف الشیعة فی أحکام الشریعة،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الإسلامیة،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تذکرة الفقهاء،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تحریر الأحکام الشرعیّة علی مذهب الإمامیّة،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البهادری،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إیضاح الفوائد فی شرح إشکالات القواعد،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الموسوی الکرمانی، الشیخ علی‌پناه الإشتهاردی والشیخ عبد الرحیم البروجردی،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المطبعة العلمیة، الطبعة الاُولی،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الإشتهاردی، علی‌پناه، تقریرات ثلاثة، تقریراً لبحث السیّد الحاج آقا حسین البروجردی،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الإصفهانی، محمّد حسین، حاشیة المکاسب،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 صلی الله علیه و آله لإحیاء التراث،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الأنصاری، مرتضی، کتاب المکاسب،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الأعظم،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الفکر الإسلامی،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الإیروانی الغروی، علی، حاشیة المکاسب،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الفخّار الإصفهانی،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ذوی القربی،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أبی الحدید، شرح نهج 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الفضل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مطبوعاتی اسماعیلیان، بی‌تا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قدامة المقدسی، عبداللّه بن احمد، المغنی والشرح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الدین خطّاب والسیّد محمّد السیّد،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البحرانی، یوسف، الحدائق الناضرة فی أحکام العترة الطاهرة،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الإیروانی،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البجنوردی، السیّد محمّد حسن، القواعد الفقهیّة،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المهریزی و محمّد حسین الدرایتی،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البروجردی، مرتضی، المستند فی شرح العروة الوثقی، تقریراً لأبحاث السیّد ابو القاسم الموسوی الخوئی،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إحیاء آثار الإمام الخوئی،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الترمذی، محمّد بن عیسی بن سورة، 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إحیاء التراث العربی،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التوحیدی، محمّد علی، مصباح الفقاهة فی المعاملات، تقریراً لأبحاث السیّد ابو القاسم الموسوی الخوئی،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انصاریان، الطبعة الرابعة،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 العاملی، محمّد بن الحسن، تفصیل وسائل الشیعة إلی تحصیل مسائل الشریعة،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الحسینی المراغی، السیدّ میر عبد الفتّاح، العناوین،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 السیّد حمزة بن علی بن زهرة، غنیة النزوع إلی علمی الاُصول والفروع،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البهادری،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علیهم السلام،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الحلّی، احمد بن إدریس، کتاب السرائر الحاوی لتحریر الفتاوی،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الرابعة،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المهذّب البارع فی شرح المختصر النافع،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النشر الإسلامی، الطبعة الثالثة،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الحلّی، حسن بن علی بن داود، کتاب الرجال،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الحلّی،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شرائع الإسلام فی مسائل الحلال والحرام،</w:t>
      </w:r>
    </w:p>
    <w:p>
      <w:pPr>
        <w:pStyle w:val="BookText"/>
        <w:rPr/>
      </w:pPr>
      <w:r>
        <w:rPr>
          <w:rFonts w:ascii="IRNazanin" w:hAnsi="IRNazanin" w:eastAsia="IRNazanin"/>
          <w:color w:val="111111"/>
          <w:sz w:val="28"/>
          <w:sz w:val="28"/>
          <w:szCs w:val="28"/>
          <w:rtl w:val="true"/>
          <w:lang w:bidi="fa-IR"/>
        </w:rPr>
        <w:t>تحقیق، اخراج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محمّد علی، نجف الأشرف، مطبعة الآداب، الطبعة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الحنفی الحموی، احمد بن محمّد، غمز عیون البصائر شرح کتاب الأشباه والنظائر، بیروت، دار الکتب العلمیّة،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الخراسانی، محمّد کاظم، حاشیة المکاسب،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شمس الدین،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الخراسانی السبزواری، محمّد باقر بن محمّد مؤمن، کفایة الفقه المشتهر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الخفیف، علی، الضمان فی الفقه الإسلامی،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العربی،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الدارمی، عبد اللّه بن عبد الرحمن بن الفضل، سنن الدارمی،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الربعی القزوینی، محمّد بن یزید بن ماجة، سنن ابن ماجة،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السجستانی، سلیمان بن الأشعث بن عمرو بن عامر، سنن أبی داود،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السیوری الحلّی، مقداد بن عبد اللّه، التنقیح الرائع لمختصر الشرائع،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 الکومکری،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الشافعی، محمّد بن إدریس، الاُمّ، بیروت، دار الفکر،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الشربینی الخطیب، محمّد بن احمد، مغنی المحتاج إلی معرفة معانی الفاظ المنهاج،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بی‌تا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الشوکانی، محمّد بن علی بن محمّد، نیل الأوطار من أحادیث سیّد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منتقی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الشیبانی، احمد بن محمّد بن حنبل، المسند، ضبط و 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العطّار، بیروت، دار الفکر،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الصنهاجی القرافی، احمد بن إدریس، الفروق أو أنوار البروق فی أنواء الفروق، ضبط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المنصور،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العاملی،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الدروس الشرعیّة فی فقه الإمامیة،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العاملی،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مسالک الأفهام إلی تنقیح شرائع الإسلام،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العجلی، محمّد بن منصور بن احمد بن إدریس، مستطرفات السرائر،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الغزالی، محمّد بن محمّد بن محمّد، الوجیز فی فقه الإمام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معرّض، عادل عبد الموجود،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دار الأرقم بن أبی الأرقم،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الغزالی، محمّد بن محمّد، الوجیز فی فقه الإمام الشافعی،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الأرقم،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الغضائری، احمد بن الحسین بن عبید اللّه، رجال ابن الغضائری،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الفاضل اللنکرانی، محمّد، القواعد الفقهیّة،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 الأئمّة الأطهار علیهم السلام، الطبعة الثانیة،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تفصیل الشریعة فی شرح تحریر الوسیلة، کتاب الغصب وإحیاء الموات والمشترکات واللقطة،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 الأئمّة الأطهار علیهم السلام، الطبعة الاُولی،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الفخر الرازی، التفسیر الکبیر،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الرابعة،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الفرّاء البغوی، الحسین بن مسعود، شرح السنّة،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القاسمی، محمّد جمال الدین، تفسیر القاسمی المسمّی محاسن التأویل،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عبدالقادر عرفان العشّا حسّونة الدمشقی،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القرشی الدمشقی، ابو الفداء اسماعیل بن کثیر، تفسیر القرآن العظیم،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دار التراث،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الطباطبائی، السیّد علی، ریاض المسائل، فی بیان أحکام الشرع بالدلائل،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الطباطبائی، السیّد محمّد حسین،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مطبوعاتی اسماعیلیان، الطبعة الثالثة،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الطباطبائی الحکیم، السیّد محسن، مستمسک العروة الوثقی،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الرابعة،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الطباطبائی الیزدی، السیّد محمّد کاظم، حاشیة المکاسب،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 صلی الله علیه و آله لإحیاء التراث، الطبعة الاُلی،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العروة الوثقی،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الفقهاء العظام،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 أبو علی الفضل بن الحسن، مجمع البیان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الطبری، محمّد بن جریر، تاریخ الاُمم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الإستقامة،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محمّد بن الحسن، إختیار معرفة الرجال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فاضل المیبدی والسیّد ابو الفضل الموسویان،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الطبعة 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المبسوط فی فقه الإمامیة،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الکشفی،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الطبعة الاُولی، الثالثة،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تهذیب الأحکام،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الخلاف،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الخامسة،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الکرکی،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المقاصد فی شرح القواعد،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آل البیت علیهم السلام لإحیاء التراث،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الکلینی، محمّد بن یعقوب،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الفقیه، فهرست و 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البقاعی،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الماردینی، علاء الدین علی بن عثمان، الشهید بابن الترکمانی، الجوهر النقیّ، چاپ شده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المامقانی، محمّد حسن، غایة الآمال فی حاشیة المکاسب، مع نهایة المقال فی تکملة غایة الآمال للشیخ عبد اللّه المامقانی،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المامقانی،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الصداقة،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المجلسی، محمّد باقر، بحار 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المزنی، اسماعیل بن یحیی، مختصر المزنی فی فروع الشافعیّة،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شاهین،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مکتب العلمیة،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الموسوی البغدادی،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الانتصار،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الموسوی الخمینی، السیّد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البیع،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 نشر آثار الإمام الخمینی،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الموسوی الخوانساری، محمّد باقر، روضات الجنّات فی أحوال العلماء والسادات،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اسماعیلیان،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اسماعیلیان،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الموسوی السبزواری، السیّد عبد الأعلی، مهذّب الأحکام فی بیان الحلال والحرام، قم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آیت اللّه العظمی السیّد السبزواری، الطبعة الرابعة،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النجفی، محمّد حسن، جواهر الکلام فی شرح شرائع الإسلام،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القوچانی،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الطبعة الاُولی،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النجفی الخوانساری، موسی بن محمّد، منیة الطالب فی شرح المکاسب، تقریرات المحقّق المیرزا محمّد حسین النائینی،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النراقی، احمد، عوائد الأیّام،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الابحاث والدراسات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الإعدام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النراقی، المولی محمّد، مشارق الأحکام،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الوحدتی الشبیری،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مؤتمر المولی مهدی النراقی، الطبعة الثانیة،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النوری الطبرسی، میرزا حسین، مستدرک الوسائل ومستنبط المسائل،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آل البیت لإحیاء التراث،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النووی، محیی الدین بن شرف، المجموع شرح المهذّب،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الهذلی الحلّی،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المختصر النافع،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الیوسفی، حسن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الرموز فی شرح المختصر النافع،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علی‌پناه الإشتهاردی، حسین الیزدی،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ادریس الصنهاجی القرافی، الفروق أو أنوار البروق فی أنواء الفروق،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التحقیق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بجنوردی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منصور بن احمد بن ادریس الحلّی، مستطرفات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محمّد بن الحسن الحرّ العاملی،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القاضی،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المجلسی، 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محمّدباقر الموسوی الخوانساری،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می‌توان به کتاب‌های زیر اشاره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الفوائد فی تلخیص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أبوعبداللّه الفاضل المقداد السیوری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 الأصولیّة والعربیّة لتفریع فوائد الأحکام الشرعیّة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زین‌الدین بن علی بن احمد العاملی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جعفر کاشف الغطاء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الأصلیّة والقواعد الشرعیّة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عبداللّه شبّر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المقالید الجعفریّة فی القواعد الإثنی عشریة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الإسترابادی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عناوین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میرعبدالفتّاح الحسینی المراغی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السیّدمحمّد بحرالعلوم الطباطبائی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محمّدحسن البجنوردی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الفاضل اللنکرانی رحمه الله؛ و کتاب‌های دیگری که در همین رابطه نوشته شده‌اند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دفع الزکاة باعتقاد الفقر فبان کون القابض غنیّاً، فإن کانت العین باقیة ارتجعها، وکذا مع تلفها، لأنّ القابض ضامن بعموم علی الید، لأنّه استولی علی مال الغیر بدون الإذن والإحسان، فتصبح الید عادیة وموجبة للضمان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الحکیم، مستمسک العروة الوثقی،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المستند فی شرح العروة الوثقی،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الحسن الطبرسی، مجمع البیان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السیّد محمّدحسین الطباطبائی، المیزان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الفخر الرازی، التفسیر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اسماعیل بن کثیر القرشی الدمشقی،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جمال الدین القاسمی، تفسیر القاسمی المسمّی بمحاسن التأویل،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جواهر رحمه الله در مورد این روایت بیان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الحدیث المشتهر علی ألسنة الفقهاء إلّاأنّه لم نجد نصّ ذلک مع التتبّع فی مظانّها، والظاهر أنّه مستفاد من عدّة روایات وردت فی أبواب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رواه فی الوسائل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الشهادات،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الرهن، الحدیث منهما، والباب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الاجارة 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اگرچه از محقّق ثانی رحمه الله در حاشیه ارشاد نقل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نسب إلی النّبی صلی الله علیه و آله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ربّما نسب إلی النّبی صلی الله علیه و آله المغرور یرجع إلی من غرّه، کما حکی عن المحقّق الثانی فی حاشیة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حاشیه مکاسب سید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مختصر النافع،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فی أحکام الخیار؛ وشرائع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فاضل آبی، کشف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ستّة مسائل فی الأحکام؛ علّامه حلّی، 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فی اصلاح الخیار؛ شهید ثانی، مسالک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علّامه بحرانی، الحدائق الناضرة،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السیّدعلی الطباطبایی، ریاض المسائل،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محمّدحسن النجفی، جواهر 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مرتضی الانصاری،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المیرزا حسین النوری،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خیار،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بن حسن الحرّ العاملی،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محمّد بن محمّدتقی بحرالعلوم، بلغة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قبض بالسوم، یعنی برداشتن و در اختیار گرفتن مالی برای این که آن را بررسی نماید تا معامله‌ای بر روی آن انجام دهد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در برخی از متون به صورت فوق آمده است؛ و در بعضی دیگر از متون و نسخه‌ها به 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تؤدّی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ضمیر آخر ضبط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حنبل الشیبانی، المسند،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20107</w:t>
      </w:r>
      <w:r>
        <w:rPr>
          <w:rFonts w:ascii="IRNazanin" w:hAnsi="IRNazanin" w:eastAsia="IRNazanin"/>
          <w:b w:val="false"/>
          <w:b w:val="false"/>
          <w:bCs w:val="false"/>
          <w:i w:val="false"/>
          <w:i w:val="false"/>
          <w:iCs w:val="false"/>
          <w:color w:val="333333"/>
          <w:sz w:val="20"/>
          <w:sz w:val="20"/>
          <w:szCs w:val="20"/>
          <w:rtl w:val="true"/>
        </w:rPr>
        <w:t xml:space="preserve">؛ عبداللّه بن عبدالرحمن بن الفضل الدارمی، 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محمّد بن یزید بن ماجة الربعی القزوینی، سنن ابن ماجة،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سلیمان بن الأشعث بن عمرو بن عامر السجستانی، سنن أبی داود،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محمّد بن عیسی بن سورة الترمذی، 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احمد بن الحسین بن علی البیهقی،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11713</w:t>
      </w:r>
      <w:r>
        <w:rPr>
          <w:rFonts w:ascii="IRNazanin" w:hAnsi="IRNazanin" w:eastAsia="IRNazanin"/>
          <w:b w:val="false"/>
          <w:b w:val="false"/>
          <w:bCs w:val="false"/>
          <w:i w:val="false"/>
          <w:i w:val="false"/>
          <w:iCs w:val="false"/>
          <w:color w:val="333333"/>
          <w:sz w:val="20"/>
          <w:sz w:val="20"/>
          <w:szCs w:val="20"/>
          <w:rtl w:val="true"/>
        </w:rPr>
        <w:t xml:space="preserve">؛ الحسین بن مسعود الفرّاء البغوی، شرح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آخر باب ضمان العاریة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ابراهیم الإحسائی المعروف بابن ابی جمهور، 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النوری الطبرسی،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الغصب، باب اوّل،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الطوسی،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تاریخ الاُمم والملوک،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علاءالدین علی بن عثمان الماردینی الشهیر بابن الترکمانی، الجوهر النقی، فی ذیل السنن الکبری للبیهقی،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عدّه الذهبی من المدلّسین فی منظومته فیهم،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غیر قلیل ذکر الأئمّة أنّه لم یسمع منهم، وقال العلائی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المشهورین بالتدلیس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معروف وشعیب الأرنؤوط، تحریر تقریب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محمّدحسن البجنوردی، القواعد الفقهیّة،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عوائد الأیّام،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محمّد النراقی، مشارق الأحکام،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 عبدالفتّاح الحسینی المراغی، العناوین،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الخمینی،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در چاپ جامعه مدرّسین حوزه علمیه قم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الید ما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ادریس الحلّی،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الخمینی، کتاب البیع،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مثال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المبسوط فی فقه الامامیّة،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همانند این مورد که شیخ رحمه الله به روایت استناد و استدلال کرده، عبارت ایشان در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کتاب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الخمینی،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الحلّی، مختلف الشیعة فی أحکام الشریعة،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المحقّقین، إیضاح الفوائد فی شرح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عوائد الایّام،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میر عبدالفتّاح الحسینی المراغی، العناوین،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نراقی رحمه الله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فیکون معنی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 ذی الید حفظ ما أخذت إلی زمان أدائه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ایروانی رحمه الله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فحاصل الحدیث وجوب حفظ أموال الناس إذا وقعت تحت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بن محمّد النجفی الخوانساری، منیة الطالب فی شرح المکاسب، تقریرات المحقّق المیرزا النائینی،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الأنصاری، کتاب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بن محمّد النجفی الخوانساری، منیة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الإیروانی الغروی، حاشیة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الإیروانی الغروی، حاشیة کتاب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محقّق ایروانی رحمه الله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مال أو علیّ أو فی رقبتی مقدار کذا من المال، یستفاد منه الضمان واشتغال الذّمة، أمّا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ید زید أو رجله أو نحو ذلک کذا، لم یستفد منه الضمان، بل کان ظاهر تکلیف الید والرجل بما هو مناسب لهما من الفعل؛ وعلی ذلک، فمعنی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الید ما أخذت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تؤدّی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الید مکلّفة بدفع ما أخذت أو حفظ ما أخذت حتّی تؤدّیه، لکن تقدیر الدفع باطل لایلائم الغایة، فیتعیّن تقدیر 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فحاصل الحدیث وجوب حفظ أموال الناس إذا وقعت تحت الید، ونسبة التکلیف إلی الید باعتبار أنّ الید هی الّتی أوجبت التکلیف کنسبة الجزاء والعقاب إلی الجوارح باعتبار أنّها السبب فی العصیان،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السَّمْعَ وَ الْبَصَرَ وَ الْفُؤَادَ کُلُّ أُوْلَل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کَانَ عَنْهُ مَسُْولًا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الخمینی کتاب البیع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افعال و اسماء عموم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الفاظی هستند که دلالت بر اصلِ بودن و ثبوت می‌کنند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آل بحر العلوم، بلغة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عوائد الایّام،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الخلاف، کتاب الغصب، مسأله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الاصفهانی، حاشیة کتاب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المولی احمد النراقی، عوائد الأیّام،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میرعبدالفتاح الحسینی المراغی، العناوین،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 عبدالفتاح الحسینی المراغی، العناوین،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 المعنی الثانی الّذی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أو لازم علی الید حفظ المأخوذ أو ردّه أو تأدیته إلی أن تودّیه، فإنّ ذلک بین ما هو إظهار لحکم بدیهی کتقدیر الحفظ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آل بحر العلوم، بلغة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الإصفهانی، حاشیة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محمّدحسن البجنوردی، القواعد الفقهیه،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یخفی علیک أنّ ما قبل الغایة حیث أنّه مغیّ بالأداء، فلابدّ من أن یکون أمراً ثابتاً فعلیّاً مستمرّاً إلی أن یتحقّق الأداء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إرادة ضمان ما أخذت أظهر من الروایة سواء جعلته بطریق الإضمار فیکون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الید ضمان ما أخذته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بطریق المجاز بمعنی کون المراد من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لکمال المناسبة بینه و بین الأصل المأخوذ، لأنّه إمّا عینه أو مثله أو قیمته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سنذکر ذلک مفصّلاً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ذلک قائم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أخذت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أنّ هذا المعنی هو المتبادر عند إطلاق هذه اللفظة بحیث لا یخطر غیره بالبال حتّی یحتاج فی ترجیح المقام إلی ملاحظة باب تعارض الأحوال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مضافاً إلی فهم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قدیماً وحدیثاً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واستدلالهم به علی الضمان، وهو إمّا کاشف عن کون المعنی العرفی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أوضحناه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کاشف عن وجود قرینة لم تصل إلینا کانت موجودة عندهم، وعلی التقدیرین فهو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فهم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معیّن للمراد من الخبر رافع للإجمال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 بزرگوار شیخ محمّدحسن مامقانی رحمه الله در حاشیه مکاسب نظیر این مطلب را بیان داشته که قلّت التقدیر نمی‌تواند مرجّح باشد و بلکه فهم عرف مرجّح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الإنصاف تحقّق المرجّح، لأنّا إذا عرضنا مثل هذا الخطاب علی العرف لم یسبق إلی أذهانهم سوی کون عهدة المأخوذ بالید وضمانه علیها، ومن المقرّر فی محلّه، أنّه إن تیسّر تحصیل مراد المتکلّم بما یفهمه أهل العرف من خصوص کلامه، کان هو المقصد الأصلی، ولهذا یقدّم ما یفهمونه من خصوص الخطاب الشخصی علی ما تقتضیه القواعد العامّة المقرّرة فی مباحث الألفاظ، وهذا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الآمال فی حاشیة المکاسب،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الإصفهانی، حاشیة کتاب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الإصفهانی، حاشیة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الأنصاری، کتاب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الحلّی، تحریر الأحکام الشرعیّة علی مذهب الإمامیّة،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مسألة الأوانی المکسورة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الأنصاری، کتاب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مرحوم شیخ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مجرّد کون تلفه فی ملکه بحیث یتلف مملوکاً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هذا معنی للضمان أصلاً، فلا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ضامن لأمواله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النجفی الخوانساری، منیة الطالب فی شرح المکاسب، تقریراً لأبحاث المیرزا النائینی،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محمّدکاظم الخراسانی، حاشیة المکاسب،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الاصفهانی، حاشیة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مرحوم آقای بروجردی بر اساس آن‌چه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بحث الضمان یغایر بحث اشتغال الذمّة، فالضمان أمر والاشتغال أمر آخر؛ والدلیل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المدیون ذمّته مشغولة للدائن، مع أنّه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ضامن له، فالمقترض مع اشتغال ذمّته للمقرض لا یکون ضامناً له والسرّ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اشتغال الذّمّة لابدّ وأن یکون بأمر کلّی وهو المثل أو القیمة، فالذمّة تکون بمنزلة الذهن الّذی توجد فیها الماهیة، فالماهیة الکلّیة تشخّص بوجودها فی الذهن، فالموجود فیه أمر کلّی، وهکذا الذمّة، فإنّ اشتغالها إنّما هو بأمر 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العهدة فهی متعلّقة بالموجود فی الخارج مع وصف وجوده فی الخارج، فالعین المأخوذة فی الحدیث قد تعلّقت بنفسها العهدة، ویعبّرون عن العهدة والضمان فی الفارسیة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عهده‌داری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 الکفالة الّتی هی التعهّد بالإضافة إلی إنسان خاصّ وشخص معیّن، ویترتّب علی هذا الضمان الّذی هو حکم وضعی اعتباری حکمان تکلیفیان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ردّ العین مادامت باقیة؛ 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ردّ بدلها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أو قیمة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تلفها وانعدامها، ومجموع هذین الحکمین لا یکون فی غیر مورد الضمان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مجال للتفکیک بینهما وجعل وجوب ردّ العین مع بقائها فی مورد غیر الضمان أیضاً کالأمانة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یجب علی الأمین ردّها إلی صاحبها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دلیلاً علی عدم ثبوت الضمان مع بقاء العین، فإنّ اللازم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 مجموع الحکمین، ألا تری أنّ جواز التصرّف فی مورد الإباحة لا یکون دلیلاً علی عدم ثبوت الملکیّة الّتی یترتّب علیها جواز التصرّف أیضاً؛ فإنّ امتیاز الملکیّة إنّما هو بمجموع الآثار الّتی لا یوجد فی غیرها، فإنّ منها الانتقال إلی الوارث بعد الموت، وتعلّق مثل الخمس ببعض مواردها، وشبههما ممّا لایوجد فی غیرها حتّی الاباحة المطلقة الّتی یجوز معها التصرّف مطلقاً حتّی التصرّفات الناقلة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یترتّب علی الضمان مجموع الحکمین الّذی لا یکون فی غیر مورد الضمان 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فالاتّحاد و الهوهویة المعتبرة فی القضیّة الحملیّة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أخذت الید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باعتبار کون الموجود الخارجی نفس ما تعلّق به هذا الأمر الاعتباری الّذی هو الضمان، فلم یتحقّق إتّحاد الأمر الخارجی مع الأمر الاعتباری، بل الاتّحاد بین الأمر الخارجی وبین کونه متعلّقاً للأمر الاعتباری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إنّه قد یتعلّق الضمان بالکلّی الّذی له موطن آخر غیر ذمّة الضامن، وأثره حینئذٍ جواز مطالبة المضمون له من الضامن بذلک الکلّی إن لم یقدر علی استیفائه وأخذه من المضمون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أثره عند العقلاء والعرف مجرّد اشتغال ذمّة الضامن للمضمون، ولکن استقرّ مذهب الإمامیّة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المراد به هناک هو انتقال الذمّة وتحقّق الاشتغال للضامن فی ظرف خاصّ، ومنشؤه دلالة الأدلّة الخاصّة والروایات المعتبرة علیه، وعلیه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مذهبنا فی باب الضمان مخالف لما هو مقتضاه بنظر العقلاء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فقهاء العامّة، فحیث لا یرون اعتباراً للروایات الّتی اشیر إلیها، فلا محالة ذهبوا إلی أنّ المراد بالضمان فی کتاب الضمان هو ما علیه العقلاء،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عبارة عن ضمّ ذمّة إلی ذمّة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الظاهر عدم تحقّق الضمان بمعنی الّذی ذکرناه فی العقد الصحیح، خلافاً للشیخ الأعظم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وخلافاً للمحقّق الإصفهانی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که آیا بین حکم تکلیفی و حکم وضعی قدر جامع وجود دارد یا خیر؟ بین علما اختلاف است؛ برخی مانند مرحوم سیّد یزدی قدس سره در حاشیه مکاسب در رابطه با مراد از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وَأَحَلَّ اللّهُ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حلیّت در این آیه شریفه برای قدر جامع بین دو حکم است؛ در حالی که جمع دیگری از علما، از جمله مرحوم محقّق نائینی معتقدند که بین این دو حکم قدر جامعی تصوّر نمی‌شود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الخمینی،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الخمینی،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محترم در بحث‌های علم اصول فقه بیان نموده‌اند که در مواردی که شارع مقدّس بخواهد با یک سیره رایج عقلایی مخالفت نماید، نمی‌تواند به یک اطلاق، یا عموم و یا دلیلی که دلالت صریحی ندارد، اکتفا کند؛ بلکه باید با بیان صریح و واضح و یا حتی به صورت مکرّر، مخالفت خود را ابراز نماید؛ نظیر آن چه که در مخالفت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الخمینی،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محمّدحسن البجنوردی، القواعد الفقهیّة،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 الحنفی الحموی، غمز عیون البصائر شرح کتاب الأشباه والنظائر،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محمّد الشوکانی، نیل الاوطار من احادیث سیّد الأخیار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منتقی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الغزالی، الوجیز فی فقه الامام الشافعی،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الخفیف، الضمان فی الفقه الإسلامی،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میرعبدالفتّاح الحسینی المراغی، العناوین،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علی‌پناه الإشتهاردی، تقریرات ثلاثة، تقریراً للأبحاث السیّد حسین البروجردی،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میرعبدالفتّاح الحسینی المراغی، العناوین،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عبارت محقّق مراغی رحمه الله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صورة کون القابض غیر مسلّط، فلا بحث فی خروجه عن الید، لأنّ المتبادر منه أنّه کنایة عن التسلّط، ولو کان علی معناه الأصلی أیضاً لکان المتبادر منه القبض بالید علی نحو له اقتدار علیه، سیّما بعد ملاحظة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له ظهوراً فی الاستیلاء، حتّی أنّ جماعةً ادّعوا ظهوره فی الغصب والعدوان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ضمّ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تؤدی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الظاهر منه کون الید قادرة علی المنع والدفع، ولا یکون ذلک إلّابالاستیلاء، ومن هنا ذکروا عدم الضمان فیما لو قبض بیده ثوباً لبسه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ونظائر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لیس داخلاً تحت دلیل الید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است از این که فردی جهت خریدن شیئی به مغازه رود و در موقعی که آن را بر می‌دارد و نگاه می‌کند، از دستش بیفتد و تلف 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الحلّی، 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حجری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محمّدحسن البجنوردی، القواعد الفقهیّة،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میرعبدالفتّاح الحسینی المراغی، العناوین،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ایشان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المراد بالید حصول الاستیلاء عرفاً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دارای ید عدوانی است با کسی که ید غیرعدوانی دارد، در وجود مسؤولیت مدنی مشترک است؛ لیکن در فرض وجود عنصر عدوان، شخص علاوه بر مسؤولیت مدنی، مسؤولیت کیفری نیز 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مامقانی، غایة الآمال فی حاشیة المکاسب،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اعظم انصاری رحمه الله؛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الحسن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شرائع الإسلام فی مسائل الحلال والحرام، کتاب الغصب،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النجفی، جواهر الکلام فی شرح شرائع الإسلام،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ایشان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نجده لأحد ممّن تقدّمه، فضلاً عن الجزم بعدمه، وإن حکاه المصنّف فی النافع قولاً، بل عن التنقیح نسبته إلی المبسوط إلّاأنّا لم نتحقّقه، وعلی تقدیره فهو واضح الفساد، ضرورة صدق الغصب بذلک عرفاً المتقضی لاعتبار الاستیلاء فیه دون الاستقلال أو للقول بتحقّقه هنا ولو بالنسبة إلی النصف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ودعوی اعتباره فیه علی معنی رفع ید المالک ولو علی جهة المشارکة واضحة الفساد، لأنّ العرف أعدل شاهد بخلافها، بل مقتضی ذلک عدم الضمان علی الشخصین المشترکین فی غصب شیء واحد علی وجه الاستقلال لکلّ منهما، وهو معلوم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إلّاأن یفرّق بین شرکة المالک وغیره، ولکن العرف علی خلافه 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ودعوی کون الغاصب حینئذٍ مجموعهما الّذی حصل له وصف الاستقلال وتضمینه یقتضی التوزیع بینهما یدفعها إمکان القول بمثله فی الفرض وإن سقط الضمان بالنسبة إلی المالک، باعتبار عدم تصوّر ضمان ماله لنفسه، بل إن لم یکن إجماعاً أمکن القول بضمان الغاصب لجمیع عین الدار مع فرض إثبات یده علیها جمیعها بالتصرف والانتفاع ونحوهما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مقداد بن عبداللّه السیوری الحلّی، التنقیح الرائع لمختصر الشرائع،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میر عبدالفتّاح الحسینی المراغی، العناوین،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عبارت مرحوم مراغی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یبقی الإشکال فی شموله للید المنضمّة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بالید المنضمّة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الید المجتمعة مع ید المالک، لا بمعنی استیلائه علی النصف حتّی یکون ضامناً له، بل بمعنی ترکّبه مع ید المالک کصورة ما ذکرناه سابقاً، بحیث یکون المجموع المرکّب مسلّطاً علی المال،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المالک لو ارتفع لم یکن للغاصب التسلّط ولو ارتفع الغاصب لم یکن للمالک تسلّط، فیکون المرکّب منها مسلّطاً علی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تکون ید الخارج هنا داخلةً فی دلیل الید حتّی یحکم له بضمان النصف أو لا تکون داخلة فلا ضمان؟ وهذا من أشکل مسائل صور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الید المرکّبة لیس کلّ واحد منهما داخلاً تحت دلیل الید، وإنّما الداخل هو المجموع المرکّب، فإذا کان المرکّب کلّه ید ضمان فیثبت الحکم علی الأبعاض بالتبع کما أوضحناه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بعضه ید ضمان وبعضه لیس کذلک کالمثال المفروض فیجیء فیه الإشکال فی الحکم بضمان ید الخارج الأجنبی، وبعبارة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الید الّتی شأنها الضمان لو استقلّت، نظراً إلی أنّ الید الأجنبیّة لیست مسلّطة علی المال کلاًّ ولا بعضاً حتّی نحکم علیه بالضمان وندخلها تحت الدلیل، والمجموع المرکّب أیضاً لیس ید ضمان حتّی یبعّض علی أجزائه بالتبع، لأنّا نبیّن بعد ذلک أنّ المراد فی الخبر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ید المالک، فمقتضی الأصل هنا عدم الضمان بعد عدم شمول الدلیل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صدق الید علی المرکّبة، وهذا من جملة أفرادها، فیکون هذا المجموع المرکّب ضامناً، ولازمه التبعیض علی أجزائه؛ غایة ما فی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الضمان علی المالک أو الأمین أو نحو ذلک، وارتفاع الضمان عن الجزء بدلیل لا یوجب ارتفاع الضمان عن المرکّب، ولیس المانع ابتداءاً إلّاکالمسقط استدامةً، کما لو أبرأ المالک أحد المرکّبین فی الفرض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یتوهّم أنّ الثبوت علی الجزء بتبعیّة الثبوت علی الکلّ، فإذا لم یکن الکلّ ضامناً فلا وجه لضمان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المرکّب فی المقام وإن کان من باب الکلّ المجموعی بالنسبة إلی المال المضمون،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المجموع ضامن للمجموع، لا أنّ کلّ واحد ضامن للمجموع، لعدم شمول الدلیل لکلّ واحد منهما، لکنّه بالنسبة إلی الضامن من باب الکلّی الأفرادی والعامّ الاُصولی، بمعنی کون کلّ منهما ضامناً لما وقع علیه بعد التوزیع، ولیس کأجزاء المکلّف الواحد، فإذا کان کذلک، فلابدّ من ملاحظة المخصّص هل أخرج هذا القسم من الید من عموم الدلیل أو أخرج أحد جزءیه من الضمان؟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أنّه من قبیل القسم الثانی، فإنّ الفرض داخل بظاهره فی عموم دلیل الید، ومتی دخل توجّه الضمان علی المجموع المرکّب، وهذا لا مانع منه من هذه الجهة، وبعد التوزیع وانتهاء الفرض إلی العامّ الاُصولی فهو قابل للتخصیص لا ارتباط بینهما، فإخراج أحد الجزءین بعد ملاحظة کونه فرداً بعد التوزیع لایضرّ ببقاء الضمان علی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ولکنّ المسألة فی غایة الإشکال ونهایة الإعضال، فلیتأمّل فیها حتّی یتّضح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فرق حینئذٍ بالنظر إلی الدلیل بین الید الابتدائیة والید المترتّبة والید المستقلّة والید المرکّبة والید المنضمّة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العلّامة الحلّی، مختصر النافع،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کتاب الغصب؛ الفاضل الآبی،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ابن فهد الحلّی،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الشهید الأوّل، الدروس الشرعیّة،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علی‌پناه الإشتهاردی، تقریرات ثلاثة،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شیخ اعظم انصاری رحمه الله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باب حکم غیرالبالغ وغیرالعاقل فی القصاص وحکم القاتل بالسحر،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باب اشتراط التکلیف بالوجوب والتحریم بالاحتلام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الانصاری، کتاب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هنا کان المتّجه صحّة الاستدلال به علی ضمان الصغیر بل المجنون إذا لم یکن یدهما ضعیفة لعدم التمییز والشعور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الاصفهانی، حاشیة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الاصفهانی، حاشیة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جهت اطّلاع از بحث خطابات قانونیه و نظر استاد محترم، رجوع کند به مباحث خارج اصول حضرت استاد، مبحث ثمره‌ی بحث ضدّ، جلسه‌ی 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که در پایگاه اطلاع رسانی ایشان به آدرس </w:t>
      </w:r>
      <w:r>
        <w:rPr>
          <w:rFonts w:eastAsia="IRNazanin" w:cs="IRNazanin"/>
          <w:b w:val="false"/>
          <w:bCs w:val="false"/>
          <w:i w:val="false"/>
          <w:iCs w:val="false"/>
          <w:color w:val="333333"/>
          <w:sz w:val="20"/>
          <w:szCs w:val="20"/>
        </w:rPr>
        <w:t>gro.lezaf-j.www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الخمینی،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محمّدعلی التوحیدی، مصباح الفقاهة، تقریراً لأبحاث السیّد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محمّدکاظم الخراسانی، حاشیة المکاسب،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عبارت کتاب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کون الواحد فی عهدة المتعدّد، بحیث یجب علی کلّ واحد کفائیاً، ردّه إلی مالکه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بن محمّد النجفی الخوانساری، منیة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بن محمّد النجفی الخوانساری، منیة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 قیل بأنّ کلاًّ منهما فی مورد البقاء ضامنان فیصیر من قبیل اشتغال ذمّتین عرضاً لمالٍ واحد؛ وهذا ممنوع جدّاً، بل غایة ما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یجب علی الضامن إلزام المضمون عنه بالرّد إلی المالک، لا الضمان الفعلی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الفرق بینهما من هذه الجهة؛ لأنّ الثانی أیضاً بالنسبة إلی الأوّل کالغارّ بالنسبة إلی المغرور، فإنّ الثانی یضمن ما ضمنه الأوّل، والأوّل حیث إنّه ضامن للمالک فعلاً والمفروض أنّ ید الثانی نشأت من ید الأوّل فسبب ضمان الثانی للأوّل موجود وإن کان ضمانه الفعلی له یتوقّف علی أداء الأوّل بدل مال المالک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محمّدحسن البجنوردی، القواعد الفقهیّة،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الخمینی،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تعاقبت الأیدی الغاصبة علی المغصوب تخیّر المالک فی إلزام أیّهم شاء أو إلزام الجمیع بدلاً واحداً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النجفی، جواهر 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الشهید الأوّل، الدروس الشرعیة،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الأنصاری،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محمّدکاظم الطباطبائی الیزدی، حاشیة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ایشان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والتحقیق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مسألة تعدّد الضمان بالإضافة إلی مال واحد بنحو الاستقلال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فتصویرها بمکان من الإمکان؛ لأنّه لا مانع فی عالم الاعتبار من اعتبار ثبوت المال علی عهدة شخصین، والحکم بضمان الیدین، وقیاسه بالوجود الخارجی الّذی لا یعقل فیه التّعدّد مع فرض الوحدة ممنوع، بل هو أشبه بالوجود الذهنی، من جهة أنّ زیداً الموجود فی الخارج الّذی یستحیل عروض التعدّد له بلحاظ هذا الوجود یمکن إیجاده فی الذهن مرّة بعد اخری، وکذلک لا مانع من اعتبار العین الشخصیّة الخارجیّة المتّصفة بالوحدة لا محالة فی ذمّة شخصین وعلی عهدة یدین، ونحن لا نری وجهاً للاستحالة فی عالم الاعتبار بوجه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الشهید الأوّل، الدروس الشرعیّة،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ابوالقاسم الخوئی، مستمسک العروة الوثقی،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المستند فی شرح العروة،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موسوعة الامام الخوئی،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کفّارات الصید،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علّامه در منتهی،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از طبع قدیم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تحت ید العاریة فیلزمه الضمان کمال الآدمی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کفارات الصید،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الساج وهو ضرب عظیم من الشجر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ابن ادریس،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علّامه حلّی، 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الوجیز فی فقه الإمام الشافعی،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الفقهیّة،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غنیة النزوع،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محقّق بجنوردی در تعریف استهلاک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الإستهلاک عبارة عن صیرورة المستهلک من جنس المستهلک فیه بواسطة المزج معه بعد ما لم یکن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 آن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الإستهلاک لا یمکن إلّافی الجنسین المختلفین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لو کان الممزوجتان من جنس واحد، فلا یمکن هذا المعنی، فلو وقعت قطرة ماء فی البحر لا تصیر مستهلکاً فیه، لأنّها بصورتها النوعیّة موجودة فیه، والإستهلاک لا یمکن إلّابتبدّل صورته النوعیّة حقیقة أو عرفاً إلی صورة المستهلک فیه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القواعد الفقهیّة،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نظر می‌رسد که این ضابطه، مورد مناقشه است؛ و استهلاک، فقط یک امر عرفی است؛ ملاک آن نیز در نزد عرف آن است که از شییء مستهلک دیگر عین مستقلّی که قابلیّت انفکاک را داشته باشد، موجود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در همین مثالی که ایشان در مورد افتادن قطره آب در دریا ذکر نمود، حکم به استهلاک می‌کند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الفقهیّة،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کاظم الطباطبایی الیزدی، حاشیة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الاصفهانی، حاشیة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الفقهیّة،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آزادی غصب شود، هر چند که کودک باشد، ضمانی نبوده و شخص غاصب ضامن نیست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بر شخص حرّی استیلا پیدا کند و او را حبس نماید، غصب تحقّق پیدا نمی‌کند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نسبت به عین او و نه نسبت به منفعتش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با این کار، گناه کرده و به او ظلم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باشد یا کوچک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بر او ضمان 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احکام غصب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آن شخص محبوس و مغصوب بسوزد، یا غرق شود و یا در تحت استیلای او بدون تسبیب او، بمیرد، ضامن نمی‌باشد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تفصیل الشریعة فی شرح تحریر الوسیلة،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کتاب الغصب،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الغصب،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خلاصه این سه مطلب آن است که در اخذ شخص حرّ یا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نمی‌کند؛ و یا این که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غایت است، تحقّق ندارد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الشیخ الطوسی،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محمّد بن حسن الحرّ العاملی، 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کتاب العاریة،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الطوسی، 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ابن الغضائری، رجال ابن الغضائری،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ابن داود الحلّی، رجال ابن داود،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تفصیل الشریعة فی شرح تحریر الوسیلة،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کتاب الغصب،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محمّدکاظم الطباطبایی الیزدی، حاشیة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الشهید الاوّل، الدروس الشرعیّة،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الغصب،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علی‌پناه الاشتهاردی، تقریرات ثلاثة،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کتاب الغصب،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الفاضل اللنکرانی، تفصیل الشریعة فی شرح تحریر الوسیلة،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کتاب الغصب،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تذکرة الفقهاء،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اعلام العصر،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36.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59087</Words>
  <Characters>226240</Characters>
  <CharactersWithSpaces>283876</CharactersWithSpaces>
  <Paragraphs>1446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2026-08-16T09:28:05Z</dcterms:created>
  <dc:creator>ghaemiyeh.com</dc:creator>
  <dc:description/>
  <dc:language>en-US</dc:language>
  <cp:lastModifiedBy/>
  <dcterms:modified xsi:type="dcterms:W3CDTF">2026-08-16T12:58:12Z</dcterms:modified>
  <cp:revision>1</cp:revision>
  <dc:subject/>
  <dc:title>قاعده ضمان ید</dc:title>
</cp:coreProperties>
</file>

<file path=docProps/custom.xml><?xml version="1.0" encoding="utf-8"?>
<Properties xmlns="http://schemas.openxmlformats.org/officeDocument/2006/custom-properties" xmlns:vt="http://schemas.openxmlformats.org/officeDocument/2006/docPropsVTypes"/>
</file>