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علائم الظهور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70706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570708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570710_211673320">
            <w:r>
              <w:rPr>
                <w:webHidden/>
                <w:rStyle w:val="IndexLink"/>
                <w:rtl w:val="true"/>
              </w:rPr>
              <w:t>مقدمة المركز</w:t>
            </w:r>
            <w:r>
              <w:rPr>
                <w:rStyle w:val="IndexLink"/>
                <w:rtl w:val="true"/>
              </w:rPr>
              <w:t>:</w:t>
              <w:tab/>
            </w:r>
            <w:r>
              <w:rPr>
                <w:rStyle w:val="IndexLink"/>
              </w:rPr>
              <w:t>8</w:t>
            </w:r>
          </w:hyperlink>
        </w:p>
        <w:p>
          <w:pPr>
            <w:pStyle w:val="Contents2"/>
            <w:tabs>
              <w:tab w:val="clear" w:pos="8743"/>
              <w:tab w:val="right" w:pos="9026" w:leader="dot"/>
            </w:tabs>
            <w:rPr/>
          </w:pPr>
          <w:hyperlink w:anchor="__RefHeading___Toc6570712_211673320">
            <w:r>
              <w:rPr>
                <w:webHidden/>
                <w:rStyle w:val="IndexLink"/>
                <w:rtl w:val="true"/>
              </w:rPr>
              <w:t>المدخل</w:t>
            </w:r>
            <w:r>
              <w:rPr>
                <w:rStyle w:val="IndexLink"/>
                <w:rtl w:val="true"/>
              </w:rPr>
              <w:t>:</w:t>
              <w:tab/>
            </w:r>
            <w:r>
              <w:rPr>
                <w:rStyle w:val="IndexLink"/>
              </w:rPr>
              <w:t>12</w:t>
            </w:r>
          </w:hyperlink>
        </w:p>
        <w:p>
          <w:pPr>
            <w:pStyle w:val="Contents2"/>
            <w:tabs>
              <w:tab w:val="clear" w:pos="8743"/>
              <w:tab w:val="right" w:pos="9026" w:leader="dot"/>
            </w:tabs>
            <w:rPr/>
          </w:pPr>
          <w:hyperlink w:anchor="__RefHeading___Toc6570714_211673320">
            <w:r>
              <w:rPr>
                <w:webHidden/>
                <w:rStyle w:val="IndexLink"/>
                <w:rtl w:val="true"/>
              </w:rPr>
              <w:t>لمحة إجمالية</w:t>
            </w:r>
            <w:r>
              <w:rPr>
                <w:rStyle w:val="IndexLink"/>
                <w:rtl w:val="true"/>
              </w:rPr>
              <w:t xml:space="preserve">: </w:t>
            </w:r>
            <w:r>
              <w:rPr>
                <w:rStyle w:val="IndexLink"/>
                <w:rtl w:val="true"/>
              </w:rPr>
              <w:t>في أدلة انقطاع النيابة الخاصّة في الغيبة الكبرى واستمرار الانقطاع حتّى الصيحة والسفياني</w:t>
            </w:r>
            <w:r>
              <w:rPr>
                <w:rStyle w:val="IndexLink"/>
                <w:rtl w:val="true"/>
              </w:rPr>
              <w:tab/>
            </w:r>
            <w:r>
              <w:rPr>
                <w:rStyle w:val="IndexLink"/>
              </w:rPr>
              <w:t>14</w:t>
            </w:r>
          </w:hyperlink>
        </w:p>
        <w:p>
          <w:pPr>
            <w:pStyle w:val="Contents3"/>
            <w:tabs>
              <w:tab w:val="clear" w:pos="8459"/>
              <w:tab w:val="right" w:pos="9026" w:leader="dot"/>
            </w:tabs>
            <w:rPr/>
          </w:pPr>
          <w:hyperlink w:anchor="__RefHeading___Toc6570716_2116733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570718_211673320">
            <w:r>
              <w:rPr>
                <w:webHidden/>
                <w:rStyle w:val="IndexLink"/>
                <w:rtl w:val="true"/>
              </w:rPr>
              <w:t>الدليل الأوّل</w:t>
            </w:r>
            <w:r>
              <w:rPr>
                <w:rStyle w:val="IndexLink"/>
                <w:rtl w:val="true"/>
              </w:rPr>
              <w:t>:</w:t>
              <w:tab/>
            </w:r>
            <w:r>
              <w:rPr>
                <w:rStyle w:val="IndexLink"/>
              </w:rPr>
              <w:t>15</w:t>
            </w:r>
          </w:hyperlink>
        </w:p>
        <w:p>
          <w:pPr>
            <w:pStyle w:val="Contents3"/>
            <w:tabs>
              <w:tab w:val="clear" w:pos="8459"/>
              <w:tab w:val="right" w:pos="9026" w:leader="dot"/>
            </w:tabs>
            <w:rPr/>
          </w:pPr>
          <w:hyperlink w:anchor="__RefHeading___Toc6570720_211673320">
            <w:r>
              <w:rPr>
                <w:webHidden/>
                <w:rStyle w:val="IndexLink"/>
                <w:rtl w:val="true"/>
              </w:rPr>
              <w:t>الدليل الثاني</w:t>
            </w:r>
            <w:r>
              <w:rPr>
                <w:rStyle w:val="IndexLink"/>
                <w:rtl w:val="true"/>
              </w:rPr>
              <w:t>:</w:t>
              <w:tab/>
            </w:r>
            <w:r>
              <w:rPr>
                <w:rStyle w:val="IndexLink"/>
              </w:rPr>
              <w:t>19</w:t>
            </w:r>
          </w:hyperlink>
        </w:p>
        <w:p>
          <w:pPr>
            <w:pStyle w:val="Contents3"/>
            <w:tabs>
              <w:tab w:val="clear" w:pos="8459"/>
              <w:tab w:val="right" w:pos="9026" w:leader="dot"/>
            </w:tabs>
            <w:rPr/>
          </w:pPr>
          <w:hyperlink w:anchor="__RefHeading___Toc6570722_211673320">
            <w:r>
              <w:rPr>
                <w:webHidden/>
                <w:rStyle w:val="IndexLink"/>
                <w:rtl w:val="true"/>
              </w:rPr>
              <w:t>الدليل الثالث</w:t>
            </w:r>
            <w:r>
              <w:rPr>
                <w:rStyle w:val="IndexLink"/>
                <w:rtl w:val="true"/>
              </w:rPr>
              <w:t>:</w:t>
              <w:tab/>
            </w:r>
            <w:r>
              <w:rPr>
                <w:rStyle w:val="IndexLink"/>
              </w:rPr>
              <w:t>22</w:t>
            </w:r>
          </w:hyperlink>
        </w:p>
        <w:p>
          <w:pPr>
            <w:pStyle w:val="Contents3"/>
            <w:tabs>
              <w:tab w:val="clear" w:pos="8459"/>
              <w:tab w:val="right" w:pos="9026" w:leader="dot"/>
            </w:tabs>
            <w:rPr/>
          </w:pPr>
          <w:hyperlink w:anchor="__RefHeading___Toc6570724_211673320">
            <w:r>
              <w:rPr>
                <w:webHidden/>
                <w:rStyle w:val="IndexLink"/>
                <w:rtl w:val="true"/>
              </w:rPr>
              <w:t>الدليل الرابع</w:t>
            </w:r>
            <w:r>
              <w:rPr>
                <w:rStyle w:val="IndexLink"/>
                <w:rtl w:val="true"/>
              </w:rPr>
              <w:t>:</w:t>
              <w:tab/>
            </w:r>
            <w:r>
              <w:rPr>
                <w:rStyle w:val="IndexLink"/>
              </w:rPr>
              <w:t>24</w:t>
            </w:r>
          </w:hyperlink>
        </w:p>
        <w:p>
          <w:pPr>
            <w:pStyle w:val="Contents2"/>
            <w:tabs>
              <w:tab w:val="clear" w:pos="8743"/>
              <w:tab w:val="right" w:pos="9026" w:leader="dot"/>
            </w:tabs>
            <w:rPr/>
          </w:pPr>
          <w:hyperlink w:anchor="__RefHeading___Toc6570726_211673320">
            <w:r>
              <w:rPr>
                <w:webHidden/>
                <w:rStyle w:val="IndexLink"/>
                <w:rtl w:val="true"/>
              </w:rPr>
              <w:t>الأوّل والثاني</w:t>
            </w:r>
            <w:r>
              <w:rPr>
                <w:rStyle w:val="IndexLink"/>
                <w:rtl w:val="true"/>
              </w:rPr>
              <w:t xml:space="preserve">: </w:t>
            </w:r>
            <w:r>
              <w:rPr>
                <w:rStyle w:val="IndexLink"/>
                <w:rtl w:val="true"/>
              </w:rPr>
              <w:t>اليماني والحسني</w:t>
            </w:r>
            <w:r>
              <w:rPr>
                <w:rStyle w:val="IndexLink"/>
                <w:rtl w:val="true"/>
              </w:rPr>
              <w:tab/>
            </w:r>
            <w:r>
              <w:rPr>
                <w:rStyle w:val="IndexLink"/>
              </w:rPr>
              <w:t>28</w:t>
            </w:r>
          </w:hyperlink>
        </w:p>
        <w:p>
          <w:pPr>
            <w:pStyle w:val="Contents2"/>
            <w:tabs>
              <w:tab w:val="clear" w:pos="8743"/>
              <w:tab w:val="right" w:pos="9026" w:leader="dot"/>
            </w:tabs>
            <w:rPr/>
          </w:pPr>
          <w:hyperlink w:anchor="__RefHeading___Toc6570728_211673320">
            <w:r>
              <w:rPr>
                <w:webHidden/>
                <w:rStyle w:val="IndexLink"/>
                <w:rtl w:val="true"/>
              </w:rPr>
              <w:t>الثالث والرابع والخامس</w:t>
            </w:r>
            <w:r>
              <w:rPr>
                <w:rStyle w:val="IndexLink"/>
                <w:rtl w:val="true"/>
              </w:rPr>
              <w:t xml:space="preserve">: </w:t>
            </w:r>
            <w:r>
              <w:rPr>
                <w:rStyle w:val="IndexLink"/>
                <w:rtl w:val="true"/>
              </w:rPr>
              <w:t>ذو النفس الزكيّة، وشعيب بن صالح وغيرهما</w:t>
            </w:r>
            <w:r>
              <w:rPr>
                <w:rStyle w:val="IndexLink"/>
                <w:rtl w:val="true"/>
              </w:rPr>
              <w:tab/>
            </w:r>
            <w:r>
              <w:rPr>
                <w:rStyle w:val="IndexLink"/>
              </w:rPr>
              <w:t>39</w:t>
            </w:r>
          </w:hyperlink>
        </w:p>
        <w:p>
          <w:pPr>
            <w:pStyle w:val="Contents2"/>
            <w:tabs>
              <w:tab w:val="clear" w:pos="8743"/>
              <w:tab w:val="right" w:pos="9026" w:leader="dot"/>
            </w:tabs>
            <w:rPr/>
          </w:pPr>
          <w:hyperlink w:anchor="__RefHeading___Toc6570730_211673320">
            <w:r>
              <w:rPr>
                <w:webHidden/>
                <w:rStyle w:val="IndexLink"/>
                <w:rtl w:val="true"/>
              </w:rPr>
              <w:t>التوصية الأولى</w:t>
            </w:r>
            <w:r>
              <w:rPr>
                <w:rStyle w:val="IndexLink"/>
                <w:rtl w:val="true"/>
              </w:rPr>
              <w:t>:</w:t>
              <w:tab/>
            </w:r>
            <w:r>
              <w:rPr>
                <w:rStyle w:val="IndexLink"/>
              </w:rPr>
              <w:t>50</w:t>
            </w:r>
          </w:hyperlink>
        </w:p>
        <w:p>
          <w:pPr>
            <w:pStyle w:val="Contents2"/>
            <w:tabs>
              <w:tab w:val="clear" w:pos="8743"/>
              <w:tab w:val="right" w:pos="9026" w:leader="dot"/>
            </w:tabs>
            <w:rPr/>
          </w:pPr>
          <w:hyperlink w:anchor="__RefHeading___Toc6570732_211673320">
            <w:r>
              <w:rPr>
                <w:webHidden/>
                <w:rStyle w:val="IndexLink"/>
                <w:rtl w:val="true"/>
              </w:rPr>
              <w:t>التوصية الثانية</w:t>
            </w:r>
            <w:r>
              <w:rPr>
                <w:rStyle w:val="IndexLink"/>
                <w:rtl w:val="true"/>
              </w:rPr>
              <w:t>:</w:t>
              <w:tab/>
            </w:r>
            <w:r>
              <w:rPr>
                <w:rStyle w:val="IndexLink"/>
              </w:rPr>
              <w:t>50</w:t>
            </w:r>
          </w:hyperlink>
        </w:p>
        <w:p>
          <w:pPr>
            <w:pStyle w:val="Contents2"/>
            <w:tabs>
              <w:tab w:val="clear" w:pos="8743"/>
              <w:tab w:val="right" w:pos="9026" w:leader="dot"/>
            </w:tabs>
            <w:rPr/>
          </w:pPr>
          <w:hyperlink w:anchor="__RefHeading___Toc6570734_211673320">
            <w:r>
              <w:rPr>
                <w:webHidden/>
                <w:rStyle w:val="IndexLink"/>
                <w:rtl w:val="true"/>
              </w:rPr>
              <w:t>التوصيّة الثالثة</w:t>
            </w:r>
            <w:r>
              <w:rPr>
                <w:rStyle w:val="IndexLink"/>
                <w:rtl w:val="true"/>
              </w:rPr>
              <w:t>:</w:t>
              <w:tab/>
            </w:r>
            <w:r>
              <w:rPr>
                <w:rStyle w:val="IndexLink"/>
              </w:rPr>
              <w:t>51</w:t>
            </w:r>
          </w:hyperlink>
        </w:p>
        <w:p>
          <w:pPr>
            <w:pStyle w:val="Contents2"/>
            <w:tabs>
              <w:tab w:val="clear" w:pos="8743"/>
              <w:tab w:val="right" w:pos="9026" w:leader="dot"/>
            </w:tabs>
            <w:rPr/>
          </w:pPr>
          <w:hyperlink w:anchor="__RefHeading___Toc6570736_211673320">
            <w:r>
              <w:rPr>
                <w:webHidden/>
                <w:rStyle w:val="IndexLink"/>
                <w:rtl w:val="true"/>
              </w:rPr>
              <w:t>التوصية الرابعة</w:t>
            </w:r>
            <w:r>
              <w:rPr>
                <w:rStyle w:val="IndexLink"/>
                <w:rtl w:val="true"/>
              </w:rPr>
              <w:t>:</w:t>
              <w:tab/>
            </w:r>
            <w:r>
              <w:rPr>
                <w:rStyle w:val="IndexLink"/>
              </w:rPr>
              <w:t>57</w:t>
            </w:r>
          </w:hyperlink>
        </w:p>
        <w:p>
          <w:pPr>
            <w:pStyle w:val="Contents2"/>
            <w:tabs>
              <w:tab w:val="clear" w:pos="8743"/>
              <w:tab w:val="right" w:pos="9026" w:leader="dot"/>
            </w:tabs>
            <w:rPr/>
          </w:pPr>
          <w:hyperlink w:anchor="__RefHeading___Toc6570738_211673320">
            <w:r>
              <w:rPr>
                <w:webHidden/>
                <w:rStyle w:val="IndexLink"/>
                <w:rtl w:val="true"/>
              </w:rPr>
              <w:t>التوصية الخامسة</w:t>
            </w:r>
            <w:r>
              <w:rPr>
                <w:rStyle w:val="IndexLink"/>
                <w:rtl w:val="true"/>
              </w:rPr>
              <w:t>:</w:t>
              <w:tab/>
            </w:r>
            <w:r>
              <w:rPr>
                <w:rStyle w:val="IndexLink"/>
              </w:rPr>
              <w:t>61</w:t>
            </w:r>
          </w:hyperlink>
        </w:p>
        <w:p>
          <w:pPr>
            <w:pStyle w:val="Contents2"/>
            <w:tabs>
              <w:tab w:val="clear" w:pos="8743"/>
              <w:tab w:val="right" w:pos="9026" w:leader="dot"/>
            </w:tabs>
            <w:rPr/>
          </w:pPr>
          <w:hyperlink w:anchor="__RefHeading___Toc6570740_211673320">
            <w:r>
              <w:rPr>
                <w:webHidden/>
                <w:rStyle w:val="IndexLink"/>
                <w:rtl w:val="true"/>
              </w:rPr>
              <w:t>التوصية السادسة</w:t>
            </w:r>
            <w:r>
              <w:rPr>
                <w:rStyle w:val="IndexLink"/>
                <w:rtl w:val="true"/>
              </w:rPr>
              <w:t>:</w:t>
              <w:tab/>
            </w:r>
            <w:r>
              <w:rPr>
                <w:rStyle w:val="IndexLink"/>
              </w:rPr>
              <w:t>63</w:t>
            </w:r>
          </w:hyperlink>
        </w:p>
        <w:p>
          <w:pPr>
            <w:pStyle w:val="Contents2"/>
            <w:tabs>
              <w:tab w:val="clear" w:pos="8743"/>
              <w:tab w:val="right" w:pos="9026" w:leader="dot"/>
            </w:tabs>
            <w:rPr/>
          </w:pPr>
          <w:hyperlink w:anchor="__RefHeading___Toc6570742_211673320">
            <w:r>
              <w:rPr>
                <w:webHidden/>
                <w:rStyle w:val="IndexLink"/>
                <w:rtl w:val="true"/>
              </w:rPr>
              <w:t>مصادر التحقيق</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7_6302"/>
      <w:bookmarkStart w:id="1" w:name="pg797_6302"/>
      <w:bookmarkEnd w:id="1"/>
    </w:p>
    <w:p>
      <w:pPr>
        <w:pStyle w:val="Heading2"/>
        <w:numPr>
          <w:ilvl w:val="1"/>
          <w:numId w:val="1"/>
        </w:numPr>
        <w:rPr/>
      </w:pPr>
      <w:bookmarkStart w:id="2" w:name="pg797_6302"/>
      <w:bookmarkStart w:id="3" w:name="__RefHeading___Toc6570706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فقه علائم الظهور</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سماحة الشیخ محمد السند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و تحقیق</w:t>
      </w:r>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70708_2116733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البراق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الدار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370950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www.montazar.net</w:t>
      </w:r>
    </w:p>
    <w:p>
      <w:pPr>
        <w:pStyle w:val="BookText"/>
        <w:rPr/>
      </w:pPr>
      <w:r>
        <w:rPr>
          <w:rFonts w:eastAsia="Times New Roman" w:cs="Times New Roman" w:ascii="Times New Roman" w:hAnsi="Times New Roman"/>
          <w:color w:val="111111"/>
          <w:sz w:val="28"/>
          <w:szCs w:val="28"/>
          <w:lang w:val="en-US" w:bidi="en-US"/>
        </w:rPr>
        <w:t>www.derasat@montazar.net</w:t>
      </w:r>
    </w:p>
    <w:p>
      <w:pPr>
        <w:pStyle w:val="BookText"/>
        <w:rPr/>
      </w:pPr>
      <w:r>
        <w:rPr>
          <w:rFonts w:ascii="IRNazanin" w:hAnsi="IRNazanin" w:eastAsia="IRNazanin"/>
          <w:color w:val="111111"/>
          <w:sz w:val="28"/>
          <w:sz w:val="28"/>
          <w:szCs w:val="28"/>
          <w:rtl w:val="true"/>
          <w:lang w:bidi="fa-IR"/>
        </w:rPr>
        <w:t>فقه علائم‌الظهور</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تقدیم و تحقیق</w:t>
      </w:r>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جمیع الحقوق محفوظة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pStyle w:val="BookText"/>
        <w:rPr/>
      </w:pPr>
      <w:r>
        <w:rPr>
          <w:rFonts w:ascii="Amiri" w:hAnsi="Amiri" w:eastAsia="Amiri" w:cs="Amiri"/>
          <w:color w:val="111111"/>
          <w:sz w:val="28"/>
          <w:sz w:val="28"/>
          <w:szCs w:val="28"/>
          <w:rtl w:val="true"/>
          <w:lang w:bidi="ar-SA"/>
        </w:rPr>
        <w:t>اللَّهُمَّ اجْعَلْنِی مِنْ أَنْصَارِهِ وَ أَعْوَانِهِ</w:t>
      </w:r>
    </w:p>
    <w:p>
      <w:pPr>
        <w:pStyle w:val="BookText"/>
        <w:rPr/>
      </w:pPr>
      <w:r>
        <w:rPr>
          <w:rFonts w:ascii="Amiri" w:hAnsi="Amiri" w:eastAsia="Amiri" w:cs="Amiri"/>
          <w:color w:val="111111"/>
          <w:sz w:val="28"/>
          <w:sz w:val="28"/>
          <w:szCs w:val="28"/>
          <w:rtl w:val="true"/>
          <w:lang w:bidi="ar-SA"/>
        </w:rPr>
        <w:t>وَ الذَّابِّینَ عَنْهُ وَ الْمُسَارِعِینَ إِلَیْهِ فِی قَضَاءِ حَوَائِجِهِ</w:t>
      </w:r>
    </w:p>
    <w:p>
      <w:pPr>
        <w:pStyle w:val="BookText"/>
        <w:rPr/>
      </w:pPr>
      <w:r>
        <w:rPr>
          <w:rFonts w:ascii="Amiri" w:hAnsi="Amiri" w:eastAsia="Amiri" w:cs="Amiri"/>
          <w:color w:val="111111"/>
          <w:sz w:val="28"/>
          <w:sz w:val="28"/>
          <w:szCs w:val="28"/>
          <w:rtl w:val="true"/>
          <w:lang w:bidi="ar-SA"/>
        </w:rPr>
        <w:t>وَ الْمُمْتَثِلِینَ لِأَوَامِرِهِ وَ الْمُحَامِینَ عَنْهُ وَ السَّابِقِینَ إِلَى إِرَادَتِهِ</w:t>
      </w:r>
    </w:p>
    <w:p>
      <w:pPr>
        <w:pStyle w:val="BookText"/>
        <w:rPr/>
      </w:pPr>
      <w:r>
        <w:rPr>
          <w:rFonts w:ascii="Amiri" w:hAnsi="Amiri" w:eastAsia="Amiri" w:cs="Amiri"/>
          <w:color w:val="111111"/>
          <w:sz w:val="28"/>
          <w:sz w:val="28"/>
          <w:szCs w:val="28"/>
          <w:rtl w:val="true"/>
          <w:lang w:bidi="ar-SA"/>
        </w:rPr>
        <w:t>وَ الْمُسْتَشْهَدِینَ بَیْنَ یَدَیْهِ اللَّهُمَّ إِنْ حَالَ بَیْنِی وَ بَیْنَهُ الْمَوْتُ الَّذِی</w:t>
      </w:r>
    </w:p>
    <w:p>
      <w:pPr>
        <w:pStyle w:val="BookText"/>
        <w:rPr/>
      </w:pPr>
      <w:r>
        <w:rPr>
          <w:rFonts w:ascii="Amiri" w:hAnsi="Amiri" w:eastAsia="Amiri" w:cs="Amiri"/>
          <w:color w:val="111111"/>
          <w:sz w:val="28"/>
          <w:sz w:val="28"/>
          <w:szCs w:val="28"/>
          <w:rtl w:val="true"/>
          <w:lang w:bidi="ar-SA"/>
        </w:rPr>
        <w:t>جَعَلْتَهُ عَلَى عِبَادِکَ حَتْما مَقْضِیّا ، فَأَخْرِجْنِی مِنْ قَبْرِی مُؤْتَزِرا</w:t>
      </w:r>
    </w:p>
    <w:p>
      <w:pPr>
        <w:pStyle w:val="BookText"/>
        <w:rPr/>
      </w:pPr>
      <w:r>
        <w:rPr>
          <w:rFonts w:ascii="Amiri" w:hAnsi="Amiri" w:eastAsia="Amiri" w:cs="Amiri"/>
          <w:color w:val="111111"/>
          <w:sz w:val="28"/>
          <w:sz w:val="28"/>
          <w:szCs w:val="28"/>
          <w:rtl w:val="true"/>
          <w:lang w:bidi="ar-SA"/>
        </w:rPr>
        <w:t>کَفَنِی شَاهِرا سَیْفِی مُجَرِّدا قَنَاتِی مُلَبِّیا دَعْوَهَ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الدَّاعِی فِی الْحَاضِرِ وَ الْبَادِی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7_6306"/>
      <w:bookmarkStart w:id="8" w:name="pg797_6306"/>
      <w:bookmarkEnd w:id="8"/>
    </w:p>
    <w:p>
      <w:pPr>
        <w:pStyle w:val="BookText"/>
        <w:rPr/>
      </w:pPr>
      <w:bookmarkStart w:id="9" w:name="pg797_6306"/>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6570710_211673320"/>
      <w:bookmarkStart w:id="11" w:name="_Toc3"/>
      <w:bookmarkEnd w:id="10"/>
      <w:r>
        <w:rPr>
          <w:rtl w:val="true"/>
        </w:rPr>
        <w:t>مقدمة المركز</w:t>
      </w:r>
      <w:r>
        <w:rPr>
          <w:rtl w:val="true"/>
        </w:rPr>
        <w:t>:</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الطاهرين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عن العقيدة المهدوية ومعطياتها وآثارها على المستوى الفردي والاجتماعي حديث يضم بين طياته الكثير من الابعاد المعرفية والعقدية والنفسية والروحية لدى الجنس البشري بجميع أطيافه، باعتباره يمثل عصارة طموح البشرية ومنتهى أمل الانسانية على هذه الأرض، إذ هو ليس سرداً تاريخياً لا يمت إلى الواقع الإنساني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بحاضره ومستقبله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بصلة، وليس هو مجرد ترف فكري لا علاقة له بوجدان الامة وتطلعاتها، ولا هو حديث عن الخيال العلمي في عالم المستقبل، فقد أثبتت المطالعات المعرفية والاحصاءات الميدانية العد التصاعدي لتجذر العقيدة المهدوية والايمان بها في ضمير الامة والوجدان الاممي لها بمقدار تزايد المحن والصعوبات التي </w:t>
      </w:r>
    </w:p>
    <w:p>
      <w:pPr>
        <w:pStyle w:val="BookText"/>
        <w:rPr/>
      </w:pPr>
      <w:r>
        <w:rPr>
          <w:rFonts w:ascii="Amiri" w:hAnsi="Amiri" w:eastAsia="Amiri" w:cs="Amiri"/>
          <w:color w:val="111111"/>
          <w:sz w:val="28"/>
          <w:sz w:val="28"/>
          <w:szCs w:val="28"/>
          <w:rtl w:val="true"/>
          <w:lang w:bidi="ar-SA"/>
        </w:rPr>
        <w:t xml:space="preserve">واجهتها وتواجهها البشرية في العصور الماضية وعصرنا الراهن، وهذا ما يعبر عنه في الأدبيات التراثية بمبشرات الظهور الأصغر حيث أصبحت الأمة أشدّ انجذاباً إلى ذلك التغيير العالمي وانقلبت من أمة قابلة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لم نقل رافضة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للتحول الذي سوف يحصل في المستقبل إلى أمة فاعلة، وهذا التحول بحد ذاته يمثل خطوة عظيمة انجزتها عقيدة الانتظار لبناء جسور الارتباط مع عصر النهضة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الجهود المتظافرة لابناء الامة بعلمائها ومثقفيها من خلال أقلامهم الشريفة ومنابرهم القيمة، وتجارها بانفاقهم وتبرعاتهم في هذا المجال والشريحة العامة من اتباع الطائفة الحقة بتفاعلها والتزامها فكراً وعملاً بهذه العقيدة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بالرغم من كل هذه الجهود والمساعي لبناء صرح العقيدة واستيعاب مفرداتها إلا أنه مازالت هناك جوانب لم تسلط عليها الاضواء بالشكل الكافي وبصورة مستقلة مع ارتباطها الصميمي بالعقيدة المهدوية، بل تعتبر من الاجزاء المقومة لمفهوم وعقيدة الانتظار ومن هذه البحوث التي سعى مركز الدراسات التخصصية في الإمام المهدي عليه السلام إلى تناولها بشكل مستقل وتسليط الأضواء </w:t>
      </w:r>
    </w:p>
    <w:p>
      <w:pPr>
        <w:pStyle w:val="BookText"/>
        <w:rPr/>
      </w:pPr>
      <w:r>
        <w:rPr>
          <w:rFonts w:ascii="Amiri" w:hAnsi="Amiri" w:eastAsia="Amiri" w:cs="Amiri"/>
          <w:color w:val="111111"/>
          <w:sz w:val="28"/>
          <w:sz w:val="28"/>
          <w:szCs w:val="28"/>
          <w:rtl w:val="true"/>
          <w:lang w:bidi="ar-SA"/>
        </w:rPr>
        <w:t xml:space="preserve">عليها هو البحث عن الشخصيات ذات الدور الفاعل في عصر الظهور والتي تلقي بظلالها على الحركة العالمية المظفرة بقائدها العالمي الحجة بن الحسن عجل الله فرجه سواء كانت هذه الآثار والتداعيات على المستوى الايجابي لحركة الإمام عليه السلام أو الجانب السلبي، وبعبارة أخرى سواء كانت هذه الشخصيات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وراءها الحركات التي تمثلها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داعمة ومؤيدة للإمام عليه السلام والسائرة في ركابه وتحت إمرته أو التي لها موقف آخر وفي الجانب الثاني لحركة الإمام، أي انها تعتبر من المعوقات للنهضة العالمية المنتظرة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ويمثل الجانب والمحور الأول شخصيات مثل اليماني والخراساني والحسني كما يتشخص الطرف الآخر بنماذج مثل الدجال والسفياني وآخرين، إذن لابد من التعمق في دراسة هذه الشخصيات ومشخصاتها ومعرفة هويتها بصورة أكثر تفصيلاً لما قلنا من أن لها الدور المهم في عصر الظهور أولاً مضافاً إلى سدّ المنافذ أمام من ينتحل أحد هذه الشخصيات طلباً لحطام الدنيا وركضاً وراء الاهواء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جاءت هذه الدراسة لسماحة العلامة الشيخ محمد السند دامت بركاته لبيان الرؤية العامة وإعطاء الضابطة الكلية لمثل هذه الشخصيات وتمييز المحق من المبطل الذي يتصيد بالماء العكر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خلال بحث أصيل يعتمد على الأسس العلمية والقواعد السندية في فقه الحديث ودرايته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يتقدم المركز بالشكر الجزيل للمجهود العلمي القيم الذي بذله سماحة المؤلف فان من دواعي سروره واعتزازه أن يقدم للقراء وللمكتبة العقائدية الاسلامية هذا الكتاب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شخصيات 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بمثابة الاساس العلمي والمقدمة الكلية المعتمدة لدى دراستنا لتلك الشخصيات في إطارها العام ليسهل بعد ذلك تناول كل مفردة بحدِّ ذاتها ودراستها بصورة منفصلة وبشكل مستقل مع الأخذ بنظر الاعتبار هذه المقدمة في كل من هذه الشخصيات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الله التوفيق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القبانجي </w:t>
      </w:r>
      <w:bookmarkStart w:id="12" w:name="pg797_6310"/>
    </w:p>
    <w:p>
      <w:pPr>
        <w:pStyle w:val="Heading2"/>
        <w:numPr>
          <w:ilvl w:val="1"/>
          <w:numId w:val="1"/>
        </w:numPr>
        <w:rPr/>
      </w:pPr>
      <w:bookmarkStart w:id="13" w:name="__RefHeading___Toc6570712_211673320"/>
      <w:bookmarkStart w:id="14" w:name="_Toc4"/>
      <w:bookmarkEnd w:id="12"/>
      <w:bookmarkEnd w:id="13"/>
      <w:r>
        <w:rPr>
          <w:rtl w:val="true"/>
        </w:rPr>
        <w:t>المدخل</w:t>
      </w:r>
      <w:r>
        <w:rPr>
          <w:rtl w:val="true"/>
        </w:rPr>
        <w:t>:</w:t>
      </w:r>
      <w:bookmarkEnd w:id="14"/>
    </w:p>
    <w:p>
      <w:pPr>
        <w:pStyle w:val="BookText"/>
        <w:rPr/>
      </w:pPr>
      <w:r>
        <w:rPr>
          <w:rFonts w:ascii="Amiri" w:hAnsi="Amiri" w:eastAsia="Amiri" w:cs="Amiri"/>
          <w:color w:val="111111"/>
          <w:sz w:val="28"/>
          <w:sz w:val="28"/>
          <w:szCs w:val="28"/>
          <w:rtl w:val="true"/>
          <w:lang w:bidi="ar-SA"/>
        </w:rPr>
        <w:t xml:space="preserve">تطرح في الآونة الأخيرة تساؤلات حول موقعيّة شخصيّات الظهور، حيث ينتحل أدعياء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بين الفينة والاُخرى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أسمائهم، فهل لتلك الشخصيات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نجوم سنة الظهور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صفة رسميّة من قِبل الإمام المنتظر عجل الله فرجه، كأن يكونوا نوّاباً خاصّين له وسفراء للناحية، أو غير ذلك من السمات التي لها طابع الحجّية والتمثيل القانوني، مع أنّه قد قامت الضرورة في روايات أهل البيت عليهم السلام على نفي النيابة الخاصّة والسفارة في الغيبة الكبرى للإمام المهدي عجل الله فرجه، وكذلك في تسالم وإجماع علماء الإماميّة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النجوم لمسرح سنة الظهور ممّا قد جاءت أسماؤهم في روايات علامات الظهور،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والخراساني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وشعيب الصالح، والنفس الزكيّة، وغيرهم، وذكرت لهم ملاحم ممهّدة في نفس سنة الظهور، فهل يستفاد منها أي صفة معتبرة نافذة، أم أنّ النعوت الواردة فيهم لا يستفاد منها أكثر من مديح عام من دون أن يصل إلى درجة الحجّية الرسميّة؟ وقبل الخوض في دلالة الروايات الواردة في شأنهم نتعرّض إلى</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97_6312"/>
      <w:bookmarkStart w:id="16" w:name="pg797_6312"/>
      <w:bookmarkEnd w:id="16"/>
    </w:p>
    <w:p>
      <w:pPr>
        <w:pStyle w:val="Heading2"/>
        <w:numPr>
          <w:ilvl w:val="1"/>
          <w:numId w:val="1"/>
        </w:numPr>
        <w:rPr/>
      </w:pPr>
      <w:bookmarkStart w:id="17" w:name="pg797_6312"/>
      <w:bookmarkStart w:id="18" w:name="__RefHeading___Toc6570714_211673320"/>
      <w:bookmarkStart w:id="19" w:name="_Toc5"/>
      <w:bookmarkEnd w:id="17"/>
      <w:bookmarkEnd w:id="18"/>
      <w:r>
        <w:rPr>
          <w:rtl w:val="true"/>
        </w:rPr>
        <w:t>لمحة إجمالية</w:t>
      </w:r>
      <w:r>
        <w:rPr>
          <w:rtl w:val="true"/>
        </w:rPr>
        <w:t xml:space="preserve">: </w:t>
      </w:r>
      <w:r>
        <w:rPr>
          <w:rtl w:val="true"/>
        </w:rPr>
        <w:t>في أدلة انقطاع النيابة الخاصّة في الغيبة الكبرى واستمرار الانقطاع حتّى الصيحة والسفياني</w:t>
      </w:r>
      <w:bookmarkEnd w:id="19"/>
    </w:p>
    <w:p>
      <w:pPr>
        <w:pStyle w:val="Heading3"/>
        <w:numPr>
          <w:ilvl w:val="2"/>
          <w:numId w:val="1"/>
        </w:numPr>
        <w:rPr/>
      </w:pPr>
      <w:bookmarkStart w:id="20" w:name="__RefHeading___Toc6570716_211673320"/>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وقد بسط علماء الإماميّة الحديث عن الانقطاع مطوّلاً في الكتب المؤلّفة في غيبته عجل الله فرجه من الجيل المعاصر للأئمّة السابقين عليهم السلام مروراً بالذين عاصروا غيبته الصغرى، والتقوا بالنوّاب الأربعة، كالكليني وعليّ بن بابويه وسعد بن عبد الله الأشعري والنوبختي وغيرهم إلى الجيل الأوّل من الغيبة الكبرى، كالصدوق وابن قولويه والنعماني ومحمّد بن الحسن الخزّاز وغيرهم، ثمّ المفيد والمرتضى والطوسي والكراجكي، وتتابع طبقات العلماء في كتبهم الكلاميّة والحديثيّة الروائيّة، وقد أودعوا في ذلك من طوائف الروايات المرويّة عن رسول الله صلى الله عليه وآله، وعن أمير المؤمنين عليه السلام إلى بقيّة الأئمّة المعصومين عليهم السلام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ونشير إلى جملة من تلك الأدلّة</w:t>
      </w:r>
      <w:r>
        <w:rPr>
          <w:rFonts w:eastAsia="Amiri" w:cs="Amiri" w:ascii="Amiri" w:hAnsi="Amiri"/>
          <w:color w:val="111111"/>
          <w:sz w:val="28"/>
          <w:szCs w:val="28"/>
          <w:rtl w:val="true"/>
          <w:lang w:bidi="ar-SA"/>
        </w:rPr>
        <w:t xml:space="preserve">: </w:t>
      </w:r>
      <w:bookmarkStart w:id="22" w:name="pg797_6313"/>
    </w:p>
    <w:p>
      <w:pPr>
        <w:pStyle w:val="Heading3"/>
        <w:numPr>
          <w:ilvl w:val="2"/>
          <w:numId w:val="1"/>
        </w:numPr>
        <w:rPr/>
      </w:pPr>
      <w:bookmarkStart w:id="23" w:name="__RefHeading___Toc6570718_211673320"/>
      <w:bookmarkStart w:id="24" w:name="_Toc7"/>
      <w:bookmarkEnd w:id="22"/>
      <w:bookmarkEnd w:id="23"/>
      <w:r>
        <w:rPr>
          <w:rtl w:val="true"/>
        </w:rPr>
        <w:t>الدليل الأوّل</w:t>
      </w:r>
      <w:r>
        <w:rPr>
          <w:rtl w:val="true"/>
        </w:rPr>
        <w:t>:</w:t>
      </w:r>
      <w:bookmarkEnd w:id="2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التوقيع المبارك الصادر من الناحية المقدّسة منه عجل الله فرجه على يد النائب الرابع عليّ بن محمّد السمري قبل وفاة النائب بستّة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بن محمّد السمري،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 إخوانك فيك، فإنّك ميّت ما بينك وبين ستّة أيّام، فاجمع أمرك، ولا توص إلى أحد يقوم مقامك بعد وفاتك، فقد وقعت الغيبة التامّة، فلا ظهور إلاّ بعد إذن الله تعالى ذكره، وذلك بعد طول الأمد، وقسوة القلوب، وامتلاء الأرض جوراً، وسيأتي من 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وقضى، فهذا آخر كلام سمع منه رضي الله عنه وأرضاه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روى التوقيع كلّ من الصدوق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والطوسي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والنعماني في كتابه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والطبرسي في 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والراوندي في الخرائج والجرائح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الصدوق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الشيخ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جماعة مشايخه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جعفر محمّد بن عليّ بن الحسين 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أحمد المكتب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الصدوق في إكمال الدين عن أبي محمّد الحسن بن أحمد المكتب، وهو من مشايخ الصدوق، وقد ترحّم عليه في كتابه إكمال الدين، هذا وقد ذكر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عند تعرّضه لترجمة وبيان حال النوّاب والنائب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السمري</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خمس روايات لانقطاع السفارة بخمسة طرق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محمّد بن أحمد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تلميذ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ومعاصر للنائب الرابع، وذكر حضور الشيعة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 النائب الرابع، وأنّه لم يوص إلى أحد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صحيح أعلائي، بل هو قطعي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التوقيع الشريف على الانقطاع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فاجمع أمرك، ولا توص إلى أحد يقوم مقامك بعد وفاتك، فقد وقعت الغيبة التامّة، فلا ظهور إلاّ بعد إذن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 عن الوصيّة إلى أحد بعده، فلا يقوم أحد مقام النائب الرابع، وكذلك قوله عجل الله فرجه، فقد وقعت الغيبة التامّة دلالة على أنّ فترة النوّاب الأربعة لم تكن غيبة تامّة، وإنّما هي صغرى لا تامّة كبرى، حيث إنّ النوّاب الأربعة كانوا حلقة وصل بينه وبين شيعته، ممّا يدلّ على أنّ معنى الغيبة التامّة، وهي الكبرى التي وقعت بعد الصغرى، هي أن ينقطع فيها مقام النيابة الخاصّة، وأنها ممتدّة، فلا ظهور حتّى الصيحة وخروج السفياني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من شيعتي مَن يدّعي المشاهدة، ألا فمن ادّعى المشاهدة قبل خروج السفياني والصيحة فهو كذّاب مفتر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من ادّعاء المشاهدة هو السفارة والنيابة بقرينة السياق والصدور على يد النائب الرابع، </w:t>
      </w:r>
    </w:p>
    <w:p>
      <w:pPr>
        <w:pStyle w:val="BookText"/>
        <w:rPr/>
      </w:pPr>
      <w:r>
        <w:rPr>
          <w:rFonts w:ascii="Amiri" w:hAnsi="Amiri" w:eastAsia="Amiri" w:cs="Amiri"/>
          <w:color w:val="111111"/>
          <w:sz w:val="28"/>
          <w:sz w:val="28"/>
          <w:szCs w:val="28"/>
          <w:rtl w:val="true"/>
          <w:lang w:bidi="ar-SA"/>
        </w:rPr>
        <w:t>حيث أمره بعدم الوصيّة لأحد أن يقوم مقامه في النيابة، ولا سيّما وأنّ ادّعاء ذلك هو وسيلة لأجل ادّعاء الوساطة بين الإمام عجل الله فرجه والناس، والتحايل على الآخرين بإمكانه القيام بحلقة وصل بين الإمام وبينهم، وهو معنى السفارة والنيابة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صريح هذا التوقيع الشريف الذي تطابقت عليه الطائفة أنّ انقطاع النيابة الخاصة والسفارة يمتدّ إلى الصيحة من السماء بصوت جبرئيل التي هي من علامات الظهور الحتميّة الواقعة في نفس سنة الظهور،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في عليّ وشيعته، ثمّ ينادي إبليس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وشيعته، فعند ذلك يرتاب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الروايات عنهم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 أنّ النداء هو في شهر رمضان، وفي بعض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رجب، والظاهر أنّها نداءآت متعدّدة بمضامين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دلالة هذا التوقيع الشريف هو نفي النيابة الخاصّة والسفارة إلى حدّ سماع الصيحة من السماء في سنة الظهور، وأي مدّعٍ للنيابة والاتّصال والارتباط مع الحجّة عجل الله فرجه قبل الصيحة فهو كذّاب ومفتر أيّاً كان هذا المدّعي، ولو تقمّص بأي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52/290</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25" w:name="pg797_6317"/>
    </w:p>
    <w:p>
      <w:pPr>
        <w:pStyle w:val="BookText"/>
        <w:rPr/>
      </w:pPr>
      <w:bookmarkEnd w:id="25"/>
      <w:r>
        <w:rPr>
          <w:rFonts w:ascii="Amiri" w:hAnsi="Amiri" w:eastAsia="Amiri" w:cs="Amiri"/>
          <w:color w:val="111111"/>
          <w:sz w:val="28"/>
          <w:sz w:val="28"/>
          <w:szCs w:val="28"/>
          <w:rtl w:val="true"/>
          <w:lang w:bidi="ar-SA"/>
        </w:rPr>
        <w:t>اسم وعنوان، سواء ادّعى أنّه سيظهر من اليمن أو من خراسان أو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وقّت الحدّ والأمد مضافاً إلى الصيحة إلى خروج السفياني، والمراد من خروجه ليس مجرّد وجوده، بل قيام السفياني بتأسيس دولته في الشام، وخوضه في الحروب لتوسعة دولته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570720_211673320"/>
      <w:bookmarkStart w:id="27" w:name="_Toc8"/>
      <w:bookmarkEnd w:id="26"/>
      <w:r>
        <w:rPr>
          <w:rtl w:val="true"/>
        </w:rPr>
        <w:t>الدليل الثاني</w:t>
      </w:r>
      <w:r>
        <w:rPr>
          <w:rtl w:val="true"/>
        </w:rPr>
        <w:t>:</w:t>
      </w:r>
      <w:bookmarkEnd w:id="27"/>
    </w:p>
    <w:p>
      <w:pPr>
        <w:pStyle w:val="BookText"/>
        <w:rPr/>
      </w:pPr>
      <w:r>
        <w:rPr>
          <w:rFonts w:ascii="Amiri" w:hAnsi="Amiri" w:eastAsia="Amiri" w:cs="Amiri"/>
          <w:color w:val="111111"/>
          <w:sz w:val="28"/>
          <w:sz w:val="28"/>
          <w:szCs w:val="28"/>
          <w:rtl w:val="true"/>
          <w:lang w:bidi="ar-SA"/>
        </w:rPr>
        <w:t>الروايات المتواترة التي رواها الصدوق في إكمال الدين، والطوسي في الغيبة، والنعماني في الغيبة، والكليني في الكافي، والتي مفادها وقوع غيبتين للإمام عجل الله فرجه، وهذه الروايات قد رويت عن الرسول صلى الله عليه وآله، وعن أمير المؤمنين عليه السلام ، وعن بقيّة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الشيخ الطوسي بسنده عن أبي عبد الله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أما أنّ لصاحب هذا الأمر فيه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قصيرة، والاُخرى طويلة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النعماني في الغيبة بسنده عن أبي عبد الله الصادق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تطول حتّى يقول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فلا يبقى على أمره من أصحابه إلاّ نفر يسير، لا يطلع على موضعه أحد من وليّ ولا غيره، إلاّ المولى الذي يلي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دلالة هذه الطائفة على انقطاع السفارة هو ما ذكره النعماني،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الأحاديث التي يذكر فيها أنّ للقائم عليه السلام غيبتين أحاديث قد صحّت عندنا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وأوضح الله قول الأئمّة عليهم السلام، وأظهر برهان صدقهم فيها، فأمّا الغيبة الاُولى فهي الغيبة التي كانت السفراء فيها بين الإمام عليه السلام وبين الخلق قياماً منصوبين ظاهرين موجودي الأشخاص والأعيان، يخرج على أيديهم غوامض العلم، وعويص الحكم والأجوبة عن كلّ ما كان يسأل عنه من المعضلات والمشكلات، وهي الغيبة القصيرة التي انقضت أيّامها، وتصرّمت مدّتها، والغيبة الثانية هي التي ارتفع فيها أشخاص السفراء والوسائط للأمر الذي يريده الله تعالى، والتدبير الذي يمضيه في الخلق، ولوقوع التمحيص والامتحان والبليّة والغربلة والتصفية على مَن يدّعي هذا الأمر،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وَما كانَ اللَّهُ لِيُطْلِعَكُمْ عَلَى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زمان ذلك قد حضر، جعلنا الله فيه من الثابتين على الحقّ، وممّن لا يخرج في غربال الفتنة، فهذا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في الأخيرة نسأل الله أن يقرّب فرج أوليائه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تثنية الغيبة على اختلاف الغيبتين القصيرة عن الطويلة بيّنة واضحة، وإلاّ لكانت معاً غيبة واحدة لا غيبتان، واختلاف الغيبتين ليس إلاّ بوجود السفراء والنوّاب الأربعة في الاُولى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ما في صحيح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وأبي على أبي عبد الله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صرتم في حال لا ترون فيها إمام هدى ولا علماً يرى، فلا ينجو من تلك الحيرة إلاّ من دعا بدعاء الغريق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البلاء، فكيف نصنع جعلت فداك حينئذٍ؟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ولن تدركه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فتمسّكوا بما في أيديكم حتّى يتّضح لكم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النعماني في ذيل الفصل الذي أورد الحديث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قوله في الحديث الرابع من هذا الفصل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حديث عبد الله بن سنان </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صرتم في حال لا ترون فيها إمام هدى ولا علماً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ما جرى، وشهادة بما حدث من أمر السفراء الذين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8" w:name="pg797_6320"/>
    </w:p>
    <w:p>
      <w:pPr>
        <w:pStyle w:val="BookText"/>
        <w:rPr/>
      </w:pPr>
      <w:bookmarkEnd w:id="28"/>
      <w:r>
        <w:rPr>
          <w:rFonts w:ascii="Amiri" w:hAnsi="Amiri" w:eastAsia="Amiri" w:cs="Amiri"/>
          <w:color w:val="111111"/>
          <w:sz w:val="28"/>
          <w:sz w:val="28"/>
          <w:szCs w:val="28"/>
          <w:rtl w:val="true"/>
          <w:lang w:bidi="ar-SA"/>
        </w:rPr>
        <w:t>كانوا بين الإمام عليه السلام وبين الشيعة من ارتفاع أعيانهم، وانقطاع نظامهم؛ لأنّ السفير بين الإمام في حال غيبته وبين شيعته هو العلم، فلمّا تمّت المحنة على الخلق ارتفعت الأعلام، ولا ترى حتّى يظهر صاحب الحقّ عليه السلام ، ووقعت الحيرة التي ذكرت وآذننا بها أولياء الله، وصحّ أمر الغيبة الثانية التي يأتي شرحها وتأويلها فيما يأتي من الأحاديث بعد هذا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6570722_211673320"/>
      <w:bookmarkStart w:id="30" w:name="_Toc9"/>
      <w:bookmarkEnd w:id="29"/>
      <w:r>
        <w:rPr>
          <w:rtl w:val="true"/>
        </w:rPr>
        <w:t>الدليل الثالث</w:t>
      </w:r>
      <w:r>
        <w:rPr>
          <w:rtl w:val="true"/>
        </w:rPr>
        <w:t>:</w:t>
      </w:r>
      <w:bookmarkEnd w:id="30"/>
    </w:p>
    <w:p>
      <w:pPr>
        <w:pStyle w:val="BookText"/>
        <w:rPr/>
      </w:pPr>
      <w:r>
        <w:rPr>
          <w:rFonts w:ascii="Amiri" w:hAnsi="Amiri" w:eastAsia="Amiri" w:cs="Amiri"/>
          <w:color w:val="111111"/>
          <w:sz w:val="28"/>
          <w:sz w:val="28"/>
          <w:szCs w:val="28"/>
          <w:rtl w:val="true"/>
          <w:lang w:bidi="ar-SA"/>
        </w:rPr>
        <w:t>الروايات المستفيضة الآمرة بالانتظار وبالصبر والمرابطة، وعدم الانزلاق مع كلّ منادٍ لشعار إقامة الحقّ والعدل، وكذلك بروايات التمحيص والامتحان، ومقتضاها انقطاع السفارة والاتّصال، كما سنبيّن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النعماني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يوماً وعنده مهزم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متى هذا الأمر الذي تنتظرونه، فقد طال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كذّب المتمنّون، وهلك المستعجلون، ونجا المسلِّمون، وإلينا يصيرون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أبي المرهف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هلكت المحاضير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المحاضير؟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المستعجلون، ونجا المقرّون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ومفادها ظاهراً وقوع المستعجلين لأمر ظهوره عليه السلام في الهلكة والضلال، وكذلك الذين يعيشون عالم التمنّي لتوقيت ظهوره ممّا يحدو بهم إلى العفويّة في الانسياق وراء كلّ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الحيرة والاضطراب ليست إلاّ للانقطاع وفقد الاتّصال، وهو مقتضى الصبر والانتظار والترقّب؛ لأنّه في مورد فقد الاتّصال وانقطاع الخبر وعدم وسيلة للارتباط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مفاد روايات التمحيص والامتحان بسبب شدّة المحنة في غيبته بفقد واسطة الارتباط، فتزداد الريبة بوجوده حتّى يرجع أكثر القائلين بإمامته عن هذا الاعتقاد، لا سيّما مع كثرة الفتن والمحن والبلاء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النعماني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 شيعتنا مثل أندر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فيه طعام فأصابه آكِل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السوس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فَنُقّي، ثمّ أصابه آكِل </w:t>
      </w:r>
      <w:r>
        <w:rPr>
          <w:rFonts w:eastAsia="Amiri" w:cs="Amiri" w:ascii="Amiri" w:hAnsi="Amiri"/>
          <w:color w:val="111111"/>
          <w:sz w:val="28"/>
          <w:szCs w:val="28"/>
          <w:rtl w:val="true"/>
          <w:lang w:bidi="ar-SA"/>
        </w:rPr>
        <w:t>_</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المتقدّم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1" w:name="pg797_6322"/>
    </w:p>
    <w:p>
      <w:pPr>
        <w:pStyle w:val="BookText"/>
        <w:rPr/>
      </w:pPr>
      <w:bookmarkEnd w:id="31"/>
      <w:r>
        <w:rPr>
          <w:rFonts w:ascii="Amiri" w:hAnsi="Amiri" w:eastAsia="Amiri" w:cs="Amiri"/>
          <w:color w:val="111111"/>
          <w:sz w:val="28"/>
          <w:sz w:val="28"/>
          <w:szCs w:val="28"/>
          <w:rtl w:val="true"/>
          <w:lang w:bidi="ar-SA"/>
        </w:rPr>
        <w:t xml:space="preserve">أي السوس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فَنُقِّي حتّى بقي منه ما لا يضرّه الآكِل، وكذلك شيعتنا يميزون ويمحّصون حتّى تبقى منهم عصابة لا تضرّها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الباقر عليه السلام وعنده جماعة، فبينا نحن نتحدّث وهو على بعض أصحابه مقبل؛ إذ التفت إلينا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شيء أنتم، هيهات هيهات، لا يكون الذي تمدّون إليه أعناقكم حتّى تمحّصوا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ولا يكون الذي تمدّون إليه أعناقكم حتّى تميّزوا، ولا يكون الذي تمدّون إليه أعناقكم حتّى تغربلوا، ولا يكون الذي تمدّون إليه أعناقكم إلاّ بعد إياس، ولا يكون الذي تمدّون إليه أعناقكم حتّى يشقى من شقى، ويسعد من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ويستفاد منها الحذر من الخفّة والانجرار وراء كلّ مدّعي وذلك بسبب قلّة الصبر والضعف عن الثبات في الفتن لقلّة البصيرة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570724_211673320"/>
      <w:bookmarkStart w:id="33" w:name="_Toc10"/>
      <w:bookmarkEnd w:id="32"/>
      <w:r>
        <w:rPr>
          <w:rtl w:val="true"/>
        </w:rPr>
        <w:t>الدليل الرابع</w:t>
      </w:r>
      <w:r>
        <w:rPr>
          <w:rtl w:val="true"/>
        </w:rPr>
        <w:t>:</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قيام الضرورة لدى الطائفة الإماميّة وتسالمهم على انقطاع النيابة الخاصّة والسفارة، فهو من ضرورة المذهب، حتّى إنّ علماء الطائفة حكموا بضلال المدّعين للسفارة ولعنهم والتبرّي منهم، والطرد لهم عن الطائفة، وهذا الموقف تبعاً لما صدر من التوقيعات من الناحية المقدّسة حول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سعد بن عبد الله الأشعري القمّي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كان معاصراً للإمام العسكري، وكان شيخ الطائفة وفقيهها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كتابه المقالات والفِرق بعد أنّ بيّن لزوم الاعتقاد بغيبة الإمام عجل الله فرجه، وانقطاع الارتباط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سبيل الإمامة، وهذا المنهج الواضح، والغرض الواجب اللازم الذي لم يزل عليه الإجماع من الشيعة الإماميّة المهتدية رحمة الله عليها، وعلى ذلك إجماعنا إلى يوم مضى الحسن بن عليّ 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هذه العبارة ذكر متكلّم الطائفة وفيلسوفها الحسن بن موسى النوبختي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الشيخ الطوسي في كتاب الغيبة عن الشيخ أبي القاسم بن محمّد بن قولويه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صاحب كتاب كامل الزيارات، وهو اُستاذ الشيخ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المفيد، وكان زعيم الطائفة في وقته معاصراً للصدوق في أوائل الغيبة الكبرى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عندنا أنّ كلّ من ادّعى الأمر بعد السمري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النائب الرابع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فهو كافر منمس، ضالّ مضلّ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الثاني والأربعين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روي في ميلاد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وبعد ما ذكر نوّابه الأربعة،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فالغيبة التامّة هي التي وقعت بعد مضيّ السمري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في الباب اللاحق توقيع الناحية بانقطاع السفارة والنيابة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أوّل كتابه أنّ الذي دعاه إلى تأليف الكتاب هو حيرة بعض الشيعة بسبب الغيبة، ووجدهم قد عدلوا عن طريق التسليم والتمسّك بالأخبار الواردة إلى الآراء والمقاييس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الشيخ النعماني صاحب كتاب الغيبة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معاصر للصدوق وتلميذ الكليني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عدّة مواضع منه بانقطاع السفارة في الغيبة الكبرى، وقد تقدّم نبذة من كلماته واستدلاله بالروايات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المفيد في كتاب الإرشاد في باب ذكر القائم 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قبل قيامه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أطول من الاُخرى، كما جاءت بذلك الأخبار، فأمّا القصرى منهما منذ وقت مولده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انقطاع السفارة بينه وبين شيعته وعدم السفراء بالوفاة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الطولى فهي بعد الاُولى وفي آخرها يقوم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التعبير صرّح به الطوسي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تظافرت كلمات علماء الإماميّة في كتبهم ممّا يجدها المتتبّع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علماء سنة الخلافة وجماعة السلطان قد اشتهر بينهم عن الإماميّة ذلك، وأخذوا يصيغون الإشكالات بإنعدام الإمام عجل الله فرجه مع انقطاعه عن شيعته في أكثر كتبهم الكلاميّة والمؤلّفة في الملل والمذاهب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الضرورة القائمة عند الطائفة الإماميّة توالت عليها أجيالها قرناً بعد قرن، ودأبت الطائفة في إقصاء وطرد جماعات الانحراف أدعياء السفارة كلّما ظهر لهم 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الأدلّة السابقة هو بطلان مدّعي النيابة الخاصّة وأدعياء السفارة، ومن يزعم أي صفة رسميّة خاصّة للتمثيل عن الإمام المنتظر عليه السلام إلى سماع النداء والصيحة من السماء، واستيلاء السفياني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34" w:name="pg797_6326"/>
    </w:p>
    <w:p>
      <w:pPr>
        <w:pStyle w:val="BookText"/>
        <w:rPr/>
      </w:pPr>
      <w:bookmarkEnd w:id="34"/>
      <w:r>
        <w:rPr>
          <w:rFonts w:ascii="Amiri" w:hAnsi="Amiri" w:eastAsia="Amiri" w:cs="Amiri"/>
          <w:color w:val="111111"/>
          <w:sz w:val="28"/>
          <w:sz w:val="28"/>
          <w:szCs w:val="28"/>
          <w:rtl w:val="true"/>
          <w:lang w:bidi="ar-SA"/>
        </w:rPr>
        <w:t>على الشام، فيقع الكلام حينئذٍ فيما يتوهّم أنّه ينافي إبطال السفارة في خصوص بعض الأسماء الواردة في الروايات لسنة الظهور</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6570726_211673320"/>
      <w:bookmarkStart w:id="36" w:name="_Toc11"/>
      <w:bookmarkEnd w:id="35"/>
      <w:r>
        <w:rPr>
          <w:rtl w:val="true"/>
        </w:rPr>
        <w:t>الأوّل والثاني</w:t>
      </w:r>
      <w:r>
        <w:rPr>
          <w:rtl w:val="true"/>
        </w:rPr>
        <w:t xml:space="preserve">: </w:t>
      </w:r>
      <w:r>
        <w:rPr>
          <w:rtl w:val="true"/>
        </w:rPr>
        <w:t>اليماني والحسني</w:t>
      </w:r>
      <w:bookmarkEnd w:id="3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 جملة من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النعماني بسنده عن أبي بصير عن أبي جعفر محمّد بن عليّ عليهما السلام أنّه قال في حديث يذكر عليه السلام فيه علامات الظهور الحتميّة، كالصيحة لجبرئيل في شهر رمضان، ثمّ صوت إبليس اللعين، وخروج السفياني والخراساني كفرسي رهان يستبقان إلى الكوفة،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فمن </w:t>
      </w:r>
    </w:p>
    <w:p>
      <w:pPr>
        <w:pStyle w:val="BookText"/>
        <w:rPr/>
      </w:pPr>
      <w:r>
        <w:rPr>
          <w:rFonts w:ascii="Amiri" w:hAnsi="Amiri" w:eastAsia="Amiri" w:cs="Amiri"/>
          <w:color w:val="111111"/>
          <w:sz w:val="28"/>
          <w:sz w:val="28"/>
          <w:szCs w:val="28"/>
          <w:rtl w:val="true"/>
          <w:lang w:bidi="ar-SA"/>
        </w:rPr>
        <w:t>فعل ذلك فهو من أهل النّار؛ لأنّه يدعو إلى الحقّ وإلى صراط مستقيم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الراوندي في الخرائج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جملة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تحدّد علامة اليماني بعلامة الظهور الحتميّة، وهي الصيحة السماوية، وقد ذكر في أوصاف تلك الصيحة، والتي هي نداء جبرئيل من السماء أنّه يسمعه أهل الأرض، كلّ أهل لغة بلغتهم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واستيلاء السفياني على الشام، وهكذا التحديد للخراساني الذي قد يعبّر عنه في روايات اُخرى بالحسني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التحديد يقطع الطريق على أدعياء هذين الاسمين قبل الصيحة والنداء من السماء، وقبل استيلاء السفياني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لهما هو بسنة الظهور وعلاماتها من الصيحة والخسف بالبيداء وخروج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تعليل الرواية لراية اليماني بأنّها راية هدى؛ لأنّه يدعو إلى صاحبكم، هو إبداء التحفّظ على راية الحسني، وعدم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3/1163</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خلوص دعوته إلى المهدي عجل الله فرجه، ويظهر من روايات اُخرى أنّ ذلك لتضمّن جيشه جماعة تقول إنّ الإمام والإمامة هي لمن يتصدّى علناً بقيادة اُمور المسلمين وإصلاحها لا أنّها بالنصّ الإلهي، وقد اصطلحت الروايات عليهم بالزيديّة، والمراد باللفظة المعنى النعتي والإشارة إلى ذلك المقال والمعتقد لا المسمّين بالزيديّة كاسم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الحسني والخراساني يتبنّى الإمامة بالتصدّي للاُمور والإصلاح العلني، بينما يتبنّى اليماني أنّ الإمامة بالنصّ الإلهي على الاثني عشر آخرهم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تعلّل حرمة الالتواء على اليماني بأنّه يدعو إلى الحق والصراط المستقيم وإلى المهدي عجل الله فرجه، فالمدار في مناصرته على توفّر الميزان والحدود الشرعيّة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تدلّ على حرمة العمل المضادّ لحركته لإفشالها، ففرق بين التعبير بالإلتواء عليه والالتواء عنه،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السعي المضاد لحركته لا صرف المتاركة لحركته بخلاف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تفيد الانصراف والابتعاد عن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الأمر بالنهوض إليه يفيد المناصرة، والظاهر أنّ مورده لمن كان في معرض اللقاء به والمصادفة لمسيره؛ إذ سيأتي استعراض طوائف من الروايات تحثّ على </w:t>
      </w:r>
    </w:p>
    <w:p>
      <w:pPr>
        <w:pStyle w:val="BookText"/>
        <w:rPr/>
      </w:pPr>
      <w:r>
        <w:rPr>
          <w:rFonts w:ascii="Amiri" w:hAnsi="Amiri" w:eastAsia="Amiri" w:cs="Amiri"/>
          <w:color w:val="111111"/>
          <w:sz w:val="28"/>
          <w:sz w:val="28"/>
          <w:szCs w:val="28"/>
          <w:rtl w:val="true"/>
          <w:lang w:bidi="ar-SA"/>
        </w:rPr>
        <w:t>النهوض والتوجّه إلى مكّة المكرّمة للانخراط في الإعداد لبيعة الحجّة في المسجد الحرام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كما تحدّد استعلام علامته بأنّه يدعو إلى المهدي عجل الله فرجه بنحو واضح وشفّاف، أي أنّ برنامجه الذي يدعو إليه متمحّض في إعلاء ذكر الإمام المنتظر والنداء باسمه والدعوة إلى ولاية المهدي عليه السلام ، والالتزام بمنهاج أهل البيت عليهم السلام، كما أنّ هناك علامة اُخرى تشير إليها الرواية، وهي كون خروجه من بلاد اليمن، وهو وجه تسميته باليماني، كما أنّ استعمال الروايات لليمن بنحو يشمل كلّ تهامة من بلاد الحجاز، أي بنحو شامل لمكّة دون المدينة المنوّرة، لكن في بعض الروايات الإشارة إلى خروجه من صنعاء،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ويتحصّل أنّ الرواية لا يستفاد منها أنّ اليماني من النوّاب الخاصّين والسفراء للإمام المنتظر عجل الله فرجه، ولا تشير إلى ذلك من قريب ولا بعيد، ولا دلالة لها على وجود ارتباط واتّصال له مع الحجّة عليه السلام ، وإنّما تجعل المدار على كون البرنامج الذي يدعو هو على الميزان الحقّ لأهل البيت عليهم السلام، وأنّه لا ينادي إلى تشكيل دولة هو يترأّسها، بل يواكب خروجه زمان الصيحة والنداء من السماء الذي يدعو إلى نصرة المهدي عجل الله فرجه، فيكون خروج اليماني على ضوء برنامج الصيحة السماويّة ونداء جبرئيل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ظاهر الرواية دالّ على كون خروج الخراساني من خراسان، وهو وجه تسميته تارة بالخراساني، واُخرى بالحسني، كما في هذه الرواية قبيل القطعة التي نقلناها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يخرج عليهم الخراساني والسفياني، هذا من المشرق وهذا من الغرب، يستبقان إلى الكوفة كفرسي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هنا وهذا من هنا حتّى يكون هلاك بني فلان على أيديهما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الغيبة بسنده عن جابر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الرايات السود التي تخرج من خراسان إلى الكوفة، فإذا ظهر المهدي بعث إليه بالبيعة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الصدوق في إكمال الدين بسنده عن محمّد بن مسلم، عن أبي جعفر عليه السلام في حديث عن القائم عجل الله فرجه، وأنّه منصور بالرعب، وعلامات ظهوره القريبة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السفياني من الشام واليماني من اليمن، وخسف بالبيداء، وقتل غلام من آل محمّد صلى الله عليه وآله بين الركن والمقام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خروج اليماني من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52/192</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روى النعماني بسنده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عليه السلام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يخرج ذلك ولم يخرج كاسر عينه بصنعاء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الطوسي في أماليه بإسناده عن هشام،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خرج طالب الحقّ 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أن يكون هذا اليماني؟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اليماني يتوالي عليّاً، وهذا يبرأ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ومفاد الرواية هو ما سبق من التزام اليماني ولاية أهل البيت عليهم السلام، ومنهاجهم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منها أنّ في زمنهم عليهم السلام حصلت حركات قام بها أدعياء بأسماء مسرح الظهور، كتقمّص اسم اليماني، كما حفل التاريخ الإسلامي بالمنتحلين للمهدويّة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في بحار الأنوار عن بعض مؤلّفات الإماميّة بسنده عن المفضّل بن عمر، عن أبي عبد الله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حديث الظهور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ثمّ يخرج الحسني الفتى الصبيح الذي نحو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بصوت له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أحمد، أجيبوا الملهوف والمنادي من حول الضريح، فتجيبه كنوز الله بالطالقان، كنوز وأي كنوز،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52/245</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52/275</w:t>
      </w:r>
      <w:r>
        <w:rPr>
          <w:rFonts w:eastAsia="Amiri" w:cs="Amiri" w:ascii="Amiri" w:hAnsi="Amiri"/>
          <w:color w:val="111111"/>
          <w:sz w:val="28"/>
          <w:szCs w:val="28"/>
          <w:rtl w:val="true"/>
          <w:lang w:bidi="ar-SA"/>
        </w:rPr>
        <w:t xml:space="preserve">.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من فضّة ولا ذهب، بل هي رجال كزبر الحديد، على البراذين الشهب، بأيديهم الحراب، ولم يزل يقتل الظلمة حَتّى يرد الكوفة وقد صفا أكثر الأرض، فيجعلها له معقلاً، فيتّصل به وبأصحابه خبر المهدي عليه السلام،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مَن هذا الذي قد نزل بساحتنا؟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إليه حتّى ننظر مَن هو؟ وما يريد؟ وهو والله يعلم أنّه المهدي، وأنّه ليعرفه، ولم يرد بذلك الأمر إلاّ ليعرّف أصحابه من هو، فيخرج الحسني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مهدي آل محمّد فأين هراوة جدّك رسول الله صلى الله عليه وآله، وخاتمه، وبردته، ودرعه الفاضل، وعمامته السحاب، وفرسه اليربوع، وناقته العضباء، وبغلته الدلدل، وحماره اليعفور، ونجيبه البراق، ومصحف أمير المؤمنين؟ فيخرج له ذلك، ثمّ يأخذ الهراوة فيغرسها في الحجر الصلد وتورق، ولم يرد ذلك إلاّ أن يرى أصحابه فضل المهدي عليه السلام حتّى يبايعوه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مدّ يدك يا بن رسول الله حتّى نبايعك فيمدّ يده فيبايعه ويبايعه سائر العسكر الذي مع الحسني إلاّ أربعين ألفاً أصحاب المصاحف المعروفون بالزيديّة،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سحر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فيختلط العسكر فيقبل المهدي عليه السلام على </w:t>
      </w:r>
    </w:p>
    <w:p>
      <w:pPr>
        <w:pStyle w:val="BookText"/>
        <w:rPr/>
      </w:pPr>
      <w:r>
        <w:rPr>
          <w:rFonts w:ascii="Amiri" w:hAnsi="Amiri" w:eastAsia="Amiri" w:cs="Amiri"/>
          <w:color w:val="111111"/>
          <w:sz w:val="28"/>
          <w:sz w:val="28"/>
          <w:szCs w:val="28"/>
          <w:rtl w:val="true"/>
          <w:lang w:bidi="ar-SA"/>
        </w:rPr>
        <w:t>الطائفة المنحرفة، فيعظهم ويدعوهم ثلاثة أيّام، فلا يزدادون إلاّ طغياناً وكفراً، فيأمر بقتلهم فيقتلون جميعاً، ثمّ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تأخذوا المصاحف ودعوها تكون عليهم حسرة كما بدّلوها وغيّروها وحرّفوها ولم يعملوا بما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هذه الرواية جملة من النقاط تعزّز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دعوة الحسني ليس متمحّضة في الدعوة إلى المهدي عجل الله فرجه، بل شعاره عامّ في رفع الظلم، ومن ثمّ يشاهد جملة من قاعدته وأتباعه من الزيديّة، والمراد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المعنى النعتي الوصفي لا العلمي، أي من يرى أنّ الإمامة هي بالتصدّي العلني لتدبير الاُمور السياسيّة الاجتماعيّة وتغييرها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كون الشعار والمنهاج المعلن للحسني ليس بتلك الدرجة من الاستقامة، إلاّ أنّ ذلك بسبب الأجواء والوسط الذي يقوم فيه، ومع ذلك فلا تغيب البصيرة بتمامها عن الحسني في الانقياد والاتّباع للإمام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تشير رواية النعماني في الغيبة، بإسناده عن أبي خالد الكابلي،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بقوم قد خرجوا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بالمشرق يطلبون الحقّ فلا يعطونه، ثمّ يطلبونه فلا يعطونه، فإذا رأوا ذلك وضعوا سيوفهم على عواتقهم فيعطون ما سألوا فلا يقبلونه حتّى يقوموا، ولا يدفعونها إلاّ إلى صاحبكم، قتلاهم شهداء، أما أنّي لو أدركت ذلك لأبقيت نفسي لصاحب هذا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فإرشاده إلى التحفّظ على النفس حتّى يظهر الحجّة عجل الله فرجه، وادّخار النفس لنصرته مؤشّر عامّ على اتّخاذ الحيطة في التيارات والرايات التي تظهر قبيل المهدي عجل الله فرجه في سنة ظهوره، وعدم خلوص تلك الجماعات عن شوب الاختلاط في الأوراق والبصيرة، كما أنّه دالّ على أرجحيّة ادّخار النفس والنصرة إلى خروج المهدي عجل الله فرجه من مكّة على الالتحاق براية اليماني، فضلاً عن غيرها من الرايات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للنعماني في الغيبة بإسناده عن جابر، عن أبي جعفر عليه السلام في حديث في الظهور، ومجيء جيش السفياني إلى الكوفة وقتله لأهل الكوفة وتنكيله 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فبينا هم كذلك إذ أقبلت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رايات من قِبل خراسان تطوي المنازل طيّاً حثيثاً، ومعهم نفر من أصحاب القائم، ثمّ يخرج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منها وجود بعض ذوي البصائر في جيش الخراساني في حين وجود جماعات اُخرى غير متوفّرة على بصيرة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أهمّ ما ورد في اليماني لا يرقى إلى إثبات نيابته الخاصّة عن الحجّة، وكونه سفيراً لناحيته المقدّسة، بل غاية الأمر كون دعوته هي إلى الحقّ، وهو منهاج أهل البيت عليهم السلام وولايتهم وولاية المهدي عجل الله فرجه، ولا يدعو إلى برنامج إصلاحي يترأّس هو فيه، ويعيّن فيه نفسه للقيادة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كون علامات خروجه هو في سنة ظهور الحجّة عليه السلام ، أي مواكباً للصيحة السماوية، واستيلاء السفياني على الشام، والخسف لجيش السفياني بالبيداء حوالي المدينة المنوّرة في الطريق باتّجاه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خروجه من اليمن باتّجاه الكوفة، وأنّ من كان في معرض لقياه ومسيره فلا يسعى لمعارضته وإضعافه بعد التحقّق من العلامات الآنفة، والتأكّد من توفّر العلامات فيه، ووضوح برنامج دعوته إلى ولاية أهل البيت عليهم السلام، والبراءة من أعدائهم، والولاية لإمامة المهدي عجل الله فرجه،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مناصرته والالتحاق به فهو وإن كان بلحاظ انطباق ميزان وضابطة الحقّ والصواب في دعوته من منهاج أهل البيت عليهم السلام وولايتهم وولاية الإمام المنتظر، إلاّ أنّه يظهر من روايات اُخرى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واحدة منها سبق الإشارة إليها، وسيأتي الباقي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الدعوة العامّة الشاملة اللازمة على جميع شيعة أهل البيت عليهم السلام هو النفر إلى مكّة المكرمة للانخراط في بيعة المهدي عجل الله فرجه وفي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اليماني فضلاً عمّا ورد في الحسني الخراساني الذي يخرج من خراسان، فإنّه قد مرّ ورود التعريض برايته من حيث شعارها وبرنامجها ووسط القاعدة الشعبيّة الذي يتشكّل منه جيشه، وإن انضمّ ذلك إلى مديح لبعض الفئات المشاركة في نهضته ولشخصه عندما يسلّم الأمر إلى المهدي عجل الله فرجه، وباعتبار مقاومته للظالمين، ولكن ليس فيها إعطاء أيّة صفة رسميّة للحسني لا كنائب خاصّ، ولا كسفير للناحية المقدّسة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تحديد الروايات لخروجه بنفس سنة الظهور وعلاماتها الحتميّة من الصيحة السماويّة، واستيلاء السفياني على بلاد الشام، وخسف فرقة من جيشه ببيداء المدينة المنوّرة</w:t>
      </w:r>
      <w:r>
        <w:rPr>
          <w:rFonts w:eastAsia="Amiri" w:cs="Amiri" w:ascii="Amiri" w:hAnsi="Amiri"/>
          <w:color w:val="111111"/>
          <w:sz w:val="28"/>
          <w:szCs w:val="28"/>
          <w:rtl w:val="true"/>
          <w:lang w:bidi="ar-SA"/>
        </w:rPr>
        <w:t xml:space="preserve">. </w:t>
      </w:r>
      <w:bookmarkStart w:id="37" w:name="pg797_6337"/>
    </w:p>
    <w:p>
      <w:pPr>
        <w:pStyle w:val="Heading2"/>
        <w:numPr>
          <w:ilvl w:val="1"/>
          <w:numId w:val="1"/>
        </w:numPr>
        <w:rPr/>
      </w:pPr>
      <w:bookmarkStart w:id="38" w:name="__RefHeading___Toc6570728_211673320"/>
      <w:bookmarkStart w:id="39" w:name="_Toc12"/>
      <w:bookmarkEnd w:id="37"/>
      <w:bookmarkEnd w:id="38"/>
      <w:r>
        <w:rPr>
          <w:rtl w:val="true"/>
        </w:rPr>
        <w:t>الثالث والرابع والخامس</w:t>
      </w:r>
      <w:r>
        <w:rPr>
          <w:rtl w:val="true"/>
        </w:rPr>
        <w:t xml:space="preserve">: </w:t>
      </w:r>
      <w:r>
        <w:rPr>
          <w:rtl w:val="true"/>
        </w:rPr>
        <w:t>ذو النفس الزكيّة، وشعيب بن صالح وغيرهما</w:t>
      </w:r>
      <w:bookmarkEnd w:id="39"/>
    </w:p>
    <w:p>
      <w:pPr>
        <w:pStyle w:val="BookText"/>
        <w:rPr/>
      </w:pPr>
      <w:r>
        <w:rPr>
          <w:rFonts w:ascii="Amiri" w:hAnsi="Amiri" w:eastAsia="Amiri" w:cs="Amiri"/>
          <w:color w:val="111111"/>
          <w:sz w:val="28"/>
          <w:sz w:val="28"/>
          <w:szCs w:val="28"/>
          <w:rtl w:val="true"/>
          <w:lang w:bidi="ar-SA"/>
        </w:rPr>
        <w:t>ورد التعبير به عن شخصيّتين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الأقلّ وروداً في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شخصيّة يقتل بظهر الكوفة،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يُقتل بين الركن والمقام، بل في بعض روايات الأدعية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عنهم إطلاق النفس الزكيّة على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الشيخ المفيد في الإرشاد في علامات الظهور ممّا قد جاءت به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نفس زكيّة بظهر الكوفة في سبعين من الصالحين، وذبح رجل هاشمي بين الركن والمقام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كلّ منهما، ولكنّ الثاني أكثر وروداً في الروايات، وفي جملة منها أنّ قتله بين الركن والمقام من العلامات الحتميّة، وانّ اسمه محمّد بن الحسن، وأنّه من ذرّيّة الحسين عليه السلام، وأنّه من خواص أصحاب المهدي عجل الله فرجه، لكنّ خروجه في مكّة مرتبط بفاصل أيّام وبينه وبين ظهور الحجّة عجل الله فرجه للبيعة عند الركن خمسة عشرة ليلة، ففي صحيح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98/371</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والخسف، وقتل النفس الزكيّة، واليماني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أحد من أهل بيتك قبل هذه العلامات أنخرج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من الغد تلوت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الصيحة؟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كانت خضعت أعناق أعداء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فيظهر من الصيحة أنّ قتل النفس الزكية، والمراد به الذي يقتل في الكعبة بين الركن والمقام، من العلامات الحتميّة للظهور، كما أنّ في الصيحة تحذيراً أكيداً، وتنبيهاً بالغاً على عدم الانخداع وراء أدعياء أسماء الظهور قبل تحقّق العلامات الحتميّة من الصيحة والسفياني والخسف لجيشه في صحراء المدينة المنوّرة، وإنّ من أهمّ علامات الظهور الصيحة والنداء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النعماني بإسناده عن أبي بصير،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خروج القائم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إنّا أهل البيت لا نوقّت، وقد قال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يا أبا محمّد، إنّ قدّام هذا الأمر خمس علامات، أوّلهنّ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النداء في شهر رمضان، وخروج السفياني، وخروج الخراساني، وقتل النفس الزكيّة، وخسف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في إكمال الدين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منصور بالرعب، مؤيّد بالنصر، تطوى له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متى يخرج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السفياني من الشام، واليماني من اليمن، وخسف بالبيداء، وقتل غلام من آل محمّد صلى الله عليه وآله بين الركن والمقام، اسمه محمّد بن الحسن النفس الزكيّة، وجاءت الصيحة من السماء بان الحقّ فيه وفي شيعته، فعند ذلك خروج قائمنا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أيضاً في إكمال الدين، بإسناده عن صالح مولى بني العذارء،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قيام آل محمّد وبين قتل النفس الزكيّة إلاّ خمس عشرة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الشيخ في الغيبة، والمفيد في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52/191</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الشيخ الطوسي في الغيبة بإسناده عن عمّار بن ياسر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دولة أهل بيت نبيّكم في آخر الزمان، ولها أمارات، فإذا رأيتم فالزموا الأرض، وكفّوا حتّى تجيئ أماراتها،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السفياني بعد استيلاءه على الشام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الكوفة، فيقتل أعوان آل محمّد صلى الله عليه وآله، ويقتل رجلاً من مسمّيهم، ثمّ يخرج المهدي على لوائه شعيب بن صالح، فإذا رأى أهل الشام قد اجتمع أمرها على ابن أبي سفيان التحقوا بمكّة، فعند ذلك يقتل النفس الزكيّة وأخوه بمكّة ضيعة، فينادي منادي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فلان، وذلك هو المهدي الذي يملأ الأرض قسطاً وعدلاً كما ملئت ظلماً وجوراً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هذه الرواية أنّ النفس الزكيّة يقتل مع أخيه، وأنّ شعيب بن صالح من رؤساء وقوّاد جيش المهدي، وعلامته ظهوره في جيشه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العيّاشي عن جابر، عن أبي جعفر عليه السلام في حديث الظهور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من مكّة هو ومن معه الثلاثمائة وبضعة عشر يبايعونه بين الركن والمقام، معه عهد نبيّ الله صلى الله عليه وآله ورايته وسلاحه ووزيره معه، فينادي المنادي بمكّة باسمه وأمره من السماء، حتّى يسمعه أهل الأرض كلّهم، اسمه اسم نبيّ، ما أشكل عليكم فلم يشكل عليكم عهد نبيّ الله صلى الله عليه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وآله ورايته وسلاحه، والنفس الزكيّة من ولد الحسين، فإن أشكل عليكم هذا فلا يشكل عليكم الصوت من السماء باسمه وأمره، وإيّاك وشذاذ من آل محمّد عليهم السلام، فإنّ لآل محمّد وعليّ راية، ولغيرهم رايات، فالزم الأرض ولا تتّبع منهم رجلاً أبداً، حتّى ترى رجلاً من ولد الحسين معه عهد نبيّ الله ورايته وسلاحه، فإن عهد نبيّ الله صار عند عليّ بن الحسين، ثمّ صار عند محمّد بن عليّ، ويفعل الله ما يشاء، فالزم هؤلاء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ومن ذكرت لك، فإذا خرج رجل منهم معه ثلاثمائة وبضعة عشر رجلاً، ومعه راية رسول الله صلى الله عليه وآله عامداً على المدينة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ومفاد الرواية أنّ قتل النفس الزكيّة في المسجد الحرام من العلامات البارزة الجليّة الظهور، كما تؤكّد الرواية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مرّ في غيرها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الحذر الشديد، واليقظة البالغة من الانجرار والانجراف وراء أدعياء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رايات الظهور، وشعارات الإصلاح، وقد جعل العلامات الفاصلة بين الملتبس المشتبه وبين الظهور الحقيقي هو الصيحة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عليّ بن عبد الحميد يرفعه إلى أبي بصير، عن أبي جعفر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القائم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أهل مكّة لا يريدونني، ولكنّي مرسل إليهم لأحتجّ عليهم بما ينبغي لمثلي أن يحتجّ عليهم، فيدعو رجلاً من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أهل مكّة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أنا رسول فلان 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الرحمة، ومعدن الرسالة والخلافة، ونحن ذرّيّة محمّد، وسلالة النبيّين، وإنّا قد ظلمنا واضطهدنا وقهرنا وابتزّ منّا حقّنا منذ قبض نبيّنا إلى يومنا هذا، فنحن نستنصركم فانصرونا، فإذا تكلّم هذا الفتى بهذا الكلام أتوا إليه فذبحوه بين الركن والمقام، وهي النفس الزكيّة، فإذا بلغ ذلك الإمام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أخبرتكم أنّ أهل مكّة لا يريدوننا فلا يدعونه حتّى يخرج فيهبط من عقبة طوى في ثلاثمائة وثلاثة عشر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ويظهر من هذه الرواية أنّ ذا النفس الزكيّة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له نيابة خاصّة من الحجّة عجل الله فرجه لإبلاغ رسالته إلى أهل مكّة، ولكنّ ذلك بعد الصيحة السماويّة، أي في الظهور الأوّل الأصغر الذي يبتدأ بعد الصيحة السماويّة في رجب، أو في شهر رمضان بحسب تعدّد لسان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الظهور الأكبر فهو يبتدأ عندما يسند ظهره الشريف إلى الركن من الكعبة لأخذ البيعة في ابتداء دولته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الطوسي في الغيبة عن حذلم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خروج المهدي، وعرّفني دلائله وعلاماته؟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قبل خروجه خروج رجل يقال له عوف السلمي بأرض الجزيرة، ويكون مأواه تكريت، وقتله بمسجد دمشق، ثمّ يكون خروج شعيب بن صالح من سمرقند، ثمّ يخرج السفياني الملعون من الوادي اليابس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هذه الرواية أنّ بدء طلوع اسم شعيب بن صالح هو من مدينة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عوف السلمي فيحتمل من الرواية أنّه من غير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الموالين لأهل البيت عليهم السلام، حيث يكون مأواه تكريت وساحة حركته في المدن غير الموالية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النعماني في الغيبة معتبرة البزنطي عن أبي الحسن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هذا الأمر السفياني واليماني والمرواني وشعيب بن صالح، فكيف يقول هذا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عليه السلام إلى مَن خرج في زمانه وادّعى أنّه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تعضد مفاد الرواية السابقة من أنّ شأن شعيب بن صالح الخروج بحركة قبل حركة المهدي عجل الله فرجه من مكّة المكرمة حيث يكون شعيب أحد قوّاد جيشه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مختصر بصائر الدرجات في حديث الظهور عن الحسين بن حمدان بإسناده عن المفضّل بن عمر، عن أبي عبد الله عليه السلام عند ذكره لخروج الحسني الفتى الصبيح من الديلم، وأنّه تجيبه كنوز الله بالطالقان، وهي الرجال كزبر الحديد،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أنظر إليهم على البراذين الشهب، بأيديهم الحراب، يتعاوون شوقاً إلى الحرب كما تتعاوى الذئاب، أميرهم رجل من بني تميم يقال له شعيب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الحسني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بتلك الرايات كلّها حتّى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يرد الكوفة، وقد جمع بها أكثر أهل الأرض يجعلها له معقلاً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ترسم أن حركة شعيب بن صالح من سمرقند ونهضته حينما تقبل إلى شمال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تلتحم بحركة الحسني ويكون شعيب بن صالح أميراً لجيش الحسني، ولا بدّ أنّ شعيب بن صالح لا يبقى طويلاً مع الحسني بعدما تقع الصيحة السماويّة ونحوها من العلامات الحتميّة، بل يلتحق بمكّة المكرّمة للالتحاق بجيش المهدي عجل الله فرجه جمعاً مع رواية عمّار بن ياسر المتقدّمة، وعلى أي تقدير، فالرواية هذه تفصح عن نسب شعيب بن صالح أنّه من بني تميم، ولعلّه من مواليد الديلم حيث يكون بدأ حركته منها، كما هو الحال في الحسني، لعلّه من مواليد سمرقند بعد كون بدأ حركته من الديلم، وهي شمال ايران هذا، ولعلّ شعيب بن صالح الذي يكون على لواء جيش المهدي يغاير الذي يخرج من سمرقند، ويكون أميراً لجيش الحسني، كما احتمل ذلك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روى عن ابن بابويه بإسناده عن الحسين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وعنده أُبي بن كعب، فقال لي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عبد الله، يا زين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المهدي من ولده وخروجه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وجبرئيل عن يمينه، وميكائيل عن يساره، وشعيب بن صالح على مقدّمته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قطب الدين الراوندي 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شعيب بن صالح فقد ذكر ابن بابويه في كتاب النبوّة بإسناده عن سهيل بن سعيد، ثمّ ذكر رواية أمر هشام بن عبد الملك لحفر بئر في الرصافة، وأنّه بدت لهم جمجمة رجل عليه ثياب بيض، وفي ثوبه مكتوب أنا شعيب بن صالح رسول رسول الله شعيب النبيّ عليه السلام ، إلى قومه، فضربوني وأضرّوا بي وطرحوني في هذا الجبّ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الراوندي قبل هذه الرواية أيضاً عن عبد الله بن يقطر رضيع الحسين عليه السلام شعراً في المهدي عجل الله فرجه أربعة 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بنو ليث بنصر ابن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يهزّون أطراف القنا والصفائح</w:t>
      </w:r>
    </w:p>
    <w:p>
      <w:pPr>
        <w:pStyle w:val="BookText"/>
        <w:rPr/>
      </w:pPr>
      <w:r>
        <w:rPr>
          <w:rFonts w:ascii="Amiri" w:hAnsi="Amiri" w:eastAsia="Amiri" w:cs="Amiri"/>
          <w:color w:val="111111"/>
          <w:sz w:val="28"/>
          <w:sz w:val="28"/>
          <w:szCs w:val="28"/>
          <w:rtl w:val="true"/>
          <w:lang w:bidi="ar-SA"/>
        </w:rPr>
        <w:t>تعرفتهم شعث النواصي يقودها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الأقصى شعيب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2/552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صحّت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فلا موجب لحمل اسم شعيب بن صالح الذي على مقدّمة جيش الإمام المنتظر عجل الله فرجه على إرادته، كما لا موجب لحمل اسمه على الذي يخرج من سمرقند، ويكون أميراً على جيش الحسني عند خروجه، فلعلّه شعيب بن صالح النبيّ عليه السلام المذكور في القرآن، حيث إنّه يخرج مع المهدي الخضر وإلياس، كما قد تشير إليه بعض الروايات، كما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عيسى بن مريم ويصلّي خلفه، وعلى أي تقدير، فالروايات الواردة في شعيب بن صالح ليس فيها إشارة إلى صفة تمثيل رسمي له عن الحجّة عليه السلام قبل خروج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خروجه هو في نفس سنة الظهور المشتملة على العلامات الحتميّة، وأمّا ذو النفس الزكية فهو وإن كان له تمثيل رسمي عن الحجّة عجل الله فرجه إلاّ أنّه بحسب الروايات في خصوص أيّام لا تعدو الخمسة عشر قل أخذ الإمام المهدي عليه السلام البيعة عند الركن في البيت في تلك المهمّة المذكورة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استعراض جملة من بعض الروايات المحذّرة والناهية عن الاغترار بأدعياء الظهور، والمدّعين لتقمّص الأسماء اللامعة لسنة الظهور، كاليماني والحسني وذي النفس الزكيّة، ونحوهم، بل وقد وقعت هذه الادّعاءات والانتحالات في زمن الأئمّة السابقين عليهم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40" w:name="pg797_6348"/>
    </w:p>
    <w:p>
      <w:pPr>
        <w:pStyle w:val="BookText"/>
        <w:rPr/>
      </w:pPr>
      <w:bookmarkEnd w:id="40"/>
      <w:r>
        <w:rPr>
          <w:rFonts w:ascii="Amiri" w:hAnsi="Amiri" w:eastAsia="Amiri" w:cs="Amiri"/>
          <w:color w:val="111111"/>
          <w:sz w:val="28"/>
          <w:sz w:val="28"/>
          <w:szCs w:val="28"/>
          <w:rtl w:val="true"/>
          <w:lang w:bidi="ar-SA"/>
        </w:rPr>
        <w:t xml:space="preserve">السلام، بادّعا اسم النفس الزكيّة، كما وقع من بعض الحركات الثوريّة التي قام بها بعض 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 الحسنيّين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كما وقع انتحال اسم اليماني أيضاً، كما تشير إليه رواية الطوسي عن هشام، عن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التي مرّ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الروايات توصي وتشدّد وتؤكّد على</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6570730_211673320"/>
      <w:bookmarkStart w:id="42" w:name="_Toc13"/>
      <w:bookmarkEnd w:id="41"/>
      <w:r>
        <w:rPr>
          <w:rtl w:val="true"/>
        </w:rPr>
        <w:t>التوصية الأولى</w:t>
      </w:r>
      <w:r>
        <w:rPr>
          <w:rtl w:val="true"/>
        </w:rPr>
        <w:t>:</w:t>
      </w:r>
      <w:bookmarkEnd w:id="42"/>
    </w:p>
    <w:p>
      <w:pPr>
        <w:pStyle w:val="BookText"/>
        <w:rPr/>
      </w:pPr>
      <w:r>
        <w:rPr>
          <w:rFonts w:ascii="Amiri" w:hAnsi="Amiri" w:eastAsia="Amiri" w:cs="Amiri"/>
          <w:color w:val="111111"/>
          <w:sz w:val="28"/>
          <w:sz w:val="28"/>
          <w:szCs w:val="28"/>
          <w:rtl w:val="true"/>
          <w:lang w:bidi="ar-SA"/>
        </w:rPr>
        <w:t>أنّ الحاسم للشبهة والقاطع للريب في صيحات أدعياء حركة الظهور هو الصيحة السماويّة والنداء من السماء باسم المهدي عجل الله فرجه، والأنباء بأنّه قد ظهر، وخروج السفياني واستيلاءه على الشام</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6570732_211673320"/>
      <w:bookmarkStart w:id="44" w:name="_Toc14"/>
      <w:bookmarkEnd w:id="43"/>
      <w:r>
        <w:rPr>
          <w:rtl w:val="true"/>
        </w:rPr>
        <w:t>التوصية الثانية</w:t>
      </w:r>
      <w:r>
        <w:rPr>
          <w:rtl w:val="true"/>
        </w:rPr>
        <w:t>:</w:t>
      </w:r>
      <w:bookmarkEnd w:id="44"/>
    </w:p>
    <w:p>
      <w:pPr>
        <w:pStyle w:val="BookText"/>
        <w:rPr/>
      </w:pPr>
      <w:r>
        <w:rPr>
          <w:rFonts w:ascii="Amiri" w:hAnsi="Amiri" w:eastAsia="Amiri" w:cs="Amiri"/>
          <w:color w:val="111111"/>
          <w:sz w:val="28"/>
          <w:sz w:val="28"/>
          <w:szCs w:val="28"/>
          <w:rtl w:val="true"/>
          <w:lang w:bidi="ar-SA"/>
        </w:rPr>
        <w:t>عدم ترشيح الروايات الواردة عنهم عليهم السلام في اليماني أو الحسني أو شعيب بن صالح؛ لكونهم يحملون صفة نيابة خاصّة أو تمثيل رسمي من قِبل الإمام عجل الله فرجه، عدا ذو النفس الزكيّة وتمثيله عن الحجّة عجل الله فرجه هو بعد الصيحة وخروج السفياني، وفي غضون خمس عشرة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توصيتان بالغتان في الأهمّية،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52/275</w:t>
      </w:r>
      <w:r>
        <w:rPr>
          <w:rFonts w:eastAsia="Amiri" w:cs="Amiri" w:ascii="Amiri" w:hAnsi="Amiri"/>
          <w:color w:val="111111"/>
          <w:sz w:val="28"/>
          <w:szCs w:val="28"/>
          <w:rtl w:val="true"/>
          <w:lang w:bidi="ar-SA"/>
        </w:rPr>
        <w:t xml:space="preserve">. </w:t>
      </w:r>
      <w:bookmarkStart w:id="45" w:name="pg797_6349"/>
    </w:p>
    <w:p>
      <w:pPr>
        <w:pStyle w:val="BookText"/>
        <w:rPr/>
      </w:pPr>
      <w:bookmarkEnd w:id="45"/>
      <w:r>
        <w:rPr>
          <w:rFonts w:ascii="Amiri" w:hAnsi="Amiri" w:eastAsia="Amiri" w:cs="Amiri"/>
          <w:color w:val="111111"/>
          <w:sz w:val="28"/>
          <w:sz w:val="28"/>
          <w:szCs w:val="28"/>
          <w:rtl w:val="true"/>
          <w:lang w:bidi="ar-SA"/>
        </w:rPr>
        <w:t>وهناك توصيات اُخر في مجال الظهور تشير إليها الروايات الواردة عنهم عليهم السلام</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6570734_211673320"/>
      <w:bookmarkStart w:id="47" w:name="_Toc15"/>
      <w:bookmarkEnd w:id="46"/>
      <w:r>
        <w:rPr>
          <w:rtl w:val="true"/>
        </w:rPr>
        <w:t>التوصيّة الثالثة</w:t>
      </w:r>
      <w:r>
        <w:rPr>
          <w:rtl w:val="true"/>
        </w:rPr>
        <w:t>:</w:t>
      </w:r>
      <w:bookmarkEnd w:id="47"/>
    </w:p>
    <w:p>
      <w:pPr>
        <w:pStyle w:val="BookText"/>
        <w:rPr/>
      </w:pPr>
      <w:r>
        <w:rPr>
          <w:rFonts w:ascii="Amiri" w:hAnsi="Amiri" w:eastAsia="Amiri" w:cs="Amiri"/>
          <w:color w:val="111111"/>
          <w:sz w:val="28"/>
          <w:sz w:val="28"/>
          <w:szCs w:val="28"/>
          <w:rtl w:val="true"/>
          <w:lang w:bidi="ar-SA"/>
        </w:rPr>
        <w:t>أنّ هناك سلسلة ومجموعات سوف تنتحل وتتقمّص اسم المهدويّة والأسماء المشاركة في حدث الظهور، وظاهر الروايات أنّ الانتحال تارة بنحو الاسم العلمي، واُخرى الاسم النعتي والوصفي،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الصدوق في إكمال الدين بسند معتبر عن المفضّل بن عمر الجعفي،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والتنويه، أما والله ليغيبنّ إمامكم سنيناً من دهركم، وليمحّص حتّى يقال مات أو هلك، بأيّ وادٍ سلك، ولتدمعنّ عليه عيون المؤمنين، ولتكفأنّ كما تكفأ السفن في أمواج البحر، فلا ينجو إلاّ من أخذ الله ميثاقه، وكتب في قلبه الإيمان، وأيدّه بروح منه، ولترفعنّ اثنتا عشرة راية مشتبهة، لا يدري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أبا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أبكي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اثنتا عشر راية مشتبهة لا يدري أيّ من أي، فكيف نصنع؟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كنية للمفضّل بن عمر الجعفي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شمس داخلة في الصُّفّة،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ترى هذه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لأمرنا أبين من هذه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الطوسي في الغيبة بسنده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والنعماني بطريقين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ومفاد الرواية ظاهر بيّن في نشوء حركات ترفع شعار الإصلاح، وتتقمّص مشروع المهدويّة اسماً أو وصفاً، ومن ثمّ يشتبه الحال والأمر فيها، إلاّ أنّه عليه السلام حدّد ضابطة في استعلام نهضتهم عليهم السلام، وهو ظهور المهدي عجل الله فرجه هو وضوحها وعدم حصول الالتباس فيها، وذلك لتقاربها مع العلامات الإلهيّة والآيات، كالصيحة السماويّة، والخسف بالبيداء لجيش السفياني بعدما يستولي السفياني على الشام، كما أنّ الرواية تنذر بوقوع الامتحان والتمحيص في أتباع أهل البيت عليهم السلام في عصر الغيبة، وأنّه لن يبقى على ولايتهم عليهم السلام إلاّ من كتب الله تعالى له الاستقامة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الطوسي في الغيبة في المعتبر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حتّى يخرج اثنى عشر من بني هاشم، كلّهم يدعو إلى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المفيد في الإرشاد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غرابة في نهوض حركات يقودها إصلاحيون منتسبون إلى بني هاشم، إلاّ أنّ واقع مسيرتهم هي للقبضة والسيطرة على الحكم، كما حصل من قبل من بني العبّاس، فإنّهم منتسبون إلى بني هاشم، وكان شعارهم هو الرضا من آل محمّد عليهم السلام، أي مقاومة الظلم الجاري على أهل البيت عليهم السلام وأتباعهم، إلاّ أنّهم لمّا سيطروا على الحكم أصبحت حاكميّتهم ونظام حكمهم هو المحور والمدار والهدف الأقصى، ولا يتقدّم على أهمّيته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المفارقات العجيبة أن يشاهد أنّ المنصور الدوانيقي العبّاسي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المعروف بالفتك والبطش بالعلويّين وبأهل البيت عليهم السلام لخوفه من نفوذهم الذي يضعف حكومته ونظامه السياسي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ينادي بشعار نصرة المهدي من أهل البيت عليهم السلام، ويقوم بنشر علائم ظهوره، فقد روى الطوسي في الغيبة، والمفيد في الإرشاد، والكليني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52/209</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بطرقهم عن إسماعيل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شيخنا يذكره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المنصور، فسمعته يقول ابتداءً من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سيف بن عميرة، لا بدّ من منادٍ ينادي باسم رجل من ولد أبي طالب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أحد من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لسمع اُذني منه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منادٍ ينادي باسم رجل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الحديث ما سمعت بمثله قطّ،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سيف، إذا كان ذلك فنحن أوّل من يجيبه، أما إنّه أحد بني عمّنا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ولد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سيف، لولا أنّي سمعت أبا جعفر محمّد بن عليّ يحدّثني به ثمّ حدّثني به أهل الدنيا ما قبلت منهم، ولكنّه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المنصور العبّاسي مع استبداده في حكمه السياسي يتقمّص شعار أنصار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بسند معتبر عن الحسين بن أبي العلاء، قال 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عندي الجفر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 شيء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زبور داود، وتوراة موسى، وإنجيل عيسى، وصحف إبراهيم عليه السلام ، والحلال والحرام، ومصحف فاطمة، ما أزعم أنّ فيه قرآناً، وفيه ما يحتاج النّاس إلينا، ولا نحتاج إلى أحد حتّى فيه الجلدة ونصف الجلدة وربع الجلدة، وأرش الخدش، وعندي الجفر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في الجفر الأحمر؟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السلاح؛ وذلك إنّما يفتح للدم، يفتحه صاحب السيف للقتل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أيعرف هذا بنو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يعرفون الليل إنّه ليل، والنهار إنّه نهار، ولكنّهم يحملهم الحسد، وطلب الدنيا على الجحود والإنكار ولو طلبوا الحقّ بالحقّ لكان خيراً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أيعرف هذا بنو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الإشارة إلى أنّ المهدي عجل الله فرجه هو صاحب النهضة المسلّحة العسكريّة للإصلاح، وأنّهم إذا كانوا يعرفون، فلماذا يتقمّصون ويرفعون شعار المهدويّة كما ادّعى ذلك بعضهم في ثورته المسلّحة التي قام بها ضدّ حكومة العبّاسيّين، وادّعى بعضهم أنّه ذو النفس الزكيّة أيضاً، وهو ممّا يرتبط بالظهور للمصلح الموعود الذي يملأ الأرض</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قسطاً وعدلاً، مع أنّ بني الحسن أقرب رحماً في بني هاشم لأهل البيت عليهم السلام من بني العبّاس،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مع معرفتهم بذلك طلبوا الحقّ، وهو مقاومة ظلم بني العبّاس، وطلبوا الإصلاح بغير الحقّ، أي بطريق خاطئ بغير الاُسلوب الذي رسمه أهل البيت عليهم السلام لهم، بل أخذوا يتقمّصون دور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الرواية المتقدّمة التي رواها الطوسي في الغيبة والمفيد في الإرشاد ما رواه المفيد في الإرشاد أيضاً في موضع آخر في علائم الظهور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وخروج ستّين كذّاباً كلّهم يدّعي النبوّة، وخروج اثنا عشر من آل أبي طالب، كلّهم يدّعي الإمامة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النعماني في الغيبة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القائم عليه السلام حتّى يقوم اثنا عشر رجلاً كلّهم يجمع على قول إنّهم قد رأوه، فيكذِّبهم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يكذّبهم القائم عجل الله فرجه بعد قيامه، والتعبير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ينهضون بحركات إصلاحيّة متقمّصة لدعوة التنسيق والارتباط مع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الرواية عن النعماني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فيكذِّبوهم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52/244</w:t>
      </w:r>
      <w:r>
        <w:rPr>
          <w:rFonts w:eastAsia="IRNazanin" w:cs="IRNazanin"/>
          <w:color w:val="111111"/>
          <w:sz w:val="28"/>
          <w:szCs w:val="28"/>
          <w:rtl w:val="true"/>
          <w:lang w:bidi="fa-IR"/>
        </w:rPr>
        <w:t xml:space="preserve">. </w:t>
      </w:r>
      <w:bookmarkStart w:id="48" w:name="pg797_6355"/>
    </w:p>
    <w:p>
      <w:pPr>
        <w:pStyle w:val="BookText"/>
        <w:rPr/>
      </w:pPr>
      <w:bookmarkEnd w:id="48"/>
      <w:r>
        <w:rPr>
          <w:rFonts w:ascii="Amiri" w:hAnsi="Amiri" w:eastAsia="Amiri" w:cs="Amiri"/>
          <w:color w:val="111111"/>
          <w:sz w:val="28"/>
          <w:sz w:val="28"/>
          <w:szCs w:val="28"/>
          <w:rtl w:val="true"/>
          <w:lang w:bidi="ar-SA"/>
        </w:rPr>
        <w:t>فيكذّب النّاس دعوى هؤلاء الرجال الاثنى عشر الذين يقومون بحركات أنّهم مرتبطون في برنامج حركتهم بنهوض المهدي عليه السلام الإصلاحي للعالم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النعماني معتبرة عن أبي خالد الكابلي،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حديث سؤاله عن أوصاف المهدي عجل الله فرجه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له محمّد بن عليّ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فتريد ماذا 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تسمّيه لي حتى أعرفه بإسمه؟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سألتني يا أبا خالد سؤال مجهد، ولقد سألتني عن أمر ما كنت محدّثاً به أحداً، ولو كنت محدّثاً به أحداً لحدّثتك، ولقد سألتني عن أمر لو أنّ بني فاطمة عرفوه حرصوا على أن يقطعوه بضعة بضعة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6570736_211673320"/>
      <w:bookmarkStart w:id="50" w:name="_Toc16"/>
      <w:bookmarkEnd w:id="49"/>
      <w:r>
        <w:rPr>
          <w:rtl w:val="true"/>
        </w:rPr>
        <w:t>التوصية الرابعة</w:t>
      </w:r>
      <w:r>
        <w:rPr>
          <w:rtl w:val="true"/>
        </w:rPr>
        <w:t>:</w:t>
      </w:r>
      <w:bookmarkEnd w:id="50"/>
    </w:p>
    <w:p>
      <w:pPr>
        <w:pStyle w:val="BookText"/>
        <w:rPr/>
      </w:pPr>
      <w:r>
        <w:rPr>
          <w:rFonts w:ascii="Amiri" w:hAnsi="Amiri" w:eastAsia="Amiri" w:cs="Amiri"/>
          <w:color w:val="111111"/>
          <w:sz w:val="28"/>
          <w:sz w:val="28"/>
          <w:szCs w:val="28"/>
          <w:rtl w:val="true"/>
          <w:lang w:bidi="ar-SA"/>
        </w:rPr>
        <w:t>الواردة في روايات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التوقيت، وتكذيب من يوقّت، وأنّ وقت الظهور هو من الغيب المستور، بل إنّ في جملة من الروايات الاُخرى أنّ العلامات الحتميّة أيضاً ممّا قد يقع فيها البداء، أي وإن وقعت فقد لا تكون علامة موقتة لظهوره بخلاف أصل ظهور المهدي عجل الله فرجه، فإنّه لا بداء فيه لأنّه من الميعاد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ممّا يبطل شعار أدعياء فرسان الظهور، ويحبط دجل المتقمّصين لأسماء مسرح الظهور؛ إذ التوقيت وضرب الموعد من الاُمور المحرجة لمن يدّعي تلك الأسماء؛ إذ بتوسّط فخّ التوقيت يصطاد السذّج، ويطلي الحيلة على المغفّلين، وبذلك يوقع المدّعي نفسه في الفخّ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النعماني بسند معتبر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من أخبرك عنّا توقيتاً فلا تهابنّ أن تُكذّبه، فإنّا لا نوقّت لأحد وقتاً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عبد الله بن سنان، عن أبي عبد الله جعفر بن محمّد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إلاّ أن يُغلق وقت الموقّتين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نوقّت هذا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أبي بصير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خروج القائم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إنّا أهل بيت لا نوقّت، وقد قال محمّد صلى الله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يا أبا محمّد، 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 النداء في شهر رمضان، وخروج السفياني، وخروج الخراساني، وقتل النفس الزكيّة، وخسف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القائم حتّى ينادى باسمه من جوف السماء في ليلة ثلاث وعشرين في شهر رمضان ليلة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باسمه واسم أبيه، ألا إنّ فلان ابن فلان قائم آل محمّد، فاسمعوا له وأطيعوه، فلا يبقى شيء خلق الله فيه الروح إلاّ يسمع الصيحة، فتوقظ النائم ويخرج إلى صحن الدار، وتخرج العذراء من خدرها، ويخرج القائم ممّا يسمع، وهي صيحة جبرئيل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هذه الرواية كما هو صريح الروايات المستفيضة بأنّ عدم التوقيت لظهور المهدي عجل الله فرجه من الاُمور الثابتة في مذهب أهل البيت عليهم السلام، وأنّ تحديد الظهور منحصر بالعلامات الحتميّة للظهور فقط، وأبرزها الصيحة السماويّة، وخروج السفياني في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وروى النعماني عن اُستاذه الكليني في المعتبر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مهزم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هذا الأمر الذي ننتظره متى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كذّب الوقّاتون، وهلك المستعجلون، ونجا المسلمون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الفضيل بن يسار،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وقت؟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 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لمّا خرج وافداً إلى ربّه واعدهم ثلاثين يوماً، فلمّا زاده الله على الثلاثين عشراً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أخلفنا موسى، فصنعوا ما صنعوا، فإذا حدّثناكم بحديث فجاء على ما حدّثناكم به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وإذا حدّثناكم بحديث فجاء على خلاف ما حدّثناكم به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تؤجروا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وذيل الرواية ظاهر في إمكان حصول البداء في العلامات الحتميّة كوقت للظهور، ونظير هذه الرواية ما رواه النعماني 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51" w:name="pg797_6359"/>
    </w:p>
    <w:p>
      <w:pPr>
        <w:pStyle w:val="BookText"/>
        <w:rPr/>
      </w:pPr>
      <w:bookmarkEnd w:id="51"/>
      <w:r>
        <w:rPr>
          <w:rFonts w:ascii="Amiri" w:hAnsi="Amiri" w:eastAsia="Amiri" w:cs="Amiri"/>
          <w:color w:val="111111"/>
          <w:sz w:val="28"/>
          <w:sz w:val="28"/>
          <w:szCs w:val="28"/>
          <w:rtl w:val="true"/>
          <w:lang w:bidi="ar-SA"/>
        </w:rPr>
        <w:t>في الغيبة بسنده عن داود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محمّد بن عليّ الرضا عليه السلام فجرى ذكر السفياني وما جاء في الرواية من أنّ أمره من المحتوم، 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لله في المحتوم؟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لله في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 الميعاد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6570738_211673320"/>
      <w:bookmarkStart w:id="53" w:name="_Toc17"/>
      <w:bookmarkEnd w:id="52"/>
      <w:r>
        <w:rPr>
          <w:rtl w:val="true"/>
        </w:rPr>
        <w:t>التوصية الخامسة</w:t>
      </w:r>
      <w:r>
        <w:rPr>
          <w:rtl w:val="true"/>
        </w:rPr>
        <w:t>:</w:t>
      </w:r>
      <w:bookmarkEnd w:id="53"/>
    </w:p>
    <w:p>
      <w:pPr>
        <w:pStyle w:val="BookText"/>
        <w:rPr/>
      </w:pPr>
      <w:r>
        <w:rPr>
          <w:rFonts w:ascii="Amiri" w:hAnsi="Amiri" w:eastAsia="Amiri" w:cs="Amiri"/>
          <w:color w:val="111111"/>
          <w:sz w:val="28"/>
          <w:sz w:val="28"/>
          <w:szCs w:val="28"/>
          <w:rtl w:val="true"/>
          <w:lang w:bidi="ar-SA"/>
        </w:rPr>
        <w:t>لزوم الثبات والاستقامة في أدوار التمحيص والامتحان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النعماني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لتميّزنّ، والله لتمحّصنّ، والله لتغربلنّ كما يغربل الزؤان من القمح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والزّؤان هو الحبّ الذي يشبه الحنطة ويصغر عنه حجماً ينبت بين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عبد الله بن أبي يعفور، عن أبي عبد الله عليه السلام 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لطغاة العرب من شرّ قد 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مع القائم من العرب؟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52/250</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 يصف هذا الأمر منهم لكثير،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للنّاس من أن يمحّصوا ويميّزوا ويغربلوا ويخرج من الغربال خلق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شيعته كثير،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كملت العدّة الموصوفة ثلاثمائة وبضعة عشر كان الذي تريدون، ولكنّ شيعتنا من لا يعدو صوته سمعه، ولا شحناؤه بدنه، ولا يمدح بنا معلناً، ولا يخاصم بنا قالياً، ولا يجالس لنا عايباً، ولا يُحدِّث لنا ثالباً، ولا يحبّ لنا مبغضاً، ولا يبغض لنا محبّاً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بهذه الشيعة المختلفة الذين يقولون إنّهم يتشيّعون؟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التمييز، وفيهم التمحيص، وفيهم التبديل، يأتي عليهم سنون تفنيهم، وسيف يقتلهم، واختلاف يبدّدهم، إنّما شيعتنا من لا يهرّ هرير الكلب، ولا يطمع طمع الغراب، ولا يسأل النّاس بكفّه، وإن مات جوعاً</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حاسمة في بيان علامة الاستقامة على ولاية أهل البيت عليهم السلام، والرواية تنبأ عن مروق كثير من الشيعة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4" w:name="pg797_6361"/>
    </w:p>
    <w:p>
      <w:pPr>
        <w:pStyle w:val="BookText"/>
        <w:rPr/>
      </w:pPr>
      <w:bookmarkEnd w:id="54"/>
      <w:r>
        <w:rPr>
          <w:rFonts w:ascii="Amiri" w:hAnsi="Amiri" w:eastAsia="Amiri" w:cs="Amiri"/>
          <w:color w:val="111111"/>
          <w:sz w:val="28"/>
          <w:sz w:val="28"/>
          <w:szCs w:val="28"/>
          <w:rtl w:val="true"/>
          <w:lang w:bidi="ar-SA"/>
        </w:rPr>
        <w:t>التشيّع لتولّيهم المخالفين ومعاداتهم للموالين تحت شعارات خدّاعة، وعناوين ملتبسة تنطوي على شرائح كثيرة لا تبصر الحقيقة من الدجل</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6570740_211673320"/>
      <w:bookmarkStart w:id="56" w:name="_Toc18"/>
      <w:bookmarkEnd w:id="55"/>
      <w:r>
        <w:rPr>
          <w:rtl w:val="true"/>
        </w:rPr>
        <w:t>التوصية السادسة</w:t>
      </w:r>
      <w:r>
        <w:rPr>
          <w:rtl w:val="true"/>
        </w:rPr>
        <w:t>:</w:t>
      </w:r>
      <w:bookmarkEnd w:id="56"/>
    </w:p>
    <w:p>
      <w:pPr>
        <w:pStyle w:val="BookText"/>
        <w:rPr/>
      </w:pPr>
      <w:r>
        <w:rPr>
          <w:rFonts w:ascii="Amiri" w:hAnsi="Amiri" w:eastAsia="Amiri" w:cs="Amiri"/>
          <w:color w:val="111111"/>
          <w:sz w:val="28"/>
          <w:sz w:val="28"/>
          <w:szCs w:val="28"/>
          <w:rtl w:val="true"/>
          <w:lang w:bidi="ar-SA"/>
        </w:rPr>
        <w:t>التحذير عن الخفّة والانزلاق وراء أدعياء الإصلاح المواكب للإصلاح الشامل المهدوي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مرّت رواية العيّاشي عن جابر الجعفي عن أبي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إلزم الأرض لا تحرّكنّ يدك ولا رجلك أبداً حتّى ترى علامات أذكرها لك في سنة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ثمّ ذكر العلامات المحتومة مع تفاصيل كلّ منها، وقال</w:t>
      </w:r>
      <w:r>
        <w:rPr>
          <w:rFonts w:eastAsia="Amiri" w:cs="Amiri" w:ascii="Amiri" w:hAnsi="Amiri"/>
          <w:color w:val="111111"/>
          <w:sz w:val="28"/>
          <w:szCs w:val="28"/>
          <w:rtl w:val="true"/>
          <w:lang w:bidi="ar-SA"/>
        </w:rPr>
        <w:t>: _ (</w:t>
      </w:r>
      <w:r>
        <w:rPr>
          <w:rFonts w:ascii="Amiri" w:hAnsi="Amiri" w:eastAsia="Amiri" w:cs="Amiri"/>
          <w:color w:val="111111"/>
          <w:sz w:val="28"/>
          <w:sz w:val="28"/>
          <w:szCs w:val="28"/>
          <w:rtl w:val="true"/>
          <w:lang w:bidi="ar-SA"/>
        </w:rPr>
        <w:t>وإيّاك وشذاذ من آل محمد عليهم السلام، ولا تتّبع منهم رجلاً أبداً حتّى ترى رجلاً من ولد الحسين معه عهد نبيّ الله ورايته وسلاحه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النعماني بإسناده عن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القائم حتّى تفقأ عين الدنيا، وتظهر الحمرة في السماء، وتلك دموع حملة العرش على أهل الأرض، وحتّى يظهر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فيهم قوم لا خلاق لهم، يدعون لولدي وهم براء من ولدي تلك عصابة رديئة لا خلاق لهم، على الأشرار مسلّطة، وللجبابرة مفتنة، وللملوك مبيرة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النعماني أيضاً بسنده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إلزم الأرض ولا تحرّك يداً ولا رجلاً حتّى ترى علامات أذكرها لك إن أدركتها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عليه السلام العلامات الحتميّة للظهور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النعماني بسنده عن أبي خالد الكابلي،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بقوم خرجوا بالمشرق، يطلبون الحقّ فلا يعطونه، ثمّ يطلبونه فلا يعطونه، فإذا رأوا ذلك وضعوا سيوفهم على عواتقهم، فيعطون ما سألوا فلا يقبلونه حتّى يقوموا، ولا يدفعونها إلاّ إلى صاحبكم، قتلاهم شهداء، أما إنّي لو أدركت ذلك لأبقيت نفسي لصاحب هذا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هذه الرواية انطباقها على خروج الحسني الخراساني حيث إنّه يظهر من المشرق من خراسان أو الديلم، كما في ألسنة الروايات المختلفة، وهو الذي يسلّم الراية، أي راية وقيادة جيشه،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52/237</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52/243</w:t>
      </w:r>
      <w:r>
        <w:rPr>
          <w:rFonts w:eastAsia="Amiri" w:cs="Amiri" w:ascii="Amiri" w:hAnsi="Amiri"/>
          <w:color w:val="111111"/>
          <w:sz w:val="28"/>
          <w:szCs w:val="28"/>
          <w:rtl w:val="true"/>
          <w:lang w:bidi="ar-SA"/>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عجل الله فرجه في الكوفة، كما في روايات اُخرى، وأنّ في جيش الخراساني بعض أصحاب القائم في بعض الروايات، وأنّه يصفّي الأرض التي يمرّ بها من الظلم إلى أن يصل إلى الكوفة، كما في روايات اُخرى مرّت الإشارة إليها، لكن مع ذلك يوصي عليه السلام بالإبقاء على النفس والمحافظة عليها لنصرة المهدي عجل الله فرجه نفسه، أي تجنّب المشاركة في جيش الحسني الخراساني، وقد بيّنت بعض الروايات الاُخرى أنّ في جيشه شريحة من الزيديّة وصفاً وسلوكاً لا اسماً، يستعصون عليه في التسليم والانقياد للمهدي عجل الله فرجه ممّا يدلّل على أنّ المسار العام لجيش الحسني هو تبنّي الإمامة لمن يتصدّى علناً لتدبير الاُمور وإصلاحها، ويدلّ على ذلك أيضاً ما مرّ في بعض الروايات أنّ راية اليماني أهدى؛ لأنّ اليماني يدعو إلى صاحبكم، أي المهدي عجل الله فرجه، أي أنّ اليماني تبنّى أنّ الإمامة بالنصّ المحدودة بالاثنى عشر، بخلاف مسار ومرام الحسني فإنّه يتبنّى أنّ الإمامة بالتصدّي لإصلاح الاُمور والوضع العامّ، ومن ثمّ كنّي عن ذلك بوجود الزيديّة في جيشه أي مرام وسلوك الزيديّة لا التسمّي بذلك الاسم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النعماني بسنده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السفياني يبعث جيشاً إلينا وجيشاً إليكم، فإذا كان فائتونا على صعب وذلول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الرواية كالتي سبقت في حصر النهوض المسلّح وادّخار النصرة العسكريّة لشخص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الروايتين ما رواه أيضاً عن خلاّد الصائغ،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لا بدّ منه، ولا يخرج إلاّ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إذا خرج فما حالنا؟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البحار عن كتاب سرور أهل الإيمان بإسناده عن أحمد بن محمّد الأيادي، رفعه إلى بريد،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 اتّق جمع الأصهب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الأصهب؟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الأبقع؟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الأبرص، واتّق السفياني، واتّق الشريدين من ولد فلان يأتيان مكّة، يقسمان بها الأموال، يتشبّهان بالقائم عليه السلام ، واتّق الشذاذ من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52/249</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المجلسي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بالشذاذ الزيديّة؛ لضعف مقالتهم، وأمّا كونهم من آل محمّد لأنّهم من بني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فيظهر من الروايات أنّ الحركات التي تقوم بالشام من الأصهب والسفياني تحمل وترفع شعارات برّاقة منادية للإصلاح والرشاد في ظاهر حالها ممّا يوجب الانخداع والاغترار بها، هذا فضلاً عمّن يقوم بالحركات الاُخرى التي تضمّن في شعاراتها مزاعم الصلة بحركة المهدي عجل الله فرجه الإصلاحيّة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بإسناده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إلزم بيتك، وكن حلساً من أحلاسه، واسكن ما سكن الليل والنهار، فإذا بلغ أنّ السفياني قد خرج فارحل لينا ولو على رجلك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ما رواه عن الحضرمي عن أبي عبد الله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وفي ذيله</w:t>
      </w:r>
      <w:r>
        <w:rPr>
          <w:rFonts w:eastAsia="Amiri" w:cs="Amiri" w:ascii="Amiri" w:hAnsi="Amiri"/>
          <w:color w:val="111111"/>
          <w:sz w:val="28"/>
          <w:szCs w:val="28"/>
          <w:rtl w:val="true"/>
          <w:lang w:bidi="ar-SA"/>
        </w:rPr>
        <w:t>: _ (</w:t>
      </w:r>
      <w:r>
        <w:rPr>
          <w:rFonts w:ascii="Amiri" w:hAnsi="Amiri" w:eastAsia="Amiri" w:cs="Amiri"/>
          <w:color w:val="111111"/>
          <w:sz w:val="28"/>
          <w:sz w:val="28"/>
          <w:szCs w:val="28"/>
          <w:rtl w:val="true"/>
          <w:lang w:bidi="ar-SA"/>
        </w:rPr>
        <w:t xml:space="preserve">فإذا ظهر على الأكوار الخمس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 كور الشام، فانفروا إلى صاحبكم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بسنده عن الفضل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 فأتاه كتاب أبي مسلم،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لكتابك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52/271</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جواب، اخرج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فجعلنا يسارّ بعضنا بعضاً،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تسارّون يا فضيل؟ إنّ الله عزّ ذكره لا يعجل لعجلة العباد، ولإزالة جبل عن موضعه أيسر من زوال ملك لم ينقض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 ابن فلان</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حتّى بلغ السابع من ولد فلان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العلامة فيما بيننا وبينه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تبرح الأرض يا فضيل حتّى يخرج السفياني، فإذا خرج السفياني فأجيبوا إلينا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من المحتوم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والرواية تستعرض مسرح أحداث حركة أبي مسلم الخراساني المروزي الذي قاد الثورة على الأمويّين وتوافق مع العبّاسيّين بعد أن راسل الصادق عليه السلام وبني الحسن، فآيس من إجابتهم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النعماني بسنده عن أبي الجارود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اُوصيك بتقوى الله، وأن تلزم بيتك، وتقعد في دهماء هؤلاء النّاس، وإيّاك والخوارج منّا، فإنّهم ليسوا على شيء ولا إلى شيء، واعلم أنّ لبني اُميّة ملكاً لا يستطيع النّاس أنّ تردعه، وأنّ لأهل الحقّ دولة إذا جاءت ولاّها الله لمن يشاء منّا أهل البيت، فمن أدركها منكم كان عندنا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السنام الأعلى، وإن قبضه الله قبل ذلك خار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تقوم عصابة تدفع ضيماً أو تعزّ ديناً إلاّ صرعتهم المنية والبليّة حتّى تقوم عصابة شهدوا بدراً مع رسول الله صلى الله عليه وآله لا يوارى قتيلهم، ولا يرفع صريعهم، ولا يداوى جريحهم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النعماني بسنده عن جابر، عن أبي جعفر محمّد بن عليّ الباقر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خروج القائم منّا أهل البيت كخروج رسول الله صلى الله عليه وآله، ومثل مَنْ خرج منّا أهل البيت قبل قيام القائم مثل فرخ طار فوقع من وكره فتلاعبت به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هذه الوصايا التي أمروا عليهم السلام بها، يتبيّن تأكيدهم عليهم السلام على عدم الاغترار وراء الحركات والنهضات المتشدّقة بشعارات الإصلاح التي هي شعار الإصلاح المهدوي عند ظهوره، وأنّه لا نيابة خاصّة للأسماء اللامعة في سنة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العلامة الأكيدة الحتميّة لانقطاع الغيبة ولمبدأ ظهوره في المدينة المنوّرة، ومن ثمّ ظهوره الأكبر العلني العالمي في مكّة المكرّمة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الصيحة السماويّة لجبرئيل، وهو النداء من السماء، وقد حدّد في الروايات في شهر رجب وفي بعضها في شهر رمضان، وأنّه بعبارات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الثانية المحتّمة هي تحرّك السفياني في بلاد الشام واستيلائه عليها، وإرساله سرّية من جيشه إلى العراق، واُخرى إلى المدينة المنوّرة لمواجهة المهدي عجل الله فرجه، فيخسف بذلك الجيش في بيداء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توقيت ظهور المهدي عجل الله فرجه بغير ذلك من التحديد الزماني ما هو إلاّ خداع وتحايل على السذّج والبسطاء تغريراً بهم لاستمالتهم ولتسخيرهم حطباً ووقوداً لإنجاز مآرب الأدعياء المتقمّصين يصلون بهم إلى رئاستهم الباطلة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اللازم على الموالين المؤمنين في عصر الغيبة المتطاولة حتّى الظهور هو الثبات على الاعتقاد بإمامة الأئمّة الاثنى عشر، أي إمامة المهدي الحيّ الحاضر الشاهد لأحداث البشريّة والتدين بولايته الفعليّة وتولّي الموالين لأهل البيت عليهم السلام، والتبرّي القلبي، وفي النموذج السلوكي العملي من أعداءهم، والتمسّك بالثوابت من أحكام أهل البيت عليهم السلام، وعدم الافتتان بالشعارات البرّاقة الخدّاعة المؤدّية </w:t>
      </w:r>
    </w:p>
    <w:p>
      <w:pPr>
        <w:pStyle w:val="BookText"/>
        <w:rPr/>
      </w:pPr>
      <w:r>
        <w:rPr>
          <w:rFonts w:ascii="Amiri" w:hAnsi="Amiri" w:eastAsia="Amiri" w:cs="Amiri"/>
          <w:color w:val="111111"/>
          <w:sz w:val="28"/>
          <w:sz w:val="28"/>
          <w:szCs w:val="28"/>
          <w:rtl w:val="true"/>
          <w:lang w:bidi="ar-SA"/>
        </w:rPr>
        <w:t>إلى التخلّي عن التولّي والتبرّي وللمروق من معالم أحكام فقه أهل البيت عليهم السلام ومعارفهم</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57" w:name="pg797_6370"/>
    </w:p>
    <w:p>
      <w:pPr>
        <w:pStyle w:val="Heading2"/>
        <w:numPr>
          <w:ilvl w:val="1"/>
          <w:numId w:val="1"/>
        </w:numPr>
        <w:rPr/>
      </w:pPr>
      <w:bookmarkStart w:id="58" w:name="__RefHeading___Toc6570742_211673320"/>
      <w:bookmarkStart w:id="59" w:name="_Toc19"/>
      <w:bookmarkEnd w:id="57"/>
      <w:bookmarkEnd w:id="58"/>
      <w:r>
        <w:rPr>
          <w:rtl w:val="true"/>
        </w:rPr>
        <w:t>مصادر التحقيق</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النوبختي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10475</Words>
  <Characters>47857</Characters>
  <CharactersWithSpaces>57933</CharactersWithSpaces>
  <Paragraphs>492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2026-08-16T08:44:17Z</dcterms:created>
  <dc:creator>ghaemiyeh.com</dc:creator>
  <dc:description/>
  <dc:language>en-US</dc:language>
  <cp:lastModifiedBy/>
  <dcterms:modified xsi:type="dcterms:W3CDTF">2026-08-16T12:14:19Z</dcterms:modified>
  <cp:revision>1</cp:revision>
  <dc:subject/>
  <dc:title>فقه علائم الظهور</dc:title>
</cp:coreProperties>
</file>

<file path=docProps/custom.xml><?xml version="1.0" encoding="utf-8"?>
<Properties xmlns="http://schemas.openxmlformats.org/officeDocument/2006/custom-properties" xmlns:vt="http://schemas.openxmlformats.org/officeDocument/2006/docPropsVTypes"/>
</file>