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8.xml" ContentType="application/vnd.openxmlformats-officedocument.wordprocessingml.footer+xml"/>
  <Override PartName="/word/footer15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49.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شیعه و پاسخ به چند پرسش</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114467_211673320">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5114469_2116733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5114471_211673320">
            <w:r>
              <w:rPr>
                <w:webHidden/>
                <w:rStyle w:val="IndexLink"/>
                <w:rtl w:val="true"/>
              </w:rPr>
              <w:t>پيشگفتار</w:t>
            </w:r>
            <w:r>
              <w:rPr>
                <w:rStyle w:val="IndexLink"/>
                <w:rtl w:val="true"/>
              </w:rPr>
              <w:tab/>
            </w:r>
            <w:r>
              <w:rPr>
                <w:rStyle w:val="IndexLink"/>
              </w:rPr>
              <w:t>6</w:t>
            </w:r>
          </w:hyperlink>
        </w:p>
        <w:p>
          <w:pPr>
            <w:pStyle w:val="Contents2"/>
            <w:tabs>
              <w:tab w:val="clear" w:pos="8743"/>
              <w:tab w:val="right" w:pos="9026" w:leader="dot"/>
            </w:tabs>
            <w:rPr/>
          </w:pPr>
          <w:hyperlink w:anchor="__RefHeading___Toc5114473_211673320">
            <w:r>
              <w:rPr>
                <w:webHidden/>
                <w:rStyle w:val="IndexLink"/>
                <w:rtl w:val="true"/>
              </w:rPr>
              <w:t>تاريخ پيدايش شيعه</w:t>
            </w:r>
            <w:r>
              <w:rPr>
                <w:rStyle w:val="IndexLink"/>
                <w:rtl w:val="true"/>
              </w:rPr>
              <w:tab/>
            </w:r>
            <w:r>
              <w:rPr>
                <w:rStyle w:val="IndexLink"/>
              </w:rPr>
              <w:t>11</w:t>
            </w:r>
          </w:hyperlink>
        </w:p>
        <w:p>
          <w:pPr>
            <w:pStyle w:val="Contents2"/>
            <w:tabs>
              <w:tab w:val="clear" w:pos="8743"/>
              <w:tab w:val="right" w:pos="9026" w:leader="dot"/>
            </w:tabs>
            <w:rPr/>
          </w:pPr>
          <w:hyperlink w:anchor="__RefHeading___Toc5114475_211673320">
            <w:r>
              <w:rPr>
                <w:webHidden/>
                <w:rStyle w:val="IndexLink"/>
                <w:rtl w:val="true"/>
              </w:rPr>
              <w:t>چرا شيعه را رافضي ناميدند؟</w:t>
            </w:r>
            <w:r>
              <w:rPr>
                <w:rStyle w:val="IndexLink"/>
                <w:rtl w:val="true"/>
              </w:rPr>
              <w:tab/>
            </w:r>
            <w:r>
              <w:rPr>
                <w:rStyle w:val="IndexLink"/>
              </w:rPr>
              <w:t>19</w:t>
            </w:r>
          </w:hyperlink>
        </w:p>
        <w:p>
          <w:pPr>
            <w:pStyle w:val="Contents2"/>
            <w:tabs>
              <w:tab w:val="clear" w:pos="8743"/>
              <w:tab w:val="right" w:pos="9026" w:leader="dot"/>
            </w:tabs>
            <w:rPr/>
          </w:pPr>
          <w:hyperlink w:anchor="__RefHeading___Toc5114477_211673320">
            <w:r>
              <w:rPr>
                <w:webHidden/>
                <w:rStyle w:val="IndexLink"/>
                <w:rtl w:val="true"/>
              </w:rPr>
              <w:t>ادله امامت حضرت علي</w:t>
            </w:r>
            <w:r>
              <w:rPr>
                <w:rStyle w:val="IndexLink"/>
                <w:rtl w:val="true"/>
              </w:rPr>
              <w:tab/>
            </w:r>
            <w:r>
              <w:rPr>
                <w:rStyle w:val="IndexLink"/>
              </w:rPr>
              <w:t>21</w:t>
            </w:r>
          </w:hyperlink>
        </w:p>
        <w:p>
          <w:pPr>
            <w:pStyle w:val="Contents3"/>
            <w:tabs>
              <w:tab w:val="clear" w:pos="8459"/>
              <w:tab w:val="right" w:pos="9026" w:leader="dot"/>
            </w:tabs>
            <w:rPr/>
          </w:pPr>
          <w:hyperlink w:anchor="__RefHeading___Toc5114479_211673320">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5114481_211673320">
            <w:r>
              <w:rPr>
                <w:webHidden/>
                <w:rStyle w:val="IndexLink"/>
                <w:rtl w:val="true"/>
              </w:rPr>
              <w:t>حديث يوم الدار</w:t>
            </w:r>
            <w:r>
              <w:rPr>
                <w:rStyle w:val="IndexLink"/>
                <w:rtl w:val="true"/>
              </w:rPr>
              <w:tab/>
            </w:r>
            <w:r>
              <w:rPr>
                <w:rStyle w:val="IndexLink"/>
              </w:rPr>
              <w:t>21</w:t>
            </w:r>
          </w:hyperlink>
        </w:p>
        <w:p>
          <w:pPr>
            <w:pStyle w:val="Contents3"/>
            <w:tabs>
              <w:tab w:val="clear" w:pos="8459"/>
              <w:tab w:val="right" w:pos="9026" w:leader="dot"/>
            </w:tabs>
            <w:rPr/>
          </w:pPr>
          <w:hyperlink w:anchor="__RefHeading___Toc5114483_211673320">
            <w:r>
              <w:rPr>
                <w:webHidden/>
                <w:rStyle w:val="IndexLink"/>
                <w:rtl w:val="true"/>
              </w:rPr>
              <w:t>حديث منزلت</w:t>
            </w:r>
            <w:r>
              <w:rPr>
                <w:rStyle w:val="IndexLink"/>
                <w:rtl w:val="true"/>
              </w:rPr>
              <w:tab/>
            </w:r>
            <w:r>
              <w:rPr>
                <w:rStyle w:val="IndexLink"/>
              </w:rPr>
              <w:t>22</w:t>
            </w:r>
          </w:hyperlink>
        </w:p>
        <w:p>
          <w:pPr>
            <w:pStyle w:val="Contents3"/>
            <w:tabs>
              <w:tab w:val="clear" w:pos="8459"/>
              <w:tab w:val="right" w:pos="9026" w:leader="dot"/>
            </w:tabs>
            <w:rPr/>
          </w:pPr>
          <w:hyperlink w:anchor="__RefHeading___Toc5114485_211673320">
            <w:r>
              <w:rPr>
                <w:webHidden/>
                <w:rStyle w:val="IndexLink"/>
                <w:rtl w:val="true"/>
              </w:rPr>
              <w:t>حديث سفينه</w:t>
            </w:r>
            <w:r>
              <w:rPr>
                <w:rStyle w:val="IndexLink"/>
                <w:rtl w:val="true"/>
              </w:rPr>
              <w:tab/>
            </w:r>
            <w:r>
              <w:rPr>
                <w:rStyle w:val="IndexLink"/>
              </w:rPr>
              <w:t>23</w:t>
            </w:r>
          </w:hyperlink>
        </w:p>
        <w:p>
          <w:pPr>
            <w:pStyle w:val="Contents3"/>
            <w:tabs>
              <w:tab w:val="clear" w:pos="8459"/>
              <w:tab w:val="right" w:pos="9026" w:leader="dot"/>
            </w:tabs>
            <w:rPr/>
          </w:pPr>
          <w:hyperlink w:anchor="__RefHeading___Toc5114487_211673320">
            <w:r>
              <w:rPr>
                <w:webHidden/>
                <w:rStyle w:val="IndexLink"/>
                <w:rtl w:val="true"/>
              </w:rPr>
              <w:t>حديث امان امت</w:t>
            </w:r>
            <w:r>
              <w:rPr>
                <w:rStyle w:val="IndexLink"/>
                <w:rtl w:val="true"/>
              </w:rPr>
              <w:tab/>
            </w:r>
            <w:r>
              <w:rPr>
                <w:rStyle w:val="IndexLink"/>
              </w:rPr>
              <w:t>23</w:t>
            </w:r>
          </w:hyperlink>
        </w:p>
        <w:p>
          <w:pPr>
            <w:pStyle w:val="Contents3"/>
            <w:tabs>
              <w:tab w:val="clear" w:pos="8459"/>
              <w:tab w:val="right" w:pos="9026" w:leader="dot"/>
            </w:tabs>
            <w:rPr/>
          </w:pPr>
          <w:hyperlink w:anchor="__RefHeading___Toc5114489_211673320">
            <w:r>
              <w:rPr>
                <w:webHidden/>
                <w:rStyle w:val="IndexLink"/>
                <w:rtl w:val="true"/>
              </w:rPr>
              <w:t>حديث ثقلين</w:t>
            </w:r>
            <w:r>
              <w:rPr>
                <w:rStyle w:val="IndexLink"/>
                <w:rtl w:val="true"/>
              </w:rPr>
              <w:tab/>
            </w:r>
            <w:r>
              <w:rPr>
                <w:rStyle w:val="IndexLink"/>
              </w:rPr>
              <w:t>24</w:t>
            </w:r>
          </w:hyperlink>
        </w:p>
        <w:p>
          <w:pPr>
            <w:pStyle w:val="Contents3"/>
            <w:tabs>
              <w:tab w:val="clear" w:pos="8459"/>
              <w:tab w:val="right" w:pos="9026" w:leader="dot"/>
            </w:tabs>
            <w:rPr/>
          </w:pPr>
          <w:hyperlink w:anchor="__RefHeading___Toc5114491_211673320">
            <w:r>
              <w:rPr>
                <w:webHidden/>
                <w:rStyle w:val="IndexLink"/>
                <w:rtl w:val="true"/>
              </w:rPr>
              <w:t>حديث غدير</w:t>
            </w:r>
            <w:r>
              <w:rPr>
                <w:rStyle w:val="IndexLink"/>
                <w:rtl w:val="true"/>
              </w:rPr>
              <w:tab/>
            </w:r>
            <w:r>
              <w:rPr>
                <w:rStyle w:val="IndexLink"/>
              </w:rPr>
              <w:t>25</w:t>
            </w:r>
          </w:hyperlink>
        </w:p>
        <w:p>
          <w:pPr>
            <w:pStyle w:val="Contents2"/>
            <w:tabs>
              <w:tab w:val="clear" w:pos="8743"/>
              <w:tab w:val="right" w:pos="9026" w:leader="dot"/>
            </w:tabs>
            <w:rPr/>
          </w:pPr>
          <w:hyperlink w:anchor="__RefHeading___Toc5114493_211673320">
            <w:r>
              <w:rPr>
                <w:webHidden/>
                <w:rStyle w:val="IndexLink"/>
                <w:rtl w:val="true"/>
              </w:rPr>
              <w:t>امامان دوازده گانه</w:t>
            </w:r>
            <w:r>
              <w:rPr>
                <w:rStyle w:val="IndexLink"/>
                <w:rtl w:val="true"/>
              </w:rPr>
              <w:tab/>
            </w:r>
            <w:r>
              <w:rPr>
                <w:rStyle w:val="IndexLink"/>
              </w:rPr>
              <w:t>33</w:t>
            </w:r>
          </w:hyperlink>
        </w:p>
        <w:p>
          <w:pPr>
            <w:pStyle w:val="Contents2"/>
            <w:tabs>
              <w:tab w:val="clear" w:pos="8743"/>
              <w:tab w:val="right" w:pos="9026" w:leader="dot"/>
            </w:tabs>
            <w:rPr/>
          </w:pPr>
          <w:hyperlink w:anchor="__RefHeading___Toc5114495_211673320">
            <w:r>
              <w:rPr>
                <w:webHidden/>
                <w:rStyle w:val="IndexLink"/>
                <w:rtl w:val="true"/>
              </w:rPr>
              <w:t>امام دوازدهم</w:t>
            </w:r>
            <w:r>
              <w:rPr>
                <w:rStyle w:val="IndexLink"/>
                <w:rtl w:val="true"/>
              </w:rPr>
              <w:tab/>
            </w:r>
            <w:r>
              <w:rPr>
                <w:rStyle w:val="IndexLink"/>
              </w:rPr>
              <w:t>36</w:t>
            </w:r>
          </w:hyperlink>
        </w:p>
        <w:p>
          <w:pPr>
            <w:pStyle w:val="Contents2"/>
            <w:tabs>
              <w:tab w:val="clear" w:pos="8743"/>
              <w:tab w:val="right" w:pos="9026" w:leader="dot"/>
            </w:tabs>
            <w:rPr/>
          </w:pPr>
          <w:hyperlink w:anchor="__RefHeading___Toc5114497_211673320">
            <w:r>
              <w:rPr>
                <w:webHidden/>
                <w:rStyle w:val="IndexLink"/>
                <w:rtl w:val="true"/>
              </w:rPr>
              <w:t>صفات امام</w:t>
            </w:r>
            <w:r>
              <w:rPr>
                <w:rStyle w:val="IndexLink"/>
                <w:rtl w:val="true"/>
              </w:rPr>
              <w:tab/>
            </w:r>
            <w:r>
              <w:rPr>
                <w:rStyle w:val="IndexLink"/>
              </w:rPr>
              <w:t>40</w:t>
            </w:r>
          </w:hyperlink>
        </w:p>
        <w:p>
          <w:pPr>
            <w:pStyle w:val="Contents3"/>
            <w:tabs>
              <w:tab w:val="clear" w:pos="8459"/>
              <w:tab w:val="right" w:pos="9026" w:leader="dot"/>
            </w:tabs>
            <w:rPr/>
          </w:pPr>
          <w:hyperlink w:anchor="__RefHeading___Toc5114499_211673320">
            <w:r>
              <w:rPr>
                <w:webHidden/>
                <w:rStyle w:val="IndexLink"/>
                <w:rtl w:val="true"/>
              </w:rPr>
              <w:t>عصمت امام</w:t>
            </w:r>
            <w:r>
              <w:rPr>
                <w:rStyle w:val="IndexLink"/>
                <w:rtl w:val="true"/>
              </w:rPr>
              <w:tab/>
            </w:r>
            <w:r>
              <w:rPr>
                <w:rStyle w:val="IndexLink"/>
              </w:rPr>
              <w:t>40</w:t>
            </w:r>
          </w:hyperlink>
        </w:p>
        <w:p>
          <w:pPr>
            <w:pStyle w:val="Contents3"/>
            <w:tabs>
              <w:tab w:val="clear" w:pos="8459"/>
              <w:tab w:val="right" w:pos="9026" w:leader="dot"/>
            </w:tabs>
            <w:rPr/>
          </w:pPr>
          <w:hyperlink w:anchor="__RefHeading___Toc5114501_211673320">
            <w:r>
              <w:rPr>
                <w:webHidden/>
                <w:rStyle w:val="IndexLink"/>
                <w:rtl w:val="true"/>
              </w:rPr>
              <w:t>افضليت بر ديگران</w:t>
            </w:r>
            <w:r>
              <w:rPr>
                <w:rStyle w:val="IndexLink"/>
                <w:rtl w:val="true"/>
              </w:rPr>
              <w:tab/>
            </w:r>
            <w:r>
              <w:rPr>
                <w:rStyle w:val="IndexLink"/>
              </w:rPr>
              <w:t>45</w:t>
            </w:r>
          </w:hyperlink>
        </w:p>
        <w:p>
          <w:pPr>
            <w:pStyle w:val="Contents2"/>
            <w:tabs>
              <w:tab w:val="clear" w:pos="8743"/>
              <w:tab w:val="right" w:pos="9026" w:leader="dot"/>
            </w:tabs>
            <w:rPr/>
          </w:pPr>
          <w:hyperlink w:anchor="__RefHeading___Toc5114503_211673320">
            <w:r>
              <w:rPr>
                <w:webHidden/>
                <w:rStyle w:val="IndexLink"/>
                <w:rtl w:val="true"/>
              </w:rPr>
              <w:t>راه تعيين امام</w:t>
            </w:r>
            <w:r>
              <w:rPr>
                <w:rStyle w:val="IndexLink"/>
                <w:rtl w:val="true"/>
              </w:rPr>
              <w:tab/>
            </w:r>
            <w:r>
              <w:rPr>
                <w:rStyle w:val="IndexLink"/>
              </w:rPr>
              <w:t>48</w:t>
            </w:r>
          </w:hyperlink>
        </w:p>
        <w:p>
          <w:pPr>
            <w:pStyle w:val="Contents2"/>
            <w:tabs>
              <w:tab w:val="clear" w:pos="8743"/>
              <w:tab w:val="right" w:pos="9026" w:leader="dot"/>
            </w:tabs>
            <w:rPr/>
          </w:pPr>
          <w:hyperlink w:anchor="__RefHeading___Toc5114505_211673320">
            <w:r>
              <w:rPr>
                <w:webHidden/>
                <w:rStyle w:val="IndexLink"/>
                <w:rtl w:val="true"/>
              </w:rPr>
              <w:t>تهمت غلو و غالي بودن به شيعه</w:t>
            </w:r>
            <w:r>
              <w:rPr>
                <w:rStyle w:val="IndexLink"/>
                <w:rtl w:val="true"/>
              </w:rPr>
              <w:tab/>
            </w:r>
            <w:r>
              <w:rPr>
                <w:rStyle w:val="IndexLink"/>
              </w:rPr>
              <w:t>50</w:t>
            </w:r>
          </w:hyperlink>
        </w:p>
        <w:p>
          <w:pPr>
            <w:pStyle w:val="Contents3"/>
            <w:tabs>
              <w:tab w:val="clear" w:pos="8459"/>
              <w:tab w:val="right" w:pos="9026" w:leader="dot"/>
            </w:tabs>
            <w:rPr/>
          </w:pPr>
          <w:hyperlink w:anchor="__RefHeading___Toc5114507_211673320">
            <w:r>
              <w:rPr>
                <w:webHidden/>
                <w:rStyle w:val="IndexLink"/>
                <w:rtl w:val="true"/>
              </w:rPr>
              <w:t>اشاره</w:t>
            </w:r>
            <w:r>
              <w:rPr>
                <w:rStyle w:val="IndexLink"/>
                <w:rtl w:val="true"/>
              </w:rPr>
              <w:tab/>
            </w:r>
            <w:r>
              <w:rPr>
                <w:rStyle w:val="IndexLink"/>
              </w:rPr>
              <w:t>50</w:t>
            </w:r>
          </w:hyperlink>
        </w:p>
        <w:p>
          <w:pPr>
            <w:pStyle w:val="Contents3"/>
            <w:tabs>
              <w:tab w:val="clear" w:pos="8459"/>
              <w:tab w:val="right" w:pos="9026" w:leader="dot"/>
            </w:tabs>
            <w:rPr/>
          </w:pPr>
          <w:hyperlink w:anchor="__RefHeading___Toc5114509_211673320">
            <w:r>
              <w:rPr>
                <w:webHidden/>
                <w:rStyle w:val="IndexLink"/>
                <w:rtl w:val="true"/>
              </w:rPr>
              <w:t>نشانه هاي غلو</w:t>
            </w:r>
            <w:r>
              <w:rPr>
                <w:rStyle w:val="IndexLink"/>
                <w:rtl w:val="true"/>
              </w:rPr>
              <w:tab/>
            </w:r>
            <w:r>
              <w:rPr>
                <w:rStyle w:val="IndexLink"/>
              </w:rPr>
              <w:t>51</w:t>
            </w:r>
          </w:hyperlink>
        </w:p>
        <w:p>
          <w:pPr>
            <w:pStyle w:val="Contents3"/>
            <w:tabs>
              <w:tab w:val="clear" w:pos="8459"/>
              <w:tab w:val="right" w:pos="9026" w:leader="dot"/>
            </w:tabs>
            <w:rPr/>
          </w:pPr>
          <w:hyperlink w:anchor="__RefHeading___Toc5114511_211673320">
            <w:r>
              <w:rPr>
                <w:webHidden/>
                <w:rStyle w:val="IndexLink"/>
                <w:rtl w:val="true"/>
              </w:rPr>
              <w:t>نظر ائمه ي اهل بيت درباره غاليان</w:t>
            </w:r>
            <w:r>
              <w:rPr>
                <w:rStyle w:val="IndexLink"/>
                <w:rtl w:val="true"/>
              </w:rPr>
              <w:tab/>
            </w:r>
            <w:r>
              <w:rPr>
                <w:rStyle w:val="IndexLink"/>
              </w:rPr>
              <w:t>51</w:t>
            </w:r>
          </w:hyperlink>
        </w:p>
        <w:p>
          <w:pPr>
            <w:pStyle w:val="Contents2"/>
            <w:tabs>
              <w:tab w:val="clear" w:pos="8743"/>
              <w:tab w:val="right" w:pos="9026" w:leader="dot"/>
            </w:tabs>
            <w:rPr/>
          </w:pPr>
          <w:hyperlink w:anchor="__RefHeading___Toc5114513_211673320">
            <w:r>
              <w:rPr>
                <w:webHidden/>
                <w:rStyle w:val="IndexLink"/>
                <w:rtl w:val="true"/>
              </w:rPr>
              <w:t>علت اختلاف ميان شيعه و سني</w:t>
            </w:r>
            <w:r>
              <w:rPr>
                <w:rStyle w:val="IndexLink"/>
                <w:rtl w:val="true"/>
              </w:rPr>
              <w:tab/>
            </w:r>
            <w:r>
              <w:rPr>
                <w:rStyle w:val="IndexLink"/>
              </w:rPr>
              <w:t>54</w:t>
            </w:r>
          </w:hyperlink>
        </w:p>
        <w:p>
          <w:pPr>
            <w:pStyle w:val="Contents3"/>
            <w:tabs>
              <w:tab w:val="clear" w:pos="8459"/>
              <w:tab w:val="right" w:pos="9026" w:leader="dot"/>
            </w:tabs>
            <w:rPr/>
          </w:pPr>
          <w:hyperlink w:anchor="__RefHeading___Toc5114515_211673320">
            <w:r>
              <w:rPr>
                <w:webHidden/>
                <w:rStyle w:val="IndexLink"/>
                <w:rtl w:val="true"/>
              </w:rPr>
              <w:t>اشاره</w:t>
            </w:r>
            <w:r>
              <w:rPr>
                <w:rStyle w:val="IndexLink"/>
                <w:rtl w:val="true"/>
              </w:rPr>
              <w:tab/>
            </w:r>
            <w:r>
              <w:rPr>
                <w:rStyle w:val="IndexLink"/>
              </w:rPr>
              <w:t>54</w:t>
            </w:r>
          </w:hyperlink>
        </w:p>
        <w:p>
          <w:pPr>
            <w:pStyle w:val="Contents3"/>
            <w:tabs>
              <w:tab w:val="clear" w:pos="8459"/>
              <w:tab w:val="right" w:pos="9026" w:leader="dot"/>
            </w:tabs>
            <w:rPr/>
          </w:pPr>
          <w:hyperlink w:anchor="__RefHeading___Toc5114517_211673320">
            <w:r>
              <w:rPr>
                <w:webHidden/>
                <w:rStyle w:val="IndexLink"/>
                <w:rtl w:val="true"/>
              </w:rPr>
              <w:t>قرآن كريم</w:t>
            </w:r>
            <w:r>
              <w:rPr>
                <w:rStyle w:val="IndexLink"/>
                <w:rtl w:val="true"/>
              </w:rPr>
              <w:tab/>
            </w:r>
            <w:r>
              <w:rPr>
                <w:rStyle w:val="IndexLink"/>
              </w:rPr>
              <w:t>54</w:t>
            </w:r>
          </w:hyperlink>
        </w:p>
        <w:p>
          <w:pPr>
            <w:pStyle w:val="Contents3"/>
            <w:tabs>
              <w:tab w:val="clear" w:pos="8459"/>
              <w:tab w:val="right" w:pos="9026" w:leader="dot"/>
            </w:tabs>
            <w:rPr/>
          </w:pPr>
          <w:hyperlink w:anchor="__RefHeading___Toc5114519_211673320">
            <w:r>
              <w:rPr>
                <w:webHidden/>
                <w:rStyle w:val="IndexLink"/>
                <w:rtl w:val="true"/>
              </w:rPr>
              <w:t>سنت پيامبر اكرم</w:t>
            </w:r>
            <w:r>
              <w:rPr>
                <w:rStyle w:val="IndexLink"/>
                <w:rtl w:val="true"/>
              </w:rPr>
              <w:tab/>
            </w:r>
            <w:r>
              <w:rPr>
                <w:rStyle w:val="IndexLink"/>
              </w:rPr>
              <w:t>55</w:t>
            </w:r>
          </w:hyperlink>
        </w:p>
        <w:p>
          <w:pPr>
            <w:pStyle w:val="Contents3"/>
            <w:tabs>
              <w:tab w:val="clear" w:pos="8459"/>
              <w:tab w:val="right" w:pos="9026" w:leader="dot"/>
            </w:tabs>
            <w:rPr/>
          </w:pPr>
          <w:hyperlink w:anchor="__RefHeading___Toc5114521_211673320">
            <w:r>
              <w:rPr>
                <w:webHidden/>
                <w:rStyle w:val="IndexLink"/>
                <w:rtl w:val="true"/>
              </w:rPr>
              <w:t>حديث ثقلين</w:t>
            </w:r>
            <w:r>
              <w:rPr>
                <w:rStyle w:val="IndexLink"/>
                <w:rtl w:val="true"/>
              </w:rPr>
              <w:tab/>
            </w:r>
            <w:r>
              <w:rPr>
                <w:rStyle w:val="IndexLink"/>
              </w:rPr>
              <w:t>58</w:t>
            </w:r>
          </w:hyperlink>
        </w:p>
        <w:p>
          <w:pPr>
            <w:pStyle w:val="Contents3"/>
            <w:tabs>
              <w:tab w:val="clear" w:pos="8459"/>
              <w:tab w:val="right" w:pos="9026" w:leader="dot"/>
            </w:tabs>
            <w:rPr/>
          </w:pPr>
          <w:hyperlink w:anchor="__RefHeading___Toc5114523_211673320">
            <w:r>
              <w:rPr>
                <w:webHidden/>
                <w:rStyle w:val="IndexLink"/>
                <w:rtl w:val="true"/>
              </w:rPr>
              <w:t>حديث سفينه</w:t>
            </w:r>
            <w:r>
              <w:rPr>
                <w:rStyle w:val="IndexLink"/>
                <w:rtl w:val="true"/>
              </w:rPr>
              <w:tab/>
            </w:r>
            <w:r>
              <w:rPr>
                <w:rStyle w:val="IndexLink"/>
              </w:rPr>
              <w:t>60</w:t>
            </w:r>
          </w:hyperlink>
        </w:p>
        <w:p>
          <w:pPr>
            <w:pStyle w:val="Contents3"/>
            <w:tabs>
              <w:tab w:val="clear" w:pos="8459"/>
              <w:tab w:val="right" w:pos="9026" w:leader="dot"/>
            </w:tabs>
            <w:rPr/>
          </w:pPr>
          <w:hyperlink w:anchor="__RefHeading___Toc5114525_211673320">
            <w:r>
              <w:rPr>
                <w:webHidden/>
                <w:rStyle w:val="IndexLink"/>
                <w:rtl w:val="true"/>
              </w:rPr>
              <w:t>عقل</w:t>
            </w:r>
            <w:r>
              <w:rPr>
                <w:rStyle w:val="IndexLink"/>
                <w:rtl w:val="true"/>
              </w:rPr>
              <w:tab/>
            </w:r>
            <w:r>
              <w:rPr>
                <w:rStyle w:val="IndexLink"/>
              </w:rPr>
              <w:t>62</w:t>
            </w:r>
          </w:hyperlink>
        </w:p>
        <w:p>
          <w:pPr>
            <w:pStyle w:val="Contents2"/>
            <w:tabs>
              <w:tab w:val="clear" w:pos="8743"/>
              <w:tab w:val="right" w:pos="9026" w:leader="dot"/>
            </w:tabs>
            <w:rPr/>
          </w:pPr>
          <w:hyperlink w:anchor="__RefHeading___Toc5114527_211673320">
            <w:r>
              <w:rPr>
                <w:webHidden/>
                <w:rStyle w:val="IndexLink"/>
                <w:rtl w:val="true"/>
              </w:rPr>
              <w:t>اعتقاد شيعه درباره قرآن</w:t>
            </w:r>
            <w:r>
              <w:rPr>
                <w:rStyle w:val="IndexLink"/>
                <w:rtl w:val="true"/>
              </w:rPr>
              <w:tab/>
            </w:r>
            <w:r>
              <w:rPr>
                <w:rStyle w:val="IndexLink"/>
              </w:rPr>
              <w:t>65</w:t>
            </w:r>
          </w:hyperlink>
        </w:p>
        <w:p>
          <w:pPr>
            <w:pStyle w:val="Contents2"/>
            <w:tabs>
              <w:tab w:val="clear" w:pos="8743"/>
              <w:tab w:val="right" w:pos="9026" w:leader="dot"/>
            </w:tabs>
            <w:rPr/>
          </w:pPr>
          <w:hyperlink w:anchor="__RefHeading___Toc5114529_211673320">
            <w:r>
              <w:rPr>
                <w:webHidden/>
                <w:rStyle w:val="IndexLink"/>
                <w:rtl w:val="true"/>
              </w:rPr>
              <w:t>ايمان و كفر</w:t>
            </w:r>
            <w:r>
              <w:rPr>
                <w:rStyle w:val="IndexLink"/>
                <w:rtl w:val="true"/>
              </w:rPr>
              <w:tab/>
            </w:r>
            <w:r>
              <w:rPr>
                <w:rStyle w:val="IndexLink"/>
              </w:rPr>
              <w:t>71</w:t>
            </w:r>
          </w:hyperlink>
        </w:p>
        <w:p>
          <w:pPr>
            <w:pStyle w:val="Contents2"/>
            <w:tabs>
              <w:tab w:val="clear" w:pos="8743"/>
              <w:tab w:val="right" w:pos="9026" w:leader="dot"/>
            </w:tabs>
            <w:rPr/>
          </w:pPr>
          <w:hyperlink w:anchor="__RefHeading___Toc5114531_211673320">
            <w:r>
              <w:rPr>
                <w:webHidden/>
                <w:rStyle w:val="IndexLink"/>
                <w:rtl w:val="true"/>
              </w:rPr>
              <w:t>توحيد و شرك</w:t>
            </w:r>
            <w:r>
              <w:rPr>
                <w:rStyle w:val="IndexLink"/>
                <w:rtl w:val="true"/>
              </w:rPr>
              <w:tab/>
            </w:r>
            <w:r>
              <w:rPr>
                <w:rStyle w:val="IndexLink"/>
              </w:rPr>
              <w:t>76</w:t>
            </w:r>
          </w:hyperlink>
        </w:p>
        <w:p>
          <w:pPr>
            <w:pStyle w:val="Contents2"/>
            <w:tabs>
              <w:tab w:val="clear" w:pos="8743"/>
              <w:tab w:val="right" w:pos="9026" w:leader="dot"/>
            </w:tabs>
            <w:rPr/>
          </w:pPr>
          <w:hyperlink w:anchor="__RefHeading___Toc5114533_211673320">
            <w:r>
              <w:rPr>
                <w:webHidden/>
                <w:rStyle w:val="IndexLink"/>
                <w:rtl w:val="true"/>
              </w:rPr>
              <w:t>تنزيه و تشبيه</w:t>
            </w:r>
            <w:r>
              <w:rPr>
                <w:rStyle w:val="IndexLink"/>
                <w:rtl w:val="true"/>
              </w:rPr>
              <w:tab/>
            </w:r>
            <w:r>
              <w:rPr>
                <w:rStyle w:val="IndexLink"/>
              </w:rPr>
              <w:t>84</w:t>
            </w:r>
          </w:hyperlink>
        </w:p>
        <w:p>
          <w:pPr>
            <w:pStyle w:val="Contents2"/>
            <w:tabs>
              <w:tab w:val="clear" w:pos="8743"/>
              <w:tab w:val="right" w:pos="9026" w:leader="dot"/>
            </w:tabs>
            <w:rPr/>
          </w:pPr>
          <w:hyperlink w:anchor="__RefHeading___Toc5114535_211673320">
            <w:r>
              <w:rPr>
                <w:webHidden/>
                <w:rStyle w:val="IndexLink"/>
                <w:rtl w:val="true"/>
              </w:rPr>
              <w:t>خداوند به چشم ديده نمي شود</w:t>
            </w:r>
            <w:r>
              <w:rPr>
                <w:rStyle w:val="IndexLink"/>
                <w:rtl w:val="true"/>
              </w:rPr>
              <w:tab/>
            </w:r>
            <w:r>
              <w:rPr>
                <w:rStyle w:val="IndexLink"/>
              </w:rPr>
              <w:t>87</w:t>
            </w:r>
          </w:hyperlink>
        </w:p>
        <w:p>
          <w:pPr>
            <w:pStyle w:val="Contents2"/>
            <w:tabs>
              <w:tab w:val="clear" w:pos="8743"/>
              <w:tab w:val="right" w:pos="9026" w:leader="dot"/>
            </w:tabs>
            <w:rPr/>
          </w:pPr>
          <w:hyperlink w:anchor="__RefHeading___Toc5114537_211673320">
            <w:r>
              <w:rPr>
                <w:webHidden/>
                <w:rStyle w:val="IndexLink"/>
                <w:rtl w:val="true"/>
              </w:rPr>
              <w:t>شفاعت</w:t>
            </w:r>
            <w:r>
              <w:rPr>
                <w:rStyle w:val="IndexLink"/>
                <w:rtl w:val="true"/>
              </w:rPr>
              <w:tab/>
            </w:r>
            <w:r>
              <w:rPr>
                <w:rStyle w:val="IndexLink"/>
              </w:rPr>
              <w:t>89</w:t>
            </w:r>
          </w:hyperlink>
        </w:p>
        <w:p>
          <w:pPr>
            <w:pStyle w:val="Contents3"/>
            <w:tabs>
              <w:tab w:val="clear" w:pos="8459"/>
              <w:tab w:val="right" w:pos="9026" w:leader="dot"/>
            </w:tabs>
            <w:rPr/>
          </w:pPr>
          <w:hyperlink w:anchor="__RefHeading___Toc5114539_211673320">
            <w:r>
              <w:rPr>
                <w:webHidden/>
                <w:rStyle w:val="IndexLink"/>
                <w:rtl w:val="true"/>
              </w:rPr>
              <w:t>اشاره</w:t>
            </w:r>
            <w:r>
              <w:rPr>
                <w:rStyle w:val="IndexLink"/>
                <w:rtl w:val="true"/>
              </w:rPr>
              <w:tab/>
            </w:r>
            <w:r>
              <w:rPr>
                <w:rStyle w:val="IndexLink"/>
              </w:rPr>
              <w:t>89</w:t>
            </w:r>
          </w:hyperlink>
        </w:p>
        <w:p>
          <w:pPr>
            <w:pStyle w:val="Contents3"/>
            <w:tabs>
              <w:tab w:val="clear" w:pos="8459"/>
              <w:tab w:val="right" w:pos="9026" w:leader="dot"/>
            </w:tabs>
            <w:rPr/>
          </w:pPr>
          <w:hyperlink w:anchor="__RefHeading___Toc5114541_211673320">
            <w:r>
              <w:rPr>
                <w:webHidden/>
                <w:rStyle w:val="IndexLink"/>
                <w:rtl w:val="true"/>
              </w:rPr>
              <w:t>شفاعت در قرآن</w:t>
            </w:r>
            <w:r>
              <w:rPr>
                <w:rStyle w:val="IndexLink"/>
                <w:rtl w:val="true"/>
              </w:rPr>
              <w:tab/>
            </w:r>
            <w:r>
              <w:rPr>
                <w:rStyle w:val="IndexLink"/>
              </w:rPr>
              <w:t>89</w:t>
            </w:r>
          </w:hyperlink>
        </w:p>
        <w:p>
          <w:pPr>
            <w:pStyle w:val="Contents3"/>
            <w:tabs>
              <w:tab w:val="clear" w:pos="8459"/>
              <w:tab w:val="right" w:pos="9026" w:leader="dot"/>
            </w:tabs>
            <w:rPr/>
          </w:pPr>
          <w:hyperlink w:anchor="__RefHeading___Toc5114543_211673320">
            <w:r>
              <w:rPr>
                <w:webHidden/>
                <w:rStyle w:val="IndexLink"/>
                <w:rtl w:val="true"/>
              </w:rPr>
              <w:t>شفاعت در روايات</w:t>
            </w:r>
            <w:r>
              <w:rPr>
                <w:rStyle w:val="IndexLink"/>
                <w:rtl w:val="true"/>
              </w:rPr>
              <w:tab/>
            </w:r>
            <w:r>
              <w:rPr>
                <w:rStyle w:val="IndexLink"/>
              </w:rPr>
              <w:t>90</w:t>
            </w:r>
          </w:hyperlink>
        </w:p>
        <w:p>
          <w:pPr>
            <w:pStyle w:val="Contents2"/>
            <w:tabs>
              <w:tab w:val="clear" w:pos="8743"/>
              <w:tab w:val="right" w:pos="9026" w:leader="dot"/>
            </w:tabs>
            <w:rPr/>
          </w:pPr>
          <w:hyperlink w:anchor="__RefHeading___Toc5114545_211673320">
            <w:r>
              <w:rPr>
                <w:webHidden/>
                <w:rStyle w:val="IndexLink"/>
                <w:rtl w:val="true"/>
              </w:rPr>
              <w:t>زيارت قبور</w:t>
            </w:r>
            <w:r>
              <w:rPr>
                <w:rStyle w:val="IndexLink"/>
                <w:rtl w:val="true"/>
              </w:rPr>
              <w:tab/>
            </w:r>
            <w:r>
              <w:rPr>
                <w:rStyle w:val="IndexLink"/>
              </w:rPr>
              <w:t>97</w:t>
            </w:r>
          </w:hyperlink>
        </w:p>
        <w:p>
          <w:pPr>
            <w:pStyle w:val="Contents2"/>
            <w:tabs>
              <w:tab w:val="clear" w:pos="8743"/>
              <w:tab w:val="right" w:pos="9026" w:leader="dot"/>
            </w:tabs>
            <w:rPr/>
          </w:pPr>
          <w:hyperlink w:anchor="__RefHeading___Toc5114547_211673320">
            <w:r>
              <w:rPr>
                <w:webHidden/>
                <w:rStyle w:val="IndexLink"/>
                <w:rtl w:val="true"/>
              </w:rPr>
              <w:t>توسل به پيامبر و امامان</w:t>
            </w:r>
            <w:r>
              <w:rPr>
                <w:rStyle w:val="IndexLink"/>
                <w:rtl w:val="true"/>
              </w:rPr>
              <w:tab/>
            </w:r>
            <w:r>
              <w:rPr>
                <w:rStyle w:val="IndexLink"/>
              </w:rPr>
              <w:t>99</w:t>
            </w:r>
          </w:hyperlink>
        </w:p>
        <w:p>
          <w:pPr>
            <w:pStyle w:val="Contents2"/>
            <w:tabs>
              <w:tab w:val="clear" w:pos="8743"/>
              <w:tab w:val="right" w:pos="9026" w:leader="dot"/>
            </w:tabs>
            <w:rPr/>
          </w:pPr>
          <w:hyperlink w:anchor="__RefHeading___Toc5114549_211673320">
            <w:r>
              <w:rPr>
                <w:webHidden/>
                <w:rStyle w:val="IndexLink"/>
                <w:rtl w:val="true"/>
              </w:rPr>
              <w:t>بدعت چيست؟</w:t>
            </w:r>
            <w:r>
              <w:rPr>
                <w:rStyle w:val="IndexLink"/>
                <w:rtl w:val="true"/>
              </w:rPr>
              <w:tab/>
            </w:r>
            <w:r>
              <w:rPr>
                <w:rStyle w:val="IndexLink"/>
              </w:rPr>
              <w:t>103</w:t>
            </w:r>
          </w:hyperlink>
        </w:p>
        <w:p>
          <w:pPr>
            <w:pStyle w:val="Contents2"/>
            <w:tabs>
              <w:tab w:val="clear" w:pos="8743"/>
              <w:tab w:val="right" w:pos="9026" w:leader="dot"/>
            </w:tabs>
            <w:rPr/>
          </w:pPr>
          <w:hyperlink w:anchor="__RefHeading___Toc5114551_211673320">
            <w:r>
              <w:rPr>
                <w:webHidden/>
                <w:rStyle w:val="IndexLink"/>
                <w:rtl w:val="true"/>
              </w:rPr>
              <w:t>تقيه به حكم عقل واجب است</w:t>
            </w:r>
            <w:r>
              <w:rPr>
                <w:rStyle w:val="IndexLink"/>
                <w:rtl w:val="true"/>
              </w:rPr>
              <w:tab/>
            </w:r>
            <w:r>
              <w:rPr>
                <w:rStyle w:val="IndexLink"/>
              </w:rPr>
              <w:t>108</w:t>
            </w:r>
          </w:hyperlink>
        </w:p>
        <w:p>
          <w:pPr>
            <w:pStyle w:val="Contents2"/>
            <w:tabs>
              <w:tab w:val="clear" w:pos="8743"/>
              <w:tab w:val="right" w:pos="9026" w:leader="dot"/>
            </w:tabs>
            <w:rPr/>
          </w:pPr>
          <w:hyperlink w:anchor="__RefHeading___Toc5114553_211673320">
            <w:r>
              <w:rPr>
                <w:webHidden/>
                <w:rStyle w:val="IndexLink"/>
                <w:rtl w:val="true"/>
              </w:rPr>
              <w:t>محبت به اهل بيت و تكريم آنان</w:t>
            </w:r>
            <w:r>
              <w:rPr>
                <w:rStyle w:val="IndexLink"/>
                <w:rtl w:val="true"/>
              </w:rPr>
              <w:tab/>
            </w:r>
            <w:r>
              <w:rPr>
                <w:rStyle w:val="IndexLink"/>
              </w:rPr>
              <w:t>114</w:t>
            </w:r>
          </w:hyperlink>
        </w:p>
        <w:p>
          <w:pPr>
            <w:pStyle w:val="Contents2"/>
            <w:tabs>
              <w:tab w:val="clear" w:pos="8743"/>
              <w:tab w:val="right" w:pos="9026" w:leader="dot"/>
            </w:tabs>
            <w:rPr/>
          </w:pPr>
          <w:hyperlink w:anchor="__RefHeading___Toc5114555_211673320">
            <w:r>
              <w:rPr>
                <w:webHidden/>
                <w:rStyle w:val="IndexLink"/>
                <w:rtl w:val="true"/>
              </w:rPr>
              <w:t>وضوء</w:t>
            </w:r>
            <w:r>
              <w:rPr>
                <w:rStyle w:val="IndexLink"/>
                <w:rtl w:val="true"/>
              </w:rPr>
              <w:tab/>
            </w:r>
            <w:r>
              <w:rPr>
                <w:rStyle w:val="IndexLink"/>
              </w:rPr>
              <w:t>123</w:t>
            </w:r>
          </w:hyperlink>
        </w:p>
        <w:p>
          <w:pPr>
            <w:pStyle w:val="Contents2"/>
            <w:tabs>
              <w:tab w:val="clear" w:pos="8743"/>
              <w:tab w:val="right" w:pos="9026" w:leader="dot"/>
            </w:tabs>
            <w:rPr/>
          </w:pPr>
          <w:hyperlink w:anchor="__RefHeading___Toc5114557_211673320">
            <w:r>
              <w:rPr>
                <w:webHidden/>
                <w:rStyle w:val="IndexLink"/>
                <w:rtl w:val="true"/>
              </w:rPr>
              <w:t>حي علي خيرالعمل</w:t>
            </w:r>
            <w:r>
              <w:rPr>
                <w:rStyle w:val="IndexLink"/>
                <w:rtl w:val="true"/>
              </w:rPr>
              <w:tab/>
            </w:r>
            <w:r>
              <w:rPr>
                <w:rStyle w:val="IndexLink"/>
              </w:rPr>
              <w:t>126</w:t>
            </w:r>
          </w:hyperlink>
        </w:p>
        <w:p>
          <w:pPr>
            <w:pStyle w:val="Contents2"/>
            <w:tabs>
              <w:tab w:val="clear" w:pos="8743"/>
              <w:tab w:val="right" w:pos="9026" w:leader="dot"/>
            </w:tabs>
            <w:rPr/>
          </w:pPr>
          <w:hyperlink w:anchor="__RefHeading___Toc5114559_211673320">
            <w:r>
              <w:rPr>
                <w:webHidden/>
                <w:rStyle w:val="IndexLink"/>
                <w:rtl w:val="true"/>
              </w:rPr>
              <w:t>دست بسته نماز خواندن</w:t>
            </w:r>
            <w:r>
              <w:rPr>
                <w:rStyle w:val="IndexLink"/>
                <w:rtl w:val="true"/>
              </w:rPr>
              <w:tab/>
            </w:r>
            <w:r>
              <w:rPr>
                <w:rStyle w:val="IndexLink"/>
              </w:rPr>
              <w:t>128</w:t>
            </w:r>
          </w:hyperlink>
        </w:p>
        <w:p>
          <w:pPr>
            <w:pStyle w:val="Contents2"/>
            <w:tabs>
              <w:tab w:val="clear" w:pos="8743"/>
              <w:tab w:val="right" w:pos="9026" w:leader="dot"/>
            </w:tabs>
            <w:rPr/>
          </w:pPr>
          <w:hyperlink w:anchor="__RefHeading___Toc5114561_211673320">
            <w:r>
              <w:rPr>
                <w:webHidden/>
                <w:rStyle w:val="IndexLink"/>
                <w:rtl w:val="true"/>
              </w:rPr>
              <w:t>آمين بعد از سوره حمد</w:t>
            </w:r>
            <w:r>
              <w:rPr>
                <w:rStyle w:val="IndexLink"/>
                <w:rtl w:val="true"/>
              </w:rPr>
              <w:tab/>
            </w:r>
            <w:r>
              <w:rPr>
                <w:rStyle w:val="IndexLink"/>
              </w:rPr>
              <w:t>130</w:t>
            </w:r>
          </w:hyperlink>
        </w:p>
        <w:p>
          <w:pPr>
            <w:pStyle w:val="Contents2"/>
            <w:tabs>
              <w:tab w:val="clear" w:pos="8743"/>
              <w:tab w:val="right" w:pos="9026" w:leader="dot"/>
            </w:tabs>
            <w:rPr/>
          </w:pPr>
          <w:hyperlink w:anchor="__RefHeading___Toc5114563_211673320">
            <w:r>
              <w:rPr>
                <w:webHidden/>
                <w:rStyle w:val="IndexLink"/>
                <w:rtl w:val="true"/>
              </w:rPr>
              <w:t>سجده بر زمين</w:t>
            </w:r>
            <w:r>
              <w:rPr>
                <w:rStyle w:val="IndexLink"/>
                <w:rtl w:val="true"/>
              </w:rPr>
              <w:tab/>
            </w:r>
            <w:r>
              <w:rPr>
                <w:rStyle w:val="IndexLink"/>
              </w:rPr>
              <w:t>132</w:t>
            </w:r>
          </w:hyperlink>
        </w:p>
        <w:p>
          <w:pPr>
            <w:pStyle w:val="Contents2"/>
            <w:tabs>
              <w:tab w:val="clear" w:pos="8743"/>
              <w:tab w:val="right" w:pos="9026" w:leader="dot"/>
            </w:tabs>
            <w:rPr/>
          </w:pPr>
          <w:hyperlink w:anchor="__RefHeading___Toc5114565_211673320">
            <w:r>
              <w:rPr>
                <w:webHidden/>
                <w:rStyle w:val="IndexLink"/>
                <w:rtl w:val="true"/>
              </w:rPr>
              <w:t>جمع بين نمازهاي ظهر و عصر و مغرب و عشاء</w:t>
            </w:r>
            <w:r>
              <w:rPr>
                <w:rStyle w:val="IndexLink"/>
                <w:rtl w:val="true"/>
              </w:rPr>
              <w:tab/>
            </w:r>
            <w:r>
              <w:rPr>
                <w:rStyle w:val="IndexLink"/>
              </w:rPr>
              <w:t>134</w:t>
            </w:r>
          </w:hyperlink>
        </w:p>
        <w:p>
          <w:pPr>
            <w:pStyle w:val="Contents2"/>
            <w:tabs>
              <w:tab w:val="clear" w:pos="8743"/>
              <w:tab w:val="right" w:pos="9026" w:leader="dot"/>
            </w:tabs>
            <w:rPr/>
          </w:pPr>
          <w:hyperlink w:anchor="__RefHeading___Toc5114567_211673320">
            <w:r>
              <w:rPr>
                <w:webHidden/>
                <w:rStyle w:val="IndexLink"/>
                <w:rtl w:val="true"/>
              </w:rPr>
              <w:t>نماز تراويح</w:t>
            </w:r>
            <w:r>
              <w:rPr>
                <w:rStyle w:val="IndexLink"/>
                <w:rtl w:val="true"/>
              </w:rPr>
              <w:tab/>
            </w:r>
            <w:r>
              <w:rPr>
                <w:rStyle w:val="IndexLink"/>
              </w:rPr>
              <w:t>138</w:t>
            </w:r>
          </w:hyperlink>
        </w:p>
        <w:p>
          <w:pPr>
            <w:pStyle w:val="Contents2"/>
            <w:tabs>
              <w:tab w:val="clear" w:pos="8743"/>
              <w:tab w:val="right" w:pos="9026" w:leader="dot"/>
            </w:tabs>
            <w:rPr/>
          </w:pPr>
          <w:hyperlink w:anchor="__RefHeading___Toc5114569_211673320">
            <w:r>
              <w:rPr>
                <w:webHidden/>
                <w:rStyle w:val="IndexLink"/>
                <w:rtl w:val="true"/>
              </w:rPr>
              <w:t>خمس</w:t>
            </w:r>
            <w:r>
              <w:rPr>
                <w:rStyle w:val="IndexLink"/>
                <w:rtl w:val="true"/>
              </w:rPr>
              <w:tab/>
            </w:r>
            <w:r>
              <w:rPr>
                <w:rStyle w:val="IndexLink"/>
              </w:rPr>
              <w:t>140</w:t>
            </w:r>
          </w:hyperlink>
        </w:p>
        <w:p>
          <w:pPr>
            <w:pStyle w:val="Contents2"/>
            <w:tabs>
              <w:tab w:val="clear" w:pos="8743"/>
              <w:tab w:val="right" w:pos="9026" w:leader="dot"/>
            </w:tabs>
            <w:rPr/>
          </w:pPr>
          <w:hyperlink w:anchor="__RefHeading___Toc5114571_211673320">
            <w:r>
              <w:rPr>
                <w:webHidden/>
                <w:rStyle w:val="IndexLink"/>
                <w:rtl w:val="true"/>
              </w:rPr>
              <w:t>ازدواج موقت</w:t>
            </w:r>
            <w:r>
              <w:rPr>
                <w:rStyle w:val="IndexLink"/>
                <w:rtl w:val="true"/>
              </w:rPr>
              <w:tab/>
            </w:r>
            <w:r>
              <w:rPr>
                <w:rStyle w:val="IndexLink"/>
              </w:rPr>
              <w:t>143</w:t>
            </w:r>
          </w:hyperlink>
        </w:p>
        <w:p>
          <w:pPr>
            <w:pStyle w:val="Contents2"/>
            <w:tabs>
              <w:tab w:val="clear" w:pos="8743"/>
              <w:tab w:val="right" w:pos="9026" w:leader="dot"/>
            </w:tabs>
            <w:rPr/>
          </w:pPr>
          <w:hyperlink w:anchor="__RefHeading___Toc5114573_211673320">
            <w:r>
              <w:rPr>
                <w:webHidden/>
                <w:rStyle w:val="IndexLink"/>
                <w:rtl w:val="true"/>
              </w:rPr>
              <w:t>عدالت صحابه</w:t>
            </w:r>
            <w:r>
              <w:rPr>
                <w:rStyle w:val="IndexLink"/>
                <w:rtl w:val="true"/>
              </w:rPr>
              <w:tab/>
            </w:r>
            <w:r>
              <w:rPr>
                <w:rStyle w:val="IndexLink"/>
              </w:rPr>
              <w:t>149</w:t>
            </w:r>
          </w:hyperlink>
        </w:p>
        <w:p>
          <w:pPr>
            <w:pStyle w:val="Contents2"/>
            <w:tabs>
              <w:tab w:val="clear" w:pos="8743"/>
              <w:tab w:val="right" w:pos="9026" w:leader="dot"/>
            </w:tabs>
            <w:rPr/>
          </w:pPr>
          <w:hyperlink w:anchor="__RefHeading___Toc5114575_211673320">
            <w:r>
              <w:rPr>
                <w:webHidden/>
                <w:rStyle w:val="IndexLink"/>
                <w:rtl w:val="true"/>
              </w:rPr>
              <w:t>برخي از خدمات دانشمندان شيعه</w:t>
            </w:r>
            <w:r>
              <w:rPr>
                <w:rStyle w:val="IndexLink"/>
                <w:rtl w:val="true"/>
              </w:rPr>
              <w:tab/>
            </w:r>
            <w:r>
              <w:rPr>
                <w:rStyle w:val="IndexLink"/>
              </w:rPr>
              <w:t>153</w:t>
            </w:r>
          </w:hyperlink>
        </w:p>
        <w:p>
          <w:pPr>
            <w:pStyle w:val="Contents2"/>
            <w:tabs>
              <w:tab w:val="clear" w:pos="8743"/>
              <w:tab w:val="right" w:pos="9026" w:leader="dot"/>
            </w:tabs>
            <w:rPr/>
          </w:pPr>
          <w:hyperlink w:anchor="__RefHeading___Toc5114577_211673320">
            <w:r>
              <w:rPr>
                <w:webHidden/>
                <w:rStyle w:val="IndexLink"/>
                <w:rtl w:val="true"/>
              </w:rPr>
              <w:t>شيعه و سني برادرند</w:t>
            </w:r>
            <w:r>
              <w:rPr>
                <w:rStyle w:val="IndexLink"/>
                <w:rtl w:val="true"/>
              </w:rPr>
              <w:tab/>
            </w:r>
            <w:r>
              <w:rPr>
                <w:rStyle w:val="IndexLink"/>
              </w:rPr>
              <w:t>157</w:t>
            </w:r>
          </w:hyperlink>
        </w:p>
        <w:p>
          <w:pPr>
            <w:pStyle w:val="Contents2"/>
            <w:tabs>
              <w:tab w:val="clear" w:pos="8743"/>
              <w:tab w:val="right" w:pos="9026" w:leader="dot"/>
            </w:tabs>
            <w:rPr/>
          </w:pPr>
          <w:hyperlink w:anchor="__RefHeading___Toc5114579_211673320">
            <w:r>
              <w:rPr>
                <w:webHidden/>
                <w:rStyle w:val="IndexLink"/>
                <w:rtl w:val="true"/>
              </w:rPr>
              <w:t>منابع</w:t>
            </w:r>
            <w:r>
              <w:rPr>
                <w:rStyle w:val="IndexLink"/>
                <w:rtl w:val="true"/>
              </w:rPr>
              <w:tab/>
            </w:r>
            <w:r>
              <w:rPr>
                <w:rStyle w:val="IndexLink"/>
              </w:rPr>
              <w:t>158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93_6512"/>
      <w:bookmarkStart w:id="1" w:name="pg593_6512"/>
      <w:bookmarkEnd w:id="1"/>
    </w:p>
    <w:p>
      <w:pPr>
        <w:pStyle w:val="Heading2"/>
        <w:numPr>
          <w:ilvl w:val="1"/>
          <w:numId w:val="1"/>
        </w:numPr>
        <w:rPr/>
      </w:pPr>
      <w:bookmarkStart w:id="2" w:name="pg593_6512"/>
      <w:bookmarkStart w:id="3" w:name="__RefHeading___Toc5114467_211673320"/>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استادي رضا، </w:t>
      </w:r>
      <w:r>
        <w:rPr>
          <w:rFonts w:ascii="IRNazanin" w:hAnsi="IRNazanin" w:eastAsia="IRNazanin"/>
          <w:color w:val="111111"/>
          <w:sz w:val="28"/>
          <w:sz w:val="28"/>
          <w:szCs w:val="28"/>
          <w:lang w:bidi="fa-IR"/>
        </w:rPr>
        <w:t>۱۳۱۶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و پاسخ به چند پرسش به‌كوشش رضا استادي 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۱۶۴</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۹۰۰۰</w:t>
      </w:r>
      <w:r>
        <w:rPr>
          <w:rFonts w:ascii="Amiri" w:hAnsi="Amiri" w:eastAsia="Amiri" w:cs="Amiri"/>
          <w:color w:val="111111"/>
          <w:sz w:val="28"/>
          <w:sz w:val="28"/>
          <w:szCs w:val="28"/>
          <w:rtl w:val="true"/>
          <w:lang w:bidi="ar-SA"/>
        </w:rPr>
        <w:t xml:space="preserve"> ريال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كتابنامه ص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۱۶۴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دفاعيه‌ها و رديه‌ها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۲۱۱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۴۱۷۲</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‌۸۵</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۲۴۲۳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114469_211673320"/>
      <w:bookmarkStart w:id="6" w:name="_Toc2"/>
      <w:bookmarkEnd w:id="5"/>
      <w:r>
        <w:rPr>
          <w:rtl w:val="true"/>
        </w:rPr>
        <w:t>اشاره</w:t>
      </w:r>
      <w:bookmarkStart w:id="7" w:name="pg593_6519"/>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5114471_211673320"/>
      <w:bookmarkStart w:id="9" w:name="_Toc3"/>
      <w:bookmarkEnd w:id="7"/>
      <w:bookmarkEnd w:id="8"/>
      <w:r>
        <w:rPr>
          <w:rtl w:val="true"/>
        </w:rPr>
        <w:t>پيشگفتار</w:t>
      </w:r>
      <w:bookmarkEnd w:id="9"/>
    </w:p>
    <w:p>
      <w:pPr>
        <w:pStyle w:val="BookText"/>
        <w:rPr/>
      </w:pPr>
      <w:r>
        <w:rPr>
          <w:rFonts w:ascii="IRNazanin" w:hAnsi="IRNazanin" w:eastAsia="IRNazanin"/>
          <w:color w:val="111111"/>
          <w:sz w:val="28"/>
          <w:sz w:val="28"/>
          <w:szCs w:val="28"/>
          <w:rtl w:val="true"/>
          <w:lang w:bidi="fa-IR"/>
        </w:rPr>
        <w:t>بيشتر زائران شيعه كه از ايران براي انجام عمره مفرده و يا حج تمتع به مدينه و مكه مشرف مي شوند در دو هفته يا چهار هفته اي كه با اهل تسنن معاشرت و مصاحبت دارند سؤال هايي برايشان پيش مي آيد و يا گاهي سؤال هايي از ايشان مي شود و نيز احياناً اعتراض هايي را به مذهب شيعه مي شنوند كه در هر سه صورت مايلند درباره اين مسائل دست كم آشنايي مختصري داشته باشند كه هم خود گرفتار ابهام نشوند و هم بتوانند در حدّ اطلاع خود پاسخگوي سؤال كنندگان باشند و هم به بي اساس بودن آن اعتراضات آگاه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مهمترين اين مسائل عبارت است 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شيعه از چه زماني پيدا شده است؟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دليل شيعيان براي اعتقاد به امامت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يازده فرزند معصوم او چيست؟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نظر شيعه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ويژگي هايي دارند؟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علت اختلاف شيعه و سنّي در بخشي از مسائل اعتقادي و احكام فقهي چيست؟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چرا گاهي برخي از سني هاي وهابي، شيعه را مشرك مي خوانند؟ اشتباه آنان در چيست؟</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آيا اعتقاد شيعه به شفاعت دليل قرآني و روائي دارد؟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چه دليل شيعه زيارت قبر پيامبر و امامان معصوم و مؤمنان را مستحب مي داند؟</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آيا استحباب توسل به اولياء خدا از نظر قرآن و روايات دليلي دارد؟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معني بدعت چيست كه گاهي برخي وهابي ها به اشتباه بخشي از عبادات شيعه را بدعت مي نامند؟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چرا شيعه در مواردي تقيه مي كند و مقصود از تقيه چيست؟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دوستي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لوازمي دارد؟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چرا شيعيان مانند سنّي ها وضو نمي گيرند؟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چرا در اذان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علي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 گويند؟</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چرا مانند بيشتر سني ها دست بسته نماز نمي خوانند؟</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چرا مانند سنّي ها در نماز بعد از خواندن سوره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گويند؟</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چرا فقط بر مهر و امثال آن سجده مي كنند؟</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چرا بر خلاف سنّي ها نماز ظهر و عصر، و مغرب و عشاء را با هم مي خوانند؟</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چرا هزار ركعت نماز مستحب ماه رمضان را مانند سنّي ها به جماعت نمي خوانند؟</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مدرك شيعه در وجوب پرداخت خمس چيست؟</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آيا ازدواج موقّت از نظر قرآن و روايات جائز است يا نه؟</w:t>
      </w:r>
    </w:p>
    <w:p>
      <w:pPr>
        <w:pStyle w:val="BookText"/>
        <w:rPr/>
      </w:pPr>
      <w:r>
        <w:rPr>
          <w:rFonts w:ascii="IRNazanin" w:hAnsi="IRNazanin" w:eastAsia="IRNazanin"/>
          <w:color w:val="111111"/>
          <w:sz w:val="28"/>
          <w:sz w:val="28"/>
          <w:szCs w:val="28"/>
          <w:rtl w:val="true"/>
          <w:lang w:bidi="fa-IR"/>
        </w:rPr>
        <w:t xml:space="preserve">كساني كه با مكتب شيعه و مسائل امامت و معارف مكتب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 باشند مي دانند كه در طول تاريخ اسلام و بويژه در عصر حاضر كتاب هاي فراواني به زبان عربي و فارسي و غيره تأليف و منتشر شده كه درباره اين مسائل و ساير مسائل مربوط به شيعه و مكتب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اي مستدل و مستند و منطقي، مباحث لازم را مطرح نموده اند و علاوه بر تحقيق و بيان مسائل، به همه شبهاتي كه از طرف مخالفين ايراد شده نيز پاسخ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مقصود از تنظيم اين كتاب اطلاع رساني در سطح عموم مردم است بهتر ديديم كه با استفاده و اقتباس از سه كتاب از اين كتابها كه در سالهاي اخير منتشر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منشور عقائد اماميه در صدو پنجاه اصل تأليف آية الله حاج شيخ جعفر سبحاني</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درآمدي بر شيعه شناسي تأليف استاد گرانقدر علي رباني گلپايگاني</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شيعه شناسي و پاسخ به شبهات تأليف فاضل محترم علي اصغر رضواني</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چند مسأله اي كه ياد شد اطلاعات كوتاه و در عين حال قانع كننده و محكمي را در اختيار زائران گرامي بگذاريم اميد است در حدّ خود سودمند باشد</w:t>
      </w:r>
      <w:r>
        <w:rPr>
          <w:rFonts w:eastAsia="IRNazanin" w:cs="IRNazanin"/>
          <w:color w:val="111111"/>
          <w:sz w:val="28"/>
          <w:szCs w:val="28"/>
          <w:rtl w:val="true"/>
          <w:lang w:bidi="fa-IR"/>
        </w:rPr>
        <w:t>.</w:t>
      </w:r>
      <w:bookmarkStart w:id="10" w:name="pg593_6524"/>
    </w:p>
    <w:p>
      <w:pPr>
        <w:pStyle w:val="Heading2"/>
        <w:numPr>
          <w:ilvl w:val="1"/>
          <w:numId w:val="1"/>
        </w:numPr>
        <w:rPr/>
      </w:pPr>
      <w:bookmarkStart w:id="11" w:name="__RefHeading___Toc5114473_211673320"/>
      <w:bookmarkStart w:id="12" w:name="_Toc4"/>
      <w:bookmarkEnd w:id="10"/>
      <w:bookmarkEnd w:id="11"/>
      <w:r>
        <w:rPr>
          <w:rtl w:val="true"/>
        </w:rPr>
        <w:t>تاريخ پيدايش شيعه</w:t>
      </w:r>
      <w:bookmarkEnd w:id="12"/>
    </w:p>
    <w:p>
      <w:pPr>
        <w:pStyle w:val="BookText"/>
        <w:rPr/>
      </w:pPr>
      <w:r>
        <w:rPr>
          <w:rFonts w:ascii="IRNazanin" w:hAnsi="IRNazanin" w:eastAsia="IRNazanin"/>
          <w:color w:val="111111"/>
          <w:sz w:val="28"/>
          <w:sz w:val="28"/>
          <w:szCs w:val="28"/>
          <w:rtl w:val="true"/>
          <w:lang w:bidi="fa-IR"/>
        </w:rPr>
        <w:t xml:space="preserve">شيعه در لغت به معني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اصطلاح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اماميه و يا شيعه دوازده امامي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گروهي از مسلمانان گفته مي شود كه پس از درگذشت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يازده فرزند معصوم او را امام و جانشين او مي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معني پيرو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معني كساني كه پيروي آن حضرت را برگزيده و به او اظهار محبت و ارادت نموده اند به عصر رسالت باز مي گردد زيرا مطابق احاديثي كه محدّثان سنّي و شيعي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اند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هواداران و پيروان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اين نام ناميده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جلال الدين سيوطي از جابربن عبدالله انصاري و عبدالله بن عباس روايت كرده است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آيه 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الذين آمنوا و عملوا الصالحات اولئك هم خير البريّة</w:t>
      </w:r>
      <w:r>
        <w:rPr>
          <w:rFonts w:eastAsia="Amiri" w:cs="Amiri" w:ascii="Amiri" w:hAnsi="Amiri"/>
          <w:color w:val="111111"/>
          <w:sz w:val="28"/>
          <w:szCs w:val="28"/>
          <w:rtl w:val="true"/>
          <w:lang w:bidi="ar-SA"/>
        </w:rPr>
        <w:t xml:space="preserve">) </w:t>
      </w:r>
      <w:r>
        <w:rPr>
          <w:rStyle w:val="FootnoteAnchor"/>
          <w:rtl w:val="true"/>
        </w:rPr>
        <w:footnoteReference w:id="2"/>
      </w:r>
      <w:r>
        <w:rPr>
          <w:rFonts w:ascii="IRNazanin" w:hAnsi="IRNazanin" w:eastAsia="IRNazanin"/>
          <w:color w:val="111111"/>
          <w:sz w:val="28"/>
          <w:sz w:val="28"/>
          <w:szCs w:val="28"/>
          <w:rtl w:val="true"/>
          <w:lang w:bidi="fa-IR"/>
        </w:rPr>
        <w:t xml:space="preserve">به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شيعيانش در روز قيامت رستگار خواهند بود</w:t>
      </w:r>
      <w:r>
        <w:rPr>
          <w:rFonts w:eastAsia="IRNazanin" w:cs="IRNazanin"/>
          <w:color w:val="111111"/>
          <w:sz w:val="28"/>
          <w:szCs w:val="28"/>
          <w:rtl w:val="true"/>
          <w:lang w:bidi="fa-IR"/>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اثير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است كه خطاب به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ستقدم علي الله انت و شيعتك راضين مرضيين</w:t>
      </w:r>
      <w:r>
        <w:rPr>
          <w:rFonts w:eastAsia="IRNazanin" w:cs="IRNazanin"/>
          <w:color w:val="111111"/>
          <w:sz w:val="28"/>
          <w:szCs w:val="28"/>
          <w:rtl w:val="true"/>
          <w:lang w:bidi="fa-IR"/>
        </w:rPr>
        <w:t xml:space="preserve">...» </w:t>
      </w:r>
      <w:r>
        <w:rPr>
          <w:rStyle w:val="FootnoteAnchor"/>
          <w:rtl w:val="true"/>
        </w:rPr>
        <w:footnoteReference w:id="4"/>
      </w:r>
      <w:r>
        <w:rPr>
          <w:rFonts w:ascii="Amiri" w:hAnsi="Amiri" w:eastAsia="Amiri" w:cs="Amiri"/>
          <w:color w:val="111111"/>
          <w:sz w:val="28"/>
          <w:sz w:val="28"/>
          <w:szCs w:val="28"/>
          <w:rtl w:val="true"/>
          <w:lang w:bidi="ar-SA"/>
        </w:rPr>
        <w:t>تو و شيعيانت روز قيامت با رضايت و خشنودي بر خداوند وارد مي شويد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شبلنجي نيز نظير اين روايت را در كتاب نورالابصار نقل كرده است</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سيوطي در حديثي ديگر از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است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آيه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الذين آمنوا و عملوا الصالحات اولئك هم خير البريّة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شيعيان تو است وعده گاه من و شما حوض كوثر است، آن گاه كه امت ها را براي حساب مي آورند، شما شادمان و سرافراز خواهيد بود</w:t>
      </w:r>
      <w:r>
        <w:rPr>
          <w:rFonts w:eastAsia="IRNazanin" w:cs="IRNazanin"/>
          <w:color w:val="111111"/>
          <w:sz w:val="28"/>
          <w:szCs w:val="28"/>
          <w:rtl w:val="true"/>
          <w:lang w:bidi="fa-IR"/>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حجر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 سلمه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من بود،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او</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پيامبر وارد شدند،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علي انت و اصحابك في الجنة و شيعتك في الجنة </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و اصحاب و شيعيانت در بهشت خواهيد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خطيب خوارزمي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علي ابن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شد، درختي را ديد كه به زينت هاي مختلف آذين بندي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جبرئيل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درخت از چه كسي است؟ 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پسر عمويت علي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هرگاه خداوند بهشتيان را وارد بهشت كند، شيعيان علي را نزد اين درخت مي آورند و از زينت هاي آن بهره مند مي شوند، آن گاه منادي اعلان مي كند كه اين افراد شيعيان علي بن ابيطالب اند كه در دنيا بر اذيت ها صبر كردند، و اينك اين موهبت ها به آنان عطا شده است</w:t>
      </w:r>
      <w:r>
        <w:rPr>
          <w:rFonts w:eastAsia="IRNazanin" w:cs="IRNazanin"/>
          <w:color w:val="111111"/>
          <w:sz w:val="28"/>
          <w:szCs w:val="28"/>
          <w:rtl w:val="true"/>
          <w:lang w:bidi="fa-IR"/>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 در جاي ديگر از جابر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نزد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بوديم در اين هنگام علي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پيامبر خطاب به ما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أتاكم اخي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آمد سپس روي به كعبه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و شيعته هم الفائزون يوم القيامة</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علي و شيعيان او در روز قيامت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حديث ديگر نيز در كتب اهل سنّت در اين باره روايت شده است كه به خاطر طولاني نشدن كلام از ذكر آن خودداري شد</w:t>
      </w:r>
      <w:r>
        <w:rPr>
          <w:rFonts w:eastAsia="IRNazanin" w:cs="IRNazanin"/>
          <w:color w:val="111111"/>
          <w:sz w:val="28"/>
          <w:szCs w:val="28"/>
          <w:rtl w:val="true"/>
          <w:lang w:bidi="fa-IR"/>
        </w:rPr>
        <w:t xml:space="preserve">. </w:t>
      </w:r>
      <w:r>
        <w:rPr>
          <w:rStyle w:val="FootnoteAnchor"/>
          <w:rtl w:val="true"/>
        </w:rPr>
        <w:footnoteReference w:id="10"/>
      </w:r>
      <w:r>
        <w:rPr>
          <w:rFonts w:ascii="Amiri" w:hAnsi="Amiri" w:eastAsia="Amiri" w:cs="Amiri"/>
          <w:color w:val="111111"/>
          <w:sz w:val="28"/>
          <w:sz w:val="28"/>
          <w:szCs w:val="28"/>
          <w:rtl w:val="true"/>
          <w:lang w:bidi="ar-SA"/>
        </w:rPr>
        <w:t>و نقل موارد ياد شده براي اثبات مقصود ما كافي است</w:t>
      </w:r>
      <w:r>
        <w:rPr>
          <w:rFonts w:eastAsia="Amiri" w:cs="Amiri" w:ascii="Amiri" w:hAnsi="Amiri"/>
          <w:color w:val="111111"/>
          <w:sz w:val="28"/>
          <w:szCs w:val="28"/>
          <w:rtl w:val="true"/>
          <w:lang w:bidi="ar-SA"/>
        </w:rPr>
        <w:t xml:space="preserve">. </w:t>
      </w:r>
      <w:r>
        <w:rPr>
          <w:rStyle w:val="FootnoteAnchor"/>
          <w:rtl w:val="true"/>
        </w:rPr>
        <w:footnoteReference w:id="11"/>
      </w:r>
      <w:r>
        <w:rPr>
          <w:rFonts w:ascii="IRNazanin" w:hAnsi="IRNazanin" w:eastAsia="IRNazanin"/>
          <w:color w:val="111111"/>
          <w:sz w:val="28"/>
          <w:sz w:val="28"/>
          <w:szCs w:val="28"/>
          <w:rtl w:val="true"/>
          <w:lang w:bidi="fa-IR"/>
        </w:rPr>
        <w:t xml:space="preserve">از اين احاديث به دست مي آيد كه نام شيعه نخستين بار توسط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هواداران و پيروان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 كه اين اصطلاح شناخته شده بود، پس از رحلت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الوصية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كه حوادث مربوط به سقيفه را نقل كرده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ماجراي بيعت با ابوبكر در سقيفه پايان يافت، حضرت علي و عدّه اي از شيعيان وي در منزل او اجتماع نمودند</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كاشف الغطاء پس از اشاره به اين احاديث گفته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مدلول اين احاديث اين است كه گروهي از صحابه پيامبر شيعه 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اند و مقصود از شيعه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فقط او را دوست مي داشتند يا به او عداوت نميورزيدند نيست، زيرا محبت فردي نسبت به ديگري، يا عداوت نداشتن نسبت به وي، كافي در شيعه ناميدن آن فرد نيست، و واژه ي شيعه در فرهنگ</w:t>
      </w:r>
    </w:p>
    <w:p>
      <w:pPr>
        <w:pStyle w:val="BookText"/>
        <w:rPr/>
      </w:pPr>
      <w:r>
        <w:rPr>
          <w:rFonts w:ascii="IRNazanin" w:hAnsi="IRNazanin" w:eastAsia="IRNazanin"/>
          <w:color w:val="111111"/>
          <w:sz w:val="28"/>
          <w:sz w:val="28"/>
          <w:szCs w:val="28"/>
          <w:rtl w:val="true"/>
          <w:lang w:bidi="fa-IR"/>
        </w:rPr>
        <w:t>عربي به معني فقط دوست داشتن نيست بلكه مفاد آن علاوه بر محبت ورزيدن، پيروي كردن است</w:t>
      </w:r>
      <w:r>
        <w:rPr>
          <w:rFonts w:eastAsia="IRNazanin" w:cs="IRNazanin"/>
          <w:color w:val="111111"/>
          <w:sz w:val="28"/>
          <w:szCs w:val="28"/>
          <w:rtl w:val="true"/>
          <w:lang w:bidi="fa-IR"/>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طباطبايي نيز در مورد تاريخ پيدايش شيعه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آغاز پيدايش شيعه را همان زمان حيات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 سپس به برخي از احاديثي كه بر امامت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شخصيت ممتاز او در ميان صحابه و ارتباط ويژه ي او با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مي كند اشاره كرده و ياد آور شده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بديهي است اين چنين امتيازات و فضايل اختصاصي ديگر كه مورد اتفاق همگان بود و علاقه شديدي كه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طبعاً عده اي از ياران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شيفتگان فضيلت و حقيقت بودند بر اين وا مي داشت كه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داشته به دورش گرد آيند و از او پيروي كنند، چنان كه عده اي را بر حسد و كينه آن حضرت وا مي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همه ي اينها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شيعه اهل بيت در سخنان</w:t>
      </w:r>
    </w:p>
    <w:p>
      <w:pPr>
        <w:pStyle w:val="BookText"/>
        <w:rPr/>
      </w:pPr>
      <w:r>
        <w:rPr>
          <w:rFonts w:ascii="IRNazanin" w:hAnsi="IRNazanin" w:eastAsia="IRNazanin"/>
          <w:color w:val="111111"/>
          <w:sz w:val="28"/>
          <w:sz w:val="28"/>
          <w:szCs w:val="28"/>
          <w:rtl w:val="true"/>
          <w:lang w:bidi="fa-IR"/>
        </w:rPr>
        <w:t xml:space="preserve">پيغمبراكرم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ديده مي شود</w:t>
      </w:r>
      <w:r>
        <w:rPr>
          <w:rFonts w:eastAsia="IRNazanin" w:cs="IRNazanin"/>
          <w:color w:val="111111"/>
          <w:sz w:val="28"/>
          <w:szCs w:val="28"/>
          <w:rtl w:val="true"/>
          <w:lang w:bidi="fa-IR"/>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دقت در اين نظريه روشن مي شود كه مقصود اين نيست كه در عصر رسالت گروهي امامت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پذيرفته و گروهي آن را نپذيرفته اند و بدين جهت گروه نخست شيعه ناميده شده اند، تا گفته شود در آن زمان اختلافي در اين باره پديد نيامده بود، بلكه مقصود وجود گروهي از صحابه است كه به احاديث نبوي در مورد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شأن و منزلت او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نموده و به اين دليل به او ارادت ميورزيدند، و پيروي از او را راه درست و پيروي از پيامبر مي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 از اين افراد، همان كساني اند كه پس از رحلت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هواداران و پيروان خاص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مي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گروه را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ي علي ناميده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گروهي ديگر از دانشمندان، تاريخ پيدايش شيعه را پس از رحلت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ارتباط با اختلاف مسلمانان در مسأله ي خلافت و امامت، و به عبارت ديگر در ماجراي سقيفه بني ساعده مي دانند؛ زيرا در سقيفه در ارتباط با جانشين پيامبر و رهبر مسلمين نخست دو پيشنهاد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اي از انصار سعد بن عباده را براي خلافت و رهبري پيشنهاد كردند، و گروهي از مهاجران به خلافت ابوبكر رأي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گفتگوهايي كه ميان دو گروه رخ داد، ماجرا به نفع گروه دوم پايان يافت، و از سوي ديگر،</w:t>
      </w:r>
    </w:p>
    <w:p>
      <w:pPr>
        <w:pStyle w:val="BookText"/>
        <w:rPr/>
      </w:pPr>
      <w:r>
        <w:rPr>
          <w:rFonts w:ascii="IRNazanin" w:hAnsi="IRNazanin" w:eastAsia="IRNazanin"/>
          <w:color w:val="111111"/>
          <w:sz w:val="28"/>
          <w:sz w:val="28"/>
          <w:szCs w:val="28"/>
          <w:rtl w:val="true"/>
          <w:lang w:bidi="fa-IR"/>
        </w:rPr>
        <w:t xml:space="preserve">عده اي از مسلمانان كه بني هاشم، و عده اي از مهاجران و انصار را تشكيل مي دادند، به امامت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گروه همان شيعه 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جا شيعه به عنوان مذهبي خاص در جهان اسلام پديد آمد</w:t>
      </w:r>
      <w:r>
        <w:rPr>
          <w:rFonts w:eastAsia="IRNazanin" w:cs="IRNazanin"/>
          <w:color w:val="111111"/>
          <w:sz w:val="28"/>
          <w:szCs w:val="28"/>
          <w:rtl w:val="true"/>
          <w:lang w:bidi="fa-IR"/>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اين دو ديدگاه در حقيقت، با يكديگر ناسازگار نيستند، بلكه هر يك از آن دو از جهت ويژه اي به اين مسأله نگريسته است كه در حد خود درست و استوار است، و با شواهد و دلايل روايي و تاريخي هم آهنگ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نظريه ي نخست اين است كه عقيده ي تشيع و گرايش هاي شيعي در عصر رسالت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نخستين فردي كه شيعه</w:t>
      </w:r>
    </w:p>
    <w:p>
      <w:pPr>
        <w:pStyle w:val="BookText"/>
        <w:rPr/>
      </w:pPr>
      <w:r>
        <w:rPr>
          <w:rFonts w:ascii="IRNazanin" w:hAnsi="IRNazanin" w:eastAsia="IRNazanin"/>
          <w:color w:val="111111"/>
          <w:sz w:val="28"/>
          <w:sz w:val="28"/>
          <w:szCs w:val="28"/>
          <w:rtl w:val="true"/>
          <w:lang w:bidi="fa-IR"/>
        </w:rPr>
        <w:t xml:space="preserve">را مطرح نموده است، رسول گرامي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ولي در آن زمان مسلمانان به دو فرقه ي شيعه و غير شيعه تقسيم نشده بودند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نظريه ي دوم اين است كه اختلاف در مورد خلافت و امامت منشأ ظهور شيعه و سنّي شد، و گروهي به عنوان شيعه از خلافت و امامت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طرفداري مي كردند، در مقابل گروه ديگر ابوبكر را به عنوان خليفه ي بلافصل پيامبر برگزيدند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ظهور مذهب شيعه نيز به اين تاريخ باز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اين دو ديدگاه با يكديگر تنافي نداشته، و هريك در جاي خود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برخي از محققان نيز به اين نكته توجه نموده و دو مطلب مزبور را به عنوان دو جنبه يا دو مرحله از يك نظريه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سيد محسن امين نخست به تبيين وجود تفكر و عقيده ي شيعي در عصر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ناميده شدن عده اي از مسلمانان به نام شيعه پرداخته و آن گاه ظهور تشيع را در جريان بحث و گفت و گوي مسلمانان در مورد مسأله ي خلافت يادآور شده و چنين گفته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بحث قبل دانستي كه در زمان پيامبر گروهي از مسلمانان شيعه 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مي آمدند، آن گاه در جريان اختلاف در مسأله ي امامت با زير پاگذاشتن سفارشات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انصار به مهاجران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يك از ما و شما رهبري برگزيده شود، و مهاجران به دليل اين كه از قوم و عشيره ي پيامبرند، و امامت بايد در قريش باشد، جلو افتادند و ابوبكر را خليفه پيامبر دانستند امّا گروهي از بني هاشم و مهاجران و انصار طبق دستور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برگزيدند، آنان همان شيعيان بودند</w:t>
      </w:r>
      <w:r>
        <w:rPr>
          <w:rFonts w:eastAsia="IRNazanin" w:cs="IRNazanin"/>
          <w:color w:val="111111"/>
          <w:sz w:val="28"/>
          <w:szCs w:val="28"/>
          <w:rtl w:val="true"/>
          <w:lang w:bidi="fa-IR"/>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bookmarkStart w:id="13" w:name="pg593_6532"/>
    </w:p>
    <w:p>
      <w:pPr>
        <w:pStyle w:val="Heading2"/>
        <w:numPr>
          <w:ilvl w:val="1"/>
          <w:numId w:val="1"/>
        </w:numPr>
        <w:rPr/>
      </w:pPr>
      <w:bookmarkStart w:id="14" w:name="__RefHeading___Toc5114475_211673320"/>
      <w:bookmarkStart w:id="15" w:name="_Toc5"/>
      <w:bookmarkEnd w:id="13"/>
      <w:bookmarkEnd w:id="14"/>
      <w:r>
        <w:rPr>
          <w:rtl w:val="true"/>
        </w:rPr>
        <w:t>چرا شيعه را رافضي ناميدند؟</w:t>
      </w:r>
      <w:bookmarkEnd w:id="15"/>
    </w:p>
    <w:p>
      <w:pPr>
        <w:pStyle w:val="BookText"/>
        <w:rPr/>
      </w:pPr>
      <w:r>
        <w:rPr>
          <w:rFonts w:ascii="IRNazanin" w:hAnsi="IRNazanin" w:eastAsia="IRNazanin"/>
          <w:color w:val="111111"/>
          <w:sz w:val="28"/>
          <w:sz w:val="28"/>
          <w:szCs w:val="28"/>
          <w:rtl w:val="true"/>
          <w:lang w:bidi="fa-IR"/>
        </w:rPr>
        <w:t>از برخي احاديث و گزارش هاي تاريخي به دست مي آيد كه در عصر بني اميه، دشمنان اهل بيت و شيعيان، براي ابراز و اعمال عداوت و خصومت نسبت به آنان اصطلاح رافضي درباره شيعه را به كار مي بردند، و رافضي بودن را جرمي نابخشودني به شمار مي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را رافضي مي ناميدند سزاوار شكنجه و قتل مي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حديثي آمده است كه ابوبصير 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گردم، ما را به نامي لقب داده اند كه زمامداران اموي به واسطه ي آن خون و مال و شكنجه كردن ما را مباح مي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نام چيست؟ ابوبصير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نام رافضه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روايت نكات ذيل به دست مي آيد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در آن زمان شيعيان را رافضيان مي ناميدند</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رافضي ناميدن آنان بيشتر توسط حكّام اموي انجام</w:t>
      </w:r>
    </w:p>
    <w:p>
      <w:pPr>
        <w:pStyle w:val="BookText"/>
        <w:rPr/>
      </w:pPr>
      <w:r>
        <w:rPr>
          <w:rFonts w:ascii="IRNazanin" w:hAnsi="IRNazanin" w:eastAsia="IRNazanin"/>
          <w:color w:val="111111"/>
          <w:sz w:val="28"/>
          <w:sz w:val="28"/>
          <w:szCs w:val="28"/>
          <w:rtl w:val="true"/>
          <w:lang w:bidi="fa-IR"/>
        </w:rPr>
        <w:t>مي گرفت و هدف آنان اين بود كه شيعيان را مورد شكنجه و آزار قرار دهند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وجه رافضي دانستن شيعيان اين بود است كه آنان نسبت به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محبّت مي كردند و فضايل او را بر مي شمردند، و او را برتر از ديگران مي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در حالي بود كه حكّام اموي اظهار محبّت نسبت به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شمردن فضايل او را جرم مي انگاشتند</w:t>
      </w:r>
      <w:r>
        <w:rPr>
          <w:rFonts w:eastAsia="IRNazanin" w:cs="IRNazanin"/>
          <w:color w:val="111111"/>
          <w:sz w:val="28"/>
          <w:szCs w:val="28"/>
          <w:rtl w:val="true"/>
          <w:lang w:bidi="fa-IR"/>
        </w:rPr>
        <w:t>.</w:t>
      </w:r>
      <w:bookmarkStart w:id="16" w:name="pg593_6534"/>
    </w:p>
    <w:p>
      <w:pPr>
        <w:pStyle w:val="Heading2"/>
        <w:numPr>
          <w:ilvl w:val="1"/>
          <w:numId w:val="1"/>
        </w:numPr>
        <w:rPr/>
      </w:pPr>
      <w:bookmarkStart w:id="17" w:name="__RefHeading___Toc5114477_211673320"/>
      <w:bookmarkStart w:id="18" w:name="_Toc6"/>
      <w:bookmarkEnd w:id="16"/>
      <w:bookmarkEnd w:id="17"/>
      <w:r>
        <w:rPr>
          <w:rtl w:val="true"/>
        </w:rPr>
        <w:t>ادله امامت حضرت علي</w:t>
      </w:r>
      <w:bookmarkEnd w:id="18"/>
    </w:p>
    <w:p>
      <w:pPr>
        <w:pStyle w:val="Heading3"/>
        <w:numPr>
          <w:ilvl w:val="2"/>
          <w:numId w:val="1"/>
        </w:numPr>
        <w:rPr/>
      </w:pPr>
      <w:bookmarkStart w:id="19" w:name="__RefHeading___Toc5114479_211673320"/>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 xml:space="preserve">شيعه معتقد است كه 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خداي متعال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جانشين و امام بعد از خود تعيين كرد و به بيان هاي مختلف آن را اظهار نمود، تنها راه حق همين بود كه مسلمانان امامت آن حضرت را مي پذيرفتند و شيعه اين افتخار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پذيرفتن گفتار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جانشين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دارد و آنان كه از راه انتخاب، خلافت و جانشيني شخص ديگر را پذيرفتند راهي غير از راه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پيش گرفته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 هاي اين مطلب</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5114481_211673320"/>
      <w:bookmarkStart w:id="22" w:name="_Toc8"/>
      <w:bookmarkEnd w:id="21"/>
      <w:r>
        <w:rPr>
          <w:rtl w:val="true"/>
        </w:rPr>
        <w:t>حديث يوم الدار</w:t>
      </w:r>
      <w:bookmarkEnd w:id="22"/>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گذشت سه سال از آغاز بعثت، خداي متعال پيامبر را مأمور ساخت كه دعوت خود را آشكار سازد، 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أَنْذِرْ عَشيرَتَكَ اْلأَقْرَبينَ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bookmarkStart w:id="23" w:name="pg593_6535"/>
    </w:p>
    <w:p>
      <w:pPr>
        <w:pStyle w:val="BookText"/>
        <w:rPr/>
      </w:pPr>
      <w:bookmarkEnd w:id="23"/>
      <w:r>
        <w:rPr>
          <w:rFonts w:ascii="IRNazanin" w:hAnsi="IRNazanin" w:eastAsia="IRNazanin"/>
          <w:color w:val="111111"/>
          <w:sz w:val="28"/>
          <w:sz w:val="28"/>
          <w:szCs w:val="28"/>
          <w:rtl w:val="true"/>
          <w:lang w:bidi="fa-IR"/>
        </w:rPr>
        <w:t>سران بني هاشم را جمع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خير دنيا و آخرت را براي شما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امر كرده است كه شما را به آن دعوت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يك از شما مرا در نشر اين آيين ياري مي كند تا برادر و وصيّ و جانشين من باشد؟ حضرت سه مرتبه اين سخن را تكرار نمود و در هر بار تنها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آمادگي خود را اعلان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موقع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هذا أخي و وصييّ و خليفتي فيكم</w:t>
      </w:r>
      <w:r>
        <w:rPr>
          <w:rFonts w:eastAsia="IRNazanin" w:cs="IRNazanin"/>
          <w:color w:val="111111"/>
          <w:sz w:val="28"/>
          <w:szCs w:val="28"/>
          <w:rtl w:val="true"/>
          <w:lang w:bidi="fa-IR"/>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 w:name="__RefHeading___Toc5114483_211673320"/>
      <w:bookmarkStart w:id="25" w:name="_Toc9"/>
      <w:bookmarkEnd w:id="24"/>
      <w:r>
        <w:rPr>
          <w:rtl w:val="true"/>
        </w:rPr>
        <w:t>حديث منزلت</w:t>
      </w:r>
      <w:bookmarkEnd w:id="25"/>
    </w:p>
    <w:p>
      <w:pPr>
        <w:pStyle w:val="BookText"/>
        <w:rPr/>
      </w:pPr>
      <w:r>
        <w:rPr>
          <w:rFonts w:ascii="IRNazanin" w:hAnsi="IRNazanin" w:eastAsia="IRNazanin"/>
          <w:color w:val="111111"/>
          <w:sz w:val="28"/>
          <w:sz w:val="28"/>
          <w:szCs w:val="28"/>
          <w:rtl w:val="true"/>
          <w:lang w:bidi="fa-IR"/>
        </w:rPr>
        <w:t xml:space="preserve">پيامبر گرامي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مختلف، منزلت و مقام امير مؤمنان را نسبت به خود، همان منزلت و مقام هارون نسبت به موسي دانسته و فقط يك مقام از مقامات هارون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نبوت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كرده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أنت منّي بمنزلة هارون من موسي إلاّ أنّه لا نبيّ بعدي</w:t>
      </w:r>
      <w:r>
        <w:rPr>
          <w:rFonts w:eastAsia="IRNazanin" w:cs="IRNazanin"/>
          <w:color w:val="111111"/>
          <w:sz w:val="28"/>
          <w:szCs w:val="28"/>
          <w:rtl w:val="true"/>
          <w:lang w:bidi="fa-IR"/>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نص قرآن كريم، هارون مقام نبوت </w:t>
      </w:r>
      <w:r>
        <w:rPr>
          <w:rStyle w:val="FootnoteAnchor"/>
          <w:rtl w:val="true"/>
        </w:rPr>
        <w:footnoteReference w:id="19"/>
      </w:r>
      <w:r>
        <w:rPr>
          <w:rFonts w:ascii="IRNazanin" w:hAnsi="IRNazanin" w:eastAsia="IRNazanin"/>
          <w:color w:val="111111"/>
          <w:sz w:val="28"/>
          <w:sz w:val="28"/>
          <w:szCs w:val="28"/>
          <w:rtl w:val="true"/>
          <w:lang w:bidi="fa-IR"/>
        </w:rPr>
        <w:t xml:space="preserve">، خلافت </w:t>
      </w:r>
      <w:r>
        <w:rPr>
          <w:rStyle w:val="FootnoteAnchor"/>
          <w:rtl w:val="true"/>
        </w:rPr>
        <w:footnoteReference w:id="20"/>
      </w:r>
      <w:r>
        <w:rPr>
          <w:rFonts w:ascii="IRNazanin" w:hAnsi="IRNazanin" w:eastAsia="IRNazanin"/>
          <w:color w:val="111111"/>
          <w:sz w:val="28"/>
          <w:sz w:val="28"/>
          <w:szCs w:val="28"/>
          <w:rtl w:val="true"/>
          <w:lang w:bidi="fa-IR"/>
        </w:rPr>
        <w:t>و</w:t>
      </w:r>
      <w:bookmarkStart w:id="26" w:name="pg593_6536"/>
    </w:p>
    <w:p>
      <w:pPr>
        <w:pStyle w:val="BookText"/>
        <w:rPr/>
      </w:pPr>
      <w:bookmarkEnd w:id="26"/>
      <w:r>
        <w:rPr>
          <w:rFonts w:ascii="IRNazanin" w:hAnsi="IRNazanin" w:eastAsia="IRNazanin"/>
          <w:color w:val="111111"/>
          <w:sz w:val="28"/>
          <w:sz w:val="28"/>
          <w:szCs w:val="28"/>
          <w:rtl w:val="true"/>
          <w:lang w:bidi="fa-IR"/>
        </w:rPr>
        <w:t xml:space="preserve">وزارت </w:t>
      </w:r>
      <w:r>
        <w:rPr>
          <w:rStyle w:val="FootnoteAnchor"/>
          <w:rtl w:val="true"/>
        </w:rPr>
        <w:footnoteReference w:id="21"/>
      </w:r>
      <w:r>
        <w:rPr>
          <w:rFonts w:ascii="IRNazanin" w:hAnsi="IRNazanin" w:eastAsia="IRNazanin"/>
          <w:color w:val="111111"/>
          <w:sz w:val="28"/>
          <w:sz w:val="28"/>
          <w:szCs w:val="28"/>
          <w:rtl w:val="true"/>
          <w:lang w:bidi="fa-IR"/>
        </w:rPr>
        <w:t xml:space="preserve">را در زمان موسي دارا بود، و حديث منزلت نيز همه مقامات هارون را ـ به استثناي مقام نبوت ـ براي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مقصود، اثبات همه مقامات جز نبوت براي 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نيازي به استثناي نبوت وجود نداشت</w:t>
      </w:r>
      <w:r>
        <w:rPr>
          <w:rFonts w:eastAsia="IRNazanin" w:cs="IRNazanin"/>
          <w:color w:val="111111"/>
          <w:sz w:val="28"/>
          <w:szCs w:val="28"/>
          <w:rtl w:val="true"/>
          <w:lang w:bidi="fa-IR"/>
        </w:rPr>
        <w:t>.</w:t>
      </w:r>
    </w:p>
    <w:p>
      <w:pPr>
        <w:pStyle w:val="Heading3"/>
        <w:numPr>
          <w:ilvl w:val="2"/>
          <w:numId w:val="1"/>
        </w:numPr>
        <w:rPr/>
      </w:pPr>
      <w:bookmarkStart w:id="27" w:name="__RefHeading___Toc5114485_211673320"/>
      <w:bookmarkStart w:id="28" w:name="_Toc10"/>
      <w:bookmarkEnd w:id="27"/>
      <w:r>
        <w:rPr>
          <w:rtl w:val="true"/>
        </w:rPr>
        <w:t>حديث سفينه</w:t>
      </w:r>
      <w:bookmarkEnd w:id="28"/>
    </w:p>
    <w:p>
      <w:pPr>
        <w:pStyle w:val="BookText"/>
        <w:rPr/>
      </w:pPr>
      <w:r>
        <w:rPr>
          <w:rFonts w:ascii="IRNazanin" w:hAnsi="IRNazanin" w:eastAsia="IRNazanin"/>
          <w:color w:val="111111"/>
          <w:sz w:val="28"/>
          <w:sz w:val="28"/>
          <w:szCs w:val="28"/>
          <w:rtl w:val="true"/>
          <w:lang w:bidi="fa-IR"/>
        </w:rPr>
        <w:t xml:space="preserve">پيامبر گرامي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اهل بيت خويش را به كشتي نوح تشبيه مي كند كه هركس بر آن نشست نجات يافت و هركس كه از آن تخلّف جست غرق شد،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مَثَلَ أَهل بيتي فيكم مَثَلُ سَفينة نوحِ في قَومِهِ مَنْ رَكِبَها نَجي وَ مَنْ تَخَلَّفَ عَنْها غَرق</w:t>
      </w:r>
      <w:r>
        <w:rPr>
          <w:rFonts w:eastAsia="IRNazanin" w:cs="IRNazanin"/>
          <w:color w:val="111111"/>
          <w:sz w:val="28"/>
          <w:szCs w:val="28"/>
          <w:rtl w:val="true"/>
          <w:lang w:bidi="fa-IR"/>
        </w:rPr>
        <w:t xml:space="preserve">» </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دانيم كه كشتي نوح، ملجأ و پناهگاه آنان براي نجات از غرق شدن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طبق حديث سفينه، اهل 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يگانه پناهگاه براي نجات از انحراف و گمراهي هستند</w:t>
      </w:r>
      <w:r>
        <w:rPr>
          <w:rFonts w:eastAsia="IRNazanin" w:cs="IRNazanin"/>
          <w:color w:val="111111"/>
          <w:sz w:val="28"/>
          <w:szCs w:val="28"/>
          <w:rtl w:val="true"/>
          <w:lang w:bidi="fa-IR"/>
        </w:rPr>
        <w:t>.</w:t>
      </w:r>
    </w:p>
    <w:p>
      <w:pPr>
        <w:pStyle w:val="Heading3"/>
        <w:numPr>
          <w:ilvl w:val="2"/>
          <w:numId w:val="1"/>
        </w:numPr>
        <w:rPr/>
      </w:pPr>
      <w:bookmarkStart w:id="29" w:name="__RefHeading___Toc5114487_211673320"/>
      <w:bookmarkStart w:id="30" w:name="_Toc11"/>
      <w:bookmarkEnd w:id="29"/>
      <w:r>
        <w:rPr>
          <w:rtl w:val="true"/>
        </w:rPr>
        <w:t>حديث امان امت</w:t>
      </w:r>
      <w:bookmarkEnd w:id="30"/>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خود را سبب وحدت كلمه و دوري امت از اختلاف معرفي مي كند و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النُّجومُ أمانٌ لأهلِ</w:t>
      </w:r>
      <w:bookmarkStart w:id="31" w:name="pg593_6537"/>
    </w:p>
    <w:p>
      <w:pPr>
        <w:pStyle w:val="BookText"/>
        <w:rPr/>
      </w:pPr>
      <w:bookmarkEnd w:id="31"/>
      <w:r>
        <w:rPr>
          <w:rFonts w:ascii="Amiri" w:hAnsi="Amiri" w:eastAsia="Amiri" w:cs="Amiri"/>
          <w:color w:val="111111"/>
          <w:sz w:val="28"/>
          <w:sz w:val="28"/>
          <w:szCs w:val="28"/>
          <w:rtl w:val="true"/>
          <w:lang w:bidi="ar-SA"/>
        </w:rPr>
        <w:t>الأَرضِ مِنَ الغَرْق وَ أَهْلُ بَيْتي أَمانٌ لامتي من الاخْتِلاف</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 xml:space="preserve">گونه كه ستارگان وسيله نجات اهل زمين از غرق شدن در دريا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دريانوردان به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وَبِالنَّجْمِ هُمْ يَهْتَدُون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وسيله ستارگان راه را از ميان امواج پيدا مي كنند و به ساحل مي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من نيز مايه نجات امت از دو دستگي هستند</w:t>
      </w:r>
      <w:r>
        <w:rPr>
          <w:rFonts w:eastAsia="IRNazanin" w:cs="IRNazanin"/>
          <w:color w:val="111111"/>
          <w:sz w:val="28"/>
          <w:szCs w:val="28"/>
          <w:rtl w:val="true"/>
          <w:lang w:bidi="fa-IR"/>
        </w:rPr>
        <w:t>...</w:t>
      </w:r>
    </w:p>
    <w:p>
      <w:pPr>
        <w:pStyle w:val="Heading3"/>
        <w:numPr>
          <w:ilvl w:val="2"/>
          <w:numId w:val="1"/>
        </w:numPr>
        <w:rPr/>
      </w:pPr>
      <w:bookmarkStart w:id="32" w:name="__RefHeading___Toc5114489_211673320"/>
      <w:bookmarkStart w:id="33" w:name="_Toc12"/>
      <w:bookmarkEnd w:id="32"/>
      <w:r>
        <w:rPr>
          <w:rtl w:val="true"/>
        </w:rPr>
        <w:t>حديث ثقلين</w:t>
      </w:r>
      <w:bookmarkEnd w:id="33"/>
    </w:p>
    <w:p>
      <w:pPr>
        <w:pStyle w:val="BookText"/>
        <w:rPr/>
      </w:pPr>
      <w:r>
        <w:rPr>
          <w:rFonts w:ascii="IRNazanin" w:hAnsi="IRNazanin" w:eastAsia="IRNazanin"/>
          <w:color w:val="111111"/>
          <w:sz w:val="28"/>
          <w:sz w:val="28"/>
          <w:szCs w:val="28"/>
          <w:rtl w:val="true"/>
          <w:lang w:bidi="fa-IR"/>
        </w:rPr>
        <w:t>حديث ثقلين، از احاديث متواتر اسلامي است كه علماي سني و شيعه آن را در كتابهاي حديث خود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در اين حديث خطاب به امت اسلام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ميان شما دو چيز گرانبها را باقي مي گذارم و مي 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سپس تمسك به اين دو را مايه هدايت امت، و روگرداني از هر دو يا يكي از آن دو را مايه ضلالت مي داند، چنانكه مي فرمايد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 كتابَ الله وَ عِتْرَتي أَهلَ بَيتي ما إِنْ تَمَسَّكْتُمْ بِهِما لَنْ تَضِلُّوا أَبَداً وَ إِنَّهُما لَنْ يَفْتَرِقا حَتّي يَرِدا عَلَيَّ الحَوْضَ</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bookmarkStart w:id="34" w:name="pg593_6538"/>
    </w:p>
    <w:p>
      <w:pPr>
        <w:pStyle w:val="BookText"/>
        <w:rPr/>
      </w:pPr>
      <w:bookmarkEnd w:id="34"/>
      <w:r>
        <w:rPr>
          <w:rFonts w:ascii="IRNazanin" w:hAnsi="IRNazanin" w:eastAsia="IRNazanin"/>
          <w:color w:val="111111"/>
          <w:sz w:val="28"/>
          <w:sz w:val="28"/>
          <w:szCs w:val="28"/>
          <w:rtl w:val="true"/>
          <w:lang w:bidi="fa-IR"/>
        </w:rPr>
        <w:t xml:space="preserve">اين حديث، مرجعيت علمي عترت و اهل بيت پيامبر رامانند قرآن كريم، به روشني ثابت مي كند، و بر مسلمانان لازم مي دارد كه در امور ديني، به كتاب خدا 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 بجويند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جاي بسي تأسف است كه برخي از كسان همه درها را مي زنند، جز در خانه اهل بيت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ثقلين، كه شيعه و سنّي در نقل آن اتفاق دارند، مي تواند همه مسلمانان جهان را به صورت امتي واحد گرد آورد، زيرا اگر در موضوع تعيين خليفه و زمامدار سياسي امت پس از پيامبر، شيعه و سنّي با هم اختلاف داشته منقسم به دو گروه باشند، در مرجعيت علمي هيچ دليلي براي تفرقه وجود نداشته و بايستي ـ بر طبق حديث ثقلين ـ با هم يكدست و يك صدا باشند</w:t>
      </w:r>
      <w:r>
        <w:rPr>
          <w:rFonts w:eastAsia="IRNazanin" w:cs="IRNazanin"/>
          <w:color w:val="111111"/>
          <w:sz w:val="28"/>
          <w:szCs w:val="28"/>
          <w:rtl w:val="true"/>
          <w:lang w:bidi="fa-IR"/>
        </w:rPr>
        <w:t>.</w:t>
      </w:r>
    </w:p>
    <w:p>
      <w:pPr>
        <w:pStyle w:val="Heading3"/>
        <w:numPr>
          <w:ilvl w:val="2"/>
          <w:numId w:val="1"/>
        </w:numPr>
        <w:rPr/>
      </w:pPr>
      <w:bookmarkStart w:id="35" w:name="__RefHeading___Toc5114491_211673320"/>
      <w:bookmarkStart w:id="36" w:name="_Toc13"/>
      <w:bookmarkEnd w:id="35"/>
      <w:r>
        <w:rPr>
          <w:rtl w:val="true"/>
        </w:rPr>
        <w:t>حديث غدير</w:t>
      </w:r>
      <w:bookmarkEnd w:id="36"/>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احاديث گذشته پيامبر گرامي گاه به صورت كلي و گاه نيز به گونه مشخص، جانشين خويش را به نحو روشن معرّفي كرده است، به گونه اي كه هر يك از آنها حجت را بر افراد آگاه و حقيقت جو تمام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عين حال آن حضرت براي آنكه پيام خود را به گوش همه مسلمانان از دور و نزديك برساند و راه را بر هر گونه ترديد و شك در اين زمينه كاملا ببندد، در سال آخر عمر خود به هنگام مراجعت از حج خانه خدا در سرزميني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نمود و به همراهان فرمود از جانب خداوند مأموريت دارد كه پيامي را به آنان برساند؛ پيام الهي كه حاكي از انجام وظيفه بزرگي</w:t>
      </w:r>
    </w:p>
    <w:p>
      <w:pPr>
        <w:pStyle w:val="BookText"/>
        <w:rPr/>
      </w:pPr>
      <w:r>
        <w:rPr>
          <w:rFonts w:ascii="IRNazanin" w:hAnsi="IRNazanin" w:eastAsia="IRNazanin"/>
          <w:color w:val="111111"/>
          <w:sz w:val="28"/>
          <w:sz w:val="28"/>
          <w:szCs w:val="28"/>
          <w:rtl w:val="true"/>
          <w:lang w:bidi="fa-IR"/>
        </w:rPr>
        <w:t>بوده و چنانچه انجام نگيرد، پيامبر رسالت خود را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مي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الرَّسُولُ بَلِّغْ ما أُنْزِلَ إِلَيْكَ مِنْ رَبِّكَ وَ إِنْ لَمْ تَفْعَلْ فَما بَلَّغْتَ رِسالَتَهُ وَ اللهُ يَعْصِمُكَ مِنَ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اي رسول خدا آنچه از طرف پروردگارت بر تو نازل شده ابلاغ كن، و اگر اين مأموريت را انجام ندهي رسالت خود را انجام نداده اي، و خداوند ترا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حفظ مي كند</w:t>
      </w:r>
      <w:r>
        <w:rPr>
          <w:rFonts w:eastAsia="IRNazanin" w:cs="IRNazanin"/>
          <w:color w:val="111111"/>
          <w:sz w:val="28"/>
          <w:szCs w:val="28"/>
          <w:rtl w:val="true"/>
          <w:lang w:bidi="fa-IR"/>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منبري براي پيامبر ترتيب دادند و او بر فراز آن قرار گرفت و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آينده نزديك دعوت حق را لبيك خواهم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مرگ من فرا مي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درباره من چه مي گوييد؟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گواهي مي دهيم تو آئين خدا را به ما ابلاغ كردي و خيرخواهي نمودي و تلاش بسيار كردي، خدا به تو جزاي خير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 وحدانيت خدا و رسالت من، و حق بودن روز رستاخيز گواهي مي دهيد؟ همگي پاسخ مثبت دادند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از شما بر حوض كوثر وارد مي شوم، بنگريد با دو جانشين گرانبهاي من چگونه رفتار مي كنيد؟ شخصي</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دو جانشين گرانبها چيست؟</w:t>
      </w:r>
    </w:p>
    <w:p>
      <w:pPr>
        <w:pStyle w:val="BookText"/>
        <w:rPr/>
      </w:pPr>
      <w:r>
        <w:rPr>
          <w:rFonts w:ascii="IRNazanin" w:hAnsi="IRNazanin" w:eastAsia="IRNazanin"/>
          <w:color w:val="111111"/>
          <w:sz w:val="28"/>
          <w:sz w:val="28"/>
          <w:szCs w:val="28"/>
          <w:rtl w:val="true"/>
          <w:lang w:bidi="fa-IR"/>
        </w:rPr>
        <w:t>پيامبر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كتاب خدا و ديگري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 و خداي لطيف و خبير به من خبر داده است كه اين دو از يكديگر جدا نمي شوند تا آنكه در روز قيامت در كنار حوض به من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دو پيشي نگيريد كه هلاك مي شويد، و از آنان فاصله نگيريد كه هلاك مي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دست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بالا برد تا آنجا كه همه حاضران او را مي ديدند، سپس چنين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النّاسُ مَنْ أولي النّاسِ بالمؤمنينَ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كسي بر مؤمنان از خود آنان اولي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اختيارتر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پيامبر او بهتر مي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مولايَ و أنا مولَي المؤمنين و أنا أولي بِهِم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مولاي من، و من نيز مولاي مؤمنان مي باشم، و من بر مؤمنان از خود آنان صاحب اختيارترم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سه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كُنْتُ مَولاهُ فَعَليٌّ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من مولاي او هستم، علي مولاي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وَ عادِ مَنْ عاداهُ و أحبّ من أحبّه و ابغض من أبغضَهُ و انصر من نصره و اخذل من خذله، و أدر الحقَّ معه حيث دار، ألا فليبلغ الشاهد 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دوست بدار آن كس را كه علي را دوست مي دارد و دشمن بدار آن كس را كه با علي دشمن است، و مهربان باش با هركس كه نسبت به علي مهربان است و خشم آور بر كسي كه بر علي خشم آورد و ياري كن آن كس را كه علي را</w:t>
      </w:r>
    </w:p>
    <w:p>
      <w:pPr>
        <w:pStyle w:val="BookText"/>
        <w:rPr/>
      </w:pPr>
      <w:r>
        <w:rPr>
          <w:rFonts w:ascii="Amiri" w:hAnsi="Amiri" w:eastAsia="Amiri" w:cs="Amiri"/>
          <w:color w:val="111111"/>
          <w:sz w:val="28"/>
          <w:sz w:val="28"/>
          <w:szCs w:val="28"/>
          <w:rtl w:val="true"/>
          <w:lang w:bidi="ar-SA"/>
        </w:rPr>
        <w:t>ياري كند و خوار ساز آن كس را كه علي را خوار سازد، و حق را با او و در مدار او قرار 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حاضران اين مطلب را به غايبان ابلاغ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حديث كه به حديث غدير معروف است را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صحابه،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تابعين و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علما و محدثان اسلامي نقل كرده اند، و از اين رو در اصالت و اعتبار اين حديث جاي هيچ ترديدي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گروهي از علما به طور مستقل درباره اين حديث كتاب نوشته اند، كه در آن ميان، جامع ترين آنها كتاب شريف الغدير نگارش علامه حاج شيخ عبدالحسين اميني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بايد ديد مقصود از مولي بودن پيامبر، و مولي بودن علي چيست؟ قرينه هاي بسياري گواهي مي دهند كه مقصود از اين تعبير، امامت و رهبري است، كه به برخي از اين قرينه ها اشاره مي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ـ در ماجراي غدير، پيامبر گرامي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زائران خانه خدا را در سرزميني بي آب و علف، آن هم در نيم روزي بسيار گرم، متوقف ساخت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گرمي هوا به حدّي بود كه حاضران نيمي از عباي خويش را بر سر افكنده و نيم ديگر را نيز زير پاي خود 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تمهيدات، طبعاً پيامبر بايد سخني بگويد كه در هدايت امت، نقشي كليدي و سرنوشت ساز داشته باشد، و براستي چه كاري مي تواند در سرنوشت مسلمانان از تعيين جانشين، كه مايه وحدت كلمه مسلمين و حافظ دين است، سرنوشت سازتر باشد؟</w:t>
      </w:r>
    </w:p>
    <w:p>
      <w:pPr>
        <w:pStyle w:val="BookText"/>
        <w:rPr/>
      </w:pPr>
      <w:r>
        <w:rPr>
          <w:rFonts w:ascii="IRNazanin" w:hAnsi="IRNazanin" w:eastAsia="IRNazanin"/>
          <w:color w:val="111111"/>
          <w:sz w:val="28"/>
          <w:sz w:val="28"/>
          <w:szCs w:val="28"/>
          <w:rtl w:val="true"/>
          <w:lang w:bidi="fa-IR"/>
        </w:rPr>
        <w:t xml:space="preserve">ب ـ پيامبر گرامي قبل از طرح ولايت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اصول سه گانه توحيد و نبوت و معاد سخن گفت و از مردم نسبت به آنها اقرار گرفت، آنگاه پيام الهي را ابلاغ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تقارن اخذ اعتراف نسبت به اصول دين مي توان به اهميت پيام پي برد و دريافت كه هدف پيامبر از آن همايش عظيم و فوق العاده، نمي توانسته امري عادي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حضرت در آغاز خطبه از رحلت قريب الوقوع خود خبر داد، و اين نشان مي دهد كه او نگران وضع امت پس از خويش بوده است و مي خواسته چاره جويي شود تا ايين وي در طوفان حوادث آتيه دچار مخاطره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ـ قبل از بيان پيام الهي درباره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مولويت و اولويت خود سخن به ميان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مولاي من، و من مولاي مؤمنين مي باشم، و نسبت به آنان از خود آنان اولي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اين مطالب، گواه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مولي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سنخ همان مولويت و اولويت مربوط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ايشان به فرمان الهي اولويت مزبور را براي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ثابت كرده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نبيّ اكرم، همان است كه در آيه مباركه به آن تصريح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 أَولي بِالْمُؤْمِنينَ مِنْ أنْفُسِهِمْ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به مؤمنان از خودشان سزاوارتر است، و مقصود از سزاوارتر بودن پيامبر به مؤمنان، از خودشان اين است كه به امر الهي حق تصرف در جان و اموال آنها دارد، يعني اگر دستور جهاد و يا انفاق دهد بايد مؤمنان بدون چون و چرا بپذيرند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لازمه يك</w:t>
      </w:r>
    </w:p>
    <w:p>
      <w:pPr>
        <w:pStyle w:val="BookText"/>
        <w:rPr/>
      </w:pPr>
      <w:r>
        <w:rPr>
          <w:rFonts w:ascii="IRNazanin" w:hAnsi="IRNazanin" w:eastAsia="IRNazanin"/>
          <w:color w:val="111111"/>
          <w:sz w:val="28"/>
          <w:sz w:val="28"/>
          <w:szCs w:val="28"/>
          <w:rtl w:val="true"/>
          <w:lang w:bidi="fa-IR"/>
        </w:rPr>
        <w:t xml:space="preserve">چنين مطاع بودن در مورد جان ها و مال ها، همان ولايت و سرپرستي جامعه است كه از جانب خدا به او داده شده است و يك چنين مقام، پس از وي، به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شد، و او به مقام سرپرستي و امامت نائل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هــ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بيان پيام الهي، از حاضران خواست آن را به غايبان برسانند و پيامبر گرامي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منبر پايين آمد و به ياران خود دستور داد كه به علي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تهنيت و تبريك بگويند، لذا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خيمه اي قرار گرفت، و ياران پيامبر، گروه گروه وارد شده و به او تبريك گفتند، ابوبكر و عمر، وارد خيمه شده روبه او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هنيئاً لك يا علي بن أبي طالب أصحبتَ مولايَ و مولا كلَّ مؤمن و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باد بر تو اي علي، امروز سزاوارترين فرد به هر مرد و زن مؤمن شدي</w:t>
      </w:r>
      <w:r>
        <w:rPr>
          <w:rFonts w:eastAsia="IRNazanin" w:cs="IRNazanin"/>
          <w:color w:val="111111"/>
          <w:sz w:val="28"/>
          <w:szCs w:val="28"/>
          <w:rtl w:val="true"/>
          <w:lang w:bidi="fa-IR"/>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تاريخ اسلام نشان مي دهد كه دشمنان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خاموش ساختن دعوت الهي وي، از راههاي گوناگوني وارد شدند؛ از متهم كردن پيامبر به سحر و جادو گرفته تا تصميم به قتل آن حضرت در بستر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در تمام موارد، دست عنايت حق با پيامبر بود و وي را از نقشه هاي شوم مشركان حفظ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نقطه اميد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بويژه با توجه به باقي نماندن فرزند پسر براي پيامبر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كه با مرگ پيامبر، اين دعوت نيز خاموش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يَقُولُونَ شاعِرٌ نَتَرَبَّصُ بِهِ رَيْبَ الْمَنُونِ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مي گويند شاعري است و ما در مورد وي به انتظار حوادث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انديشه در ذهن بسياري از مشركان و منافقان،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پيامبر با تعيين جانشيني با كفايت كه در طول زندگي ايمان خالص و استوار خود به اسلام را نشان داده بود، اميد مخالفان را به يأس مبدل ساخت، و بدين طريق بقاي دين را تضمين نموده و پايه هاي آن را محكم ساخت و نعمت اسلام با وجود تعيين چنين رهبري به كمال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پس از نصب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عنوان جانشيني پيامبر، در روز غدير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اكمال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يَئِسَ الَّذينَ كَفَرُوا مِنْ دينِكُمْ فَلا تَخْشَوْهُمْ وَ اخْشَوْنِ الْيَوْمَ أَكْمَلْتُ لَكُمْ دينَكُمْ وَ أَتْمَمْتُ عَلَيْكُمْ نِعْمَتي وَ رَضيتُ لَكُمُ اْلإِسْلامَ ديناً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Style w:val="FootnoteAnchor"/>
          <w:rtl w:val="true"/>
        </w:rPr>
        <w:footnoteReference w:id="27"/>
      </w:r>
      <w:r>
        <w:rPr>
          <w:rFonts w:ascii="IRNazanin" w:hAnsi="IRNazanin" w:eastAsia="IRNazanin"/>
          <w:color w:val="111111"/>
          <w:sz w:val="28"/>
          <w:sz w:val="28"/>
          <w:szCs w:val="28"/>
          <w:rtl w:val="true"/>
          <w:lang w:bidi="fa-IR"/>
        </w:rPr>
        <w:t>امروز كافران از نابودي دين شما مأيوس شدند، پس از آنان نترسيد و از من بترسيد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دين شما را كامل</w:t>
      </w:r>
    </w:p>
    <w:p>
      <w:pPr>
        <w:pStyle w:val="BookText"/>
        <w:rPr/>
      </w:pPr>
      <w:r>
        <w:rPr>
          <w:rFonts w:ascii="IRNazanin" w:hAnsi="IRNazanin" w:eastAsia="IRNazanin"/>
          <w:color w:val="111111"/>
          <w:sz w:val="28"/>
          <w:sz w:val="28"/>
          <w:szCs w:val="28"/>
          <w:rtl w:val="true"/>
          <w:lang w:bidi="fa-IR"/>
        </w:rPr>
        <w:t xml:space="preserve">ساخته و نعمتم را بر شما تمام كردم، و راضي شدم كه اين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تكميل يافته با معرفي جانشين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شما باشد</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بنابراين با نزول اين آيه در روز غدير مي سازد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روايات يقيني فوق، كه ثابت مي كند مسأله جانشيني پيامبر يك مسأله الهي است و مردم در آن اختياري ندارند، گزارشهاي تاريخي نيز حاكي از آن است كه پيامبر در همان روزهايي هم كه در مكه به سر مي برده و هنوز حكومتي در مدينه تشكيل نداده بود، مسأله جانشيني را يك مسأله الهي تلقي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المثل، زماني كه رئيس قبيله بني عامر در موسم حج به حضور پيامبر رسيد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ما با تو بيعت كرديم و تو بر مخالفان خود پيروز شدي، آيا براي ما در امر رهبري نصيب و بهره اي هست؟ پيامبر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مربوط به خداست، هركس را مي خواهد بدين كار مي گمارد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الي الله يضعه حيث يشاء</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بديهي است چنانچه مسأله رهبري موكول به انتخاب مردم بود، مي بايست بفرمايد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الامر الي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پيامبر در اين مورد، همانند كلام خداوند در مورد پيامبري است، آنجا كه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أَعْلَمُ حَيْثُ يَجْعَلُ رِسالَتَهُ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دانا است كه رسالت و پيامبري خويش را در چه شخصي قرار دهد</w:t>
      </w:r>
      <w:r>
        <w:rPr>
          <w:rFonts w:eastAsia="IRNazanin" w:cs="IRNazanin"/>
          <w:color w:val="111111"/>
          <w:sz w:val="28"/>
          <w:szCs w:val="28"/>
          <w:rtl w:val="true"/>
          <w:lang w:bidi="fa-IR"/>
        </w:rPr>
        <w:t>.</w:t>
      </w:r>
      <w:bookmarkStart w:id="37" w:name="pg593_6546"/>
    </w:p>
    <w:p>
      <w:pPr>
        <w:pStyle w:val="Heading2"/>
        <w:numPr>
          <w:ilvl w:val="1"/>
          <w:numId w:val="1"/>
        </w:numPr>
        <w:rPr/>
      </w:pPr>
      <w:bookmarkStart w:id="38" w:name="__RefHeading___Toc5114493_211673320"/>
      <w:bookmarkStart w:id="39" w:name="_Toc14"/>
      <w:bookmarkEnd w:id="37"/>
      <w:bookmarkEnd w:id="38"/>
      <w:r>
        <w:rPr>
          <w:rtl w:val="true"/>
        </w:rPr>
        <w:t>امامان دوازده گانه</w:t>
      </w:r>
      <w:bookmarkEnd w:id="39"/>
    </w:p>
    <w:p>
      <w:pPr>
        <w:pStyle w:val="BookText"/>
        <w:rPr/>
      </w:pPr>
      <w:r>
        <w:rPr>
          <w:rFonts w:ascii="IRNazanin" w:hAnsi="IRNazanin" w:eastAsia="IRNazanin"/>
          <w:color w:val="111111"/>
          <w:sz w:val="28"/>
          <w:sz w:val="28"/>
          <w:szCs w:val="28"/>
          <w:rtl w:val="true"/>
          <w:lang w:bidi="fa-IR"/>
        </w:rPr>
        <w:t>شناخت امام از دو راه امكان 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پيامبر گرامي به فرمان خدا بر امامت فردي معين تصريح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امام پيشين بر امامت امام بعدي تصريح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پيشوايان دوازده گانه شيعه از هر دو راه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پيامبر طبق روايات فراوان بر امامت آنان تصريح كرده است، و هم هريك از ائمه، امام بعد از خويش را معرفي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باره براي رعايت اختصار، تنها يك حديث را يادآور مي شويم</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گرامي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نصب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اكتفا نكرد، بلكه يادآور شد كه پس از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يازده امام ديگر خواهند آمد كه عزت دين و اسلام به واسطه اين دوازده امام تحقق خواهد پذيرفت،</w:t>
      </w:r>
    </w:p>
    <w:p>
      <w:pPr>
        <w:pStyle w:val="BookText"/>
        <w:rPr/>
      </w:pPr>
      <w:r>
        <w:rPr>
          <w:rFonts w:ascii="IRNazanin" w:hAnsi="IRNazanin" w:eastAsia="IRNazanin"/>
          <w:color w:val="111111"/>
          <w:sz w:val="28"/>
          <w:sz w:val="28"/>
          <w:szCs w:val="28"/>
          <w:rtl w:val="true"/>
          <w:lang w:bidi="fa-IR"/>
        </w:rPr>
        <w:t>چنانكه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يزال الدين منيعاً الي اثني عشر 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نقل ديگر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يزال الاسلام عزيزاً الي اثني عشر خليفة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گفتني است كه روايات دال بر وجود خلفاي دوازده گانه، در معتبرترين صحاح اهل سنت نيز آمده است</w:t>
      </w:r>
      <w:r>
        <w:rPr>
          <w:rFonts w:eastAsia="IRNazanin" w:cs="IRNazanin"/>
          <w:color w:val="111111"/>
          <w:sz w:val="28"/>
          <w:szCs w:val="28"/>
          <w:rtl w:val="true"/>
          <w:lang w:bidi="fa-IR"/>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 اين دوازده خليفه كه عزت اسلام منوط به وجود آنان شمرده شده است، جز بر امامان دوازده گانه شيعه قابل انطباق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نه خلفاي اموي مايه عزت دين بودند و نه خلفاي عباسي، و نه اين عدد بر آنان قابل تطبيق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دوازده گانه شيعه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اميرالمؤمنين علي بن ابيطالب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 سال قبل از بعثت، شهادت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مدفون در نجف اشرف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امام حسن بن علي ملقب به مجتبي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مدفون در مدينه، قبرستان بقيع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امام حسين بن علي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مدفون در كربلا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امام علي بن الحسين ملقب به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مدفون در بقيع</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امام محمد بن علي معروف به باقرالعلوم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مدفون در بقيع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امام جعفر بن محمد معروف به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مدفون در بقيع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امام موسي بن جعفر ملقب به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مدفون در كاظمين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امام علي بن موسي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مدفون در مشهد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امام محمد بن علي معروف به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مدفون در كاظمين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امام علي بن محمد معروف به 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مدفون در سامرا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امام حسن بن علي معروف به 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مدفون در سامرا</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حضرت مهدي متولد سال </w:t>
      </w:r>
      <w:r>
        <w:rPr>
          <w:rFonts w:eastAsia="Amiri" w:cs="Amiri" w:ascii="Amiri" w:hAnsi="Amiri"/>
          <w:color w:val="111111"/>
          <w:sz w:val="28"/>
          <w:szCs w:val="28"/>
          <w:lang w:bidi="ar-SA"/>
        </w:rPr>
        <w:t>255</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امام دوازدهم شيعه بوده و هم اكنون نيز زنده و غايب است، تاروزي به فرمان خداوند ظهور كرده و طبق وعده صريح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نور</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توبه</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احاديث متواتر اسلامي حاكميت اسلام را در سراسر گيتي برقرار گرداند</w:t>
      </w:r>
      <w:r>
        <w:rPr>
          <w:rFonts w:eastAsia="IRNazanin" w:cs="IRNazanin"/>
          <w:color w:val="111111"/>
          <w:sz w:val="28"/>
          <w:szCs w:val="28"/>
          <w:rtl w:val="true"/>
          <w:lang w:bidi="fa-IR"/>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bookmarkStart w:id="40" w:name="pg593_6549"/>
    </w:p>
    <w:p>
      <w:pPr>
        <w:pStyle w:val="Heading2"/>
        <w:numPr>
          <w:ilvl w:val="1"/>
          <w:numId w:val="1"/>
        </w:numPr>
        <w:rPr/>
      </w:pPr>
      <w:bookmarkStart w:id="41" w:name="__RefHeading___Toc5114495_211673320"/>
      <w:bookmarkStart w:id="42" w:name="_Toc15"/>
      <w:bookmarkEnd w:id="40"/>
      <w:bookmarkEnd w:id="41"/>
      <w:r>
        <w:rPr>
          <w:rtl w:val="true"/>
        </w:rPr>
        <w:t>امام دوازدهم</w:t>
      </w:r>
      <w:bookmarkEnd w:id="42"/>
    </w:p>
    <w:p>
      <w:pPr>
        <w:pStyle w:val="BookText"/>
        <w:rPr/>
      </w:pPr>
      <w:r>
        <w:rPr>
          <w:rFonts w:ascii="IRNazanin" w:hAnsi="IRNazanin" w:eastAsia="IRNazanin"/>
          <w:color w:val="111111"/>
          <w:sz w:val="28"/>
          <w:sz w:val="28"/>
          <w:szCs w:val="28"/>
          <w:rtl w:val="true"/>
          <w:lang w:bidi="fa-IR"/>
        </w:rPr>
        <w:t>سخن گفتن درباره هر يك از امامان دوازده گانه از گنجايش اين رساله بيرون است، فقط به نكاتي درباه امام دوازدهم اشاره مي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ظهور مردي از خاندان رسالت، به منظور برپايي حكومت عدل جهاني، در آينده تاريخ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جهان پر از ظلم و جور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مسلّمات عقايد اسلامي است كه جمهور مسلمانان بر آن اتفاق دارند و احاديثي كه در اين مورد نقل شده به حد تواتر مي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آن ميان تنها به نقل يك حديث از مسند احمد بن حنبل بسنده مي كنيم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گرامي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يَبْقَ مِنَ الدُّنْيا إِلاّ يَومٌ واحِدٌ لَطَوَّلَ اللهُ ذلكَ اليَوْمَ حَتّي يَخْرُجَ رَجُلٌ مِنْ وُلْدي فَيَمْلاها عَدْلا وَ</w:t>
      </w:r>
    </w:p>
    <w:p>
      <w:pPr>
        <w:pStyle w:val="BookText"/>
        <w:rPr/>
      </w:pPr>
      <w:r>
        <w:rPr>
          <w:rFonts w:ascii="Amiri" w:hAnsi="Amiri" w:eastAsia="Amiri" w:cs="Amiri"/>
          <w:color w:val="111111"/>
          <w:sz w:val="28"/>
          <w:sz w:val="28"/>
          <w:szCs w:val="28"/>
          <w:rtl w:val="true"/>
          <w:lang w:bidi="ar-SA"/>
        </w:rPr>
        <w:t>قِسْطاً كَما مُلِئَتْ ظُلْماً وَ جَوراً</w:t>
      </w:r>
      <w:r>
        <w:rPr>
          <w:rFonts w:eastAsia="Amiri" w:cs="Amiri" w:ascii="Amiri" w:hAnsi="Amiri"/>
          <w:color w:val="111111"/>
          <w:sz w:val="28"/>
          <w:szCs w:val="28"/>
          <w:rtl w:val="true"/>
          <w:lang w:bidi="ar-SA"/>
        </w:rPr>
        <w:t xml:space="preserve">» </w:t>
      </w:r>
      <w:r>
        <w:rPr>
          <w:rStyle w:val="FootnoteAnchor"/>
          <w:rtl w:val="true"/>
        </w:rPr>
        <w:footnoteReference w:id="33"/>
      </w:r>
      <w:r>
        <w:rPr>
          <w:rFonts w:ascii="IRNazanin" w:hAnsi="IRNazanin" w:eastAsia="IRNazanin"/>
          <w:color w:val="111111"/>
          <w:sz w:val="28"/>
          <w:sz w:val="28"/>
          <w:szCs w:val="28"/>
          <w:rtl w:val="true"/>
          <w:lang w:bidi="fa-IR"/>
        </w:rPr>
        <w:t>اگر از عمر جهان جز يك روز باقي نمانده باشد، خداوند آن روز را به قدري طولاني مي كند تا مردي از فرزندان من قيام نمايد و دنيا را از عدل و قسط پر سازد، همان گونه كه با جور و ستم پر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قيام و ظهور مردي از خاندان پيامبر در آخر الزمان مورد اتفاق عموم مسلمانان ـ از شيعه و سنّي ـ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خصوصيات اين مصلح جهاني در روايات اسلامي كه شيعه و سني نقل كرده اند و در كتاب هايي مانند منتخب الاثر نقل شده به شرح زير بيان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اهل بيت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از فرزندان اميرالمؤمنين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حدود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از فرزندان فاطمه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حدود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نهمين فرزند از اولاد امام حسين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حدود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آمده است</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از فرزندان امام زين العابدين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حدود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از فرزندان امام حسن 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حدود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آمده است</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دوازدهمين امام از ائمه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حدود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گزارش از ولادت او و اينكه او متولّد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عمر او طولاني خواهد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حدود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غيبت طولاني خواهد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حدود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هنگام ظهور او اسلام جهانگير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زمين را پر از عدل و داد مي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حدود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آمده است</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ولي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قمري ديده به جهان گشوده است و با اين حساب، اكنون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متجاوز از يازده قرن از عمر شريف آن حضرت مي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اين عمر طولاني، با توجه به قدرت گسترده خداوند، امر مشكلي نيست و در حقيقت، آنان كه طول عمر آن حضرت را مشكلي مي شمارند، از قدرت نامتناهي الهي غفلت ورزيده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علي كل شييء قدير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اين، قرآن دوران پيامبري نوح تا غرق شدن قوم او را نهصد و پنجاه سال مي شمرد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عنكبوت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در عصر ما دانش بشري مي كوشد مشكل طول عمر را حل كند، و اين مي رساند كه بشر شايستگي عمر طولاني را دارد، چيزي كه هست موانعي از طولاني شدن آن جلوگيري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براستي خدايي كه قادر است، به گفته ي قرآن، حضرت يونس را تا روز رستاخيز در شكم ماهي زنده بدارد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آيا نمي تواند حجت و امام را در روي زمين عمر طولاني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كه جواب مثبت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 ظهور آن حضرت بر كسي روشن نيست و اين امر، از رازهايي است كه، بسان برپايي رستاخيز، تنها بر خداوند مكشوف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نبايد ادعاي كساني را كه مدّعي آشنايي با وقت ظهور آن حضرت مي باشند يا براي ظهور وقت مشخصي را تعيين مي كنند، پذيرفت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كذب الوقاتون</w:t>
      </w:r>
      <w:r>
        <w:rPr>
          <w:rFonts w:eastAsia="IRNazanin" w:cs="IRNazanin"/>
          <w:color w:val="111111"/>
          <w:sz w:val="28"/>
          <w:szCs w:val="28"/>
          <w:rtl w:val="true"/>
          <w:lang w:bidi="fa-IR"/>
        </w:rPr>
        <w:t>)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تاريخ دقيق ظهور كه بگذريم، بايد گفت در روايات نشانه هايي كلي براي ظهور آن حضرت بيان شده است كه خود به دو بخش علائم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حتمي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مي شود كه تفصيل آن در كتب عقايد و حديث آمده است</w:t>
      </w:r>
      <w:r>
        <w:rPr>
          <w:rFonts w:eastAsia="IRNazanin" w:cs="IRNazanin"/>
          <w:color w:val="111111"/>
          <w:sz w:val="28"/>
          <w:szCs w:val="28"/>
          <w:rtl w:val="true"/>
          <w:lang w:bidi="fa-IR"/>
        </w:rPr>
        <w:t>.</w:t>
      </w:r>
      <w:bookmarkStart w:id="43" w:name="pg593_6553"/>
    </w:p>
    <w:p>
      <w:pPr>
        <w:pStyle w:val="Heading2"/>
        <w:numPr>
          <w:ilvl w:val="1"/>
          <w:numId w:val="1"/>
        </w:numPr>
        <w:rPr/>
      </w:pPr>
      <w:bookmarkStart w:id="44" w:name="__RefHeading___Toc5114497_211673320"/>
      <w:bookmarkStart w:id="45" w:name="_Toc16"/>
      <w:bookmarkEnd w:id="43"/>
      <w:bookmarkEnd w:id="44"/>
      <w:r>
        <w:rPr>
          <w:rtl w:val="true"/>
        </w:rPr>
        <w:t>صفات امام</w:t>
      </w:r>
      <w:bookmarkEnd w:id="45"/>
    </w:p>
    <w:p>
      <w:pPr>
        <w:pStyle w:val="Heading3"/>
        <w:numPr>
          <w:ilvl w:val="2"/>
          <w:numId w:val="1"/>
        </w:numPr>
        <w:rPr/>
      </w:pPr>
      <w:bookmarkStart w:id="46" w:name="__RefHeading___Toc5114499_211673320"/>
      <w:bookmarkStart w:id="47" w:name="_Toc17"/>
      <w:bookmarkEnd w:id="46"/>
      <w:r>
        <w:rPr>
          <w:rtl w:val="true"/>
        </w:rPr>
        <w:t>عصمت امام</w:t>
      </w:r>
      <w:bookmarkEnd w:id="47"/>
    </w:p>
    <w:p>
      <w:pPr>
        <w:pStyle w:val="BookText"/>
        <w:rPr/>
      </w:pPr>
      <w:r>
        <w:rPr>
          <w:rFonts w:ascii="IRNazanin" w:hAnsi="IRNazanin" w:eastAsia="IRNazanin"/>
          <w:color w:val="111111"/>
          <w:sz w:val="28"/>
          <w:sz w:val="28"/>
          <w:szCs w:val="28"/>
          <w:rtl w:val="true"/>
          <w:lang w:bidi="fa-IR"/>
        </w:rPr>
        <w:t xml:space="preserve">امام بايد معصوم باشد، تا در بيان احكام الهي كه مسؤوليت آن از جانب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 سپرده شده است، خطا نكند، زيرا در غير اين صورت، احكام الهي به بشر ابلاغ نشده، و غرض از تشريع دين حاصل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نقض غرض با حكمت الهي سازگاري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مبناي اين استدلال اين است كه حفظ شريعت از تحريف و تبديل احكام آن يكي از وظايف امام است؛ يعني اقوال و آرايي كه در تفسير كلام الهي و بيان احكام خداوند اظهار مي شود با سخن امام سنجيده مي شود، و بر اين اساس، حق از باطل تشخيص داده مي شود، و در شريعت تحريف و تبديل راه نمي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امام، معصوم از خطا نباشد، اين هدف برآورده نخواهد شد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ي حلّي در توضيح اين دليل چنين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با قرآن كريم و سنت پيامبر اكرم شريعت حفظ نخواهد شد، زيرا تفاصيل احكام در آن دو بيان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مسلمانان نيز نمي تواند حافظ شرع باشد، زيرا ـ اگر فرد معصومي در بين آنان نباشد ـ اجتماع آنان بر خطا محال نيست، در اين جا، فرض ديگري، غير از اين كه امام حافظ شرع باشد وجود ندارد، حال اگر امام معصوم نباشد سخن او نمي تواند معيار درست از نادرست، و حكم خداوند از غير آن باشد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ي كريمه 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نيز بر لزوم عصمت امام دلالت مي كند، زيرا معصيت كه عبارت است از؛ تعدّي از احكام الهي، از مصاديق روشن ظلم است، قرآن كريم مي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يَتَعَدَّ حُدُودَ اللهِ فَأُولئِكَ هُمُ الظّالِمُونَ</w:t>
      </w:r>
      <w:r>
        <w:rPr>
          <w:rFonts w:eastAsia="Amiri" w:cs="Amiri" w:ascii="Amiri" w:hAnsi="Amiri"/>
          <w:color w:val="111111"/>
          <w:sz w:val="28"/>
          <w:szCs w:val="28"/>
          <w:rtl w:val="true"/>
          <w:lang w:bidi="ar-SA"/>
        </w:rPr>
        <w:t xml:space="preserve">) </w:t>
      </w:r>
      <w:r>
        <w:rPr>
          <w:rStyle w:val="FootnoteAnchor"/>
          <w:rtl w:val="true"/>
        </w:rPr>
        <w:footnoteReference w:id="36"/>
      </w:r>
      <w:r>
        <w:rPr>
          <w:rFonts w:ascii="IRNazanin" w:hAnsi="IRNazanin" w:eastAsia="IRNazanin"/>
          <w:color w:val="111111"/>
          <w:sz w:val="28"/>
          <w:sz w:val="28"/>
          <w:szCs w:val="28"/>
          <w:rtl w:val="true"/>
          <w:lang w:bidi="fa-IR"/>
        </w:rPr>
        <w:t xml:space="preserve">چنان كه شرك را ظلم بزرگ 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الشِّرْكَ لَظُلْمٌ عَظيمٌ</w:t>
      </w:r>
      <w:r>
        <w:rPr>
          <w:rFonts w:eastAsia="IRNazanin" w:cs="IRNazanin"/>
          <w:color w:val="111111"/>
          <w:sz w:val="28"/>
          <w:szCs w:val="28"/>
          <w:rtl w:val="true"/>
          <w:lang w:bidi="fa-IR"/>
        </w:rPr>
        <w:t xml:space="preserve">) </w:t>
      </w:r>
      <w:r>
        <w:rPr>
          <w:rStyle w:val="FootnoteAnchor"/>
          <w:rtl w:val="true"/>
        </w:rPr>
        <w:footnoteReference w:id="37"/>
      </w:r>
      <w:r>
        <w:rPr>
          <w:rFonts w:ascii="Amiri" w:hAnsi="Amiri" w:eastAsia="Amiri" w:cs="Amiri"/>
          <w:color w:val="111111"/>
          <w:sz w:val="28"/>
          <w:sz w:val="28"/>
          <w:szCs w:val="28"/>
          <w:rtl w:val="true"/>
          <w:lang w:bidi="ar-SA"/>
        </w:rPr>
        <w:t>و آن كس كه ظلم كند شايسته ي عهد و منصب امامت نخواهد بود</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توضيح اينكه جمله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يَنالُ عَهْدِي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خداوند به درخواست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استمرار امامت در ذريه ي او است؛ زيرا هنگامي كه خداوند مقام امامت را به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جاعِلُكَ لِلنّاسِ إِماماً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مقام و منصب والا را براي ذريه ي خويش تقاضا كرد چنان كه مي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 مِنْ ذُرِّيَّتي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پاسخ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يَنالُ عَهْدِي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ذريه ي حضرت ابراهيم را مي توان به چهارگروه تقسيم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آنان كه از آغاز تا پايان زندگي مرتكب هيچ گناهي نشدند، و عنوان ظالم بر آنها منطبق نمي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آنان كه در بخش اول زندگي مرتكب گناه شده، سپس استغفار نموده و در بخش دوم از هرگونه معصيت و ظلمي پرهيز مي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عكس فرض دوم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عكس فرض اول</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بديهي است، هرگز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امامت را براي دو گروه اخير از ذريه ي خود درخواست نكرده است، زيرا در ناشايستگي آنان براي چنين مقام و منصب والايي جاي هيچ گونه ترديد نيست، و از مقام آن حضرت ـ كه جز هدايت و سعادت بشر خواهان چيزي نبود ـ دور است كه براي كساني از خداوند تقاضاي رهبري و امامت كند كه در تمام دوران عمر آلوده گناه و گرفتار ضلالت اند، يا در پايان زندگي چنين روش و شيوه اي دارند؛ بنابراين، آن چه مي تواند مورد درخواست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دو فرض اول است، از اين دو فرض خداوند فرض دوم را استثنا كرده است، بنابراين، جز فرض اول باقي نخواهد ماند، و آن جز با</w:t>
      </w:r>
    </w:p>
    <w:p>
      <w:pPr>
        <w:pStyle w:val="BookText"/>
        <w:rPr/>
      </w:pPr>
      <w:r>
        <w:rPr>
          <w:rFonts w:ascii="Amiri" w:hAnsi="Amiri" w:eastAsia="Amiri" w:cs="Amiri"/>
          <w:color w:val="111111"/>
          <w:sz w:val="28"/>
          <w:sz w:val="28"/>
          <w:szCs w:val="28"/>
          <w:rtl w:val="true"/>
          <w:lang w:bidi="ar-SA"/>
        </w:rPr>
        <w:t>عصمت تحقق نخواهد يافت، زيرا اين فرض كه فردي غير معصوم</w:t>
      </w:r>
    </w:p>
    <w:p>
      <w:pPr>
        <w:pStyle w:val="BookText"/>
        <w:rPr/>
      </w:pPr>
      <w:r>
        <w:rPr>
          <w:rFonts w:ascii="IRNazanin" w:hAnsi="IRNazanin" w:eastAsia="IRNazanin"/>
          <w:color w:val="111111"/>
          <w:sz w:val="28"/>
          <w:sz w:val="28"/>
          <w:szCs w:val="28"/>
          <w:rtl w:val="true"/>
          <w:lang w:bidi="fa-IR"/>
        </w:rPr>
        <w:t>از آغاز زندگي تا پايان عمر خويش مرتكب هيچ گونه خطا و لغزشي، اعم از گناه كبيره و صغيره، عمدي و سهوي نشود، عادتاً محال است</w:t>
      </w:r>
      <w:r>
        <w:rPr>
          <w:rFonts w:eastAsia="IRNazanin" w:cs="IRNazanin"/>
          <w:color w:val="111111"/>
          <w:sz w:val="28"/>
          <w:szCs w:val="28"/>
          <w:rtl w:val="true"/>
          <w:lang w:bidi="fa-IR"/>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بيان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نظر شمول و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جهت افراد و ديگري از جهت زمان، و مفاد آن اين است كه هر كس در هر زمان كه مرتكب 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معصيت و نافرماني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از منصب امامت محروم خواهد بود، خواه در تمام دوران زندگي چنين باشد، يا در آغاز، يا در پايان</w:t>
      </w:r>
      <w:r>
        <w:rPr>
          <w:rFonts w:eastAsia="IRNazanin" w:cs="IRNazanin"/>
          <w:color w:val="111111"/>
          <w:sz w:val="28"/>
          <w:szCs w:val="28"/>
          <w:rtl w:val="true"/>
          <w:lang w:bidi="fa-IR"/>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كريمه 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وَأَطيعُوا الرَّسُولَ وَ أُولِي اْلأَمْرِ مِنْكُمْ</w:t>
      </w:r>
      <w:r>
        <w:rPr>
          <w:rFonts w:eastAsia="Amiri" w:cs="Amiri" w:ascii="Amiri" w:hAnsi="Amiri"/>
          <w:color w:val="111111"/>
          <w:sz w:val="28"/>
          <w:szCs w:val="28"/>
          <w:rtl w:val="true"/>
          <w:lang w:bidi="ar-SA"/>
        </w:rPr>
        <w:t xml:space="preserve">) </w:t>
      </w:r>
      <w:r>
        <w:rPr>
          <w:rStyle w:val="FootnoteAnchor"/>
          <w:rtl w:val="true"/>
        </w:rPr>
        <w:footnoteReference w:id="40"/>
      </w:r>
      <w:r>
        <w:rPr>
          <w:rFonts w:ascii="IRNazanin" w:hAnsi="IRNazanin" w:eastAsia="IRNazanin"/>
          <w:color w:val="111111"/>
          <w:sz w:val="28"/>
          <w:sz w:val="28"/>
          <w:szCs w:val="28"/>
          <w:rtl w:val="true"/>
          <w:lang w:bidi="fa-IR"/>
        </w:rPr>
        <w:t xml:space="preserve">نيز بر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مي كند؛ زيرا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اطاعت بي قيد و شرط از فرد يا افرادي ـ با توجه به اين كه اطاعت از غير خدا در معصيت حرام است ـ بيانگر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از خطا و معصيت مي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بيانگر اين مطلب است كه ملاك اطاعت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ملاك اطاعت از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 گونه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است، اولوالامر نيز معصومند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دلالت اين آيه بر لزوم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آشكار است كه فخرالدين رازي با اين كه خود از عالمان اهل سنّت است دلالت آيه بر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پذيرفته و چنين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خداوند به طور قطعي به اطاعت اولي الامر حكم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خداوند هركس را به صورت قطعي واجب الاطاعة بداند، معصوم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پس اولي الامر معصوم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او در تشخيص اين كه مصداق اولي الامر معصوم چه كساني اند، گرفتار اشتباه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حاصل آن كه در موضوع عصمت امام دو مطلب مطرح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عصمت امام، يعني آن كس كه مي خواهد پس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 دار منصب امامت و رهبري امت اسلامي گردد بايد از ويژگي عصمت برخوردار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مقام عصمت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آنان كساني اند كه شايستگي امامت و رهبري امت اسلامي را پس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 امامت شايسته ي آنان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حديث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امامت به صورت مكرر</w:t>
      </w:r>
      <w:bookmarkStart w:id="48" w:name="pg593_6558"/>
    </w:p>
    <w:p>
      <w:pPr>
        <w:pStyle w:val="BookText"/>
        <w:rPr/>
      </w:pPr>
      <w:bookmarkEnd w:id="48"/>
      <w:r>
        <w:rPr>
          <w:rFonts w:ascii="Amiri" w:hAnsi="Amiri" w:eastAsia="Amiri" w:cs="Amiri"/>
          <w:color w:val="111111"/>
          <w:sz w:val="28"/>
          <w:sz w:val="28"/>
          <w:szCs w:val="28"/>
          <w:rtl w:val="true"/>
          <w:lang w:bidi="ar-SA"/>
        </w:rPr>
        <w:t>لزوم عصمت امام به صورت زير بيان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 استناد به آيه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يَنالُ عَهْدِي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آيه، امامت هر ظالمي را تا روز قيامت باطل كرده و آن را به پاكان اختصاص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فابطلت هذه الاية امامة كل ظالم الي يوم القيامة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پس از بيان اين كه امام، امين خداوند در ميان خلق و حجت پروردگار بر بندگان و دعوت كننده ي به خدا و مدافع حرمت 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الهي است،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المطهر من الذنوب و المبرّأ من العيوب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پس از بيان اين كه خداوند امام را از ميان بندگان خود بر مي گزيند و سرچشمه هاي حكمت را در قلب او مي گشايد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معصوم مؤيَّد موفَّق مسدَّد، قد أمن من الخطايا و الزلل و العثار، يخصّه الله بذلك ليكون حجّته علي عباده و شاهده علي خلقه</w:t>
      </w:r>
      <w:r>
        <w:rPr>
          <w:rFonts w:eastAsia="IRNazanin" w:cs="IRNazanin"/>
          <w:color w:val="111111"/>
          <w:sz w:val="28"/>
          <w:szCs w:val="28"/>
          <w:rtl w:val="true"/>
          <w:lang w:bidi="fa-IR"/>
        </w:rPr>
        <w:t>»</w:t>
      </w:r>
    </w:p>
    <w:p>
      <w:pPr>
        <w:pStyle w:val="Heading3"/>
        <w:numPr>
          <w:ilvl w:val="2"/>
          <w:numId w:val="1"/>
        </w:numPr>
        <w:rPr/>
      </w:pPr>
      <w:bookmarkStart w:id="49" w:name="__RefHeading___Toc5114501_211673320"/>
      <w:bookmarkStart w:id="50" w:name="_Toc18"/>
      <w:bookmarkEnd w:id="49"/>
      <w:r>
        <w:rPr>
          <w:rtl w:val="true"/>
        </w:rPr>
        <w:t>افضليت بر ديگران</w:t>
      </w:r>
      <w:bookmarkEnd w:id="50"/>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عقل، تقديم مفضول بر فاضل، يا فاضل بر افضل قبيح است، و خداوند از هر فعل ناروايي منزّه است، بنابراين، حكم شرع و عقل در اين باره هم آهنگ است در نتيجه، امام بايد در علم، سياست، پارسايي و همه ي صفاتي كه در رهبري جامعه و تحقق بخشيدن به آرمان هاي امامت نقش</w:t>
      </w:r>
    </w:p>
    <w:p>
      <w:pPr>
        <w:pStyle w:val="BookText"/>
        <w:rPr/>
      </w:pPr>
      <w:r>
        <w:rPr>
          <w:rFonts w:ascii="IRNazanin" w:hAnsi="IRNazanin" w:eastAsia="IRNazanin"/>
          <w:color w:val="111111"/>
          <w:sz w:val="28"/>
          <w:sz w:val="28"/>
          <w:szCs w:val="28"/>
          <w:rtl w:val="true"/>
          <w:lang w:bidi="fa-IR"/>
        </w:rPr>
        <w:t>مؤثر دارد، افضل از ديگران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الامام واحد دهره، لايدانيه أحد، و لا يعادله عالم، و لا يوجد منه بدل، و لا له مثل و لا نظير، مخصوص بالفضل كلّه، من غير طلب منه و لا اكتساب</w:t>
      </w:r>
      <w:r>
        <w:rPr>
          <w:rFonts w:eastAsia="Amiri" w:cs="Amiri" w:ascii="Amiri" w:hAnsi="Amiri"/>
          <w:color w:val="111111"/>
          <w:sz w:val="28"/>
          <w:szCs w:val="28"/>
          <w:rtl w:val="true"/>
          <w:lang w:bidi="ar-SA"/>
        </w:rPr>
        <w:t>»</w:t>
      </w:r>
      <w:r>
        <w:rPr>
          <w:rStyle w:val="FootnoteAnchor"/>
          <w:rtl w:val="true"/>
        </w:rPr>
        <w:footnoteReference w:id="42"/>
      </w:r>
      <w:r>
        <w:rPr>
          <w:rFonts w:ascii="IRNazanin" w:hAnsi="IRNazanin" w:eastAsia="IRNazanin"/>
          <w:color w:val="111111"/>
          <w:sz w:val="28"/>
          <w:sz w:val="28"/>
          <w:szCs w:val="28"/>
          <w:rtl w:val="true"/>
          <w:lang w:bidi="fa-IR"/>
        </w:rPr>
        <w:t>امام يگانه روزگار خود است و هيچ كس مثل و مانند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ي فضائل در او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نصيرالدين طوسي در مورد اين شرط و صفت امام چنين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وقبح تقديم المفضول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در اين باره كه تقديم مفضول بر فاضل از نظر عقل قبيح است، ترديدي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 امام بايد از نظر فضلوكمال برديگران برتري داشته باشد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گفته شد مربوط به لزوم افضليت در امام است و اما اين كه اهل بيت در عصر و زمان خود بر ديگران افضل بوده اند، از مسلّمات تاريخ است كه آنان هرگز از كسي كسب علم و دانش نكردند، اما ديگران از علم و دانش آنان بهره گرفته اند، تا آنجا كه ابوحنيفه كه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يافته است،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السنتان لهلك نعمان</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مقصود دو سالي است كه وي در مدينه محضر امام صادق را درك نموده و از وي كسب علم و دانش كرده است در جاي ديگر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رأيت افقه من جعفر</w:t>
      </w:r>
    </w:p>
    <w:p>
      <w:pPr>
        <w:pStyle w:val="BookText"/>
        <w:rPr/>
      </w:pPr>
      <w:r>
        <w:rPr>
          <w:rFonts w:ascii="Amiri" w:hAnsi="Amiri" w:eastAsia="Amiri" w:cs="Amiri"/>
          <w:color w:val="111111"/>
          <w:sz w:val="28"/>
          <w:sz w:val="28"/>
          <w:szCs w:val="28"/>
          <w:rtl w:val="true"/>
          <w:lang w:bidi="ar-SA"/>
        </w:rPr>
        <w:t xml:space="preserve">ابن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مطالعه ي تاريخ زندگي ائمه ي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دانشمندان و شخصيت هاي معاصر آنان به روشني اين حقيقت به دست مي ايد كه آنان در علم و عمل برترين شخصيت هاي روزگار خويش بودند، هرگز در پاسخ سؤالي كه از آنان مي شد، فرو نمي ماندند، نزد هيچ كس دانش و معرفت كسب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صدوق اين مطلب را به عنوان يكي از روشن ترين دلايل امامت ياد كرده و گفته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يك از ائمه ي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خود بدون اين كه از كسي كسب علم و دانش كنند، در پاسخ هيچ سؤالي فرو نمي ماندند، و در همه ي علوم و فنون سرآمد روزگار خود بودند؛ پس چه دليلي از اين گوياتر بر امامت آنان وجود دارد؟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bookmarkStart w:id="51" w:name="pg593_6561"/>
    </w:p>
    <w:p>
      <w:pPr>
        <w:pStyle w:val="Heading2"/>
        <w:numPr>
          <w:ilvl w:val="1"/>
          <w:numId w:val="1"/>
        </w:numPr>
        <w:rPr/>
      </w:pPr>
      <w:bookmarkStart w:id="52" w:name="__RefHeading___Toc5114503_211673320"/>
      <w:bookmarkStart w:id="53" w:name="_Toc19"/>
      <w:bookmarkEnd w:id="51"/>
      <w:bookmarkEnd w:id="52"/>
      <w:r>
        <w:rPr>
          <w:rtl w:val="true"/>
        </w:rPr>
        <w:t>راه تعيين امام</w:t>
      </w:r>
      <w:bookmarkEnd w:id="53"/>
    </w:p>
    <w:p>
      <w:pPr>
        <w:pStyle w:val="BookText"/>
        <w:rPr/>
      </w:pPr>
      <w:r>
        <w:rPr>
          <w:rFonts w:ascii="IRNazanin" w:hAnsi="IRNazanin" w:eastAsia="IRNazanin"/>
          <w:color w:val="111111"/>
          <w:sz w:val="28"/>
          <w:sz w:val="28"/>
          <w:szCs w:val="28"/>
          <w:rtl w:val="true"/>
          <w:lang w:bidi="fa-IR"/>
        </w:rPr>
        <w:t>از مطالب پيشين روشن شد كه تعيين امام جز از طرف خداي متعال ممكن نيست؛ زيرا صفات و شرايط ياد شده را كسي جز خداوند نمي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همان گونه كه قرآن كريم در موضوع نبوت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أَعْلَمُ حَيْثُ يَجْعَلُ رِسالَتَهُ</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 در مورد امامت نيز اين قاعده استوار و پابرجاست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نبوت رحمت خاص خداوند است و تعيين آن به دست خداوند است و ديگران چنين حقي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هُمْ يَقْسِمُونَ رَحْمَتَ رَبِّكَ</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امامت نيز رحمت ويژه ي الهي است، و تقسيم و تعيين آن به دست پروردگار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ومسأله اصلي كه باعث شده، مسلمانان به دو گروه شيعه و سني</w:t>
      </w:r>
    </w:p>
    <w:p>
      <w:pPr>
        <w:pStyle w:val="BookText"/>
        <w:rPr/>
      </w:pPr>
      <w:r>
        <w:rPr>
          <w:rFonts w:ascii="Amiri" w:hAnsi="Amiri" w:eastAsia="Amiri" w:cs="Amiri"/>
          <w:color w:val="111111"/>
          <w:sz w:val="28"/>
          <w:sz w:val="28"/>
          <w:szCs w:val="28"/>
          <w:rtl w:val="true"/>
          <w:lang w:bidi="ar-SA"/>
        </w:rPr>
        <w:t>تقسيم شوند همين مسأله امامت است كه به طور مختصر توضيح داده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شيعه معتقد است كه پس از رحلت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يازده فرزند معصوم او امام و جانشين رسول خدا هستند و اهل تسنن ابوبكر و عمر و عثمان 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ترتيب جانشين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اين اساس بحث ديگري پيش مي آيد و آن اين است كه مسلمانان معارف و احكام اسلام را از چه منابعي مي توانند استفاده و استخراج كنند و به عبارت ديگر مستند معارف و احكام اسلام چيست؟</w:t>
      </w:r>
    </w:p>
    <w:p>
      <w:pPr>
        <w:pStyle w:val="BookText"/>
        <w:rPr/>
      </w:pPr>
      <w:r>
        <w:rPr>
          <w:rFonts w:ascii="Amiri" w:hAnsi="Amiri" w:eastAsia="Amiri" w:cs="Amiri"/>
          <w:color w:val="111111"/>
          <w:sz w:val="28"/>
          <w:sz w:val="28"/>
          <w:szCs w:val="28"/>
          <w:rtl w:val="true"/>
          <w:lang w:bidi="ar-SA"/>
        </w:rPr>
        <w:t xml:space="preserve">شيعه و سنّي قرآن و نيز رواياتي كه با سند مطمئن 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باشد را دو منبع از منابع معارف و احكام مي 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شيعه به استناد دليل هاي فراوان از جمله حديث ثقلين كه پيشتر ياد شد گفتار و كردارامامان دوازده گانه و به تعبير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بيت و عترت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مانند قرآن و سنت رسول الله، حجت و مرجع و منبع معارف و احكام مي داند و معارف و احكام را از آنان مي گيرند و گفتار ديگران مانند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حجت نمي دانند و اختلافي كه در بخشي از معارف و احكام بين شيعه و سني است از همين مسأله نشأت گرفته است</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بحث را در آينده دنبال مي كنيم</w:t>
      </w:r>
      <w:r>
        <w:rPr>
          <w:rFonts w:eastAsia="Amiri" w:cs="Amiri" w:ascii="Amiri" w:hAnsi="Amiri"/>
          <w:color w:val="111111"/>
          <w:sz w:val="28"/>
          <w:szCs w:val="28"/>
          <w:rtl w:val="true"/>
          <w:lang w:bidi="ar-SA"/>
        </w:rPr>
        <w:t>.</w:t>
      </w:r>
      <w:bookmarkStart w:id="54" w:name="pg593_6563"/>
    </w:p>
    <w:p>
      <w:pPr>
        <w:pStyle w:val="Heading2"/>
        <w:numPr>
          <w:ilvl w:val="1"/>
          <w:numId w:val="1"/>
        </w:numPr>
        <w:rPr/>
      </w:pPr>
      <w:bookmarkStart w:id="55" w:name="__RefHeading___Toc5114505_211673320"/>
      <w:bookmarkStart w:id="56" w:name="_Toc20"/>
      <w:bookmarkEnd w:id="54"/>
      <w:bookmarkEnd w:id="55"/>
      <w:r>
        <w:rPr>
          <w:rtl w:val="true"/>
        </w:rPr>
        <w:t>تهمت غلو و غالي بودن به شيعه</w:t>
      </w:r>
      <w:bookmarkEnd w:id="56"/>
    </w:p>
    <w:p>
      <w:pPr>
        <w:pStyle w:val="Heading3"/>
        <w:numPr>
          <w:ilvl w:val="2"/>
          <w:numId w:val="1"/>
        </w:numPr>
        <w:rPr/>
      </w:pPr>
      <w:bookmarkStart w:id="57" w:name="__RefHeading___Toc5114507_211673320"/>
      <w:bookmarkStart w:id="58" w:name="_Toc21"/>
      <w:bookmarkEnd w:id="57"/>
      <w:r>
        <w:rPr>
          <w:rtl w:val="true"/>
        </w:rPr>
        <w:t>اشاره</w:t>
      </w:r>
      <w:bookmarkEnd w:id="58"/>
    </w:p>
    <w:p>
      <w:pPr>
        <w:pStyle w:val="BookText"/>
        <w:rPr/>
      </w:pPr>
      <w:r>
        <w:rPr>
          <w:rFonts w:ascii="IRNazanin" w:hAnsi="IRNazanin" w:eastAsia="IRNazanin"/>
          <w:color w:val="111111"/>
          <w:sz w:val="28"/>
          <w:sz w:val="28"/>
          <w:szCs w:val="28"/>
          <w:rtl w:val="true"/>
          <w:lang w:bidi="fa-IR"/>
        </w:rPr>
        <w:t>يكي از پديده هاي انحرافي كه در حوزه ي اعتقادات ديني در جهان اسلام رخ داده است، پديده ي غلو و ظهور غاليان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كساني بوده اند كه در حق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افراد ديگر به الوهيت، و حلول خداوند در آنان، و يا اتحاد خداوند با آنان قايل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گزارش هاي تاريخي، بيشترين غلو در جهان اسلام در مورد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 او صورت گرفته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مفيد در مورد غُلات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 اي از متظاهران به دين اسلامند كه در حقّ اميرالمؤمنين و امامان از ذريه ي او قايل به الوهيت و نبوت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گمراه و كافرند، اميرالمؤمنين به قتل آنان دستور داده است، و ائمه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كافر و خارج از دين دانسته اند</w:t>
      </w:r>
      <w:r>
        <w:rPr>
          <w:rFonts w:eastAsia="IRNazanin" w:cs="IRNazanin"/>
          <w:color w:val="111111"/>
          <w:sz w:val="28"/>
          <w:szCs w:val="28"/>
          <w:rtl w:val="true"/>
          <w:lang w:bidi="fa-IR"/>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bookmarkStart w:id="59" w:name="pg593_6564"/>
    </w:p>
    <w:p>
      <w:pPr>
        <w:pStyle w:val="Heading3"/>
        <w:numPr>
          <w:ilvl w:val="2"/>
          <w:numId w:val="1"/>
        </w:numPr>
        <w:rPr/>
      </w:pPr>
      <w:bookmarkStart w:id="60" w:name="__RefHeading___Toc5114509_211673320"/>
      <w:bookmarkStart w:id="61" w:name="_Toc22"/>
      <w:bookmarkEnd w:id="59"/>
      <w:bookmarkEnd w:id="60"/>
      <w:r>
        <w:rPr>
          <w:rtl w:val="true"/>
        </w:rPr>
        <w:t>نشانه هاي غلو</w:t>
      </w:r>
      <w:bookmarkEnd w:id="61"/>
    </w:p>
    <w:p>
      <w:pPr>
        <w:pStyle w:val="BookText"/>
        <w:rPr/>
      </w:pPr>
      <w:r>
        <w:rPr>
          <w:rFonts w:ascii="IRNazanin" w:hAnsi="IRNazanin" w:eastAsia="IRNazanin"/>
          <w:color w:val="111111"/>
          <w:sz w:val="28"/>
          <w:sz w:val="28"/>
          <w:szCs w:val="28"/>
          <w:rtl w:val="true"/>
          <w:lang w:bidi="fa-IR"/>
        </w:rPr>
        <w:t>غاليان در جهان اسلام عقايدي داشتند كه برخي از آنها با عقايد مذاهب اسلامي همانند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عقايدي كه از ويژگي هاي آنان بود و نشانه هاي غلو به شمار مي روند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اعتقاد به الوهيت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يكي از ائمه ي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يا فردي ديگري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اعتقاد به اين كه تدبير جهان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ائمه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افرادي ديگر واگذار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اعتقاد به نبوت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ائمه ي ديگر، يا فردي از امت اسلامي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مفيد در مورد نشانه هاي غلو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علامت غلو همين كافي است كه فردي نشانه هاي مخلوق بودن را در پيشوايان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نفي كند و به الوهيت آنان قايل شود</w:t>
      </w:r>
      <w:r>
        <w:rPr>
          <w:rFonts w:eastAsia="IRNazanin" w:cs="IRNazanin"/>
          <w:color w:val="111111"/>
          <w:sz w:val="28"/>
          <w:szCs w:val="28"/>
          <w:rtl w:val="true"/>
          <w:lang w:bidi="fa-IR"/>
        </w:rPr>
        <w:t>».</w:t>
      </w:r>
    </w:p>
    <w:p>
      <w:pPr>
        <w:pStyle w:val="Heading3"/>
        <w:numPr>
          <w:ilvl w:val="2"/>
          <w:numId w:val="1"/>
        </w:numPr>
        <w:rPr/>
      </w:pPr>
      <w:bookmarkStart w:id="62" w:name="__RefHeading___Toc5114511_211673320"/>
      <w:bookmarkStart w:id="63" w:name="_Toc23"/>
      <w:bookmarkEnd w:id="62"/>
      <w:r>
        <w:rPr>
          <w:rtl w:val="true"/>
        </w:rPr>
        <w:t>نظر ائمه ي اهل بيت درباره غاليان</w:t>
      </w:r>
      <w:bookmarkEnd w:id="63"/>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ائمه ي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شدّت تمام با پديده ي غلو و غاليان مخالفت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احاديث بسياري از آنان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ي مجلسي حدود يك صد حديث را در بحارالانوار روايت كرده است، نمونه هايي از آنها را در اين جا</w:t>
      </w:r>
    </w:p>
    <w:p>
      <w:pPr>
        <w:pStyle w:val="BookText"/>
        <w:rPr/>
      </w:pPr>
      <w:r>
        <w:rPr>
          <w:rFonts w:ascii="Amiri" w:hAnsi="Amiri" w:eastAsia="Amiri" w:cs="Amiri"/>
          <w:color w:val="111111"/>
          <w:sz w:val="28"/>
          <w:sz w:val="28"/>
          <w:szCs w:val="28"/>
          <w:rtl w:val="true"/>
          <w:lang w:bidi="ar-SA"/>
        </w:rPr>
        <w:t>نقل مي كنيم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اِحْذَروا علي شَبابِكم الغُلاةَ لا يُقسِدوهُم فَانَّ الغُلاةَ شرُّ خلق الله، يصغِّرون عظمة الله و يدَّعون الربوبية لعبادالله</w:t>
      </w:r>
      <w:r>
        <w:rPr>
          <w:rFonts w:eastAsia="Amiri" w:cs="Amiri" w:ascii="Amiri" w:hAnsi="Amiri"/>
          <w:color w:val="111111"/>
          <w:sz w:val="28"/>
          <w:szCs w:val="28"/>
          <w:rtl w:val="true"/>
          <w:lang w:bidi="ar-SA"/>
        </w:rPr>
        <w:t xml:space="preserve">...» </w:t>
      </w:r>
      <w:r>
        <w:rPr>
          <w:rStyle w:val="FootnoteAnchor"/>
          <w:rtl w:val="true"/>
        </w:rPr>
        <w:footnoteReference w:id="49"/>
      </w:r>
      <w:r>
        <w:rPr>
          <w:rFonts w:ascii="IRNazanin" w:hAnsi="IRNazanin" w:eastAsia="IRNazanin"/>
          <w:color w:val="111111"/>
          <w:sz w:val="28"/>
          <w:sz w:val="28"/>
          <w:szCs w:val="28"/>
          <w:rtl w:val="true"/>
          <w:lang w:bidi="fa-IR"/>
        </w:rPr>
        <w:t>بر جوانان خود از خطر غاليان بيمناك باشيد، مبادا عقايد آنان را تباه سازند، زيرا غاليان بدترين خلق خدا مي باشند، عظمت خدا را كوچك دانسته و براي بندگان خدا قايل به ربوبيت مي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غاليان سخن به ميان آمد، حضرت فرمود از هرگونه مجالست با آنان بپرهيزيد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جاي ديگر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كسي باد كه ما را پيامبر بداند</w:t>
      </w:r>
      <w:r>
        <w:rPr>
          <w:rFonts w:eastAsia="IRNazanin" w:cs="IRNazanin"/>
          <w:color w:val="111111"/>
          <w:sz w:val="28"/>
          <w:szCs w:val="28"/>
          <w:rtl w:val="true"/>
          <w:lang w:bidi="fa-IR"/>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غاليان، كافر و قائلان به تفويض </w:t>
      </w:r>
      <w:r>
        <w:rPr>
          <w:rStyle w:val="FootnoteAnchor"/>
          <w:rtl w:val="true"/>
        </w:rPr>
        <w:footnoteReference w:id="51"/>
      </w:r>
      <w:r>
        <w:rPr>
          <w:rFonts w:ascii="IRNazanin" w:hAnsi="IRNazanin" w:eastAsia="IRNazanin"/>
          <w:color w:val="111111"/>
          <w:sz w:val="28"/>
          <w:sz w:val="28"/>
          <w:szCs w:val="28"/>
          <w:rtl w:val="true"/>
          <w:lang w:bidi="fa-IR"/>
        </w:rPr>
        <w:t>مشركند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با آنان مجالست كند، و با آنان پيمان زناشويي برقرار سازد، يا آنان را امين بداند و سخن آنها را تصديق تأييد كند از ولايت خدا و ولايت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ولايت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بيرون مي رود</w:t>
      </w:r>
      <w:r>
        <w:rPr>
          <w:rFonts w:eastAsia="IRNazanin" w:cs="IRNazanin"/>
          <w:color w:val="111111"/>
          <w:sz w:val="28"/>
          <w:szCs w:val="28"/>
          <w:rtl w:val="true"/>
          <w:lang w:bidi="fa-IR"/>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روايات و ده ها نمونه ي ديگر به خوبي بيانگر مخالفت شديد ائمه ي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غاليان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دانشمندان و متكلمان اماميه نيز غاليان را كافر و مشرك دانسته و از آنان تبرّي جسته اند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اين تصريحات جاي بسي تعجّب و تأسف است كه گاهي از طرف افرادي مغرض يا ناآگاه، شيعه ي اماميه به غلو در مورد ائمه ي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متّهم مي گردد، گاهي اين اتهام از آنجا ناشي شده است كه به حقيقت غلو توجه نشده و در نتيجه، برخي از اعتقادات شيعيان نسبت به پيشوايان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اعتقاد به عصمت آنان، داشتن كرامت و اعجاز، و عالم بودن به امور غيبي با اذن و مشيت الهي، به عنوان غلو در حق آنان به شمار آمده است</w:t>
      </w:r>
      <w:r>
        <w:rPr>
          <w:rFonts w:eastAsia="IRNazanin" w:cs="IRNazanin"/>
          <w:color w:val="111111"/>
          <w:sz w:val="28"/>
          <w:szCs w:val="28"/>
          <w:rtl w:val="true"/>
          <w:lang w:bidi="fa-IR"/>
        </w:rPr>
        <w:t>.</w:t>
      </w:r>
      <w:bookmarkStart w:id="64" w:name="pg593_6567"/>
    </w:p>
    <w:p>
      <w:pPr>
        <w:pStyle w:val="Heading2"/>
        <w:numPr>
          <w:ilvl w:val="1"/>
          <w:numId w:val="1"/>
        </w:numPr>
        <w:rPr/>
      </w:pPr>
      <w:bookmarkStart w:id="65" w:name="__RefHeading___Toc5114513_211673320"/>
      <w:bookmarkStart w:id="66" w:name="_Toc24"/>
      <w:bookmarkEnd w:id="64"/>
      <w:bookmarkEnd w:id="65"/>
      <w:r>
        <w:rPr>
          <w:rtl w:val="true"/>
        </w:rPr>
        <w:t>علت اختلاف ميان شيعه و سني</w:t>
      </w:r>
      <w:bookmarkEnd w:id="66"/>
    </w:p>
    <w:p>
      <w:pPr>
        <w:pStyle w:val="Heading3"/>
        <w:numPr>
          <w:ilvl w:val="2"/>
          <w:numId w:val="1"/>
        </w:numPr>
        <w:rPr/>
      </w:pPr>
      <w:bookmarkStart w:id="67" w:name="__RefHeading___Toc5114515_211673320"/>
      <w:bookmarkStart w:id="68" w:name="_Toc25"/>
      <w:bookmarkEnd w:id="67"/>
      <w:r>
        <w:rPr>
          <w:rtl w:val="true"/>
        </w:rPr>
        <w:t>اشاره</w:t>
      </w:r>
      <w:bookmarkEnd w:id="68"/>
    </w:p>
    <w:p>
      <w:pPr>
        <w:pStyle w:val="BookText"/>
        <w:rPr/>
      </w:pPr>
      <w:r>
        <w:rPr>
          <w:rFonts w:ascii="Amiri" w:hAnsi="Amiri" w:eastAsia="Amiri" w:cs="Amiri"/>
          <w:color w:val="111111"/>
          <w:sz w:val="28"/>
          <w:sz w:val="28"/>
          <w:szCs w:val="28"/>
          <w:rtl w:val="true"/>
          <w:lang w:bidi="ar-SA"/>
        </w:rPr>
        <w:t>در برخي مسائل اصول دين و نيز در بخشي از مسائل فقهي و احكام شرعي</w:t>
      </w:r>
    </w:p>
    <w:p>
      <w:pPr>
        <w:pStyle w:val="BookText"/>
        <w:rPr/>
      </w:pPr>
      <w:r>
        <w:rPr>
          <w:rFonts w:ascii="IRNazanin" w:hAnsi="IRNazanin" w:eastAsia="IRNazanin"/>
          <w:color w:val="111111"/>
          <w:sz w:val="28"/>
          <w:sz w:val="28"/>
          <w:szCs w:val="28"/>
          <w:rtl w:val="true"/>
          <w:lang w:bidi="fa-IR"/>
        </w:rPr>
        <w:t>يكي از بحث هاي مهم، بحث در مورد منابع مذهب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بحث در اين باره كه شيعه عقايد و آراء خود در مورد اصول و فروع دين را از كجا و چگونه به دست مي آورد، و نقاط اشتراك و امتياز آن در اين باره با ديگر مذاهب اسلامي كدام است؟ پاسخ اين است كه شيعه اماميه، اصول و فروع دين اسلام را از چهار منبع به دست مي آورد كه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قرآن كريم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سنت نبوي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احاديث ائمه ي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عقل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 w:name="__RefHeading___Toc5114517_211673320"/>
      <w:bookmarkStart w:id="70" w:name="_Toc26"/>
      <w:bookmarkEnd w:id="69"/>
      <w:r>
        <w:rPr>
          <w:rtl w:val="true"/>
        </w:rPr>
        <w:t>قرآن كريم</w:t>
      </w:r>
      <w:bookmarkEnd w:id="70"/>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مورد قبول همه ي مذاهب اسلامي است و از منابع مشترك آنان به شمار مي رود، هرچند در چگونگي بهره گيري از</w:t>
      </w:r>
      <w:bookmarkStart w:id="71" w:name="pg593_6568"/>
    </w:p>
    <w:p>
      <w:pPr>
        <w:pStyle w:val="BookText"/>
        <w:rPr/>
      </w:pPr>
      <w:bookmarkEnd w:id="71"/>
      <w:r>
        <w:rPr>
          <w:rFonts w:ascii="IRNazanin" w:hAnsi="IRNazanin" w:eastAsia="IRNazanin"/>
          <w:color w:val="111111"/>
          <w:sz w:val="28"/>
          <w:sz w:val="28"/>
          <w:szCs w:val="28"/>
          <w:rtl w:val="true"/>
          <w:lang w:bidi="fa-IR"/>
        </w:rPr>
        <w:t>قرآن و روش فهم مفاهيم و معارف قرآني اختلاف نظراتي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ديدگاه شيعه به پيروي از ائمه ي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نخستين و مهم ترين منبع و سرچشمه ي عقايد، معارف و احكام ديني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اصالت قرآن كريم از ديدگاه ائمه ي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حدّي است كه هم آهنگ بودن احاديث اسلامي با قرآن از شرايط مقبوليت احاديث است و هرگاه حديثي فاقد چنين ويژگي بوده و با قرآن ناسازگار باشد، مردود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امام صادق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وافق كتاب الله فخذوه و ما خالف كتاب الله فدعوه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 w:name="__RefHeading___Toc5114519_211673320"/>
      <w:bookmarkStart w:id="73" w:name="_Toc27"/>
      <w:bookmarkEnd w:id="72"/>
      <w:r>
        <w:rPr>
          <w:rtl w:val="true"/>
        </w:rPr>
        <w:t>سنت پيامبر اكرم</w:t>
      </w:r>
      <w:bookmarkEnd w:id="73"/>
    </w:p>
    <w:p>
      <w:pPr>
        <w:pStyle w:val="BookText"/>
        <w:rPr/>
      </w:pPr>
      <w:r>
        <w:rPr>
          <w:rFonts w:ascii="Amiri" w:hAnsi="Amiri" w:eastAsia="Amiri" w:cs="Amiri"/>
          <w:color w:val="111111"/>
          <w:sz w:val="28"/>
          <w:sz w:val="28"/>
          <w:szCs w:val="28"/>
          <w:rtl w:val="true"/>
          <w:lang w:bidi="ar-SA"/>
        </w:rPr>
        <w:t xml:space="preserve">سنّت در لغت به معني طريقه و روش است، و در اصطلاح فقهاء قول، فعل و تقرير </w:t>
      </w:r>
      <w:r>
        <w:rPr>
          <w:rStyle w:val="FootnoteAnchor"/>
          <w:rtl w:val="true"/>
        </w:rPr>
        <w:footnoteReference w:id="55"/>
      </w:r>
      <w:r>
        <w:rPr>
          <w:rFonts w:ascii="IRNazanin" w:hAnsi="IRNazanin" w:eastAsia="IRNazanin"/>
          <w:color w:val="111111"/>
          <w:sz w:val="28"/>
          <w:sz w:val="28"/>
          <w:szCs w:val="28"/>
          <w:rtl w:val="true"/>
          <w:lang w:bidi="fa-IR"/>
        </w:rPr>
        <w:t>معصوم سنت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مقصود از سنّت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فعل و تقرير آن حضرت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دومين منبع مذهب تشيّع در عقايد، اخلاق و احكام الهي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مورد قبول همه ي مذاهب اسلامي</w:t>
      </w:r>
    </w:p>
    <w:p>
      <w:pPr>
        <w:pStyle w:val="BookText"/>
        <w:rPr/>
      </w:pPr>
      <w:r>
        <w:rPr>
          <w:rFonts w:ascii="IRNazanin" w:hAnsi="IRNazanin" w:eastAsia="IRNazanin"/>
          <w:color w:val="111111"/>
          <w:sz w:val="28"/>
          <w:sz w:val="28"/>
          <w:szCs w:val="28"/>
          <w:rtl w:val="true"/>
          <w:lang w:bidi="fa-IR"/>
        </w:rPr>
        <w:t xml:space="preserve">است، هرچند در شرايط راويان حديث نبوي و راه دريافت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اختلافاتي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هرگاه از طريق معتبر حديثي نقل شود كه در برگيرنده ي قول يا فعل يا تقرير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ممكن است گفته شود شيعه در بحث هاي كلامي، فقهي و اخلاقي غالباً به احاديث ائمه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مي جويد</w:t>
      </w:r>
    </w:p>
    <w:p>
      <w:pPr>
        <w:pStyle w:val="BookText"/>
        <w:rPr/>
      </w:pPr>
      <w:r>
        <w:rPr>
          <w:rFonts w:ascii="IRNazanin" w:hAnsi="IRNazanin" w:eastAsia="IRNazanin"/>
          <w:color w:val="111111"/>
          <w:sz w:val="28"/>
          <w:sz w:val="28"/>
          <w:szCs w:val="28"/>
          <w:rtl w:val="true"/>
          <w:lang w:bidi="fa-IR"/>
        </w:rPr>
        <w:t xml:space="preserve">و جز در موارد اندك به احاديث نبوي توجه نمي كنند، بنابراين، شيعه عملا نسبت به سنت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لازم را به كار نمي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اين است كه سنّت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اعتنا و اهتمام همه ي مذاهب اسلامي است، ولي با اين حال در چگونگي دست يافتن به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شيعه و سني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شرايطي كه براي روايات قايل اند اتفاق نظر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ديدگاه شيعه اماميه مطمئن ترين طريق براي دست يافتن به سنّت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كرده است، در حقيقت همان است كه در سنّت پيامبر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هشام بن سالم و حمادبن عيسي و ديگران روايت كرده اند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حديثي حديث أبي، و حديث أبي حديث جدّي، و حديث</w:t>
      </w:r>
    </w:p>
    <w:p>
      <w:pPr>
        <w:pStyle w:val="BookText"/>
        <w:rPr/>
      </w:pPr>
      <w:r>
        <w:rPr>
          <w:rFonts w:ascii="Amiri" w:hAnsi="Amiri" w:eastAsia="Amiri" w:cs="Amiri"/>
          <w:color w:val="111111"/>
          <w:sz w:val="28"/>
          <w:sz w:val="28"/>
          <w:szCs w:val="28"/>
          <w:rtl w:val="true"/>
          <w:lang w:bidi="ar-SA"/>
        </w:rPr>
        <w:t xml:space="preserve">جدّي حديث الحسين و حديث الحسين حديث الحسن، و حديث الحسن حديث اميرالمؤمنين و حديث اميرالمؤمنين حديث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عزّوجلّ</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كاشف الغطا پس از يادآوري اين كه شيعه و اهل سنّت در اين كه كتاب و سنّت از مصادر احكام شريعت است اختلافي ندارند، ياد آور شده است تفاوت شيعه با ديگران در مورد سنّت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شيعه تنها آن سنّتي را معتبر مي دانند كه از طريق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اين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او از پدرش زين العابدين، او از امام حسين و او از اميرالمؤمنين و او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يا از طريق مورد اطمينان روايت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روايت كساني چون ابوهريرة، سمرة بن جندب، مروان بن حكم، و عمروبن عاص و نظاير آنان را معتبر نمي دانند</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گفتار و رفتار و تقرير اهل 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اهل 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حجت بودن گفتار و عمل تقرير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هاي متعددي هست مانند حديث ثقلين و حديث سفينه</w:t>
      </w:r>
      <w:r>
        <w:rPr>
          <w:rFonts w:eastAsia="IRNazanin" w:cs="IRNazanin"/>
          <w:color w:val="111111"/>
          <w:sz w:val="28"/>
          <w:szCs w:val="28"/>
          <w:rtl w:val="true"/>
          <w:lang w:bidi="fa-IR"/>
        </w:rPr>
        <w:t>.</w:t>
      </w:r>
      <w:bookmarkStart w:id="74" w:name="pg593_6571"/>
    </w:p>
    <w:p>
      <w:pPr>
        <w:pStyle w:val="Heading3"/>
        <w:numPr>
          <w:ilvl w:val="2"/>
          <w:numId w:val="1"/>
        </w:numPr>
        <w:rPr/>
      </w:pPr>
      <w:bookmarkStart w:id="75" w:name="__RefHeading___Toc5114521_211673320"/>
      <w:bookmarkStart w:id="76" w:name="_Toc28"/>
      <w:bookmarkEnd w:id="74"/>
      <w:bookmarkEnd w:id="75"/>
      <w:r>
        <w:rPr>
          <w:rtl w:val="true"/>
        </w:rPr>
        <w:t>حديث ثقلين</w:t>
      </w:r>
      <w:bookmarkEnd w:id="76"/>
    </w:p>
    <w:p>
      <w:pPr>
        <w:pStyle w:val="BookText"/>
        <w:rPr/>
      </w:pPr>
      <w:r>
        <w:rPr>
          <w:rFonts w:ascii="IRNazanin" w:hAnsi="IRNazanin" w:eastAsia="IRNazanin"/>
          <w:color w:val="111111"/>
          <w:sz w:val="28"/>
          <w:sz w:val="28"/>
          <w:szCs w:val="28"/>
          <w:rtl w:val="true"/>
          <w:lang w:bidi="fa-IR"/>
        </w:rPr>
        <w:t>پيشتر گفتيم كه حديث ثقلين يكي از احاديث متواتر اسلامي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شيعه و اهل سنّت آن را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حديث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 الناس اني تاريك فيكم الثقلين، كتاب الله و عترتي، اهل بيتي ما ان تمسكتم بهما لن تضّلوا بعدي ابداً، و انّهما لن يفترقا حتي يردا عليَّ الحوض فانظروا كيف تخلفوني فيهما</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 دو چيز گرانبها را در ميان شما باقي مي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آن دو تمسك جوييد، پس از من هرگز گمراه نخواهيد شد، آن دو، كتاب خدا و عترت و اهل بيت من مي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از يكديگر جدا نمي شوند تا در قيامت نزد من آيند، پس بنگريد كه چگونه با آنها رفتار خواهيد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 ثقلين از نظر سند جاي هيچ گونه بحثي ندارد، زيرا از بيش از سي صحابي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بر مطالب ذيل دلالت مي كند</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وجوب پيروي از عترت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مرجعيت علمي آنان در معارف و احكام ديني؛ زيرا مقصود از تمسك به كتاب و</w:t>
      </w:r>
    </w:p>
    <w:p>
      <w:pPr>
        <w:pStyle w:val="BookText"/>
        <w:rPr/>
      </w:pPr>
      <w:r>
        <w:rPr>
          <w:rFonts w:ascii="IRNazanin" w:hAnsi="IRNazanin" w:eastAsia="IRNazanin"/>
          <w:color w:val="111111"/>
          <w:sz w:val="28"/>
          <w:sz w:val="28"/>
          <w:szCs w:val="28"/>
          <w:rtl w:val="true"/>
          <w:lang w:bidi="fa-IR"/>
        </w:rPr>
        <w:t>عترت چيزي جز عمل به آن 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مطلبي است كه علماي اهل سنّت نيز به آن اذعان نموداند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سعدالدين تفتازاني كه از دانشمندان بزرگ اهل تسنن است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تري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قرنهم بكتاب الله تعالي في كون التمسك بهما منقذاً عن الضلالة، و لا معني للتمسك بالكتاب الاّ الأخذ بما فيه من العلم و الهداية، فكذا في العترة</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عصمت اهل 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خطا و گناه 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را عِدل قرآن كريم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 گونه كه قرآن از هرگونه انحراف و بطلاني مصون است، اهل 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چنين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 به آنان را بدون هيچ گون قيد و شرطي، همچون تمسك به قرآن مانع از گمراهي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اگر در اهل بيت احتمال اشتباه وجود داشته باشد، تمسك به آنان نمي تواند به صورت كلي و همه جانبه مانع از ضلالت و گمراهي شان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وجود پيشواي معصوم در همه ي زمان ها لازم است، زيرا فرموده است عترت هيچ گاه از قرآن جدا نمي شود و بالعكس، قرآن نيز هيچ گاه بدون عترت نخواهد بود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همه ي زمان ها فردي از عترت پيامبر كه معصوم از گناه</w:t>
      </w:r>
      <w:bookmarkStart w:id="77" w:name="pg593_6573"/>
    </w:p>
    <w:p>
      <w:pPr>
        <w:pStyle w:val="BookText"/>
        <w:rPr/>
      </w:pPr>
      <w:bookmarkEnd w:id="77"/>
      <w:r>
        <w:rPr>
          <w:rFonts w:ascii="IRNazanin" w:hAnsi="IRNazanin" w:eastAsia="IRNazanin"/>
          <w:color w:val="111111"/>
          <w:sz w:val="28"/>
          <w:sz w:val="28"/>
          <w:szCs w:val="28"/>
          <w:rtl w:val="true"/>
          <w:lang w:bidi="fa-IR"/>
        </w:rPr>
        <w:t>و خطاست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حديث ثقلين بر وجود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دلالت مي كند، زيرا از خاندان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كسي از ويژگي عصمت برخوردار نيست</w:t>
      </w:r>
      <w:r>
        <w:rPr>
          <w:rFonts w:eastAsia="IRNazanin" w:cs="IRNazanin"/>
          <w:color w:val="111111"/>
          <w:sz w:val="28"/>
          <w:szCs w:val="28"/>
          <w:rtl w:val="true"/>
          <w:lang w:bidi="fa-IR"/>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دلالت حديث برعصمت عترتواهل بيت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مرجعيت ديني آنان نيز روشن است، زيرا تمسك به عترت همچون تمسك به قرآن سبب نجات از گمراهي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 گونه كه قرآن كريم مصون از خطا و انحراف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يَأْتيهِ الْباطِلُ مِنْ بَيْنِ يَدَيْهِ وَ لا مِنْ خَلْفِهِ</w:t>
      </w:r>
      <w:r>
        <w:rPr>
          <w:rFonts w:eastAsia="IRNazanin" w:cs="IRNazanin"/>
          <w:color w:val="111111"/>
          <w:sz w:val="28"/>
          <w:szCs w:val="28"/>
          <w:rtl w:val="true"/>
          <w:lang w:bidi="fa-IR"/>
        </w:rPr>
        <w:t xml:space="preserve">) </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و فعل و تقرير اهل بيت و عترت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مصون از خطا و انحراف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سوي ديگر، عدم جدايي آن دو از يكديگر بيانگر اين مطلب است كه تا روز قيامت پيوسته در كنار قرآن بايد از رهنمودهاي عترت نيز بهره گرفت، يعني پيوسته يك نفر معصوم از عترت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خصوصيت، جز بر امامان شيعه منطبق نيست، زيرا ويژگي عصمت در هيچ يك از خاندان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علاوه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ادعا نشده است</w:t>
      </w:r>
      <w:r>
        <w:rPr>
          <w:rFonts w:eastAsia="IRNazanin" w:cs="IRNazanin"/>
          <w:color w:val="111111"/>
          <w:sz w:val="28"/>
          <w:szCs w:val="28"/>
          <w:rtl w:val="true"/>
          <w:lang w:bidi="fa-IR"/>
        </w:rPr>
        <w:t>.</w:t>
      </w:r>
    </w:p>
    <w:p>
      <w:pPr>
        <w:pStyle w:val="Heading3"/>
        <w:numPr>
          <w:ilvl w:val="2"/>
          <w:numId w:val="1"/>
        </w:numPr>
        <w:rPr/>
      </w:pPr>
      <w:bookmarkStart w:id="78" w:name="__RefHeading___Toc5114523_211673320"/>
      <w:bookmarkStart w:id="79" w:name="_Toc29"/>
      <w:bookmarkEnd w:id="78"/>
      <w:r>
        <w:rPr>
          <w:rtl w:val="true"/>
        </w:rPr>
        <w:t>حديث سفينه</w:t>
      </w:r>
      <w:bookmarkEnd w:id="79"/>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اهل بيت خود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مثل أهل بيتي فيكم كسفينة نوح، من ركبها نجا و من تخلّف</w:t>
      </w:r>
    </w:p>
    <w:p>
      <w:pPr>
        <w:pStyle w:val="BookText"/>
        <w:rPr/>
      </w:pPr>
      <w:r>
        <w:rPr>
          <w:rFonts w:ascii="IRNazanin" w:hAnsi="IRNazanin" w:eastAsia="IRNazanin"/>
          <w:color w:val="111111"/>
          <w:sz w:val="28"/>
          <w:sz w:val="28"/>
          <w:szCs w:val="28"/>
          <w:rtl w:val="true"/>
          <w:lang w:bidi="fa-IR"/>
        </w:rPr>
        <w:t>عنها غرق</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 اهل بيت من در ميان شما همانند كشتي نوح اند كه هركس بر آن نشست از غرق شدن نجات يافت و هركس آن را رها كرد و از آن فاصله گرفت، غرق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تشبيه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كشتي نوح اين است كه مسلمانان بايد در اصول و فروع دين از علم و دانش اهل بيت، طلب هدايت كنند و گفتار و رفتار آنان را سرمشق زندگي قرار دهند، در غير اين صورت در طوفان اختلافات مذاهب غرق خواهند شد، و نجات نخواهند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كه يكي از علماء مشهور سنيان است در توضيح اين حديث گفته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تشبيه اهل بيت به كشتي نوح اين است كه هركس به پاس شكرگزاري خداوند كه اهل بيت را چنين شرافتي عطا كرده است، آنان را دوست داشته و گرامي بدارد، و به هدايت علماي اهل بيت تمسك جويد، از تاريكي مخالفت ها نجات خواهد يافت، و هركس از آنان تخلف كنند، در درياي كفران نعمت الهي غرق شده، و در ورطه هاي طغيان هلاك خواهد شد</w:t>
      </w:r>
      <w:r>
        <w:rPr>
          <w:rFonts w:eastAsia="IRNazanin" w:cs="IRNazanin"/>
          <w:color w:val="111111"/>
          <w:sz w:val="28"/>
          <w:szCs w:val="28"/>
          <w:rtl w:val="true"/>
          <w:lang w:bidi="fa-IR"/>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bookmarkStart w:id="80" w:name="pg593_6575"/>
    </w:p>
    <w:p>
      <w:pPr>
        <w:pStyle w:val="Heading3"/>
        <w:numPr>
          <w:ilvl w:val="2"/>
          <w:numId w:val="1"/>
        </w:numPr>
        <w:rPr/>
      </w:pPr>
      <w:bookmarkStart w:id="81" w:name="__RefHeading___Toc5114525_211673320"/>
      <w:bookmarkStart w:id="82" w:name="_Toc30"/>
      <w:bookmarkEnd w:id="80"/>
      <w:bookmarkEnd w:id="81"/>
      <w:r>
        <w:rPr>
          <w:rtl w:val="true"/>
        </w:rPr>
        <w:t>عقل</w:t>
      </w:r>
      <w:bookmarkEnd w:id="82"/>
    </w:p>
    <w:p>
      <w:pPr>
        <w:pStyle w:val="BookText"/>
        <w:rPr/>
      </w:pPr>
      <w:r>
        <w:rPr>
          <w:rFonts w:ascii="IRNazanin" w:hAnsi="IRNazanin" w:eastAsia="IRNazanin"/>
          <w:color w:val="111111"/>
          <w:sz w:val="28"/>
          <w:sz w:val="28"/>
          <w:szCs w:val="28"/>
          <w:rtl w:val="true"/>
          <w:lang w:bidi="fa-IR"/>
        </w:rPr>
        <w:t>علماي شيعه، با الهام گيري از كتاب و سنّت، براي عقل در معارف دين جايگاه برجسته و شايسته اي قايل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اصل حسن و قبح عقلي را پذيرفته و عدل الهي را بر پايه ي آن اثبات و تبيين كرده اند و از سوي ديگر، فقهاي اماميه عقل را در عرض كتاب و سنّت به عنوان يكي از منابع و مدارك احكام شرعي دانسته، قاعده ي ملازمه ي ميان حكم عقل و شرع را پذيرفت اند و اين، علاوه بر نقش ابزاري عقل در فهم كتاب و سنت است، كه قراين و اعتبارات عقلي مي تواند راهگشاي مفسّران و مجتهدان در تفسير قرآن كريم و استنباط احكام الهي از قرآن و سنّت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 اين نكته در اين جا لازم است كه آنچه به عنوان حجت الهي بر بشر در عرض وحي به شمار آمده است، مستقلات و يا ملازمات روشن عقلي است، و نه ظنون و احتمالات فكري كه از نوع قياس و استحسان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جهت، در مكتب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به پيروي از آن در فقه اماميه، عقل به عنوان راه استواري براي استنباط و احكام الهي به رسميت شناخته شده است، ولي از قياس و استحسان و مانند آنها كه پشتوانه اي جز ظن و گمان ندارد، به شدّت نهي گرديده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آن كه عقل در موضوع دين شناسي و معرف ديني نقش هاي گوناگوني را ايفا مي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پايه هاي اوليه دين را اثبات مي كند، مانند اثبات وجود خدا و برخي از صفات الهي كه مبناي اثبات شريعت است، و اثبات ضرورت دين و شريعت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عرض وحي مي تواند پاره اي از احكام شريعت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عنوان يكي از منابع و مدارك احكام شرعي به شمار 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مستقلات و ملازمات عقليه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عنوان ابزار فهم كتاب و سنّت نقش معرفتي مهمّي را ايفا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عقل در طول وحي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درعرض آن، و چون نوري است كه وسيله ديدن اشياء است و خود چيزي به آنها نمي 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كه با منابع معارف و احكام اسلام از نظر شيعه آشنا شديم پاسخ اصلي سؤال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شيعه و سنّي در منابع ياد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قران و سنت نبوي و روايات اهل بيت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مواردي با هم اختلاف نظر دارند و اين اختلاف نظرها موجب اختلاف برخي عقائد و فتاوي شده است مثلا</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 استفاده از قرآن مجيد رواياتي كه به سند مطمئن از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باشد از نظر شيعه حجّت است در حالي كه علماء اهل تسنن به اين روايات توجهي ندارند و نيز رواياتي كه در كتابهاي اهل تسنن نقل شده و سند آن ها از نظر شيعه مورد اطمينان نيست به عقيده شيعه حجّت نيست با اينكه اهل تسنن به آنها عمل مي كنند و فتوي مي دهند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شيعه فقط سنّت نبوي 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حجت مي داند و گفته ها و عمل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ـ چون معصوم نيستند ـ حجت نمي داند در صورتي كه اهل تسنن به گفته اصحاب هم استناد مي كنند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برخي از عالمان اهل تسنن مطالبي را در اعتقادات مطرح مي كنند كه با حكم عقل مخالف است و از اين رو شيعه آن را نمي پذيرد مانند اينكه مي گويند خداوند در دنيا و يا در آخرت با چشم ديده مي شود و اين مطلب را عقل نمي پذيرد زيرا با چشم ديده شدن مستلزم جسم بودن است و جسم بودن خدا به حكم عقل محال است</w:t>
      </w:r>
      <w:r>
        <w:rPr>
          <w:rFonts w:eastAsia="IRNazanin" w:cs="IRNazanin"/>
          <w:color w:val="111111"/>
          <w:sz w:val="28"/>
          <w:szCs w:val="28"/>
          <w:rtl w:val="true"/>
          <w:lang w:bidi="fa-IR"/>
        </w:rPr>
        <w:t>.</w:t>
      </w:r>
      <w:bookmarkStart w:id="83" w:name="pg593_6578"/>
    </w:p>
    <w:p>
      <w:pPr>
        <w:pStyle w:val="Heading2"/>
        <w:numPr>
          <w:ilvl w:val="1"/>
          <w:numId w:val="1"/>
        </w:numPr>
        <w:rPr/>
      </w:pPr>
      <w:bookmarkStart w:id="84" w:name="__RefHeading___Toc5114527_211673320"/>
      <w:bookmarkStart w:id="85" w:name="_Toc31"/>
      <w:bookmarkEnd w:id="83"/>
      <w:bookmarkEnd w:id="84"/>
      <w:r>
        <w:rPr>
          <w:rtl w:val="true"/>
        </w:rPr>
        <w:t>اعتقاد شيعه درباره قرآن</w:t>
      </w:r>
      <w:bookmarkEnd w:id="85"/>
    </w:p>
    <w:p>
      <w:pPr>
        <w:pStyle w:val="BookText"/>
        <w:rPr/>
      </w:pPr>
      <w:r>
        <w:rPr>
          <w:rFonts w:ascii="IRNazanin" w:hAnsi="IRNazanin" w:eastAsia="IRNazanin"/>
          <w:color w:val="111111"/>
          <w:sz w:val="28"/>
          <w:sz w:val="28"/>
          <w:szCs w:val="28"/>
          <w:rtl w:val="true"/>
          <w:lang w:bidi="fa-IR"/>
        </w:rPr>
        <w:t xml:space="preserve">تورات حضرت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انجيل حضرت عيسي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الأسف پس از آنان بتدريج دستخوش تحريف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علاوه بر قرآن، شواهد تاريخي هم تأييد مي كند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مطالعه خود اين كتب و دقت در محتواي آنها نيز بر آن دلالت دارد، زيرا در آنها يك رشته مطالبي وارد شده است كه هرگز نمي تواند وحي الهي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از اينكه انجيل كنوني بيشتر صورت زندگي نامه حضرت مسيح را دارد كه در آن ماجراي به دار آويخته شدن وي نيز توضيح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خواست خداي متعال قرآن كريم از هر نوع افزايش و كاهش مصون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گرامي اسلام يكصد و چهارده سوره كامل قرآني از خود به يادگار نهاده است و خوشبختانه، با وجود گذشت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از نزول قرآن، نه چيزي از آيات و سوره هاي قرآن كم شده و نه چيزي بر آنها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برخي از دلايل عدم تحريف قرآن</w:t>
      </w:r>
    </w:p>
    <w:p>
      <w:pPr>
        <w:pStyle w:val="BookText"/>
        <w:rPr/>
      </w:pPr>
      <w:r>
        <w:rPr>
          <w:rFonts w:ascii="Amiri" w:hAnsi="Amiri" w:eastAsia="Amiri" w:cs="Amiri"/>
          <w:color w:val="111111"/>
          <w:sz w:val="28"/>
          <w:sz w:val="28"/>
          <w:szCs w:val="28"/>
          <w:rtl w:val="true"/>
          <w:lang w:bidi="ar-SA"/>
        </w:rPr>
        <w:t>اشاره مي كنيم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چگونه امكان دارد كه تحريف به قرآن راه يابد، در حالي كه خداوند حفظ و صيانت آن را تضمين كرده و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نَحْنُ نَزَّلْنَا الذِّكْرَ وَ إِنّا لَهُ لَحافِظُونَ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خود قرآن را فرو فرستاه و خود نيز نگهبان آن هستيم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خداوند راه يافتن هر نوع باطل به ساحت قرآن را نفي كرده و مي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يَأْتيهِ الْباطِلُ مِنْ بَيْنِ يَدَيْهِ وَ لا مِنْ خَلْفِهِ تَنْزيلٌ مِنْ حَكيم حَميد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باطل از هيچ سو به قرآن راه ندارد، آن از جانب خداوند حكيم و ستوده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باطل كه خداوند راه يافتن آن را به قرآن نفي كرده، هر باطلي را شامل مي شود و روشن است كه اگر عبارتي از قرآن نباشد و به دروغ آن را جزو قرآن قرار دهند مصداق باطل است و باطل در قرآن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قطعاً هيچگونه افزايشي به ساحت اين كتاب شريف راه نيافته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تاريخ گواهي مي دهد كه مسلمانان به آموزش و حفظ قرآن عنايت ويژه اي داشتند و در ميان عربهاي زمان پيامبر، حافظه هاي قوي و نيرومندي وجود داشت كه گاهي با يك بار شنيدن، خطبه اي طولاني را حفظ مي كردند، بنابراين چگونه مي توان گفت چنين كتابي كه اين همه قاري و حافظ و علاقمند داشته، تحريف شده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شكي نيست كه امير 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بعضي از مسائل با خلفا</w:t>
      </w:r>
    </w:p>
    <w:p>
      <w:pPr>
        <w:pStyle w:val="BookText"/>
        <w:rPr/>
      </w:pPr>
      <w:r>
        <w:rPr>
          <w:rFonts w:ascii="IRNazanin" w:hAnsi="IRNazanin" w:eastAsia="IRNazanin"/>
          <w:color w:val="111111"/>
          <w:sz w:val="28"/>
          <w:sz w:val="28"/>
          <w:szCs w:val="28"/>
          <w:rtl w:val="true"/>
          <w:lang w:bidi="fa-IR"/>
        </w:rPr>
        <w:t>اختلاف نظر داشت و مخالفت خود را نيز به صورت منطقي در موارد گوناگون آشكار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عين حال مي بينيم كه آن حضرت در سراسر زندگي خود، درباره تحريف شدن قرآن سخن نگفته است، حال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كاري صورت گرفته بود، مسلّماً ايشان درباره آن سكوت نميورزيد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دلايل ياد شده و نظاير آن، علماي بزرگ شيعه اماميه از دير زمان تاكنون بر مصونيت قرآن از تحريف تأكيد نموده اند، كه به عنوان نمونه مي توان به افراد زير اشاره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فضل 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متوفاي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كه در عصر 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زيسته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الايضاح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شيخ 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الاعتقادات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شيخ 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اجوبة المسائل السروية، مطبوع در مجموعة 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سيد مرتضي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جواب المسائل الطرابلسيات، كه كلام وي را شيخ طبرسي در مقدمه مجمع البيان آورده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شيخ طوسي معروف به شيخ الطائفه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التبيان،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شيخ 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مقدمه كتاب خود، مجمع البيان، بر عدم تحريف قرآن تصريح و تأكيد كرده است</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سيد 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السعود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تحريف، رأي شيعه اماميه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علامه 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اجوبة المسائل المهناويه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 اين است كه هيچگونه زياده و نقيصه اي در قرآن راه نيافته است و من از قول به تحريف به خدا پناه مي برم، زيرا اين امر موجب شك در معجزه متواتر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 اين عقيده، پيوسته مورد نظر بزرگان علماي اماميه در اعصار گوناگون بوده است، چنانكه در عصر حاضر نيز همه مراجع تقليد شيعه، بدون استثناء داراي چنين عقيده اي مي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بگوييد در كتب حديث و تفسير رواياتي وارد شده است كه برخي آنها را دليل بر تحريف قرآن قرار داده اند، پاسخش اين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اكثر اين روايات از طريق افراد و كتابهايي نقل شده كه از وثاقت و اعتبار لازم برخوردار نيستند، مانند كتاب قراءات احمدبن محمد سياري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علماي رجال، روايات او را ضعيف خوانده، و مذهب او را فاسد دانسته اند </w:t>
      </w:r>
      <w:r>
        <w:rPr>
          <w:rStyle w:val="FootnoteAnchor"/>
          <w:rtl w:val="true"/>
        </w:rPr>
        <w:footnoteReference w:id="65"/>
      </w:r>
      <w:r>
        <w:rPr>
          <w:rFonts w:ascii="IRNazanin" w:hAnsi="IRNazanin" w:eastAsia="IRNazanin"/>
          <w:color w:val="111111"/>
          <w:sz w:val="28"/>
          <w:sz w:val="28"/>
          <w:szCs w:val="28"/>
          <w:rtl w:val="true"/>
          <w:lang w:bidi="fa-IR"/>
        </w:rPr>
        <w:t xml:space="preserve">يا كتاب علي بن احمد كوفي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علماي رجال درباره او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عمر راه غلوّ را در پيش گرفت</w:t>
      </w:r>
      <w:r>
        <w:rPr>
          <w:rFonts w:eastAsia="IRNazanin" w:cs="IRNazanin"/>
          <w:color w:val="111111"/>
          <w:sz w:val="28"/>
          <w:szCs w:val="28"/>
          <w:rtl w:val="true"/>
          <w:lang w:bidi="fa-IR"/>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قسمتي از اين روايات، كه بر تحريف حمل شده است، جنبه تفسيري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مفاد كلّي آيه در روايت تطبيق بر مصداق شده، و عده اي تصور كرده اند كه تفسير و تطبيق مزبور جزء قرآن بوده و از آن حذف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حمد، در روايات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پيامبر و خاندان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شده، و پيداست كه چنين تفسيري، تطبيق كلي بر فرد اعلاي آن است</w:t>
      </w:r>
      <w:r>
        <w:rPr>
          <w:rFonts w:eastAsia="IRNazanin" w:cs="IRNazanin"/>
          <w:color w:val="111111"/>
          <w:sz w:val="28"/>
          <w:szCs w:val="28"/>
          <w:rtl w:val="true"/>
          <w:lang w:bidi="fa-IR"/>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رواياتي را كه از آنها تحريف برداشت شده بر سه دسته تقسيم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 ـ روايات ضعيف، كه به آنها نمي توان استدلال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 ـ روايات ساختگي، كه شواهد جعلي بودن در آنها نمايان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روايات صحيح، كه اگر در مفاد آنها كاملا دقت گردد روشن مي شود كه مقصود از تحريف در آن روايات، تحريف معاني آيات قرآن است نه تغيير الفاظشان</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كساني كه مي خواهند عقيده واقعي پيروان يك مذهب را به دست آورند بايد به كتابهاي عقيدتي و علمي آنها رجوع كنند، نه به كتابهاي حديثي كه نظر مؤلف از تأليف آن، بيشتر گردآوري</w:t>
      </w:r>
    </w:p>
    <w:p>
      <w:pPr>
        <w:pStyle w:val="BookText"/>
        <w:rPr/>
      </w:pPr>
      <w:r>
        <w:rPr>
          <w:rFonts w:ascii="IRNazanin" w:hAnsi="IRNazanin" w:eastAsia="IRNazanin"/>
          <w:color w:val="111111"/>
          <w:sz w:val="28"/>
          <w:sz w:val="28"/>
          <w:szCs w:val="28"/>
          <w:rtl w:val="true"/>
          <w:lang w:bidi="fa-IR"/>
        </w:rPr>
        <w:t>مطالب بوده و تحقيق آن را به ديگران واگذار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مراجعه به آراي يك يا چند نفر از پيروان يك مذهب براي شناخت عقايد مسلّم آن مذهب كافي نبوده و اصولا استناد به قول يك يا چند نفر در مقابل اكثريت قاطع دانشمندان محقق آن فرقه، ملاك صحيحي براي قضاوت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اين بحث دو نكته را يادآور مي شويم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متهم كردن مذاهب اسلامي يكديگر را به تحريف قرآن، به ويژه در عصر كنوني، جز به نفع دشمنان اسلام نخواهد بود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برخي از علماي شيعه كتابي درباره تحريف قرآن نوشته اند، بايستي نظريه شخصي خود او تلقي شود، نه نظريه اكثريت قاطع علماي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رو است كه مي بينيم پس از انتشار كتاب مزبور، رديه هاي متعددي از سوي علماي شيعه بر آن نوشته شده است؛ همان گونه كه وقتي 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طرف يكي از علماي مصر كتابي با استناد به پاره اي روايات درباره نسخ يا انساء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فراموشي انداختن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آياتي از قرآن، به عنوان اثبات تحريف در قرآن نوشته شد، از طرف علماي دانشگاه ازهر مردود شناخته شد و كتاب مزبور مصادره گرديد</w:t>
      </w:r>
      <w:r>
        <w:rPr>
          <w:rFonts w:eastAsia="IRNazanin" w:cs="IRNazanin"/>
          <w:color w:val="111111"/>
          <w:sz w:val="28"/>
          <w:szCs w:val="28"/>
          <w:rtl w:val="true"/>
          <w:lang w:bidi="fa-IR"/>
        </w:rPr>
        <w:t>.</w:t>
      </w:r>
      <w:bookmarkStart w:id="86" w:name="pg593_6584"/>
    </w:p>
    <w:p>
      <w:pPr>
        <w:pStyle w:val="Heading2"/>
        <w:numPr>
          <w:ilvl w:val="1"/>
          <w:numId w:val="1"/>
        </w:numPr>
        <w:rPr/>
      </w:pPr>
      <w:bookmarkStart w:id="87" w:name="__RefHeading___Toc5114529_211673320"/>
      <w:bookmarkStart w:id="88" w:name="_Toc32"/>
      <w:bookmarkEnd w:id="86"/>
      <w:bookmarkEnd w:id="87"/>
      <w:r>
        <w:rPr>
          <w:rtl w:val="true"/>
        </w:rPr>
        <w:t>ايمان و كفر</w:t>
      </w:r>
      <w:bookmarkEnd w:id="88"/>
    </w:p>
    <w:p>
      <w:pPr>
        <w:pStyle w:val="BookText"/>
        <w:rPr/>
      </w:pPr>
      <w:r>
        <w:rPr>
          <w:rFonts w:ascii="IRNazanin" w:hAnsi="IRNazanin" w:eastAsia="IRNazanin"/>
          <w:color w:val="111111"/>
          <w:sz w:val="28"/>
          <w:sz w:val="28"/>
          <w:szCs w:val="28"/>
          <w:rtl w:val="true"/>
          <w:lang w:bidi="fa-IR"/>
        </w:rPr>
        <w:t>معني ايمان و كفر از بحثهاي مهم علم كلام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لغت، به معناي تصديق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معناي پوشاندن است، لذا به زارع نيز ـ كه مثلا گندم را در دل زمين مي نشاند ـ كافر گفته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مقصود از ايمان در اينجا اعتقاد به وحدانيت خداوند، و باور داشتن روز قيامت و رسالت پيامبر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البته ايمان به رسالت پيامبر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شامل اعتقاد به نبوت پيامبران و كتب آسماني پيشين و آنچه كه پيامبر اسلام از تعاليم و احكام الهي براي بشر آورده است، نيز مي شود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جاي واقعي ايمان همان قلب انسان است، چنانكه قرآن كريم مي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اولئِكَ كَتَبَ فِي قُلُوبِِهمُ الإِيمانَ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كساني هستند كه خداوند ايمان را در دلهاشان ثبت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درباره صحرا نشيناني كه اسلام را در ظاهر پذيرفته ولي دلهاشان از نور ايمان خالي بود،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يَدْخُلِ اْلإيمانُ في</w:t>
      </w:r>
    </w:p>
    <w:p>
      <w:pPr>
        <w:pStyle w:val="BookText"/>
        <w:rPr/>
      </w:pPr>
      <w:r>
        <w:rPr>
          <w:rFonts w:ascii="IRNazanin" w:hAnsi="IRNazanin" w:eastAsia="IRNazanin"/>
          <w:color w:val="111111"/>
          <w:sz w:val="28"/>
          <w:sz w:val="28"/>
          <w:szCs w:val="28"/>
          <w:rtl w:val="true"/>
          <w:lang w:bidi="fa-IR"/>
        </w:rPr>
        <w:t>قُلُوبِكُمْ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هنوز ايمان در قلوب شما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البته حكم به ايمان هركس، مشروط به اين است كه به وسيله زبان يا راه هاي ديگر، آن را اظهار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بيان معني كفر نيز روشن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انساني وحدانيت حق متعال، يا روز قيامت، و يا رسالت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انكار كند، محكوم به كفر خواهد بود، چنانكه انكار يكي از مسلّمات آيين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طور روشن مستلزم انكار رسالت باشد، آدمي را محكوم به كفر مي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براي فتح قلعه هاي خيبر روانه مي كرد، پرچمي به دست او داد و يادآور شد كه صاحب اين پرچم خيبر را فتح كرده و باز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پيامبر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نبرد با آنان چيست؟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قاتِلْهُمْ حَتّي يَشْهدوا أنْ لا اله إلاّ الله وَ انّ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فإذا فعلوا ذلك فَقَد مَنَعُوا مِنْك دِماءهُمْ وَ أَموالَهُم الاّ بحَقّها و حسابهم علي الله</w:t>
      </w:r>
      <w:r>
        <w:rPr>
          <w:rFonts w:eastAsia="IRNazanin" w:cs="IRNazanin"/>
          <w:color w:val="111111"/>
          <w:sz w:val="28"/>
          <w:szCs w:val="28"/>
          <w:rtl w:val="true"/>
          <w:lang w:bidi="fa-IR"/>
        </w:rPr>
        <w:t xml:space="preserve">» </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نبرد كن تا آنكه به يگانگي خدا و رسالت محمد گواهي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گواهي دادند، خونها و مالهاي آنان محترم خواهد بود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نيز شخصي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كمترين چيزي كه مايه</w:t>
      </w:r>
    </w:p>
    <w:p>
      <w:pPr>
        <w:pStyle w:val="BookText"/>
        <w:rPr/>
      </w:pPr>
      <w:r>
        <w:rPr>
          <w:rFonts w:ascii="IRNazanin" w:hAnsi="IRNazanin" w:eastAsia="IRNazanin"/>
          <w:color w:val="111111"/>
          <w:sz w:val="28"/>
          <w:sz w:val="28"/>
          <w:szCs w:val="28"/>
          <w:rtl w:val="true"/>
          <w:lang w:bidi="fa-IR"/>
        </w:rPr>
        <w:t>ايمان بنده به خدا مي شود چيست؟ امام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يشهد أن لا إله إلاّ الله و انّ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عبدُه و رسولُه، و يُقِّرُ بالطاعةِ و يَعرِفُ إمامَ زمانه فإذا فعل ذلك فهو مؤمن</w:t>
      </w:r>
      <w:r>
        <w:rPr>
          <w:rFonts w:eastAsia="IRNazanin" w:cs="IRNazanin"/>
          <w:color w:val="111111"/>
          <w:sz w:val="28"/>
          <w:szCs w:val="28"/>
          <w:rtl w:val="true"/>
          <w:lang w:bidi="fa-IR"/>
        </w:rPr>
        <w:t xml:space="preserve">» </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كمترين مرتبه ايمان اين است كه به وحدانيت خدا و بندگي و رسالت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گواهي دهد و اطاعت از حق را بپذيرد و امام زمان خود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چنين كرد او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حقيقت ايمان همان اعتقاد قلبي است، ولي نبايد پنداشت كه اين مقدار از ايمان براي رستگاري انسان كافي است، بلكه شخص بايد به آثار و لوازم عملي آن نيز ملتزم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بسياري از آيات و روايات، مؤمن واقعي كسي شناخته شده است كه ملتزم به آثار ايمان و انجام دهنده فرايض الهي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قرآن در سوره عصر همه انسانها را زيانكار شمرده و تنها گروه زير را استثنا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الَّذينَ آمَنُوا وَ عَمِلُوا الصّالِحاتِ وَ تَواصَوْا بِالْحَقِّ وَ تَواصَوْا بِالصَّبْرِ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كساني كه ايمان بياورند و عمل صالح انجام دهند و همديگر را به حق و پايداري در راه آن سفارش كنند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 كند كه مردي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هركس به وحدانيت خدا و رسالت پيامبر گواهي دهد،</w:t>
      </w:r>
    </w:p>
    <w:p>
      <w:pPr>
        <w:pStyle w:val="BookText"/>
        <w:rPr/>
      </w:pPr>
      <w:r>
        <w:rPr>
          <w:rFonts w:ascii="IRNazanin" w:hAnsi="IRNazanin" w:eastAsia="IRNazanin"/>
          <w:color w:val="111111"/>
          <w:sz w:val="28"/>
          <w:sz w:val="28"/>
          <w:szCs w:val="28"/>
          <w:rtl w:val="true"/>
          <w:lang w:bidi="fa-IR"/>
        </w:rPr>
        <w:t>مؤمن است؟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فَأَين فرائض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واجبات الهي كجا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امير مؤمنان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الايمانُ كلاماً لم يَنزِل فيه صوم ولا صلاة و لا حلال و لا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ايمان، به صِرفِ گفتن شهادتين بود، ديگر روزه و نماز، و حلال و حرامي تشريع نمي گشت</w:t>
      </w:r>
      <w:r>
        <w:rPr>
          <w:rFonts w:eastAsia="IRNazanin" w:cs="IRNazanin"/>
          <w:color w:val="111111"/>
          <w:sz w:val="28"/>
          <w:szCs w:val="28"/>
          <w:rtl w:val="true"/>
          <w:lang w:bidi="fa-IR"/>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گفتار فوق نتيجه مي گيريم كه، ايمان داراي مراتب مخلتف بوده و هر مرتبه اي نيز براي خود اثري ويژه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قلبي به ضميمه اظهار آن كمترين مرتبه ايمان است كه برخي آثار ديني و دنيوي بر آن مترتب مي گردد، در حالي كه مرتبه ديگر ايمان، كه مايه رستگاري انسان در دنيا و آخرت است، در گرو التزام به آثار عملي آن مي باشد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در خور ذكر اين است كه در برخي از روايات عمل به فرايض ديني نيز جزو اركان ايمان به شمار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 خود و آنان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 كنند كه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الإيمانُ معرفةٌ بالقَلْب و اقرارٌ باللسان و عملٌ بالأَركان</w:t>
      </w:r>
      <w:r>
        <w:rPr>
          <w:rFonts w:eastAsia="IRNazanin" w:cs="IRNazanin"/>
          <w:color w:val="111111"/>
          <w:sz w:val="28"/>
          <w:szCs w:val="28"/>
          <w:rtl w:val="true"/>
          <w:lang w:bidi="fa-IR"/>
        </w:rPr>
        <w:t xml:space="preserve">» </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معرفت قلبي، اقرار زباني، و عمل به وسيله اعضا و جوارح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برخي از روايات در كنار شهادتين، اموري همچون برپاداشتن نماز، پرداخت زكات، انجام دادن فريضه حج و</w:t>
      </w:r>
    </w:p>
    <w:p>
      <w:pPr>
        <w:pStyle w:val="BookText"/>
        <w:rPr/>
      </w:pPr>
      <w:r>
        <w:rPr>
          <w:rFonts w:ascii="Amiri" w:hAnsi="Amiri" w:eastAsia="Amiri" w:cs="Amiri"/>
          <w:color w:val="111111"/>
          <w:sz w:val="28"/>
          <w:sz w:val="28"/>
          <w:szCs w:val="28"/>
          <w:rtl w:val="true"/>
          <w:lang w:bidi="ar-SA"/>
        </w:rPr>
        <w:t>روزه ماه رمضان نيز قيد شده است</w:t>
      </w:r>
      <w:r>
        <w:rPr>
          <w:rFonts w:eastAsia="Amiri" w:cs="Amiri" w:ascii="Amiri" w:hAnsi="Amiri"/>
          <w:color w:val="111111"/>
          <w:sz w:val="28"/>
          <w:szCs w:val="28"/>
          <w:rtl w:val="true"/>
          <w:lang w:bidi="ar-SA"/>
        </w:rPr>
        <w:t xml:space="preserve">. </w:t>
      </w:r>
      <w:r>
        <w:rPr>
          <w:rStyle w:val="FootnoteAnchor"/>
          <w:rtl w:val="true"/>
        </w:rPr>
        <w:footnoteReference w:id="73"/>
      </w:r>
      <w:r>
        <w:rPr>
          <w:rFonts w:ascii="IRNazanin" w:hAnsi="IRNazanin" w:eastAsia="IRNazanin"/>
          <w:color w:val="111111"/>
          <w:sz w:val="28"/>
          <w:sz w:val="28"/>
          <w:szCs w:val="28"/>
          <w:rtl w:val="true"/>
          <w:lang w:bidi="fa-IR"/>
        </w:rPr>
        <w:t>اين گونه روايات، يا ناظر به اين است كه به وسيله اين اعمال مي توان افراد مسلمان را از غير مسلمان باز شناخت، و يا اينكه ذكر شهادتين در صورتي نجات بخش است كه اعمال صالحه نيز به آن ضميمه شود؛ اعمالي كه نماز، زكات، حج، و روزه از مهمترين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مطلب ياد شده نبايد هيچ فرقه اي از مسلمين، فرقه ديگر را به عنوان اينكه در برخي از فروع ديني با يكديگر مخالفند، تكفير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ملاك كفر اين است كه شخص، منكر يكي از اصول سه گانه دين يا منكر چيزي باشد كه انكار آن ملازم با انكار يكي از آن سه چيز است، و اين ملازمه در صورتي تحقق مي پذيرد كه حكم آن چيز از نظر شريعت اسلام آنچنان بديهي و روشن باشد كه هرگز نتوان ميان انكار آن و اعتراف به اصول دين، جمع كرد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روي سزاست كه مسلمانان در تمام مراحل، اخوت اسلامي خويش را حفظ كنند و اختلاف در اموري را كه مربوط به اصول دين نيست، مايه نزاع و احياناً تفسيق و تكفير يكديگر قرار ندهند و در اختلافات فكري و عقيدتي نيز، به گفت و شنود علمي و تحقيقي با يكديگر اكتفا كنند و از اِعمالِ تعصبات خشك غير منطقي و تهمت و تحريف بپرهيزند</w:t>
      </w:r>
      <w:r>
        <w:rPr>
          <w:rFonts w:eastAsia="IRNazanin" w:cs="IRNazanin"/>
          <w:color w:val="111111"/>
          <w:sz w:val="28"/>
          <w:szCs w:val="28"/>
          <w:rtl w:val="true"/>
          <w:lang w:bidi="fa-IR"/>
        </w:rPr>
        <w:t>.</w:t>
      </w:r>
      <w:bookmarkStart w:id="89" w:name="pg593_6589"/>
    </w:p>
    <w:p>
      <w:pPr>
        <w:pStyle w:val="Heading2"/>
        <w:numPr>
          <w:ilvl w:val="1"/>
          <w:numId w:val="1"/>
        </w:numPr>
        <w:rPr/>
      </w:pPr>
      <w:bookmarkStart w:id="90" w:name="__RefHeading___Toc5114531_211673320"/>
      <w:bookmarkStart w:id="91" w:name="_Toc33"/>
      <w:bookmarkEnd w:id="89"/>
      <w:bookmarkEnd w:id="90"/>
      <w:r>
        <w:rPr>
          <w:rtl w:val="true"/>
        </w:rPr>
        <w:t>توحيد و شرك</w:t>
      </w:r>
      <w:bookmarkEnd w:id="91"/>
    </w:p>
    <w:p>
      <w:pPr>
        <w:pStyle w:val="BookText"/>
        <w:rPr/>
      </w:pPr>
      <w:r>
        <w:rPr>
          <w:rFonts w:ascii="IRNazanin" w:hAnsi="IRNazanin" w:eastAsia="IRNazanin"/>
          <w:color w:val="111111"/>
          <w:sz w:val="28"/>
          <w:sz w:val="28"/>
          <w:szCs w:val="28"/>
          <w:rtl w:val="true"/>
          <w:lang w:bidi="fa-IR"/>
        </w:rPr>
        <w:t>توحيد يكي از مهم ترين عقايد اسلامي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توحيد و نفي شرك يكي از اهداف بعثت پيامبران الهي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بَعَثْنا في كُلِّ أُمَّة رَسُولا أَنِ اعْبُدُوا اللهَ وَ اجْتَنِبُوا الطّاغُوتَ</w:t>
      </w:r>
      <w:r>
        <w:rPr>
          <w:rFonts w:eastAsia="IRNazanin" w:cs="IRNazanin"/>
          <w:color w:val="111111"/>
          <w:sz w:val="28"/>
          <w:szCs w:val="28"/>
          <w:rtl w:val="true"/>
          <w:lang w:bidi="fa-IR"/>
        </w:rPr>
        <w:t xml:space="preserve">) . </w:t>
      </w:r>
      <w:r>
        <w:rPr>
          <w:rStyle w:val="FootnoteAnchor"/>
          <w:rtl w:val="true"/>
        </w:rPr>
        <w:footnoteReference w:id="74"/>
      </w:r>
      <w:r>
        <w:rPr>
          <w:rFonts w:ascii="IRNazanin" w:hAnsi="IRNazanin" w:eastAsia="IRNazanin"/>
          <w:color w:val="111111"/>
          <w:sz w:val="28"/>
          <w:sz w:val="28"/>
          <w:szCs w:val="28"/>
          <w:rtl w:val="true"/>
          <w:lang w:bidi="fa-IR"/>
        </w:rPr>
        <w:t>اعتقاد به توحيد و نفي شرك مورد اتفاق همه ي مذاهب اسلامي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در تفسير و تبيين آن، اقوال و آراي مختلفي مطرح شده است، ما در اينجا بدون آن كه به بحث در مورد اقوال و آراي ديگران بپردازيم، عقيده ي شيعه ي اماميه را در مورد اقسام و مراتب توحيد و شرك بيان خواهيم كرد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توحيد را معمولا به ذاتي، صفاتي، افعالي و عبادي، تقسيم كرده اند، ولي گاهي به جاي توحيد افعالي، توحيد در خالقيت و توحيد در ربوبيت را ذكر مي كنند، اصطلاح اخير با نصوص كتاب و</w:t>
      </w:r>
    </w:p>
    <w:p>
      <w:pPr>
        <w:pStyle w:val="BookText"/>
        <w:rPr/>
      </w:pPr>
      <w:r>
        <w:rPr>
          <w:rFonts w:ascii="IRNazanin" w:hAnsi="IRNazanin" w:eastAsia="IRNazanin"/>
          <w:color w:val="111111"/>
          <w:sz w:val="28"/>
          <w:sz w:val="28"/>
          <w:szCs w:val="28"/>
          <w:rtl w:val="true"/>
          <w:lang w:bidi="fa-IR"/>
        </w:rPr>
        <w:t>سنّت هم آهنگي بيشتري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همين روش را مبناي بحث خود قرار مي دهيم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توحيد ذاتي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توحيد ذاتي اين است كه ذات خداوند مثل و مانندي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موجودي كه واجب الوجود بالذات است و در هستي و كمالات خود به چيزي نياز ندارد، جز خداوند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همه ي موجودات ـ جز خداوند ـ ممكن الوجود بالذات و نيازمندند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هر موجود ممكن الوجودي مركب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 مركب از اجزاي عقلي و ذهني و خواه مركب از اجزاي خارجي و عيني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لازمه ي يگانه بودن واجب الوجود بالذات اين است كه ذات او بسيط باشد و هيچ گونه تركيبي در آن راه نداشته باشد، اين دو معنا در كلمات ائمه ي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مكرر و مؤكد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به نقل كلامي از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بسنده مي كنيم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شخصي از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يگانگي خداوند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يگانگي معاني مختلفي دارد، گاهي مقصود از آن يگانگي عددي و مفهومي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اين كه ايران يكي از كشورهاي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يك نوع از حيوان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در خداوند درست نيست، زيرا با كثرت و تعدد منافاتي ندارد، و گاهي مقصود از آن نداشتن مثل و مانند، و نداشتن اجزاي عقلي و</w:t>
      </w:r>
    </w:p>
    <w:p>
      <w:pPr>
        <w:pStyle w:val="BookText"/>
        <w:rPr/>
      </w:pPr>
      <w:r>
        <w:rPr>
          <w:rFonts w:ascii="IRNazanin" w:hAnsi="IRNazanin" w:eastAsia="IRNazanin"/>
          <w:color w:val="111111"/>
          <w:sz w:val="28"/>
          <w:sz w:val="28"/>
          <w:szCs w:val="28"/>
          <w:rtl w:val="true"/>
          <w:lang w:bidi="fa-IR"/>
        </w:rPr>
        <w:t>وهمي و خارجي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يگانگي خداوند همين معناست</w:t>
      </w:r>
      <w:r>
        <w:rPr>
          <w:rFonts w:eastAsia="IRNazanin" w:cs="IRNazanin"/>
          <w:color w:val="111111"/>
          <w:sz w:val="28"/>
          <w:szCs w:val="28"/>
          <w:rtl w:val="true"/>
          <w:lang w:bidi="fa-IR"/>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توحيد صفاتي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توحيد صفاتي اين است كه صفات ذاتي خداوند چون علم، قدرت و حيات، اگرچه از نظر مفهوم مختلف اند، ولي از نظر مصداق هيچ گونه اختلاف و كثرتي در بين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مصداق همگي، ذات بسيط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جز اين باشد، در ذات الهي كثرت راه خواهد يافت كه با توحيد ذاتي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توحيد صفاتي، لازمه ي توحيد ذاتي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صفات ذاتي خداوند عين ذات او نباشند، علاوه بر لزوم كثرت در ذات الهي، تعدد واجب الوجود نيز لازم خواهد آمد، زيرا نمي توان صفات الهي را ممكن الوجود دانست، زيرا امكان با نيازمندي ملازمه دارد، و اگر صفات خداوند ممكن الوجود باشند، امكان و نيازمندي در ذات الهي راه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نفي صفات زايد بر ذات را نشانه ي كمال توحيد دانسته و فرموده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توحيده الإخلاص له، و كمال الإخلاص له، نفي الصفات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وصف الله سبحانه فقد قرنه، و من قرنه فقد ثنّاه، و من ثنّاه فقد جزّاه و من جزّاه فقد جهله</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توحيد، اخلاص براي خداوند است، و كمال اخلاص، نفي صفات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زايد بر ذات</w:t>
      </w:r>
      <w:r>
        <w:rPr>
          <w:rFonts w:eastAsia="Amiri" w:cs="Amiri" w:ascii="Amiri" w:hAnsi="Amiri"/>
          <w:color w:val="111111"/>
          <w:sz w:val="28"/>
          <w:szCs w:val="28"/>
          <w:rtl w:val="true"/>
          <w:lang w:bidi="ar-SA"/>
        </w:rPr>
        <w:t xml:space="preserve">) </w:t>
      </w:r>
      <w:r>
        <w:rPr>
          <w:rStyle w:val="FootnoteAnchor"/>
          <w:rtl w:val="true"/>
        </w:rPr>
        <w:footnoteReference w:id="77"/>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كسي كه خداوند را به صفات زايد بر ذات توصيف كند، براي او قرين و مثل ثابت كرده است، و كسي كه براي خداوند قرين و مثل ثابت كند، به دو بودن او قايل شده است، و كسي كه به دو بودن قايل شده، براي خداوند جزء اثبات كرده است، و كسي كه براي خدا جزء اثبات كند، او را نشناخته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توحيد در خالقيت و ربوبيت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توحيد در خالقيت و ربوبيت اين است كه خداوند در آفرينش و تدبير جهان شريك و انبازي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چه نظام جهان آفرينش، براساس علل و اسباب استوار است، ولي علل و اسباب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طبيعي و ماوراء طبيعي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گونه استقلالي ندارند، و به مشيت و حول و قوه ي الهي تأثير مي گذارند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مطلب مفاد دو دسته از آيات قرآن كريم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دسته، آياتي كه خالقيت و ربوبيت را مخصوص خداوند مي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دسته ي ديگر آياتي كه آثار و افعال ويژه اي را به موجودات طبيعي و ماوراء طبيعي و از جمله به انسان، نسبت داده است، و هم به موجودات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گرفتن جانها هنگام مرگ كه هم به خداوند</w:t>
      </w:r>
    </w:p>
    <w:p>
      <w:pPr>
        <w:pStyle w:val="BookText"/>
        <w:rPr/>
      </w:pPr>
      <w:r>
        <w:rPr>
          <w:rFonts w:ascii="Amiri" w:hAnsi="Amiri" w:eastAsia="Amiri" w:cs="Amiri"/>
          <w:color w:val="111111"/>
          <w:sz w:val="28"/>
          <w:sz w:val="28"/>
          <w:szCs w:val="28"/>
          <w:rtl w:val="true"/>
          <w:lang w:bidi="ar-SA"/>
        </w:rPr>
        <w:t xml:space="preserve">نسبت داده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يَتَوَفَّي الاَْنْفُسَ حينَ مَوْتِها</w:t>
      </w:r>
      <w:r>
        <w:rPr>
          <w:rFonts w:eastAsia="Amiri" w:cs="Amiri" w:ascii="Amiri" w:hAnsi="Amiri"/>
          <w:color w:val="111111"/>
          <w:sz w:val="28"/>
          <w:szCs w:val="28"/>
          <w:rtl w:val="true"/>
          <w:lang w:bidi="ar-SA"/>
        </w:rPr>
        <w:t xml:space="preserve">) </w:t>
      </w:r>
      <w:r>
        <w:rPr>
          <w:rStyle w:val="FootnoteAnchor"/>
          <w:rtl w:val="true"/>
        </w:rPr>
        <w:footnoteReference w:id="78"/>
      </w:r>
      <w:r>
        <w:rPr>
          <w:rFonts w:ascii="Amiri" w:hAnsi="Amiri" w:eastAsia="Amiri" w:cs="Amiri"/>
          <w:color w:val="111111"/>
          <w:sz w:val="28"/>
          <w:sz w:val="28"/>
          <w:szCs w:val="28"/>
          <w:rtl w:val="true"/>
          <w:lang w:bidi="ar-SA"/>
        </w:rPr>
        <w:t xml:space="preserve">و هم به ملك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يَتَوَفّاكُمْ مَلَكُ الْمَوْتِ الَّذي وُكِّلَ بِكُمْ</w:t>
      </w:r>
      <w:r>
        <w:rPr>
          <w:rFonts w:eastAsia="Amiri" w:cs="Amiri" w:ascii="Amiri" w:hAnsi="Amiri"/>
          <w:color w:val="111111"/>
          <w:sz w:val="28"/>
          <w:szCs w:val="28"/>
          <w:rtl w:val="true"/>
          <w:lang w:bidi="ar-SA"/>
        </w:rPr>
        <w:t xml:space="preserve">) </w:t>
      </w:r>
      <w:r>
        <w:rPr>
          <w:rStyle w:val="FootnoteAnchor"/>
          <w:rtl w:val="true"/>
        </w:rPr>
        <w:footnoteReference w:id="79"/>
      </w:r>
      <w:r>
        <w:rPr>
          <w:rFonts w:ascii="IRNazanin" w:hAnsi="IRNazanin" w:eastAsia="IRNazanin"/>
          <w:color w:val="111111"/>
          <w:sz w:val="28"/>
          <w:sz w:val="28"/>
          <w:szCs w:val="28"/>
          <w:rtl w:val="true"/>
          <w:lang w:bidi="fa-IR"/>
        </w:rPr>
        <w:t xml:space="preserve">و هم به فرشتگان الهي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تَوَفَّتْهُ رُسُلُنا</w:t>
      </w:r>
      <w:r>
        <w:rPr>
          <w:rFonts w:eastAsia="IRNazanin" w:cs="IRNazanin"/>
          <w:color w:val="111111"/>
          <w:sz w:val="28"/>
          <w:szCs w:val="28"/>
          <w:rtl w:val="true"/>
          <w:lang w:bidi="fa-IR"/>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توحيد 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جز خداوند شايسته ي عبادت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عبارت است از خضوع در برابر موجودي با اين اعتقاد كه آن موجود داراي مقام الوهيت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در ذات يا صفات و افعال خود از استقلال وجودي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مقام الوهيت مخصوص خداوند است، عبادت نيز به او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عبادت هر موجودي جز او شرك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بديهي است خضوع در برابر غير خداوند به انگيزه احترام به او بدون اعتقاد به الوهيت او، شرك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بصورت برترين خضوع يعني سجده باشد چنان كه قرآن كريم از سجده ي فرشتگان در برابر آدم </w:t>
      </w:r>
      <w:r>
        <w:rPr>
          <w:rStyle w:val="FootnoteAnchor"/>
          <w:rtl w:val="true"/>
        </w:rPr>
        <w:footnoteReference w:id="81"/>
      </w:r>
      <w:r>
        <w:rPr>
          <w:rFonts w:ascii="Amiri" w:hAnsi="Amiri" w:eastAsia="Amiri" w:cs="Amiri"/>
          <w:color w:val="111111"/>
          <w:sz w:val="28"/>
          <w:sz w:val="28"/>
          <w:szCs w:val="28"/>
          <w:rtl w:val="true"/>
          <w:lang w:bidi="ar-SA"/>
        </w:rPr>
        <w:t xml:space="preserve">و سجده ي يعقوب و همسر و فرزندان </w:t>
      </w:r>
      <w:r>
        <w:rPr>
          <w:rStyle w:val="FootnoteAnchor"/>
          <w:rtl w:val="true"/>
        </w:rPr>
        <w:footnoteReference w:id="82"/>
      </w:r>
      <w:r>
        <w:rPr>
          <w:rFonts w:ascii="IRNazanin" w:hAnsi="IRNazanin" w:eastAsia="IRNazanin"/>
          <w:color w:val="111111"/>
          <w:sz w:val="28"/>
          <w:sz w:val="28"/>
          <w:szCs w:val="28"/>
          <w:rtl w:val="true"/>
          <w:lang w:bidi="fa-IR"/>
        </w:rPr>
        <w:t>او در برابر يوسف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ي فرشتگان به امر الهي بود، و يعقوب پيامبر نيز از گناه ـ بويژه شرك ـ معصوم بوده است، چنان كه نقل سجده ي</w:t>
      </w:r>
    </w:p>
    <w:p>
      <w:pPr>
        <w:pStyle w:val="BookText"/>
        <w:rPr/>
      </w:pPr>
      <w:r>
        <w:rPr>
          <w:rFonts w:ascii="Amiri" w:hAnsi="Amiri" w:eastAsia="Amiri" w:cs="Amiri"/>
          <w:color w:val="111111"/>
          <w:sz w:val="28"/>
          <w:sz w:val="28"/>
          <w:szCs w:val="28"/>
          <w:rtl w:val="true"/>
          <w:lang w:bidi="ar-SA"/>
        </w:rPr>
        <w:t>برادران يوسف نيز با نكوهش همراه نيست، تا بر ناروا بودن آن دلالت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طرفي شرك ظلم عظيم است</w:t>
      </w:r>
      <w:r>
        <w:rPr>
          <w:rFonts w:eastAsia="Amiri" w:cs="Amiri" w:ascii="Amiri" w:hAnsi="Amiri"/>
          <w:color w:val="111111"/>
          <w:sz w:val="28"/>
          <w:szCs w:val="28"/>
          <w:rtl w:val="true"/>
          <w:lang w:bidi="ar-SA"/>
        </w:rPr>
        <w:t xml:space="preserve">. </w:t>
      </w:r>
      <w:r>
        <w:rPr>
          <w:rStyle w:val="FootnoteAnchor"/>
          <w:rtl w:val="true"/>
        </w:rPr>
        <w:footnoteReference w:id="83"/>
      </w:r>
      <w:r>
        <w:rPr>
          <w:rFonts w:ascii="IRNazanin" w:hAnsi="IRNazanin" w:eastAsia="IRNazanin"/>
          <w:color w:val="111111"/>
          <w:sz w:val="28"/>
          <w:sz w:val="28"/>
          <w:szCs w:val="28"/>
          <w:rtl w:val="true"/>
          <w:lang w:bidi="fa-IR"/>
        </w:rPr>
        <w:t>و ظلم قبح ذاتي دارد، و خداوند هرگز به فعل قبيح امر نمي كند</w:t>
      </w:r>
      <w:r>
        <w:rPr>
          <w:rFonts w:eastAsia="IRNazanin" w:cs="IRNazanin"/>
          <w:color w:val="111111"/>
          <w:sz w:val="28"/>
          <w:szCs w:val="28"/>
          <w:rtl w:val="true"/>
          <w:lang w:bidi="fa-IR"/>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بنابراين، از آيات مربوط به سجده ي فرشتگان بر آدم و سجده يعقوب و فرزندانش بر يوسف به دست مي آيد كه سجده اگر به قصد پرستش نباشد، بلكه به قصد تكريم و تحيت باشد، شرك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بعيد نيست كه گفته شود مستفاد از ظواهر ديني اين است كه در شريعت اسلام سجده براي غير خداوند ـ هر چند به قصد پرستش نباشد ـ ممنوع گرديده است</w:t>
      </w:r>
      <w:r>
        <w:rPr>
          <w:rFonts w:eastAsia="IRNazanin" w:cs="IRNazanin"/>
          <w:color w:val="111111"/>
          <w:sz w:val="28"/>
          <w:szCs w:val="28"/>
          <w:rtl w:val="true"/>
          <w:lang w:bidi="fa-IR"/>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جا مي توان به نادرستي عقيده ي وهّابيان كه اعتقاد به شفاعت و توسل جستن به پيامبران و اولياء الهي، و تبرك جستن به قبور و يا آثار بر جاي مانده از آنان را شرك مي دانند، پي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مسلماناني كه اين اعمال را انجام مي دهند، هرگز قصد پرستش ندارند، و براي پيامبران و اولياء الهي مقام الوهيت قايل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قصد آنان تكريم پيامبران و اولياء الهي و تقرب به خداوند از طريق</w:t>
      </w:r>
    </w:p>
    <w:p>
      <w:pPr>
        <w:pStyle w:val="BookText"/>
        <w:rPr/>
      </w:pPr>
      <w:r>
        <w:rPr>
          <w:rFonts w:ascii="IRNazanin" w:hAnsi="IRNazanin" w:eastAsia="IRNazanin"/>
          <w:color w:val="111111"/>
          <w:sz w:val="28"/>
          <w:sz w:val="28"/>
          <w:szCs w:val="28"/>
          <w:rtl w:val="true"/>
          <w:lang w:bidi="fa-IR"/>
        </w:rPr>
        <w:t>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وهّابيان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عصر رسالت نيز بت ها را به انگيزه تقرب به خداوند پرستش مي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نَعْبُدُهُمْ إِلاّ لِيُقَرِّبُونا إِلَي اللهِ زُلْفي</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و نيز آنان را شفيعان درگاه الهي دانسته و از آنان طلب شفاعت مي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يَقُولُونَ هؤُلاءِ شُفَعاؤُنا عِنْدَ اللهِ</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بنابراين، عبادت غير خدا يا طلب شفاعت از غير خدا شرك است، هرچند به انگيزه ي تكريم يا تقرب به خداوند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اين استدلال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مشركان عصر رسالت ـ همان گونه كه در آيه تصريح شده است ـ بت ها را پرستش مي كردند، و به ربوبيت آنها، هرچند در پاره اي از امور، قايل بودند، چنان كه در قيامت به اين خطاي خود پي برده مي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تَاللهِ إِنْ كُنّا لَفي ضَلال مُبين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نُسَوِّيكُمْ بِرَبِّ الْعالَمينَ</w:t>
      </w:r>
      <w:r>
        <w:rPr>
          <w:rFonts w:eastAsia="IRNazanin" w:cs="IRNazanin"/>
          <w:color w:val="111111"/>
          <w:sz w:val="28"/>
          <w:szCs w:val="28"/>
          <w:rtl w:val="true"/>
          <w:lang w:bidi="fa-IR"/>
        </w:rPr>
        <w:t xml:space="preserve">) </w:t>
      </w:r>
      <w:r>
        <w:rPr>
          <w:rStyle w:val="FootnoteAnchor"/>
          <w:rtl w:val="true"/>
        </w:rPr>
        <w:footnoteReference w:id="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در گمراهي آشكار بوديم كه شما را با پروردگار عالميان برابر مي پنداشتيم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آنان براي معبودان خود مقام شفاعت را به صورت مستقل و بدون نياز به اذن و مشيت خداوند قايل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 جهت قرآن كريم آن را مردود دانسته مي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ذَاالَّذي</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يَشْفَعُ عِنْدَهُ إِلاّ بِإِذْنِهِ</w:t>
      </w:r>
      <w:r>
        <w:rPr>
          <w:rFonts w:eastAsia="Amiri" w:cs="Amiri" w:ascii="Amiri" w:hAnsi="Amiri"/>
          <w:color w:val="111111"/>
          <w:sz w:val="28"/>
          <w:szCs w:val="28"/>
          <w:rtl w:val="true"/>
          <w:lang w:bidi="ar-SA"/>
        </w:rPr>
        <w:t xml:space="preserve">) </w:t>
      </w:r>
      <w:r>
        <w:rPr>
          <w:rStyle w:val="FootnoteAnchor"/>
          <w:rtl w:val="true"/>
        </w:rPr>
        <w:footnoteReference w:id="89"/>
      </w:r>
      <w:r>
        <w:rPr>
          <w:rFonts w:ascii="IRNazanin" w:hAnsi="IRNazanin" w:eastAsia="IRNazanin"/>
          <w:color w:val="111111"/>
          <w:sz w:val="28"/>
          <w:sz w:val="28"/>
          <w:szCs w:val="28"/>
          <w:rtl w:val="true"/>
          <w:lang w:bidi="fa-IR"/>
        </w:rPr>
        <w:t>و بدون شك چنين اعتقادي شرك در ربوبيت و تدبير است، و هيچ مسلماني چه شيعه و چه سنّي چنين اعتقادي ندارد</w:t>
      </w:r>
      <w:r>
        <w:rPr>
          <w:rFonts w:eastAsia="IRNazanin" w:cs="IRNazanin"/>
          <w:color w:val="111111"/>
          <w:sz w:val="28"/>
          <w:szCs w:val="28"/>
          <w:rtl w:val="true"/>
          <w:lang w:bidi="fa-IR"/>
        </w:rPr>
        <w:t>.</w:t>
      </w:r>
      <w:bookmarkStart w:id="92" w:name="pg593_6597"/>
    </w:p>
    <w:p>
      <w:pPr>
        <w:pStyle w:val="Heading2"/>
        <w:numPr>
          <w:ilvl w:val="1"/>
          <w:numId w:val="1"/>
        </w:numPr>
        <w:rPr/>
      </w:pPr>
      <w:bookmarkStart w:id="93" w:name="__RefHeading___Toc5114533_211673320"/>
      <w:bookmarkStart w:id="94" w:name="_Toc34"/>
      <w:bookmarkEnd w:id="92"/>
      <w:bookmarkEnd w:id="93"/>
      <w:r>
        <w:rPr>
          <w:rtl w:val="true"/>
        </w:rPr>
        <w:t>تنزيه و تشبيه</w:t>
      </w:r>
      <w:bookmarkEnd w:id="94"/>
    </w:p>
    <w:p>
      <w:pPr>
        <w:pStyle w:val="BookText"/>
        <w:rPr/>
      </w:pPr>
      <w:r>
        <w:rPr>
          <w:rFonts w:ascii="IRNazanin" w:hAnsi="IRNazanin" w:eastAsia="IRNazanin"/>
          <w:color w:val="111111"/>
          <w:sz w:val="28"/>
          <w:sz w:val="28"/>
          <w:szCs w:val="28"/>
          <w:rtl w:val="true"/>
          <w:lang w:bidi="fa-IR"/>
        </w:rPr>
        <w:t>بحث تنزيه و تشبيه مربوط به صفات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خداوند را به صفات ثبوتيه و سلبيّه تقسيم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ثبوتيه صفاتي است كه بر كمال وجودي دلالت مي كند، و خداوند آنها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صفات سلبيّه صفاتي است كه بر نقص وجودي دلالت مي كند، و خداوند از آنها پيراسته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زاويه ي ديگر، صفات خداوند به صفات ذاتيه و صفات فعليه تقسيم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ذاتيه صفاتي است كه ذات خداوند بدون در نظر گرفتن اين كه خداوند چيزي را آفريده است، به آنها توصيف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حيات، علم و قدرت، و صفات فعليه صفاتي است كه توصيف ذات خداوند به آنها مربوط به مقام فعل و ايجاد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خالق بودن، رازق بودن، غافر بودن، مميت بودن و مانند آن</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در خداوند هيچ گونه نقص و فقداني راه ندارد، صفات سلبيه در مورد او سلب نقص است نه سلب 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w:t>
      </w:r>
    </w:p>
    <w:p>
      <w:pPr>
        <w:pStyle w:val="BookText"/>
        <w:rPr/>
      </w:pPr>
      <w:r>
        <w:rPr>
          <w:rFonts w:ascii="IRNazanin" w:hAnsi="IRNazanin" w:eastAsia="IRNazanin"/>
          <w:color w:val="111111"/>
          <w:sz w:val="28"/>
          <w:sz w:val="28"/>
          <w:szCs w:val="28"/>
          <w:rtl w:val="true"/>
          <w:lang w:bidi="fa-IR"/>
        </w:rPr>
        <w:t>ترتيب صفات سلبيه به تنزيه و تقديس ذات خداوند از صفات نقص باز مي گردد، خواه صفات ذاتيه باشد و خواه صفات فعليه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يعني اثبات صفاتي براي خداوند كه به موجودات امكاني و مخلوقات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اديان و مذاهب كساني بوده اند كه در مورد صفات الهي از مسير حق منحرف گرديده و به تشبيه گراييده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تشبيه گرايي در جهان اسلام نيز پديد آمده است، چنان كه در كتب ملل و نحل از مجسّمه و مشبّهه به عنوان فرقه هايي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گرايي اگر چه در همه ي صفات خداوند يافت مي شود، ولي در مورد آن دسته از صفات كه در آيات متشابه مطرح شده است، بيشتر رواج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اي از مسلمانان با استناد به ظواهر آياتي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 اللهِ فَوْقَ أَيْديهِمْ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عَلَي الْعَرْشِ اسْتَوي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شَيْء هالِكٌ إِلاّ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جسم بودن خداوند قايل شده و براي او اعضايي چون دست، پا و صورت و صفاتي چون قدم زدن و نشستن اثبات كرده اند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شيعه ـ به پيروي از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معتقد به تنزيه و ابطال تجسيم و تشبيه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شيعه ي اماميه با دقت در آيات ياد شده و نظاير آنها مي توان به مفاد حقيقي آنها پي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قدرت خداوند است و مقصود اين است كه قدرت الهي برترين قدرتها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الهي است، يعني همه ي چيز در معرض فنا و زوال است، جز ذات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استواء بر</w:t>
      </w:r>
    </w:p>
    <w:p>
      <w:pPr>
        <w:pStyle w:val="BookText"/>
        <w:rPr/>
      </w:pPr>
      <w:r>
        <w:rPr>
          <w:rFonts w:ascii="Amiri" w:hAnsi="Amiri" w:eastAsia="Amiri" w:cs="Amiri"/>
          <w:color w:val="111111"/>
          <w:sz w:val="28"/>
          <w:sz w:val="28"/>
          <w:szCs w:val="28"/>
          <w:rtl w:val="true"/>
          <w:lang w:bidi="ar-SA"/>
        </w:rPr>
        <w:t>عرش كنايه از احاطه ي علم و قدرت خداوند در تدبير جهان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 تنها در صفات ياد شده ـ كه آنها را صفات خبريّه مي گويند ـ بايد به اصل تنزيه معتقد بود، بلكه اين اصل در همه ي صفات الهي جاري است، مثلا علم خداوند را نمي توان علم حصولي و زايد بر ذات او و محدود دانست، بلكه علم خداوند عين ذات خداوند، و حضوري و نامحدود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گونه است قدرت و حيات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كوتاه سخن آن كه در باب صفات الهي، بايد كمال آنها را براي خداوند اثبات كرد و نقص و كاستي آنها را از خداوند نفي نمود، و اين است طريق مستقيم در باب توحيد كه شيعه به آن اعتقاد دارد</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كه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للناس في التوحيد ثلاثة 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نفي، و تشبيه، و اثبات بغير تشبيه، فمذهب النفي لا يجوز، و مذهب التشبيه لا يجوز، و السبيل في الطريقة الثالثة، اثبات بلا تشبيه</w:t>
      </w:r>
      <w:r>
        <w:rPr>
          <w:rFonts w:eastAsia="IRNazanin" w:cs="IRNazanin"/>
          <w:color w:val="111111"/>
          <w:sz w:val="28"/>
          <w:szCs w:val="28"/>
          <w:rtl w:val="true"/>
          <w:lang w:bidi="fa-IR"/>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bookmarkStart w:id="95" w:name="pg593_6600"/>
    </w:p>
    <w:p>
      <w:pPr>
        <w:pStyle w:val="Heading2"/>
        <w:numPr>
          <w:ilvl w:val="1"/>
          <w:numId w:val="1"/>
        </w:numPr>
        <w:rPr/>
      </w:pPr>
      <w:bookmarkStart w:id="96" w:name="__RefHeading___Toc5114535_211673320"/>
      <w:bookmarkStart w:id="97" w:name="_Toc35"/>
      <w:bookmarkEnd w:id="95"/>
      <w:bookmarkEnd w:id="96"/>
      <w:r>
        <w:rPr>
          <w:rtl w:val="true"/>
        </w:rPr>
        <w:t>خداوند به چشم ديده نمي شود</w:t>
      </w:r>
      <w:bookmarkEnd w:id="97"/>
    </w:p>
    <w:p>
      <w:pPr>
        <w:pStyle w:val="BookText"/>
        <w:rPr/>
      </w:pPr>
      <w:r>
        <w:rPr>
          <w:rFonts w:ascii="IRNazanin" w:hAnsi="IRNazanin" w:eastAsia="IRNazanin"/>
          <w:color w:val="111111"/>
          <w:sz w:val="28"/>
          <w:sz w:val="28"/>
          <w:szCs w:val="28"/>
          <w:rtl w:val="true"/>
          <w:lang w:bidi="fa-IR"/>
        </w:rPr>
        <w:t>يكي از لوازم نفي جسم بودن از خداوند، نفي رؤيت بصري است، زيرا ديدن چيزي با چشم مستلزم اين است كه آن چيز در مكان و در جهت مقابل باشدو در فاصله ي معيني قرار داشته باشدو در فضايي روشن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رؤيت بصري ممكن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بديهي است شرايط ياد شده مستلزم جسمانيّت است و جسم بودن خداوند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رؤيت قلبي نسبت به خداوند ممكن است، زيرا حقيقت آن به علم و ايمان كامل به خداوند باز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جهت ائمه ي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رؤيت بصري خداوند را با شدت انكار كرده اند، بر رؤيت قلبي او تأكيد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شخصي از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پروردگارت را ديده اي؟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پروردگاري را كه نديده باشم عبادت نمي كنم،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ديده اي؟</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العيون بمشاهدة العيان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w:t>
      </w:r>
    </w:p>
    <w:p>
      <w:pPr>
        <w:pStyle w:val="BookText"/>
        <w:rPr/>
      </w:pPr>
      <w:r>
        <w:rPr>
          <w:rFonts w:ascii="Amiri" w:hAnsi="Amiri" w:eastAsia="Amiri" w:cs="Amiri"/>
          <w:color w:val="111111"/>
          <w:sz w:val="28"/>
          <w:sz w:val="28"/>
          <w:szCs w:val="28"/>
          <w:rtl w:val="true"/>
          <w:lang w:bidi="ar-SA"/>
        </w:rPr>
        <w:t>تدركه القلوب بحقائق الايمان</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اين كه رؤيت بصري خداوند عقلا محال است، نمي توان در اثبات آن به ظواهر قرآن يا روايات استناد كرد؛ زيرا همان گونه كه نمي توان ظاهر آيه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عَلَي الْعَرْشِ اسْتَوي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دليل بر جلوس و استقرار خداوند بر تخت و صندلي و مانند آن دانست، ظاهر آيه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يَوْمَئِذ ناضِرَةٌ، إِلي رَبِّها ناظِرَةٌ</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را نيز نمي توان دليل اين دانست كه در قيامت مؤمنان با ديدگان خود به خداوند مي نگرند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همين گونه است حديثي كه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مؤمنان در قيامت خداوند را مي بينند همان گونه كه ماه را در شب بدر مي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هرگاه ظاهر قرآن يا حديث با حكم قطعي عقل منافات داشته باشد، و مستلزم تجسيم و تشبيه گردد، نمي توان مفاد آن را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بايد آن را تأويل كرد، و يا توقف نمود</w:t>
      </w:r>
      <w:r>
        <w:rPr>
          <w:rFonts w:eastAsia="IRNazanin" w:cs="IRNazanin"/>
          <w:color w:val="111111"/>
          <w:sz w:val="28"/>
          <w:szCs w:val="28"/>
          <w:rtl w:val="true"/>
          <w:lang w:bidi="fa-IR"/>
        </w:rPr>
        <w:t>.</w:t>
      </w:r>
      <w:bookmarkStart w:id="98" w:name="pg593_6602"/>
    </w:p>
    <w:p>
      <w:pPr>
        <w:pStyle w:val="Heading2"/>
        <w:numPr>
          <w:ilvl w:val="1"/>
          <w:numId w:val="1"/>
        </w:numPr>
        <w:rPr/>
      </w:pPr>
      <w:bookmarkStart w:id="99" w:name="__RefHeading___Toc5114537_211673320"/>
      <w:bookmarkStart w:id="100" w:name="_Toc36"/>
      <w:bookmarkEnd w:id="98"/>
      <w:bookmarkEnd w:id="99"/>
      <w:r>
        <w:rPr>
          <w:rtl w:val="true"/>
        </w:rPr>
        <w:t>شفاعت</w:t>
      </w:r>
      <w:bookmarkEnd w:id="100"/>
    </w:p>
    <w:p>
      <w:pPr>
        <w:pStyle w:val="Heading3"/>
        <w:numPr>
          <w:ilvl w:val="2"/>
          <w:numId w:val="1"/>
        </w:numPr>
        <w:rPr/>
      </w:pPr>
      <w:bookmarkStart w:id="101" w:name="__RefHeading___Toc5114539_211673320"/>
      <w:bookmarkStart w:id="102" w:name="_Toc37"/>
      <w:bookmarkEnd w:id="101"/>
      <w:r>
        <w:rPr>
          <w:rtl w:val="true"/>
        </w:rPr>
        <w:t>اشاره</w:t>
      </w:r>
      <w:bookmarkEnd w:id="102"/>
    </w:p>
    <w:p>
      <w:pPr>
        <w:pStyle w:val="BookText"/>
        <w:rPr/>
      </w:pPr>
      <w:r>
        <w:rPr>
          <w:rFonts w:ascii="IRNazanin" w:hAnsi="IRNazanin" w:eastAsia="IRNazanin"/>
          <w:color w:val="111111"/>
          <w:sz w:val="28"/>
          <w:sz w:val="28"/>
          <w:szCs w:val="28"/>
          <w:rtl w:val="true"/>
          <w:lang w:bidi="fa-IR"/>
        </w:rPr>
        <w:t>يكي از عقايد اسلامي، شفاعت شافعان در روز قيامت است كه به اذن الهي انجام مي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در مورد افرادي صورت مي گيرد كه پيوند خود را به كلي با دين و خداي متعال قطع نكرده و قابليت آن را دارند كه، با وجود آلودگي به برخي گناهان، به بركت شفاعت شافعان مشمول رحمت حق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به شفاعت از قرآن و سنت گرفته شده كه ذيلا به آنها اشاره مي كنيم</w:t>
      </w:r>
      <w:r>
        <w:rPr>
          <w:rFonts w:eastAsia="IRNazanin" w:cs="IRNazanin"/>
          <w:color w:val="111111"/>
          <w:sz w:val="28"/>
          <w:szCs w:val="28"/>
          <w:rtl w:val="true"/>
          <w:lang w:bidi="fa-IR"/>
        </w:rPr>
        <w:t>:</w:t>
      </w:r>
    </w:p>
    <w:p>
      <w:pPr>
        <w:pStyle w:val="Heading3"/>
        <w:numPr>
          <w:ilvl w:val="2"/>
          <w:numId w:val="1"/>
        </w:numPr>
        <w:rPr/>
      </w:pPr>
      <w:bookmarkStart w:id="103" w:name="__RefHeading___Toc5114541_211673320"/>
      <w:bookmarkStart w:id="104" w:name="_Toc38"/>
      <w:bookmarkEnd w:id="103"/>
      <w:r>
        <w:rPr>
          <w:rtl w:val="true"/>
        </w:rPr>
        <w:t>شفاعت در قرآن</w:t>
      </w:r>
      <w:bookmarkEnd w:id="104"/>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آيات قرآن حاكي از وجود اصل شفاعت در روز رستاخيز بوده و اين كتاب شريف به اصل شفاعت، و منوط بودن آن به اذن و رضاي خداوند، تصريح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يَشْفَعُونَ إِلاّ لِمَنِ ارْتَضي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شافعان جز در حق كساني كه خدا مي پسندد، شفاعت نمي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ديگر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شَفيع إِلاّ مِنْ بَعْدِ إِذْنِهِ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بنابراين اصل 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اذن و رضاي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bookmarkStart w:id="105" w:name="pg593_6603"/>
    </w:p>
    <w:p>
      <w:pPr>
        <w:pStyle w:val="BookText"/>
        <w:rPr/>
      </w:pPr>
      <w:bookmarkEnd w:id="105"/>
      <w:r>
        <w:rPr>
          <w:rFonts w:ascii="Amiri" w:hAnsi="Amiri" w:eastAsia="Amiri" w:cs="Amiri"/>
          <w:color w:val="111111"/>
          <w:sz w:val="28"/>
          <w:sz w:val="28"/>
          <w:szCs w:val="28"/>
          <w:rtl w:val="true"/>
          <w:lang w:bidi="ar-SA"/>
        </w:rPr>
        <w:t>نظر قرآن، امري قطعي و مسلّم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برخي آيات استفاده مي شود كه فرشتگان از شافعانند، چنانكه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كَمْ مِنْ مَلَك فِي السَّماواتِ لا تُغْني شَفاعَتُهُمْ شَيْئاً إِلاّ مِنْ بَعْدِ أَنْ يَأْذَنَ اللهُ لِمَنْ يَشاءُ وَ يَرْضي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بسيار فرشتگاني در آسمانها هستند كه شفاعت آنان جز پس از اذن خداوند، در مورد آن كس كه مشيت و رضايت الهي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رستگاري 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گيرد، سود نمي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مفسران در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عَسي أَنْ يَبْعَثَكَ رَبُّكَ مَقاماً مَحْمُوداً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اميد است كه پروردگارت تو را به مقام پسنديده اي برانگيزد، مي گويند مقصود از مقام محمود، همان مقام شفاعت براي پيامبر اسلام است</w:t>
      </w:r>
      <w:r>
        <w:rPr>
          <w:rFonts w:eastAsia="IRNazanin" w:cs="IRNazanin"/>
          <w:color w:val="111111"/>
          <w:sz w:val="28"/>
          <w:szCs w:val="28"/>
          <w:rtl w:val="true"/>
          <w:lang w:bidi="fa-IR"/>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 w:name="__RefHeading___Toc5114543_211673320"/>
      <w:bookmarkStart w:id="107" w:name="_Toc39"/>
      <w:bookmarkEnd w:id="106"/>
      <w:r>
        <w:rPr>
          <w:rtl w:val="true"/>
        </w:rPr>
        <w:t>شفاعت در روايات</w:t>
      </w:r>
      <w:bookmarkEnd w:id="107"/>
    </w:p>
    <w:p>
      <w:pPr>
        <w:pStyle w:val="BookText"/>
        <w:rPr/>
      </w:pPr>
      <w:r>
        <w:rPr>
          <w:rFonts w:ascii="IRNazanin" w:hAnsi="IRNazanin" w:eastAsia="IRNazanin"/>
          <w:color w:val="111111"/>
          <w:sz w:val="28"/>
          <w:sz w:val="28"/>
          <w:szCs w:val="28"/>
          <w:rtl w:val="true"/>
          <w:lang w:bidi="fa-IR"/>
        </w:rPr>
        <w:t xml:space="preserve">گذشته از قرآن، در كتب حديث نيز روايات بسياري درباره شفاعت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به برخي از آنها اشاره مي كنيم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پيامبر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شفاعتي لأهل الكبائر من أُمّتي</w:t>
      </w:r>
      <w:r>
        <w:rPr>
          <w:rFonts w:eastAsia="IRNazanin" w:cs="IRNazanin"/>
          <w:color w:val="111111"/>
          <w:sz w:val="28"/>
          <w:szCs w:val="28"/>
          <w:rtl w:val="true"/>
          <w:lang w:bidi="fa-IR"/>
        </w:rPr>
        <w:t xml:space="preserve">» </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من مخصوص مرتكبان گناهان كبيره از امتم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علت اينكه شفاعت را مخصوص مرتكبان كباير دانسته اين است كه</w:t>
      </w:r>
    </w:p>
    <w:p>
      <w:pPr>
        <w:pStyle w:val="BookText"/>
        <w:rPr/>
      </w:pPr>
      <w:r>
        <w:rPr>
          <w:rFonts w:ascii="IRNazanin" w:hAnsi="IRNazanin" w:eastAsia="IRNazanin"/>
          <w:color w:val="111111"/>
          <w:sz w:val="28"/>
          <w:sz w:val="28"/>
          <w:szCs w:val="28"/>
          <w:rtl w:val="true"/>
          <w:lang w:bidi="fa-IR"/>
        </w:rPr>
        <w:t xml:space="preserve">خداوند در قرآن وعده داده كه هرگاه انسانها از گناهان كبيره اجتناب ورزند، آنها را خواهد بخشيد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نيازي به شفاعت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نيز مي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أُعطيتُ خمساً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اُعطيتُ الشّفاعة، فادّخَرْتها لأُمّتي فهي لمن لا يُشرِك بالله</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خداوند پنج موهبت به من اعطا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شفاعت داده شده، كه آن را براي امتم ذخيره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من در حقّ كساني خواهد بود كه به خداوند شرك نميورزند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براي آگاهي از شافعان روز محشر غير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دانشمندان و 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شفاعت شوندگان آنها به كتابهاي عقايد و كلام و حديث رجوع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بايد توجه داشت كه اعتقاد به شفاعت ـ همچون اعتقاد به قبولي توبه ـ نبايد مايه تجرّي افراد بر گناه شود، بلكه بايد آن را روزنه اميدي شمرده به اميد بخشودگي، به راه صحيح باز گردند، و بسان نوميدان نباشند كه به اصطلاح، آب را از سر گذشته مي پندارند و در نتيجه هيچگاه به فكر بازگشت به طريق صحيح نمي افتند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كه يادآور شديم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شفاعت در آخرت در چارچوب اذن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عقايد مسلّم اسلامي بوده و كسي</w:t>
      </w:r>
    </w:p>
    <w:p>
      <w:pPr>
        <w:pStyle w:val="BookText"/>
        <w:rPr/>
      </w:pPr>
      <w:r>
        <w:rPr>
          <w:rFonts w:ascii="IRNazanin" w:hAnsi="IRNazanin" w:eastAsia="IRNazanin"/>
          <w:color w:val="111111"/>
          <w:sz w:val="28"/>
          <w:sz w:val="28"/>
          <w:szCs w:val="28"/>
          <w:rtl w:val="true"/>
          <w:lang w:bidi="fa-IR"/>
        </w:rPr>
        <w:t>نمي تواند در آن خدشه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بايد ديد كه آيا مي توان در اين دنيا نيز، از شافعاني چون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شفاعت نمود، و به تعبير ديگر، آيا درست است كه انسان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رسول گرامي، نزد خدا در حق من شفاعت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وجيهاً عندالله إشفع لنا عندالله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مشروعيت اين امر، تا قرن هشتم مورد اتفاق همه مسلمانان قرار داشته است و تنها از نيمه قرن هشتم به بعد برخي از اهل تسنن با آن به مخالفت برخاستند و آن را جايز ندانستند، در حالي كه آيات قرآني و احاديث معتبر نبوي و سيره مستمره مسلمين بر جواز آن گواهي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شفاعت شافعان، در معني، همان دعاي آنان در حقّ افراد است، و درخواست دعا از فرد مؤمن ـ چه رسد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بدون شك امري جايز و مستحسن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حديث زير كه ابن عباس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 كند به روشني استفاده مي شود كه شفاعت مؤمن، دعاي او در حق ديگران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مسلماني بميرد و چهل مؤمن موحّد بر جنازه او نماز بگزارند خدا شفاعت آنان را در حق او مي پذيرد</w:t>
      </w:r>
      <w:r>
        <w:rPr>
          <w:rFonts w:eastAsia="IRNazanin" w:cs="IRNazanin"/>
          <w:color w:val="111111"/>
          <w:sz w:val="28"/>
          <w:szCs w:val="28"/>
          <w:rtl w:val="true"/>
          <w:lang w:bidi="fa-IR"/>
        </w:rPr>
        <w:t xml:space="preserve">» </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مسلّم است كه شفاعت چهل مؤمن به هنگام اقامه نماز بر ميّت، جز دعاي آنان در حق او چيزي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مروري به اوراق تاريخ، مي بينيم كه صحابه پيامبر از آن حضرت در زمان حيات ايشان درخواست شفاعت 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ترمذي از انس بن مالك نقل مي كند كه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درخواست كردم در روز قيامت شفاعتم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شما را پيدا كنم؟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صراط</w:t>
      </w:r>
      <w:r>
        <w:rPr>
          <w:rFonts w:eastAsia="IRNazanin" w:cs="IRNazanin"/>
          <w:color w:val="111111"/>
          <w:sz w:val="28"/>
          <w:szCs w:val="28"/>
          <w:rtl w:val="true"/>
          <w:lang w:bidi="fa-IR"/>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اينكه واقعيت استشفاع، چيزي جز درخواست دعا از شفيع نيست، وقوع نمونه هايي از اين امر در عصر انبيا را مي تون از خود قرآن به دست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فرزندان يعقوب، پس از فاش شدن گناهشان، از پدر خواستند از خداوند براي آنان طلب آمرزش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يعقوب نيز درخواست آنان را پذيرفت و به وعده خود در موعد مقرّر عمل كرد</w:t>
      </w:r>
      <w:r>
        <w:rPr>
          <w:rFonts w:eastAsia="IRNazanin" w:cs="IRNazanin"/>
          <w:color w:val="111111"/>
          <w:sz w:val="28"/>
          <w:szCs w:val="28"/>
          <w:rtl w:val="true"/>
          <w:lang w:bidi="fa-IR"/>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قرآن كريم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افرادي از امت اسلامي كه در حق خود ستم كرده اند، نزد پيامبر آمده و از او بخواهند براي آنان از خدا طلب آمرزش كند، آن گاه خود آنان استغفار كرده و پيامبر نيز براي آنان از درگاه الهي آمرزش خواهد، خداوند توبه شان را</w:t>
      </w:r>
    </w:p>
    <w:p>
      <w:pPr>
        <w:pStyle w:val="BookText"/>
        <w:rPr/>
      </w:pPr>
      <w:r>
        <w:rPr>
          <w:rFonts w:ascii="IRNazanin" w:hAnsi="IRNazanin" w:eastAsia="IRNazanin"/>
          <w:color w:val="111111"/>
          <w:sz w:val="28"/>
          <w:sz w:val="28"/>
          <w:szCs w:val="28"/>
          <w:rtl w:val="true"/>
          <w:lang w:bidi="fa-IR"/>
        </w:rPr>
        <w:t>مي پذيرد و رحمت خود را شامل آنان مي كند</w:t>
      </w:r>
      <w:r>
        <w:rPr>
          <w:rFonts w:eastAsia="IRNazanin" w:cs="IRNazanin"/>
          <w:color w:val="111111"/>
          <w:sz w:val="28"/>
          <w:szCs w:val="28"/>
          <w:rtl w:val="true"/>
          <w:lang w:bidi="fa-IR"/>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همچنين درباره منافقين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آنان گفته مي شود بياييد و از پيامبر بخواهيد تا در حق شما استغفار كند، سرپيچي مي كنند و استكبار ميورزند</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بديهي است چنانچه روگرداني از طلب استغفار از پيامبر، كه ماهيّتاً با طلب شفاعت يكسان است، نشانه نفاق و استكبار باشد، طبعاً انجام دادن آن نيز نشانه ايمان و خضوع در پيشگاه الهي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از آنجا كه مقصود ما در بحث حاضر، اثبات جواز و مشروعيت درخواست شفاعت است، زنده بودن شخص شفيع در اين آيات، ضرري به مقصد نمي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درخواست شفاعت از زندگان شرك نباشد، طبعاً درخواست آن از ميّت نيز شرك نخواهد بود، چون حيات و موت شفيع، ملاك توحيد و شرك نبوده و تنها چيزي كه هنگام درخواست شفاعت از ارواح مقدسه ضروري است شنوايي آنها مي باشد، كه در مبحث توسل، وجود ارتباط مزبور و سودمندي آن ثابت شده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بايد توجه نمود كه شفاعت خواستن مؤمنان و موحدان از پيامبران و اولياي الهي، با شفاعت خواستن بت پرستان</w:t>
      </w:r>
    </w:p>
    <w:p>
      <w:pPr>
        <w:pStyle w:val="BookText"/>
        <w:rPr/>
      </w:pPr>
      <w:r>
        <w:rPr>
          <w:rFonts w:ascii="Amiri" w:hAnsi="Amiri" w:eastAsia="Amiri" w:cs="Amiri"/>
          <w:color w:val="111111"/>
          <w:sz w:val="28"/>
          <w:sz w:val="28"/>
          <w:szCs w:val="28"/>
          <w:rtl w:val="true"/>
          <w:lang w:bidi="ar-SA"/>
        </w:rPr>
        <w:t>از بتهاي خويش، تفاوت بنيادين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موحّدان، با اذعان به دو مطلب اساسي، از اولياي الهي درخواست شفاعت مي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مقام شفاعت، مقامي است مخصوص خدا و در اختيار او، چنانكه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للهِِ الشَّفاعَةُ جَميعاً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 شفاعت، تماماً از آنِ خداست،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ذَا الَّذي يَشْفَعُ عِنْدَهُ إِلاّ بِإِذْنِهِ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كيست كه بدون اذن وي حقّ شفاعت داشته و شفاعتش مقبول و مؤثر 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شفيعاني كه موحّدان دست التجا به سوي آنان دراز مي كنند، بندگان مخلص خدا هستند كه به پاس تقرب در درگاه الهي، دعايشان به هدف اجابت مي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دو شرط، تفاوت اساسي موحّدان با مشركان عصر بعثت در امر شفاعت روشن مي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براي شفاعت آنها هيچ نوع قيد و شرطي قائل نبودند؛ تو گويي خدا حق خود را به بتهاي كور و كر تفويض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موحّدان، به رهنمود قرآن، مقام شفاعت را يكسره از آنِ خدا دانسته و پذيرش شفاعت شافعين را، منوط به اذن و رضاي الهي مي دانند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مشركان عصر پيامبر بت ها را عبادت مي كردند و مي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نعبدهم الا ليقربونا الي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اعتقاد داشتند اين موجودات بي جان، سهمي از ربوبيت و الوهيت هستي را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موحدان، پيامبران و امامان را بندگان وارسته خدا شمرده و</w:t>
      </w:r>
    </w:p>
    <w:p>
      <w:pPr>
        <w:pStyle w:val="BookText"/>
        <w:rPr/>
      </w:pPr>
      <w:r>
        <w:rPr>
          <w:rFonts w:ascii="IRNazanin" w:hAnsi="IRNazanin" w:eastAsia="IRNazanin"/>
          <w:color w:val="111111"/>
          <w:sz w:val="28"/>
          <w:sz w:val="28"/>
          <w:szCs w:val="28"/>
          <w:rtl w:val="true"/>
          <w:lang w:bidi="fa-IR"/>
        </w:rPr>
        <w:t>پيوسته به اين كلام مترنّمند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اللهِ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گاه شفيعان خود را معبود خود نمي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تفاوت ره از كجا است تا كجا؟</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استدلال به آياتي كه شفاعت خواهي مشركان از بتها را نفي مي كند بر نفي طلب شفاعت از اولياء الهي، كلامي كاملا بي پايه و قياسي نابجا خواهد بود</w:t>
      </w:r>
      <w:r>
        <w:rPr>
          <w:rFonts w:eastAsia="IRNazanin" w:cs="IRNazanin"/>
          <w:color w:val="111111"/>
          <w:sz w:val="28"/>
          <w:szCs w:val="28"/>
          <w:rtl w:val="true"/>
          <w:lang w:bidi="fa-IR"/>
        </w:rPr>
        <w:t>.</w:t>
      </w:r>
      <w:bookmarkStart w:id="108" w:name="pg593_6610"/>
    </w:p>
    <w:p>
      <w:pPr>
        <w:pStyle w:val="Heading2"/>
        <w:numPr>
          <w:ilvl w:val="1"/>
          <w:numId w:val="1"/>
        </w:numPr>
        <w:rPr/>
      </w:pPr>
      <w:bookmarkStart w:id="109" w:name="__RefHeading___Toc5114545_211673320"/>
      <w:bookmarkStart w:id="110" w:name="_Toc40"/>
      <w:bookmarkEnd w:id="108"/>
      <w:bookmarkEnd w:id="109"/>
      <w:r>
        <w:rPr>
          <w:rtl w:val="true"/>
        </w:rPr>
        <w:t>زيارت قبور</w:t>
      </w:r>
      <w:bookmarkEnd w:id="110"/>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زيارت قبور مؤمنان، خصوصاً زيارت بستگان و آشنايان، يكي از مستحبات است كه آثار سازنده اي دارد، زيرا مشاهده وادي آرام قبرستان كه چراغ زندگي انسانها در آنجا به خاموشي گراييده، دل و جان را تكان مي دهد، و براي انسانهاي عبرت آموز درس عبرت مي شود و با خود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زندگي موقت كه پايان آن پنهان شدن در زير خروارها خاك است ارزش تلاشهاي ناروا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اين افراد در برنامه زندگي خود تجديد نظر مي كنند و تحولي در روح و روان آنها پديد مي آيد، پيامبرگرامي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حديثي به اين نكته اشاره كرده و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زُورُوا الْقُبورَ فانّها تذكّركُم الآخِرَة</w:t>
      </w:r>
      <w:r>
        <w:rPr>
          <w:rFonts w:eastAsia="IRNazanin" w:cs="IRNazanin"/>
          <w:color w:val="111111"/>
          <w:sz w:val="28"/>
          <w:szCs w:val="28"/>
          <w:rtl w:val="true"/>
          <w:lang w:bidi="fa-IR"/>
        </w:rPr>
        <w:t xml:space="preserve">» </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قبرها را زيارت كنيد، زيرا يادآور سراي ديگر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اين، زيارت بزرگان دين، نوعي ترويج از دين و مقامات معنوي است، و توجه مردم به مدفن بزرگان، اين فكر را تقويت مي كند كه معنويت آنان مايه اين گرايش ها است، وگرنه صاحبان قدرت و مكنت كه فاقد معنويت بوده اند، زير خاك خفته و كسي به آنها توجهي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گرامي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آخرين روزهاي عمر خود به قبرستان بقيع رفت و درباره اصحاب قبور، طلب آمرزش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دستور داده است كه به قبرستان بقيع بيايم و براي آنان طلب مغفرت كنم،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زيارت آنان شتافتيد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 أَهْلِ الدِّيارِ مِنَ الْمُؤْمِنينَ وَالمُسْلِمين يَرْحَمُ الله المُسْتَقْدِمِينَ مِنّا وَ الْمُسْتأخِرينَ وَ إِنّا إنْ شاءالله بِكُمْ لا حِقُون</w:t>
      </w:r>
      <w:r>
        <w:rPr>
          <w:rFonts w:eastAsia="IRNazanin" w:cs="IRNazanin"/>
          <w:color w:val="111111"/>
          <w:sz w:val="28"/>
          <w:szCs w:val="28"/>
          <w:rtl w:val="true"/>
          <w:lang w:bidi="fa-IR"/>
        </w:rPr>
        <w:t xml:space="preserve">» </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ساكنان اين وادي از مؤمنان و مسلمانان، رحمت خدا بر گذشتگان از ما، و بازماندگان و ما به خواست خدا به شما مي پيونديم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كتابهاي حديثي، زيارت قبور اولياء الهي و پيشوايان دين به صورت يك مستحب مؤكّد آمده و پيوسته ائمه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زيارت رسول خدا، و ديگر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رفتند، و پيروان خود را بر انجام آن دعوت مي نمودند</w:t>
      </w:r>
      <w:r>
        <w:rPr>
          <w:rFonts w:eastAsia="IRNazanin" w:cs="IRNazanin"/>
          <w:color w:val="111111"/>
          <w:sz w:val="28"/>
          <w:szCs w:val="28"/>
          <w:rtl w:val="true"/>
          <w:lang w:bidi="fa-IR"/>
        </w:rPr>
        <w:t>.</w:t>
      </w:r>
      <w:bookmarkStart w:id="111" w:name="pg593_6612"/>
    </w:p>
    <w:p>
      <w:pPr>
        <w:pStyle w:val="Heading2"/>
        <w:numPr>
          <w:ilvl w:val="1"/>
          <w:numId w:val="1"/>
        </w:numPr>
        <w:rPr/>
      </w:pPr>
      <w:bookmarkStart w:id="112" w:name="__RefHeading___Toc5114547_211673320"/>
      <w:bookmarkStart w:id="113" w:name="_Toc41"/>
      <w:bookmarkEnd w:id="111"/>
      <w:bookmarkEnd w:id="112"/>
      <w:r>
        <w:rPr>
          <w:rtl w:val="true"/>
        </w:rPr>
        <w:t>توسل به پيامبر و امامان</w:t>
      </w:r>
      <w:bookmarkEnd w:id="113"/>
    </w:p>
    <w:p>
      <w:pPr>
        <w:pStyle w:val="BookText"/>
        <w:rPr/>
      </w:pPr>
      <w:r>
        <w:rPr>
          <w:rFonts w:ascii="IRNazanin" w:hAnsi="IRNazanin" w:eastAsia="IRNazanin"/>
          <w:color w:val="111111"/>
          <w:sz w:val="28"/>
          <w:sz w:val="28"/>
          <w:szCs w:val="28"/>
          <w:rtl w:val="true"/>
          <w:lang w:bidi="fa-IR"/>
        </w:rPr>
        <w:t xml:space="preserve">توسل به اسباب طبيعي و غير طبيعي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اينكه، رنگ استقلال در تأثير به خود نگيرند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توحيد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شكي نيست كه انجام واجبات و مستحبات، همچون نماز و روزه و زكات و جهاد و غيره در راه خدا، همگي وسايل معنوي يي هستند كه انسان را به سر منزل مقصود، كه همان تقرب به خداوند است مي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پرتو اين اعمال، حقيقت بندگي را مي يابد و در نتيجه به خدا نزديك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بايد توجه نمود كه وسايل غير طبيعي، منحصر به انجام امور عبادي نيست، بلكه در كتاب و سنت يك رشته وسايل معرفي شده كه توسل به آنها استجابت دعا را به دنبال دارد كه ذيلا برخي از آنها را يادآور مي شويم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توسل به اسماء و صفات حسناي الهي كه در كتاب و سنت وارد شده است، چنانكه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اْلأَسْماءُ الْحُسْني فَادْعُوهُ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اسماء حسني مخصوص خداوند است، پس</w:t>
      </w:r>
    </w:p>
    <w:p>
      <w:pPr>
        <w:pStyle w:val="BookText"/>
        <w:rPr/>
      </w:pPr>
      <w:r>
        <w:rPr>
          <w:rFonts w:ascii="Amiri" w:hAnsi="Amiri" w:eastAsia="Amiri" w:cs="Amiri"/>
          <w:color w:val="111111"/>
          <w:sz w:val="28"/>
          <w:sz w:val="28"/>
          <w:szCs w:val="28"/>
          <w:rtl w:val="true"/>
          <w:lang w:bidi="ar-SA"/>
        </w:rPr>
        <w:t>خداوند را به وسيله آنها بخوانيد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ادعيه اسلامي، توسل به اسماء و صفات الهي فراوان وارد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توسل به دعاي صالحان كه برترين نوع آن توسل به ساحت پيامبران و اولياي خاص خداوند است تا براي انسان از درگاه الهي دعا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مجيد به كساني كه بر خويشتن ستم كرده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گنهكاران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مي دهد سراغ پيامبر روند و در آنجا هم خود طلب مغفرت كنند، و هم پيامبر براي آنان طلب آمرزش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نويد مي بخشد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 خدا را توبه پذير و رحيم خواهند يافت،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أَنَّهُمْ إِذْ ظَلَمُوا أَنْفُسَهُمْ جاؤُكَ فَاسْتَغْفَرُوا اللهَ وَ اسْتَغْفَرَ لَهُمُ الرَّسُولُ لَوَجَدُوا اللهَ تَوّاباً رَحيماً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ديگر، منافقان را نكوهش مي كند كه چرا هرگاه به آنان گفته شود سراغ پيامبر بروند تا درباره آنان از خداوند طلب آمرزش كند، سرپيچي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قِيلَ لَهُمْ تَعالَوا يَسْتَغْفِرْ لَكُمْ رَسُولُ اللهِ لَوَّوْا رُؤُسَهُمْ وَ رَأَيْتَهُمْ يَصُدُّونَ وَ هُمْ مُسْتَكْبِرُونَ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برخي از آيات بر مي آيد كه در امتهاي پيشين نيز چنين سيره اي جريان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المثل، به گفته قرآن، فرزندان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خواستند بابت گناهانشان از خدا براي آنان طلب آمرزش كند و يعقوب نيز درخواست آنان را پذيرفت و وعده استغفار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أَبانَا اسْتَغْفِرْ لَنا ذُنُوبَنا إِنّا كُنّا خاطِئينَ قالَ سَوْفَ أَسْتَغْفِرُ لَكُمْ رَبّي إِنَّهُ هُوَ الْغَفُورُ الرَّحيمُ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ممكن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دعاي صالحان، در صورتي بي اشكال است كه كسي كه به او توسل مي جوييم در قيد حيات باشد، ولي اكنون كه انبيا و اوليا از جهان رخت بربسته اند، چگونه توسل به آنان مي تواند مفيد و عين توحيد باشد؟</w:t>
      </w:r>
    </w:p>
    <w:p>
      <w:pPr>
        <w:pStyle w:val="BookText"/>
        <w:rPr/>
      </w:pPr>
      <w:r>
        <w:rPr>
          <w:rFonts w:ascii="IRNazanin" w:hAnsi="IRNazanin" w:eastAsia="IRNazanin"/>
          <w:color w:val="111111"/>
          <w:sz w:val="28"/>
          <w:sz w:val="28"/>
          <w:szCs w:val="28"/>
          <w:rtl w:val="true"/>
          <w:lang w:bidi="fa-IR"/>
        </w:rPr>
        <w:t>در پاسخ به اين سؤال يا ايراد، يادآور مي شويم مؤثر و مفيد بودن توسل دو شرط بيشتر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فردي كه به وي توسل مي جويند، داراي علم و شعور و قدرت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ميان توسل جويندگان و او ارتباط برقرار باشد</w:t>
      </w:r>
    </w:p>
    <w:p>
      <w:pPr>
        <w:pStyle w:val="BookText"/>
        <w:rPr/>
      </w:pPr>
      <w:r>
        <w:rPr>
          <w:rFonts w:ascii="IRNazanin" w:hAnsi="IRNazanin" w:eastAsia="IRNazanin"/>
          <w:color w:val="111111"/>
          <w:sz w:val="28"/>
          <w:sz w:val="28"/>
          <w:szCs w:val="28"/>
          <w:rtl w:val="true"/>
          <w:lang w:bidi="fa-IR"/>
        </w:rPr>
        <w:t xml:space="preserve">و در توسل به انبيا و اوليايي كه از جهان درگذشته اند، هر دو شرط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درك و شعور، و وجود ارتباط ميان ما و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دلايل روشن عقلي و نقلي، تحقق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حيات برزخي يكي از مسايل مسلّم قرآني و حديثي است در جايي كه، به گفته قرآن، شهداي راه حق حيات و زندگي دارند، مسلّماً پيامبران و اولياي خاص الهي ـ كه بسياري از ايشان خود نيز شهيد شده اند ـ از حيات برتر و بالاتري برخوردارند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وجود ارتباط ميان ما و اولياي الهي دلايل بسياري در دست است كه برخي را ذيلا يادآور مي شويم</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همه مسلمانان در پايان نماز شخص پيامبر گرامي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خطاب قرار داده و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أيّها النبي و رحمة الله و بركاته؛ آيا آنان براستي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p>
    <w:p>
      <w:pPr>
        <w:pStyle w:val="BookText"/>
        <w:rPr/>
      </w:pPr>
      <w:r>
        <w:rPr>
          <w:rFonts w:ascii="IRNazanin" w:hAnsi="IRNazanin" w:eastAsia="IRNazanin"/>
          <w:color w:val="111111"/>
          <w:sz w:val="28"/>
          <w:sz w:val="28"/>
          <w:szCs w:val="28"/>
          <w:rtl w:val="true"/>
          <w:lang w:bidi="fa-IR"/>
        </w:rPr>
        <w:t>مي دهند و پيامبر اين همه سلام را نمي شنود و پاسخي نمي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پيامبر گرامي در جنگ بدر دستور داد اجساد مشركان را در چاهي 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خود با همه آنان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ياران رسول خدا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با مردگان سخن مي گوييد؟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از آنان شنواتر نيستيد</w:t>
      </w:r>
      <w:r>
        <w:rPr>
          <w:rFonts w:eastAsia="IRNazanin" w:cs="IRNazanin"/>
          <w:color w:val="111111"/>
          <w:sz w:val="28"/>
          <w:szCs w:val="28"/>
          <w:rtl w:val="true"/>
          <w:lang w:bidi="fa-IR"/>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رسول گرامي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كراراً به قبرستان بقيع مي رفت و به ارواح خفتگان در قبرستان چنين خطاب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 أهل الدّيار من المؤمنين و 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براساس روايتي ديگر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دار قوم مؤمنين</w:t>
      </w:r>
      <w:r>
        <w:rPr>
          <w:rFonts w:eastAsia="IRNazanin" w:cs="IRNazanin"/>
          <w:color w:val="111111"/>
          <w:sz w:val="28"/>
          <w:szCs w:val="28"/>
          <w:rtl w:val="true"/>
          <w:lang w:bidi="fa-IR"/>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امير مؤمنان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پيامبر را غسل مي داد به او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بأبي أنت و أُمّي يا رسولَ الله لقد إنقطعَ بموتِك ما لَمْ يَنْقَطِعْ بموتِ غيرِك مِن النُبوّةِ و الأنباء و أخبارِ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 أُمّي اذكرنا عند ربِّك و اجْعلنا من بالك</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 xml:space="preserve">پدر و مادرم فداي تو باد اي رسول خدا، با مرگ تو چيزي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منقطع گرديد، كه با مرگ ديگران منقطع نگرديده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نزد پروردگارت ياد كن</w:t>
      </w:r>
      <w:r>
        <w:rPr>
          <w:rFonts w:eastAsia="IRNazanin" w:cs="IRNazanin"/>
          <w:color w:val="111111"/>
          <w:sz w:val="28"/>
          <w:szCs w:val="28"/>
          <w:rtl w:val="true"/>
          <w:lang w:bidi="fa-IR"/>
        </w:rPr>
        <w:t>...</w:t>
      </w:r>
      <w:bookmarkStart w:id="114" w:name="pg593_6616"/>
    </w:p>
    <w:p>
      <w:pPr>
        <w:pStyle w:val="Heading2"/>
        <w:numPr>
          <w:ilvl w:val="1"/>
          <w:numId w:val="1"/>
        </w:numPr>
        <w:rPr/>
      </w:pPr>
      <w:bookmarkStart w:id="115" w:name="__RefHeading___Toc5114549_211673320"/>
      <w:bookmarkStart w:id="116" w:name="_Toc42"/>
      <w:bookmarkEnd w:id="114"/>
      <w:bookmarkEnd w:id="115"/>
      <w:r>
        <w:rPr>
          <w:rtl w:val="true"/>
        </w:rPr>
        <w:t>بدعت چيست؟</w:t>
      </w:r>
      <w:bookmarkEnd w:id="1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معني كار نو و بي سابقه اي است كه بيانگر نوعي حسن وكمال درفاعل مي باشد، چنانكه يكي از صفات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بَدِيعُ السَّمواتِ وَ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مفهوم اصطلاحي بدعت نيز آن است كه انسان چيزي را كه جزو شريعت نيست، به آن نسبت دهد، و كوتاهترين عبارت براي تعريف اصطلاح بدعت آن است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إدْخالُ ما لَيْسَ مِنَ الدِّينِ في الدينِ</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بدعت گذاري در دين از گناهان كبيره بوده و در حرمت آن هيچ ترديدي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بِدْعَةِ ضَلالَةٌ، وَكُلُّ ضَلالَة فِي النّار</w:t>
      </w:r>
      <w:r>
        <w:rPr>
          <w:rFonts w:eastAsia="IRNazanin" w:cs="IRNazanin"/>
          <w:color w:val="111111"/>
          <w:sz w:val="28"/>
          <w:szCs w:val="28"/>
          <w:rtl w:val="true"/>
          <w:lang w:bidi="fa-IR"/>
        </w:rPr>
        <w:t xml:space="preserve">» </w:t>
      </w:r>
      <w:r>
        <w:rPr>
          <w:rStyle w:val="FootnoteAnchor"/>
          <w:rtl w:val="true"/>
        </w:rPr>
        <w:footnoteReference w:id="1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نكته مهم در مسأله بدعت، تنها اين است كه مفهوم بدعت به صورتي روشن تبيين شود تا بدعت از غير آن تميز داده شود در اين زمينه، براي درك حقيقت بدعت، بايستي به دو</w:t>
      </w:r>
    </w:p>
    <w:p>
      <w:pPr>
        <w:pStyle w:val="BookText"/>
        <w:rPr/>
      </w:pPr>
      <w:r>
        <w:rPr>
          <w:rFonts w:ascii="IRNazanin" w:hAnsi="IRNazanin" w:eastAsia="IRNazanin"/>
          <w:color w:val="111111"/>
          <w:sz w:val="28"/>
          <w:sz w:val="28"/>
          <w:szCs w:val="28"/>
          <w:rtl w:val="true"/>
          <w:lang w:bidi="fa-IR"/>
        </w:rPr>
        <w:t>مطلب توجه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بدعت، نوعي تصرف در دين، از طريق افزودن يا كاستن شريعت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نوآوري هايي كه ربطي به دين و شريعت نداشته، بلكه به عنوان يك مسأله عرفي و عادي انجام گيرد، بدعت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مشروع بودن آن مشروط به اين است كه ابداع و ابتكار مزبور در شرع محرّم و ممنوع نباشد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المثل، بشر از نظر مسكن و پوشاك و ديگر وسايل زندگي همواره دست به نوآوريهايي مي زند و بويژه در عصر ما بسياري از روشها و ابزارهاي معمول زندگي دگرگون شده و براي نمونه لباس ها و خوراك هاي جديد پديد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بديهي است همه اينها يك نوع بدعت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معني نورآوري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ولي ارتباط به بدعت در شرع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چنانكه گفتيم، حلال بودن آنها و استفاده از آنها مشروط به اين است كه مخالف با احكام و موازين شرع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اختلاط زن و مرد بدون حجاب در مجالس و محافل، كه از ارمغانهاي فاسد غرب مي باشد، حرام است ولي بدعت نيست؛ زيرا كساني كه در اين محافل شركت مي كنند، اين كار را به عنوان يك عمل مشروع كه اسلام بر آن صحه نهاده انجام نمي دهند، بلكه احياناً با اعتقاد به اينكه امري مخالف شرع است، روي عدم مبالات تن به اين كار مي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گاه تنّبه يافته و تصميم جدّي مي گيرند كه ديگر در آن مجالس شركت نورزند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يا چنانچه ملتي روز يا روزهايي را براي موسم شادي و</w:t>
      </w:r>
    </w:p>
    <w:p>
      <w:pPr>
        <w:pStyle w:val="BookText"/>
        <w:rPr/>
      </w:pPr>
      <w:r>
        <w:rPr>
          <w:rFonts w:ascii="IRNazanin" w:hAnsi="IRNazanin" w:eastAsia="IRNazanin"/>
          <w:color w:val="111111"/>
          <w:sz w:val="28"/>
          <w:sz w:val="28"/>
          <w:szCs w:val="28"/>
          <w:rtl w:val="true"/>
          <w:lang w:bidi="fa-IR"/>
        </w:rPr>
        <w:t>گردهمايي معين كنند، امّا نه به اين قصد كه شرع چنين دستوري داده است، چنين كاري بدعت نيست، هرچند بايستي حلّيّت و حرمت آن از جهات ديگر مورد بحث و بررسي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روشن مي شود كه بسياري از نوآوريهاي بشري در زمينه هنر، ورزش، صنعت و غيره از قلمرو بدعت اصطلاحي بيرون بوده، و آنچه درباره آنها مطرح است مسأله حلال و حرام بودن آن ها از جهات ديگر است كه خود ملاك و مقياس خاص خويش را دارد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اساس بدعت در شرع به اين نكته باز مي گردد كه چيزي را به عنوان يك امر شرعي به كار برند، در حالي كه براي مشروعيت آن، اصل يا ضابطه اي در شرع وجود نداشته باشد؛ ولي هرگاه كاري را كه انسان به عنوان يك عمل ديني انجام مي دهد، دليل شرعي 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خاص، يا كلّي و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مشروعيت آن وجود داشته باشد، آن عمل بدعت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روست كه علامه مجلسي، عالم بزرگ شيعي،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البِدْعَةُ في الشَّرعِ ما حَدَثَ بَعْدَ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من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يَكُنْ فِيهِ نَصٌ عَلي الخصوصِ وَ لا يَكُونُ داخلا في بَعْضِ العُمُوماتِ</w:t>
      </w:r>
      <w:r>
        <w:rPr>
          <w:rFonts w:eastAsia="IRNazanin" w:cs="IRNazanin"/>
          <w:color w:val="111111"/>
          <w:sz w:val="28"/>
          <w:szCs w:val="28"/>
          <w:rtl w:val="true"/>
          <w:lang w:bidi="fa-IR"/>
        </w:rPr>
        <w:t xml:space="preserve">» </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در شرع چيزي است كه پس از رسول گرامي حادث شده و دليل شرعي خاص يا عامّي نيز بر جواز آن در كار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عسقلاني، دانشمند مشهور اهل سنت، نيز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البدعةُ ما أُحدثَ و ليس له أصل فِي الشرع، و ما كانَ له أصل يدلّ عليه الشّرع فليس ببدعة</w:t>
      </w:r>
      <w:r>
        <w:rPr>
          <w:rFonts w:eastAsia="IRNazanin" w:cs="IRNazanin"/>
          <w:color w:val="111111"/>
          <w:sz w:val="28"/>
          <w:szCs w:val="28"/>
          <w:rtl w:val="true"/>
          <w:lang w:bidi="fa-IR"/>
        </w:rPr>
        <w:t xml:space="preserve">» </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بدعت چيزي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 آمده باشد و دليلي حاكي از جواز آن در شريعت يافت نشود؛ و آن چيزي كه دليل و ريشه اي در دين دارد، بدعت نخواهد بود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هرگاه عملي را كه به شرع نسبت مي دهيم مستند به دليلي خاص يا ضابطه اي كلي در شرع باشد، مسلّماً بدعت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دليل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به بيان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توضيح قسمت دوم است، زيرا چه بسا ممكن است يك عمل ظاهراً حالت نوآوري داشته و در تاريخ اسلام بي سابقه باشد ولي معناً تحت ضابطه اي قرار گيرد كه شرع اسلام آن را به صورت كلي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مي توان از سربازگيري عمومي ياد كرد كه امروزه در نوع كشورها اجرا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جوانان به خدمت زير پرچم به عنوان وظيفه ديني، هرچند حالت نوآوري دارد، ولي چون يك اصل و قاعده ديني پشتيبان آن است بدعت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قرآن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وَأَعِدُّوالَهُمْ مَّااسْتَطَعْتُمْ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بديهي است بر اثر تحوّلات جهاني، آموزش عمومي رزمي براي جوانان موجب آمادگي بيشتر در مقابل دشمن مترصد و گوش بزنگ است و عمل به روح آيه شريفه، در عصر ما،</w:t>
      </w:r>
    </w:p>
    <w:p>
      <w:pPr>
        <w:pStyle w:val="BookText"/>
        <w:rPr/>
      </w:pPr>
      <w:r>
        <w:rPr>
          <w:rFonts w:ascii="Amiri" w:hAnsi="Amiri" w:eastAsia="Amiri" w:cs="Amiri"/>
          <w:color w:val="111111"/>
          <w:sz w:val="28"/>
          <w:sz w:val="28"/>
          <w:szCs w:val="28"/>
          <w:rtl w:val="true"/>
          <w:lang w:bidi="ar-SA"/>
        </w:rPr>
        <w:t>مقتضي همين امر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بيان فوق، بسياري از شبهات واهي حل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نمونه، انبوه مسلمانان جهان روز ميلاد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جشن مي گيرند و گروهي اين امر را بدعت مي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حاليكه، طبق آنچه گفتيم، هرگز ملاك بدعت بر آن صادق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استحباب اظهار محبت به پيامبر گرامي اسلام و خاندان او ـ سلام الله عليهم اجمعين ـ يكي از اصول مسلّم اسلام است كه اين گونه جشنهاي مذهبي جلوه و مظهري از آن اصل كلّي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گرامي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يُؤْمِنُ أَحدُكُمْ حَتّي أَكونَ أحبَّ إِليهِ مِنْ مالِهِ وَ أَهلِهِ وَ النّاس أجْمَعين</w:t>
      </w:r>
      <w:r>
        <w:rPr>
          <w:rFonts w:eastAsia="IRNazanin" w:cs="IRNazanin"/>
          <w:color w:val="111111"/>
          <w:sz w:val="28"/>
          <w:szCs w:val="28"/>
          <w:rtl w:val="true"/>
          <w:lang w:bidi="fa-IR"/>
        </w:rPr>
        <w:t xml:space="preserve">» </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هيچكدام از شما مؤمن نخواهد بود، مگر آنكه من نزد او از خانواده وي و تمامي مردم، محبوبتر باشم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كه يادآور شديم، بدعت بودن عمل در صورتي است كه براي آن مدرك صحيحي در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خاص يا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نداشته باشد، و بايد توجه نمود كه روايات ائمه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حكم حديث متواتر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مصادر شريعت و دلايل احكام ديني به شمار مي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حضرات معصومين سلام الله عليهم اجمعين بر جواز يا منع چيزي تصريح كنند، پيروي از گفتار آنان پيروي از دين بوده و مشمول عنوان بدعت گذاري در دين نخواهد بود</w:t>
      </w:r>
      <w:r>
        <w:rPr>
          <w:rFonts w:eastAsia="IRNazanin" w:cs="IRNazanin"/>
          <w:color w:val="111111"/>
          <w:sz w:val="28"/>
          <w:szCs w:val="28"/>
          <w:rtl w:val="true"/>
          <w:lang w:bidi="fa-IR"/>
        </w:rPr>
        <w:t>.</w:t>
      </w:r>
      <w:bookmarkStart w:id="117" w:name="pg593_6621"/>
    </w:p>
    <w:p>
      <w:pPr>
        <w:pStyle w:val="Heading2"/>
        <w:numPr>
          <w:ilvl w:val="1"/>
          <w:numId w:val="1"/>
        </w:numPr>
        <w:rPr/>
      </w:pPr>
      <w:bookmarkStart w:id="118" w:name="__RefHeading___Toc5114551_211673320"/>
      <w:bookmarkStart w:id="119" w:name="_Toc43"/>
      <w:bookmarkEnd w:id="117"/>
      <w:bookmarkEnd w:id="118"/>
      <w:r>
        <w:rPr>
          <w:rtl w:val="true"/>
        </w:rPr>
        <w:t>تقيه به حكم عقل واجب است</w:t>
      </w:r>
      <w:bookmarkEnd w:id="119"/>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تعاليم قرآن اين است كه، در مواردي كه جان و عِرض و مال يك فرد مسلمان در اثر اظهار عقيده به خطر خواهد افتاد مي تواند عقيده خود را كتمان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شرعي به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تقيه، نه تنها مدرك شرعي دارد، بلكه عقل و خرد نيز بر درستي و لزوم آن در شرايط خاص گواهي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يك طرف حفظ جان و مال و آبرو لازم است، و از طرف ديگر عمل بر وفق عقيده يك وظيفه ديني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مواردي كه اظهار عقيده جان و مال و آبروي شخص را به خطر مي افكند و اين دو وظيفه عملا با هم تزاحم و اصطكاك مي يابند، طبعاً حكم خرد آن است كه انسان وظيفه و تكليف مهمتر را بر ديگري مقدم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تقيه سلاح ضعفا در مقابل اشخاص قدرتمند و بي رحم است، و پيداست كه اگر تهديدي در كار نباشد، انسان نه عقيده خويش را كتمان مي كند و نه برخلاف</w:t>
      </w:r>
    </w:p>
    <w:p>
      <w:pPr>
        <w:pStyle w:val="BookText"/>
        <w:rPr/>
      </w:pPr>
      <w:r>
        <w:rPr>
          <w:rFonts w:ascii="Amiri" w:hAnsi="Amiri" w:eastAsia="Amiri" w:cs="Amiri"/>
          <w:color w:val="111111"/>
          <w:sz w:val="28"/>
          <w:sz w:val="28"/>
          <w:szCs w:val="28"/>
          <w:rtl w:val="true"/>
          <w:lang w:bidi="ar-SA"/>
        </w:rPr>
        <w:t>اعتقاد خود عمل مي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قرآن در مورد عمار ياسر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كساني كه اصولا در چنگ كافران گرفتار شده و به رغم ايمان استوار قلبي خويش، صورتاً براي تخلص آنان لفظ كفر را بر زبان جاري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كَفَرَ بِاللهِ مِنْ بَعْدِ إيمانِهِ إِلاّ مَنْ أُكْرِهَ وَ قَلْبُهُ مُطْمَئِنُّ بِاْلإيمانِ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كسي كه پس از ايمان به خدا كفر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سزاي عمل خود مي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كسي كه از روي ناچاري و اجبار اظهار كفر كند، ولي قلبش به ايمان، قرص و محكم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ديگر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يَتَّخِذِ الْمُؤْمِنُونَ الْكافِرينَ أَوْلِياءَ مِنْ دُونِ الْمُؤْمِنينَ وَ مَنْ يَفْعَلْ ذلِكَ فَلَيْسَ مِنَ اللهِ في شَيْء إِلاّ أَنْ تَتَّقُوا مِنْهُمْ تُقاةً وَ يُحَذِّرُكُمُ اللهُ نَفْسَهُ وَ إِلَي اللهِ الْمَصيرُ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 نيست مؤمنان كافران را به جاي مؤمنان وليّ خود گيرند، و هركس چنين كند پيوند خويش را با خداوند گسسته است؛ مگر اينكه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ايمني از شر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حصن و حفاظِ تظاهر به قبول ولايتشان قرار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از مخالفت با خويش بر حذر مي دارد و بازگشت همگان به سوي خدا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قرآن در شرح اين دو آيه، همگي اصل تقيه را اصلي مشروع دانسته اند</w:t>
      </w:r>
      <w:r>
        <w:rPr>
          <w:rFonts w:eastAsia="IRNazanin" w:cs="IRNazanin"/>
          <w:color w:val="111111"/>
          <w:sz w:val="28"/>
          <w:szCs w:val="28"/>
          <w:rtl w:val="true"/>
          <w:lang w:bidi="fa-IR"/>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اصولا هركس مطالعه مختصري در تفسير قرآن و فقه اسلامي داشته باشد مي داند كه اصل تقيه از اصول اسلامي است و نمي توان آيات ياد شده در فوق و نيز عمل مؤمن آل فرعون و كتمان ايمان خويش و اظهار خلاف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ناديده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تقيه را به طور كلي منكر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در خور ذكر است كه هرچند آيات تقيه در مورد تقيه از كافران وارد شده، ولي ملاك آن، كه همان حفظ جان و عرض و مال مسلمين در شرايط خاص و ناگوار است، اختصاص به كافران ندارد، و اگر اظهار عقيده و يا عمل شخص بر وفق آن، نزديك فرد مسلمان نيز موجب خوف شخص بر جان و مال و عرض خويش باشد، تقيه در اين مورد حكم تقيه از كافر را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سخني است كه ديگران نيز به آن تصريح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شافعي اين است كه هرگاه وضع مسلمانان در ميان خود همان حالتي را به خود گرفت كه مسلمانان در ميان كفّار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تقيه براي حفظ جان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تقيه منحصر به ضرر جاني نبوده و حتي ضرر مالي نيز مجوّز تقيه است؛ زيرا احترام مال مسلمان هم مانند احترام خون مسلمان است، و اگر كسي در راه آن كشته شود، شهيد مي باشد</w:t>
      </w:r>
      <w:r>
        <w:rPr>
          <w:rFonts w:eastAsia="IRNazanin" w:cs="IRNazanin"/>
          <w:color w:val="111111"/>
          <w:sz w:val="28"/>
          <w:szCs w:val="28"/>
          <w:rtl w:val="true"/>
          <w:lang w:bidi="fa-IR"/>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عقيده شيعه، تقيه در شرايطي واجب، ولي در برخي شرايط</w:t>
      </w:r>
    </w:p>
    <w:p>
      <w:pPr>
        <w:pStyle w:val="BookText"/>
        <w:rPr/>
      </w:pPr>
      <w:r>
        <w:rPr>
          <w:rFonts w:ascii="IRNazanin" w:hAnsi="IRNazanin" w:eastAsia="IRNazanin"/>
          <w:color w:val="111111"/>
          <w:sz w:val="28"/>
          <w:sz w:val="28"/>
          <w:szCs w:val="28"/>
          <w:rtl w:val="true"/>
          <w:lang w:bidi="fa-IR"/>
        </w:rPr>
        <w:t>نيز حرام است، و انسان در آن شرايط نبايد به بهانه اينكه جان و مال وي به خطر مي افتد تقيه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 تصور مي كنند كه شيعه مطلقاً تقيه را واجب مي داند، در حالي كه اين تصور غلط بوده و روش پيشوايان شيعه هرگز چنين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آنان با در نظر گرفتن شرايط و رعايت مصالح و مفاسد، در هر زماني راهي خاص و مناسب را انتخاب مي كردند و لذا مي بينيم كه گاه تقيه نكرده و جان و مال خود را در راه اظهار عقيده فدا مي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پيشوايان معصوم شيعه غالباً به وسيله شمشير يا زهر جفاي دشمنان به شهادت رسيده اند، در حالي كه يقيناً اگر آنان به حاكمان عصر خويش چهره خوش نشان مي دادند، قدرتمندان حاكم چه بسا بزرگترين و عالي ترين مقامات را نيز در اختيار آنان مي نهادند؛ ولي آنها خوب مي دانستند كه تقيه في المثل در برابر يزيد مايه نابودي دين و محو مذهب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شرايط كنوني نيز براي رهبران ديني مسلمين دو نوع تكليف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شرايطي راه تقيه را در پيش گيرند؛ و در شرايط ديگر، كه اساس دين در خطر است، جان به كف گرفته به استقبال مرگ روند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يادآور مي شويم كه در تعليم و تبيين معارف و احكام ديني، تقيه موردي نخواهد داشت، كه مثلا دانشمندي كتابي را بر اساس تقيه بنويسد و عقايد انحرافي و خلاف را، به عنوان عقايد شيعه، در جامعه منتشر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است كه مي بينيم در</w:t>
      </w:r>
    </w:p>
    <w:p>
      <w:pPr>
        <w:pStyle w:val="BookText"/>
        <w:rPr/>
      </w:pPr>
      <w:r>
        <w:rPr>
          <w:rFonts w:ascii="IRNazanin" w:hAnsi="IRNazanin" w:eastAsia="IRNazanin"/>
          <w:color w:val="111111"/>
          <w:sz w:val="28"/>
          <w:sz w:val="28"/>
          <w:szCs w:val="28"/>
          <w:rtl w:val="true"/>
          <w:lang w:bidi="fa-IR"/>
        </w:rPr>
        <w:t>طول تاريخ شيعه، هيچ گاه كتابي در زمينه عقايد و احكام بر اساس تقيه نوشته نشده است، بلكه علماي شيعه در سخت ترين شرايط نيز عقيده خويش را اظهار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ممكن است در ميان آنان پيرامون اصل يا مسأله اي خاص اختلاف نظر وجود داشته باشد، ولي هرگز در طول تاريخ يك بار هم اتفاق نيفتاده كه دانشمندان شيعه رساله يا كتابي را ـ به بهانه تقيه ـ بر خلاف آرا و عقايد مسلّم اين مذهب بنويسند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به كساني كه فهم و هضم تقيه براي آنان سنگين بوده و تحت تأثير تبليغات سوء دشمنان شيعه قرار دارند، اكيداً توصيه مي كنيم كه يك دوره تاريخ شيعه را در عهد امويان و عباسيان، و حتي عثمانيها در تركيه و شامات، مطالعه كنند تا بدانند كه اين گروه براي دفاع از عقيده و پيروي از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بهاي گزافي را پرداخته اند، چه قربانيهايي داده، و چه مصايب تلخي را تحمل كرده اند، تا آنجا كه حتي از خانه و كاشانه خود به كوهها پناه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شيعيان، با وجود رعايت تقيه، چنين وضعي داشتند، حال اگر اين اصل را رعايت نمي كردند چه وضعي پيش مي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براستي آيا در آن صورت اثري از تشيع در جهان باقي مي ماند؟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بايد توجه داشت كه، اگر نكوهشي در تقيّه هست در اصل متوجه مسبّبان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كساني مستوجب نكوهشند كه به جاي اجراي عدل و رأفت اسلامي، سخت ترين و كشنده ترين اختناقهاي سياسي و مذهبي را بر پيروان عترت نبوي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تحميل مي كردند و</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حاضر هم مي كنند نه كساني كه از روي ناچاري براي حفظ جان و مال و ناموس خويش به تقيه پناه مي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شگفت اينجاست كه برخي كسان، به جاي نكوهش مسبّبان تقيه يعني ظالمان، تقيه كنندگان، يعني مظلومان را نكوهش كرده و متهم به نفاق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آنكه فاصله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زمين تا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كفر را در دل خويش پنهان كرده و در ظاهر ابراز ايمان مي كند، در حالي كه مسلمان در حال تقيه، قلبي لبريز از ايمان دارد و صرفاً به علت ترس از آزار طاقت فرساي ظالمان، اظهار خلاف مي نمايد</w:t>
      </w:r>
      <w:r>
        <w:rPr>
          <w:rFonts w:eastAsia="IRNazanin" w:cs="IRNazanin"/>
          <w:color w:val="111111"/>
          <w:sz w:val="28"/>
          <w:szCs w:val="28"/>
          <w:rtl w:val="true"/>
          <w:lang w:bidi="fa-IR"/>
        </w:rPr>
        <w:t>.</w:t>
      </w:r>
      <w:bookmarkStart w:id="120" w:name="pg593_6627"/>
    </w:p>
    <w:p>
      <w:pPr>
        <w:pStyle w:val="Heading2"/>
        <w:numPr>
          <w:ilvl w:val="1"/>
          <w:numId w:val="1"/>
        </w:numPr>
        <w:rPr/>
      </w:pPr>
      <w:bookmarkStart w:id="121" w:name="__RefHeading___Toc5114553_211673320"/>
      <w:bookmarkStart w:id="122" w:name="_Toc44"/>
      <w:bookmarkEnd w:id="120"/>
      <w:bookmarkEnd w:id="121"/>
      <w:r>
        <w:rPr>
          <w:rtl w:val="true"/>
        </w:rPr>
        <w:t>محبت به اهل بيت و تكريم آنان</w:t>
      </w:r>
      <w:bookmarkEnd w:id="122"/>
    </w:p>
    <w:p>
      <w:pPr>
        <w:pStyle w:val="BookText"/>
        <w:rPr/>
      </w:pPr>
      <w:r>
        <w:rPr>
          <w:rFonts w:ascii="IRNazanin" w:hAnsi="IRNazanin" w:eastAsia="IRNazanin"/>
          <w:color w:val="111111"/>
          <w:sz w:val="28"/>
          <w:sz w:val="28"/>
          <w:szCs w:val="28"/>
          <w:rtl w:val="true"/>
          <w:lang w:bidi="fa-IR"/>
        </w:rPr>
        <w:t>مهرورزيدن و دوست داشتن پيامبر و خاندانش يكي از اصول اسلام است كه قرآن و سنت بر آن تأكيد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باره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كانَ آباؤُكُمْ وَ أَبْناؤُكُمْ وَ إِخْوانُكُمْ وَ أَزْواجُكُمْ وَ عَشيرَتُكُمْ وَ أَمْوالٌ اقْتَرَفْتُمُوها وَ تِجارَةٌ تَخْشَوْنَ كَسادَها وَ مَساكِنُ تَرْضَوْنَها أَحَبَّ إِلَيْكُمْ مِنَ اللهِ وَ رَسُولِهِ وَ جِهاد في سَبيلِهِ فَتَرَبَّصُوا حَتّي يَأْتِيَ اللهُ بِأَمْرِهِ وَ اللهُ لا يَهْدِي الْقَوْمَ الْفاسِقينَ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 اگر پدران و فرزندان و برادران و همسران و بستگان شما و اموالي كه بدست آورده ايد و تجارتي كه از كساد آن بيم داريد و مسكن هاي مورد پسند شما، در نظرتان از خداوند و پيامبرش و جهاد در راهش محبوب تر است، در انتظار اين باشيد كه خداوند عذابش را بر شما نازل كند، و خداوند جمعيت نافرمانبردار را هدايت نمي كند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آيه ديگر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آمَنُوا بِهِ وَ عَزَّرُوهُ وَ</w:t>
      </w:r>
    </w:p>
    <w:p>
      <w:pPr>
        <w:pStyle w:val="BookText"/>
        <w:rPr/>
      </w:pPr>
      <w:r>
        <w:rPr>
          <w:rFonts w:ascii="IRNazanin" w:hAnsi="IRNazanin" w:eastAsia="IRNazanin"/>
          <w:color w:val="111111"/>
          <w:sz w:val="28"/>
          <w:sz w:val="28"/>
          <w:szCs w:val="28"/>
          <w:rtl w:val="true"/>
          <w:lang w:bidi="fa-IR"/>
        </w:rPr>
        <w:t>نَصَرُوهُ وَ اتَّبَعُوا النُّورَ الَّذي أُنْزِلَ مَعَهُ أُولئِكَ هُمُ الْمُفْلِحُونَ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كساني كه به او ايمان آورده اند و او را تكريم كرده و كمك نموده اند و از نوري كه بر وي فرود آمده پيروي كرده اند،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در اين آيه براي رستگاران چهار ويژگي مي 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ايمان به پيامبر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آمَنُوابه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تعزيز و تكريم او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عَزَّروهُ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ياري كردن او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نَصَرُوهُ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پيروي از نوري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وَاتَّبَعُوا النُّورَ الّذي أُنْزلَ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اينكه ياري كردن پيامبر در ويژگي سوم آمده است، قطعاً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ويژگي دوم همان تكريم و تعظيم پيامبر است، و مسلماً، تكريم پيامبر مخصوص دوران حيات او نيست، همچنانكه ايمان به وي كه در آيه وارد شده، چنين محدوديتي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محبت به خاندان رسالت كافي است كه قرآن آن را به صورت پاداش رسالت ذكر كرده و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أَسْئَلُكُمْ عَلَيْهِ أَجْراً إِلاَّ الْمَوَدَّةَ فِي الْقُرْبي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شوري</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 من براي اداي رسالت خداا از شما پاداشي نمي طلبم، جز محبت ورزيدن به بستگان و نزديكانم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محبت و تكريم نسبت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در قرآن</w:t>
      </w:r>
    </w:p>
    <w:p>
      <w:pPr>
        <w:pStyle w:val="BookText"/>
        <w:rPr/>
      </w:pPr>
      <w:r>
        <w:rPr>
          <w:rFonts w:ascii="Amiri" w:hAnsi="Amiri" w:eastAsia="Amiri" w:cs="Amiri"/>
          <w:color w:val="111111"/>
          <w:sz w:val="28"/>
          <w:sz w:val="28"/>
          <w:szCs w:val="28"/>
          <w:rtl w:val="true"/>
          <w:lang w:bidi="ar-SA"/>
        </w:rPr>
        <w:t>آمده، بلكه در احاديث اسلامي نيز بر آن تأكيد شده است، كه دو نمونه آن را يادآور مي شويم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يُؤمِنُ أَحدُكُمْ حَتّي أَكُونَ عنده أَحبَّ مِنْ وُلْدِهِ وَالنّاسِ أَجْمَعين</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يك نفر از شما مؤمن واقعي نخواهد بود، مگر اينكه من براي او از فرزندانش و همه مردم محبوبتر 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حديث ديگر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من كُنّ فيه ذاقَ طعمَ 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لا شيء أحبُّ إليه من اللهِ وَ رَسُولِهِ، وَ مَنْ كان لَئِنْ يُحرق بالنّار أحبَّ اليه مِنْ أَنْ يرتدّ عن دينه، و مَنْ كانَ يُحبُّ للهِ وَ يبغضُ لله</w:t>
      </w:r>
      <w:r>
        <w:rPr>
          <w:rFonts w:eastAsia="IRNazanin" w:cs="IRNazanin"/>
          <w:color w:val="111111"/>
          <w:sz w:val="28"/>
          <w:szCs w:val="28"/>
          <w:rtl w:val="true"/>
          <w:lang w:bidi="fa-IR"/>
        </w:rPr>
        <w:t xml:space="preserve">» </w:t>
      </w: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است كه هركس داراي آن باشد، مزه ايمان را چشيده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آن كس كه چيزي براي او از خدا و رسولش محبوب تر نباشد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آن كس كه سوخته شدن در آتش براي او محبوبتر از خروج از دين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آن كس كه دوستي و دشمني او براي خدا باشد</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محبت خاندان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احاديث اسلامي مورد تأكيد واقع شده است كه برخي را يادآور مي شويم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پيامبر گرامي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لايؤمن عبد حتّي أكون أحبَّ إليه مُنْ نفسِه و تكونَ عترتي أحبَّ إليه من عترته، و يكون أهلي أحبَّ إليه من أهله</w:t>
      </w:r>
      <w:r>
        <w:rPr>
          <w:rFonts w:eastAsia="IRNazanin" w:cs="IRNazanin"/>
          <w:color w:val="111111"/>
          <w:sz w:val="28"/>
          <w:szCs w:val="28"/>
          <w:rtl w:val="true"/>
          <w:lang w:bidi="fa-IR"/>
        </w:rPr>
        <w:t xml:space="preserve">» </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به شمار نمي آيد بنده اي مگر اينكه مرا بيش از خود دوست بدارد، و فرزندان مرا بيش از فرزندانش، و خاندان مرا فزون از خاندان خود، دوست بدارد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حديث ديگر درباره عترت خود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أحبّهم أحبّه الله و من أبغضهم أبغضه الله</w:t>
      </w:r>
      <w:r>
        <w:rPr>
          <w:rFonts w:eastAsia="IRNazanin" w:cs="IRNazanin"/>
          <w:color w:val="111111"/>
          <w:sz w:val="28"/>
          <w:szCs w:val="28"/>
          <w:rtl w:val="true"/>
          <w:lang w:bidi="fa-IR"/>
        </w:rPr>
        <w:t xml:space="preserve">» </w:t>
      </w: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هركس آنها را دوست بدارد، خدا را دوست داشته و هركس آنها را دشمن بدارد، خدا را دشمن 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اين جا با دلايل وجوب مهر ورزيدن به پيامبر و عترتش و تكريم آنان آشنا شديم، اكنون سؤال مي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سودي كه امت از مهر ورزيدن به پيامبر و عترت او مي برد چيست؟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شيوه مهر ورزي و تكريم نسبت به پيامبر و خاندان او چيست؟</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مطلب نخست يادآور مي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به انسان با كمال و با فضيلت، خود نردبان صعود به سوي كمال است، هرگاه انساني</w:t>
      </w:r>
    </w:p>
    <w:p>
      <w:pPr>
        <w:pStyle w:val="BookText"/>
        <w:rPr/>
      </w:pPr>
      <w:r>
        <w:rPr>
          <w:rFonts w:ascii="IRNazanin" w:hAnsi="IRNazanin" w:eastAsia="IRNazanin"/>
          <w:color w:val="111111"/>
          <w:sz w:val="28"/>
          <w:sz w:val="28"/>
          <w:szCs w:val="28"/>
          <w:rtl w:val="true"/>
          <w:lang w:bidi="fa-IR"/>
        </w:rPr>
        <w:t>فردي را از صميم دل دوست بدارد، كوشش مي كند خود را با او همگون سازد و آنچه كه مايه خرسندي او است انجام داده، و آنچه او را آزار مي دهد ترك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پيداست وجود چنين روحيه اي در انسان مايه تحول بوده و سبب مي شود كه پيوسته راه اطاعت را در پيش گيرد و از گناه بپرهيزد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كساني كه در زبان اظهار علاقه كرده ولي عملا با محبوب خود مخالفت ميورزند، فاقد محبت واقعي مي باشند،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موضوع با دو بيت استدلال كرد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تعصي الإلهَ وَ أنتَ تُظْهِرُ حبَّه</w:t>
      </w:r>
    </w:p>
    <w:p>
      <w:pPr>
        <w:pStyle w:val="BookText"/>
        <w:rPr/>
      </w:pPr>
      <w:r>
        <w:rPr>
          <w:rFonts w:ascii="Amiri" w:hAnsi="Amiri" w:eastAsia="Amiri" w:cs="Amiri"/>
          <w:color w:val="111111"/>
          <w:sz w:val="28"/>
          <w:sz w:val="28"/>
          <w:szCs w:val="28"/>
          <w:rtl w:val="true"/>
          <w:lang w:bidi="ar-SA"/>
        </w:rPr>
        <w:t>هذا لَعمْري في الفعال بديعٌ</w:t>
      </w:r>
    </w:p>
    <w:p>
      <w:pPr>
        <w:pStyle w:val="BookText"/>
        <w:rPr/>
      </w:pPr>
      <w:r>
        <w:rPr>
          <w:rFonts w:ascii="Amiri" w:hAnsi="Amiri" w:eastAsia="Amiri" w:cs="Amiri"/>
          <w:color w:val="111111"/>
          <w:sz w:val="28"/>
          <w:sz w:val="28"/>
          <w:szCs w:val="28"/>
          <w:rtl w:val="true"/>
          <w:lang w:bidi="ar-SA"/>
        </w:rPr>
        <w:t>لو كان حبُّكَ صادقاً لأطعتَه</w:t>
      </w:r>
    </w:p>
    <w:p>
      <w:pPr>
        <w:pStyle w:val="BookText"/>
        <w:rPr/>
      </w:pPr>
      <w:r>
        <w:rPr>
          <w:rFonts w:ascii="Amiri" w:hAnsi="Amiri" w:eastAsia="Amiri" w:cs="Amiri"/>
          <w:color w:val="111111"/>
          <w:sz w:val="28"/>
          <w:sz w:val="28"/>
          <w:szCs w:val="28"/>
          <w:rtl w:val="true"/>
          <w:lang w:bidi="ar-SA"/>
        </w:rPr>
        <w:t xml:space="preserve">إنّ المُحبَّ لِمَن يُحبُّ مطيعٌ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نافرماني مي كني و اظهار دوستي مي نمايي، به جانم سوگند، اين كار شگفتي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ادعاي خود راستگو بودي او را اطاعت مي كردي، زيرا كه محبّ مطيع محبوب خود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كه برخي از ثمرات مهر ورزي به پيامبر و خاندان او روشن شد، بايد به شيوه ابراز آن بپردازيم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مقصود حب دروني بدون هيچ گونه بازتاب عملي نيست، بلكه مقصود مهري است كه در گفتار و رفتار انسان بازتاب مناسبي داشته باشد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شكي نيست كه يكي از بازتابهاي محبت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خاندان او پيروي عملي از آنان است، چنان كه اشاره شد، ولي سخن در ديگر بازتابهاي اين حالت دروني است، و اجمال آن اين است كه هر گفتار يا رفتاري كه در نظر مردم نشانه محبت و وسيله گرامي داشت افراد به شمار مي رود، مشمول اين قاعده مي باشد، مشروط بر اينكه، با عمل مشروع او را تكريم كنند، نه با عمل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گرامي داشت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 او در هر زمان ـ خصوصاً در سالروز ولادت يا وفات ـ يكي از شيوه هاي ابراز محبت و گرامي داشت مقام و منزل آنان است و آزين بندي در روزهاي ولادت و روشن كردن چراغ و برافراشتن پرچم و تشكيل مجلس براي ذكر فضايل و مناقب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خاندان او، نشانه محبت به آنان و وسيله ابراز آن به شمار مي رود و به اين خاطر تجليل پيامبر در ايام ولادت يك سنت مستمر، در ميان مسلمانان بوده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ديار بكري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الخميس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پيوسته ماه ولادت پيامبر را گرامي داشته و جشن مي گيرند و اطعام مي كنند و به فقرا صدقه مي دهند اظهار شادماني مي نمايند و سرگذشت ولادت او را بيان مي كنند، چه بسا كراماتي براي آنان ظاهر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اين سخن را عالم ديگري به نام ابن حجر عسقلاني در كتاب خود آورده است</w:t>
      </w:r>
      <w:r>
        <w:rPr>
          <w:rFonts w:eastAsia="IRNazanin" w:cs="IRNazanin"/>
          <w:color w:val="111111"/>
          <w:sz w:val="28"/>
          <w:szCs w:val="28"/>
          <w:rtl w:val="true"/>
          <w:lang w:bidi="fa-IR"/>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بيان گذشته فلسفه سوگواري براي پيشوايان ديني نيز روشن مي گردد، زيرا هر نوع ترتيب مجلس براي ذكر مصائب آنان نوعي اظهار محبت و مهر ورزيدن است، اگر يعقوب ساليان درازي بر فقدان عزيزش يوسف گريه كرد و اشك ريخت </w:t>
      </w:r>
      <w:r>
        <w:rPr>
          <w:rStyle w:val="FootnoteAnchor"/>
          <w:rtl w:val="true"/>
        </w:rPr>
        <w:footnoteReference w:id="118"/>
      </w:r>
      <w:r>
        <w:rPr>
          <w:rFonts w:ascii="IRNazanin" w:hAnsi="IRNazanin" w:eastAsia="IRNazanin"/>
          <w:color w:val="111111"/>
          <w:sz w:val="28"/>
          <w:sz w:val="28"/>
          <w:szCs w:val="28"/>
          <w:rtl w:val="true"/>
          <w:lang w:bidi="fa-IR"/>
        </w:rPr>
        <w:t>ريشه آن، علاقه باطني او به فرزندش بود، پس هرگاه علاقمندان به خاندان رسالت در پرتو مهري كه به آنان دارند، در روزهاي درگذشت و شهادت آنان، اشك بريزند چه اشكالي دارد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تشكيل مجلس براي فقدان عزيزان كاري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جنگ اُحد پي ريزي كرد آنگاه كه از گريه زنان انصار بر شهداي اُحد آگاه گشت، و به ياد عموي بزرگوار خود افتاد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وَلكِنَّ حَمزَة لا بَواكيَ له</w:t>
      </w:r>
      <w:r>
        <w:rPr>
          <w:rFonts w:eastAsia="IRNazanin" w:cs="IRNazanin"/>
          <w:color w:val="111111"/>
          <w:sz w:val="28"/>
          <w:szCs w:val="28"/>
          <w:rtl w:val="true"/>
          <w:lang w:bidi="fa-IR"/>
        </w:rPr>
        <w:t xml:space="preserve">» </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كسي بر حمزه گريه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ياران پيامبر علاقه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برپايي مجلس عزا براي عمويش احساس كردند، از زنان خود خواستند تا مجلسي برپا كرده و بر عموي پيامبر سوگواري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تشكيل شد، و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ابراز عواطف آنان تقدير، و در حقّ آنان دعا كرد،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از سران انصار خواست از زنان بخواهند تا به خانه هاي خود باز گردند</w:t>
      </w:r>
      <w:r>
        <w:rPr>
          <w:rFonts w:eastAsia="IRNazanin" w:cs="IRNazanin"/>
          <w:color w:val="111111"/>
          <w:sz w:val="28"/>
          <w:szCs w:val="28"/>
          <w:rtl w:val="true"/>
          <w:lang w:bidi="fa-IR"/>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گذشته از اين، سوگواري براي پيامبر و امامان و شهيدان راه حق، فلسفه ديگري نيز دارد و آن اينكه بزرگداشت ياد آنان مايه حفظ مكتب آنهاست، مكتبي كه اساس آن را فداكاري در راه دين و تن ندادن به ذلّت و خواري تشكيل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منطق آنان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سرخ به از زندگي ننگين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رو است كه در هر عاشوراي حسيني اين منطق احياء مي گردد و ملت ها از نهضت او، درس آموخته و مي آموزند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ديگر اينكه خردمندان جهان در نگهداري آثار نياكان خود كوشا بوده و آن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ميراث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گزند روزگار حفظ مي كنند، و با صرف هزينه هايي، به عنوان آثار ملي و يا مفاخر گذشتگان از آن حراست مي نمايند، زيرا آثار گذشتگان حلقه اتصال بين قديم و جديد بوده و حركت ملتها را در سير ترقي و تعالي به روشني بيان مي كند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مسلمانان براساس همين رسم در طول تاريخ، آثار به جا مانده از رسول گرامي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او را از گزند روزگار حفظ كرده اند، و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شخصيتي الهي فزون از چهارده قرن قبل به مقام نبوت برگزيده شد، و با برنامه بسيار مترقي به اصلاح جامعه پرداخت و تحولي عميق كه هم اكنون مردم جهان از آن بهره مندند پديد آورد پس حفاظت زادگاه او، محل عبادت و نيايش او، نقطه اي كه در آنجا به پيامبري برانگيخته شده و نقاطي كه در آنجا به سخنراني پرداخت، و مناطقي كه در آنجا به دفاع شرافتمندانه دست</w:t>
      </w:r>
    </w:p>
    <w:p>
      <w:pPr>
        <w:pStyle w:val="BookText"/>
        <w:rPr/>
      </w:pPr>
      <w:r>
        <w:rPr>
          <w:rFonts w:ascii="Amiri" w:hAnsi="Amiri" w:eastAsia="Amiri" w:cs="Amiri"/>
          <w:color w:val="111111"/>
          <w:sz w:val="28"/>
          <w:sz w:val="28"/>
          <w:szCs w:val="28"/>
          <w:rtl w:val="true"/>
          <w:lang w:bidi="ar-SA"/>
        </w:rPr>
        <w:t>زده و صدها علائم و آثار او وظيفه تمام مسلمانان جهان است و بايد در حفظ اين آثار بكوشند، و لوحه هايي بر آنها نصب كنند</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متأسفانه وهّابيان به اين اصل عقلائي و خداپسند عمل نمي كنند و به جاي اينكه در راه بقاء اين آثار بكوشند آنها را محو مي نمايند؟</w:t>
      </w:r>
      <w:r>
        <w:rPr>
          <w:rFonts w:eastAsia="IRNazanin" w:cs="IRNazanin"/>
          <w:color w:val="111111"/>
          <w:sz w:val="28"/>
          <w:szCs w:val="28"/>
          <w:rtl w:val="true"/>
          <w:lang w:bidi="fa-IR"/>
        </w:rPr>
        <w:t>!!!</w:t>
      </w:r>
      <w:bookmarkStart w:id="123" w:name="pg593_6636"/>
    </w:p>
    <w:p>
      <w:pPr>
        <w:pStyle w:val="Heading2"/>
        <w:numPr>
          <w:ilvl w:val="1"/>
          <w:numId w:val="1"/>
        </w:numPr>
        <w:rPr/>
      </w:pPr>
      <w:bookmarkStart w:id="124" w:name="__RefHeading___Toc5114555_211673320"/>
      <w:bookmarkStart w:id="125" w:name="_Toc45"/>
      <w:bookmarkEnd w:id="123"/>
      <w:bookmarkEnd w:id="124"/>
      <w:r>
        <w:rPr>
          <w:rtl w:val="true"/>
        </w:rPr>
        <w:t>وضوء</w:t>
      </w:r>
      <w:bookmarkEnd w:id="125"/>
    </w:p>
    <w:p>
      <w:pPr>
        <w:pStyle w:val="BookText"/>
        <w:rPr/>
      </w:pPr>
      <w:r>
        <w:rPr>
          <w:rFonts w:ascii="IRNazanin" w:hAnsi="IRNazanin" w:eastAsia="IRNazanin"/>
          <w:color w:val="111111"/>
          <w:sz w:val="28"/>
          <w:sz w:val="28"/>
          <w:szCs w:val="28"/>
          <w:rtl w:val="true"/>
          <w:lang w:bidi="fa-IR"/>
        </w:rPr>
        <w:t>همگي مي دانيم كه وضو يكي از مقدمات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مباركه مائده مي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إِذا قُمْتُمْ إِلَي الصَّلاةِ فَاغْسِلُوا وُجُوهَكُمْ وَ أَيْدِيَكُمْ إِلَي الْمَرافِقِ وَ امْسَحُوا بِرُؤُسِكُمْ وَ أَرْجُلَكُمْ إِلَي الْكَعْبَيْنِ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 افراد با ايمان هرگاه براي نماز بپا خاستيد صورت و دستهاي خود را تا آرنج بشوييد و سر و پاها را تا كعبين مسح كنيد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جمله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وُجُوهَكُمْ وَ أَيْدِيَكُمْ إِلَي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رفته كه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آنجا كه اولا كلمه يد در زبان عربي استعمالات مختلفي داشته و گاه به انگشتان دست، گاه به انگشتان تا مچ، گاه به انگشتان تا آرنج، و گاه به كلّ دست از سر انگشتان تا كتف اطلاق مي شود، و ثانياً مقدار واجب شستن دست در وضو فاصله ميان مرفق تا سر انگشتان است، لذا قرآن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برده تا مقدار واجب را بيان نمايد بنابراين كلمه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بيانگر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مغسول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و شستشوي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مثلا از بالا به پايين صورت گيرد يا از پايين به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بلكه كيفيت شستشو مربوط به عرف و عادت مردم است كه معمولا هنگام نظافت از بالا به پايين مي شويند و امامان معصوم كه تفسير قرآن را از آنان بايد آموخت با نقل وضوي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وجوب از بالا به پايين شستن را يادآور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شيعه اماميه معتقد است كه در هنگام وضو صورت و دستها را بايستي از بالا به پايين شست و خلاف آن را صحيح نمي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ديگر، مسئله مسح پاها در وضو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مي گويد بايد پاها را، مسح كرد، نه غَسل؛ و دليل وي نيز به صورت خلاصه اين است كه ظاهر آيه ششم سوره مائده حاكي از آن است كه انسان نمازگزار به هنگام وضو دو وظيفه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شستن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صورت و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ديگري مسح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سر و پاها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مطلب از تقارن و مقايسه دو جمله زير روشن مي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فَاغْسِلُوا وُجُوهَكُمْ وَ أَيْدِيَكُمْ إِلَي الْمَرافِقِ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امْسَحُوا بِرُؤُسِكُمْ وَ أَرْجُلَكُمْ إِلَي الْكَعْبَيْنِ</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ما اين دو جمله را به فرد عرب زباني كه ذهن او مسبوق به فتواي فقهي خاصي نباشد ارائه كنيم، بي ترديد خواهد گفت كه طبق اين آيه وظيفه ما نسبت به صورت و دست، شستن؛ و نسبت به</w:t>
      </w:r>
    </w:p>
    <w:p>
      <w:pPr>
        <w:pStyle w:val="BookText"/>
        <w:rPr/>
      </w:pPr>
      <w:r>
        <w:rPr>
          <w:rFonts w:ascii="IRNazanin" w:hAnsi="IRNazanin" w:eastAsia="IRNazanin"/>
          <w:color w:val="111111"/>
          <w:sz w:val="28"/>
          <w:sz w:val="28"/>
          <w:szCs w:val="28"/>
          <w:rtl w:val="true"/>
          <w:lang w:bidi="fa-IR"/>
        </w:rPr>
        <w:t>سرو پاها، مسح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قواعد ادبي،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عطف بر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رؤوسكم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كه نتيجه آن همان مسح پاهاست، و نمي توان آن را بر جمله پيشين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أيديكم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كرد كه نتيجه آن شستن پاها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لازمه اين امر آن است كه ميان معطوف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وَأرجلكم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معطوفٌ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وأيديكم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معترضه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فامسحوا برؤوسكم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گيرد، كه از نظر قواعد عربي مناسب نيست و مايه اشتباه در مقصود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روايات متواتر از ائمه اهل بيت حاكي است كه وضو از دو چيز تشكيل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غَسْلَتان و مَسْحَتان؛ يعني دو شستن و دو مسح كردن و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حديثي ضمن توضيح وضوي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 كند كه آن حضرت پاهاي خود را مسح كرد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خور ذكر است كه نه تنها ائمه اهل بيت در هنگام وضو پاها را مسح مي كردند، بلكه گروهي از صحابه و تابعين نيز بر اين رأي بودند، ولي بعدها به عللي نزد عدّه اي از مسلمانان مسح تبديل به غسل گرديد كه مشروح آن در كتب فقهي آمده است</w:t>
      </w:r>
      <w:r>
        <w:rPr>
          <w:rFonts w:eastAsia="IRNazanin" w:cs="IRNazanin"/>
          <w:color w:val="111111"/>
          <w:sz w:val="28"/>
          <w:szCs w:val="28"/>
          <w:rtl w:val="true"/>
          <w:lang w:bidi="fa-IR"/>
        </w:rPr>
        <w:t>.</w:t>
      </w:r>
      <w:bookmarkStart w:id="126" w:name="pg593_6639"/>
    </w:p>
    <w:p>
      <w:pPr>
        <w:pStyle w:val="Heading2"/>
        <w:numPr>
          <w:ilvl w:val="1"/>
          <w:numId w:val="1"/>
        </w:numPr>
        <w:rPr/>
      </w:pPr>
      <w:bookmarkStart w:id="127" w:name="__RefHeading___Toc5114557_211673320"/>
      <w:bookmarkStart w:id="128" w:name="_Toc46"/>
      <w:bookmarkEnd w:id="126"/>
      <w:bookmarkEnd w:id="127"/>
      <w:r>
        <w:rPr>
          <w:rtl w:val="true"/>
        </w:rPr>
        <w:t>حي علي خيرالعمل</w:t>
      </w:r>
      <w:bookmarkEnd w:id="128"/>
    </w:p>
    <w:p>
      <w:pPr>
        <w:pStyle w:val="BookText"/>
        <w:rPr/>
      </w:pPr>
      <w:r>
        <w:rPr>
          <w:rFonts w:ascii="IRNazanin" w:hAnsi="IRNazanin" w:eastAsia="IRNazanin"/>
          <w:color w:val="111111"/>
          <w:sz w:val="28"/>
          <w:sz w:val="28"/>
          <w:szCs w:val="28"/>
          <w:rtl w:val="true"/>
          <w:lang w:bidi="fa-IR"/>
        </w:rPr>
        <w:t xml:space="preserve">علماي شيعه اماميه به پيروي از حديث هايي كه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رسيده اتفاق نظر دارند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علي خيرالعمل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اذان و اقامه است و بدون آن اذان و اقامه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اهل تسنن هم قبول دارند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علي خيرالعمل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اذان گفته مي شده است اما به استناد برخي روايات كه به نظر شيعه بي اعتبار است مي گويند اين جمله از اذان نسخ شده است و از اين رو آن را در اذان واقامه نمي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شيعه با استناد به روايات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گويد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الصلوة خير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اهل تسنن در اذان نماز صبح مي گويند، جزء اذان نبوده و افزودن آن به اذان به عنوان اينكه جزء اذان مي باشد بدعت و حرام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اينكه شيعيان در اذان و اقامه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 علياً 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امثال آن را مي گويند نه به خاطر آن است كه اين جمله را جزء اذان و اقامه مي دانند بلكه همانطور كه فقهاي شيعه فرموده اند اين جمله جزء اذان و اقامه نيست و شيعيان با قصد جزئيت نمي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 عنوان اظهار تشيّع و شعار شيعه گفته مي شود و اشكالي هم ندارد</w:t>
      </w:r>
      <w:r>
        <w:rPr>
          <w:rFonts w:eastAsia="IRNazanin" w:cs="IRNazanin"/>
          <w:color w:val="111111"/>
          <w:sz w:val="28"/>
          <w:szCs w:val="28"/>
          <w:rtl w:val="true"/>
          <w:lang w:bidi="fa-IR"/>
        </w:rPr>
        <w:t>.</w:t>
      </w:r>
      <w:bookmarkStart w:id="129" w:name="pg593_6641"/>
    </w:p>
    <w:p>
      <w:pPr>
        <w:pStyle w:val="Heading2"/>
        <w:numPr>
          <w:ilvl w:val="1"/>
          <w:numId w:val="1"/>
        </w:numPr>
        <w:rPr/>
      </w:pPr>
      <w:bookmarkStart w:id="130" w:name="__RefHeading___Toc5114559_211673320"/>
      <w:bookmarkStart w:id="131" w:name="_Toc47"/>
      <w:bookmarkEnd w:id="129"/>
      <w:bookmarkEnd w:id="130"/>
      <w:r>
        <w:rPr>
          <w:rtl w:val="true"/>
        </w:rPr>
        <w:t>دست بسته نماز خواندن</w:t>
      </w:r>
      <w:bookmarkEnd w:id="131"/>
    </w:p>
    <w:p>
      <w:pPr>
        <w:pStyle w:val="BookText"/>
        <w:rPr/>
      </w:pPr>
      <w:r>
        <w:rPr>
          <w:rFonts w:ascii="IRNazanin" w:hAnsi="IRNazanin" w:eastAsia="IRNazanin"/>
          <w:color w:val="111111"/>
          <w:sz w:val="28"/>
          <w:sz w:val="28"/>
          <w:szCs w:val="28"/>
          <w:rtl w:val="true"/>
          <w:lang w:bidi="fa-IR"/>
        </w:rPr>
        <w:t xml:space="preserve">از مسائلي كه ميان شيعه و بخشي از اهل تسنن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همه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است مسأله قرار دادن دست راست را روي دست چپ و قرار دادن آن بالاي ناف يا پايين ناف در حال ايستادن در نماز است</w:t>
      </w:r>
    </w:p>
    <w:p>
      <w:pPr>
        <w:pStyle w:val="BookText"/>
        <w:rPr/>
      </w:pPr>
      <w:r>
        <w:rPr>
          <w:rFonts w:ascii="Amiri" w:hAnsi="Amiri" w:eastAsia="Amiri" w:cs="Amiri"/>
          <w:color w:val="111111"/>
          <w:sz w:val="28"/>
          <w:sz w:val="28"/>
          <w:szCs w:val="28"/>
          <w:rtl w:val="true"/>
          <w:lang w:bidi="ar-SA"/>
        </w:rPr>
        <w:t>در فقه شيعه اين كار حرام و بدعت بشمار آمده اما بخشي از اهل تسنن اين كار را جائز يا مستحب مي 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دليل شيعه گفتار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حكم حديث ثقلين كه پيشتر ياد شد براي همگان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زراره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اقبال در نماز، و از قرار دادن دست راست روي دست چپ اجتناب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عمل از كارهاي مجوس است</w:t>
      </w:r>
      <w:r>
        <w:rPr>
          <w:rFonts w:eastAsia="IRNazanin" w:cs="IRNazanin"/>
          <w:color w:val="111111"/>
          <w:sz w:val="28"/>
          <w:szCs w:val="28"/>
          <w:rtl w:val="true"/>
          <w:lang w:bidi="fa-IR"/>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مسلم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مي كند كه</w:t>
      </w:r>
    </w:p>
    <w:p>
      <w:pPr>
        <w:pStyle w:val="BookText"/>
        <w:rPr/>
      </w:pPr>
      <w:r>
        <w:rPr>
          <w:rFonts w:ascii="IRNazanin" w:hAnsi="IRNazanin" w:eastAsia="IRNazanin"/>
          <w:color w:val="111111"/>
          <w:sz w:val="28"/>
          <w:sz w:val="28"/>
          <w:szCs w:val="28"/>
          <w:rtl w:val="true"/>
          <w:lang w:bidi="fa-IR"/>
        </w:rPr>
        <w:t>به آن حضرت عرض كردم شخصي دست راستش را در حال نماز روي دست چپ خود مي گذارد حضرت فرمود نبايد اين كار انجام شود</w:t>
      </w:r>
      <w:r>
        <w:rPr>
          <w:rFonts w:eastAsia="IRNazanin" w:cs="IRNazanin"/>
          <w:color w:val="111111"/>
          <w:sz w:val="28"/>
          <w:szCs w:val="28"/>
          <w:rtl w:val="true"/>
          <w:lang w:bidi="fa-IR"/>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رشد قرطبي كه از علماي بزرگ اهل تسنن است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صحيحه اي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كه در آنها خصوصيات نماز پيامبر ذكر شده اما از دست روي دست گذاشتن سخني به ميان نيامده است</w:t>
      </w:r>
      <w:r>
        <w:rPr>
          <w:rFonts w:eastAsia="IRNazanin" w:cs="IRNazanin"/>
          <w:color w:val="111111"/>
          <w:sz w:val="28"/>
          <w:szCs w:val="28"/>
          <w:rtl w:val="true"/>
          <w:lang w:bidi="fa-IR"/>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bookmarkStart w:id="132" w:name="pg593_6643"/>
    </w:p>
    <w:p>
      <w:pPr>
        <w:pStyle w:val="Heading2"/>
        <w:numPr>
          <w:ilvl w:val="1"/>
          <w:numId w:val="1"/>
        </w:numPr>
        <w:rPr/>
      </w:pPr>
      <w:bookmarkStart w:id="133" w:name="__RefHeading___Toc5114561_211673320"/>
      <w:bookmarkStart w:id="134" w:name="_Toc48"/>
      <w:bookmarkEnd w:id="132"/>
      <w:bookmarkEnd w:id="133"/>
      <w:r>
        <w:rPr>
          <w:rtl w:val="true"/>
        </w:rPr>
        <w:t>آمين بعد از سوره حمد</w:t>
      </w:r>
      <w:bookmarkEnd w:id="134"/>
    </w:p>
    <w:p>
      <w:pPr>
        <w:pStyle w:val="BookText"/>
        <w:rPr/>
      </w:pPr>
      <w:r>
        <w:rPr>
          <w:rFonts w:ascii="IRNazanin" w:hAnsi="IRNazanin" w:eastAsia="IRNazanin"/>
          <w:color w:val="111111"/>
          <w:sz w:val="28"/>
          <w:sz w:val="28"/>
          <w:szCs w:val="28"/>
          <w:rtl w:val="true"/>
          <w:lang w:bidi="fa-IR"/>
        </w:rPr>
        <w:t xml:space="preserve">از كارهايي كه اهل تسنن در نماز انجام مي دهند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خواندن سوره حمد در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شيعه نه فقط گفتن آن را جايز نمي داند بلكه گفتن آن را باطل كننده نماز و بدعت مي داند و استدلال شيعه اين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نماز از عبادات شرعي است كه حدّ و حدود آن را خود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كرده است و هيچ كس حق ندارد به دلخواه خود چيزي به آن بيافزايد يا از آن بكاهد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مراجعه به رواياتي كه در آنها كيفيت نماز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شده معلوم مي شود كه از آمين گفتن ياد نشده است از جمله روايت ابوحميد ساعدي است كه در سنن بيهقي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سنن ترمذي حديث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شده و در آن همه جزئيات نماز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و آمين گفتن بعد از سوره حمد در آن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اهل 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گفتار آنها براي همه حجت است به خاطر حفظ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تحريف و بدعت، شيعيان را از گفتن آمين باز داشته اند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شيخ كليني به سند خود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پشت سر امام جماعت نماز مي خواندي هنگامي كه امام جماعت از خواندن سوره حمد فارغ شد بگو الحمدلله رب العالمين و آمين مگو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bookmarkStart w:id="135" w:name="pg593_6645"/>
    </w:p>
    <w:p>
      <w:pPr>
        <w:pStyle w:val="Heading2"/>
        <w:numPr>
          <w:ilvl w:val="1"/>
          <w:numId w:val="1"/>
        </w:numPr>
        <w:rPr/>
      </w:pPr>
      <w:bookmarkStart w:id="136" w:name="__RefHeading___Toc5114563_211673320"/>
      <w:bookmarkStart w:id="137" w:name="_Toc49"/>
      <w:bookmarkEnd w:id="135"/>
      <w:bookmarkEnd w:id="136"/>
      <w:r>
        <w:rPr>
          <w:rtl w:val="true"/>
        </w:rPr>
        <w:t>سجده بر زمين</w:t>
      </w:r>
      <w:bookmarkEnd w:id="137"/>
    </w:p>
    <w:p>
      <w:pPr>
        <w:pStyle w:val="BookText"/>
        <w:rPr/>
      </w:pPr>
      <w:r>
        <w:rPr>
          <w:rFonts w:ascii="IRNazanin" w:hAnsi="IRNazanin" w:eastAsia="IRNazanin"/>
          <w:color w:val="111111"/>
          <w:sz w:val="28"/>
          <w:sz w:val="28"/>
          <w:szCs w:val="28"/>
          <w:rtl w:val="true"/>
          <w:lang w:bidi="fa-IR"/>
        </w:rPr>
        <w:t xml:space="preserve">شيعه به پيروي از احاديث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بر زمين و آنچه از زمين مي رويد را صحيح مي داند و سجده مثلا بر فرش را صحيح نمي داند و اينكه شيعيان يك قطعه خاك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دارند و يا در مساجد براي نماز گزاران آماده شده است براي اين است كه همه جا سنگ يا خاك يا چيزي كه سجده بر آن جايز باشد يافت نمي شود و نيز در روايات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شده كه سجده بر خاك قبر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فراوان دارد و شيعه براي عمل به اين روايات و انجام اين مستحب به تربت سيدالشهدا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دانشمندان گويد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مهمترين اسرار استحباب سجده بر تربت حضرت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نمازگزار هر روز در اوقات پنج گانه نماز هنگامي كه چشمش به تربت حسيني مي افتد به ياد فداكاري هاي آن</w:t>
      </w:r>
    </w:p>
    <w:p>
      <w:pPr>
        <w:pStyle w:val="BookText"/>
        <w:rPr/>
      </w:pPr>
      <w:r>
        <w:rPr>
          <w:rFonts w:ascii="Amiri" w:hAnsi="Amiri" w:eastAsia="Amiri" w:cs="Amiri"/>
          <w:color w:val="111111"/>
          <w:sz w:val="28"/>
          <w:sz w:val="28"/>
          <w:szCs w:val="28"/>
          <w:rtl w:val="true"/>
          <w:lang w:bidi="ar-SA"/>
        </w:rPr>
        <w:t>حضرت و اصحاب و اهل بيت او مي افتد و معلوم است كه يادآوري</w:t>
      </w:r>
    </w:p>
    <w:p>
      <w:pPr>
        <w:pStyle w:val="BookText"/>
        <w:rPr/>
      </w:pPr>
      <w:r>
        <w:rPr>
          <w:rFonts w:ascii="IRNazanin" w:hAnsi="IRNazanin" w:eastAsia="IRNazanin"/>
          <w:color w:val="111111"/>
          <w:sz w:val="28"/>
          <w:sz w:val="28"/>
          <w:szCs w:val="28"/>
          <w:rtl w:val="true"/>
          <w:lang w:bidi="fa-IR"/>
        </w:rPr>
        <w:t>اين چنين الگوهايي اگر مورد توجه خاص قرار گيرد اثر تربيتي معنوي عجيبي در انسان 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يادآوري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برخي از شيعيان در مدينه و مكّه سجاده حصيري به همراه خود دارند و روي آن نماز مي خوانند و بر آن سجده مي كنند؛ اين كار پيروي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دو حديث كه در دو كتاب از كتابهاي حديثي معتبر اهل تسنّن نقل شده است توجّه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ابن عباس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يصلي علي الخمرة</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مي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ترمذي پس از نقل حديث فوق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حصير صغير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خمره عبارت است از حصير كوچك</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ابوسعيد خدري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دخلت علي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فرأيته يصلّي علي حصير يسجد عليه</w:t>
      </w:r>
      <w:r>
        <w:rPr>
          <w:rFonts w:eastAsia="IRNazanin" w:cs="IRNazanin"/>
          <w:color w:val="111111"/>
          <w:sz w:val="28"/>
          <w:szCs w:val="28"/>
          <w:rtl w:val="true"/>
          <w:lang w:bidi="fa-IR"/>
        </w:rPr>
        <w:t xml:space="preserve">» </w:t>
      </w:r>
      <w:r>
        <w:rPr>
          <w:rStyle w:val="FootnoteAnchor"/>
          <w:rtl w:val="true"/>
        </w:rPr>
        <w:footnoteReference w:id="126"/>
      </w:r>
      <w:r>
        <w:rPr>
          <w:rFonts w:ascii="Amiri" w:hAnsi="Amiri" w:eastAsia="Amiri" w:cs="Amiri"/>
          <w:color w:val="111111"/>
          <w:sz w:val="28"/>
          <w:sz w:val="28"/>
          <w:szCs w:val="28"/>
          <w:rtl w:val="true"/>
          <w:lang w:bidi="ar-SA"/>
        </w:rPr>
        <w:t>بر رسول خدا وارد شدم، ديدم بر حصيري نماز مي خواند، و بر همان سجده مي كند</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 اين ممانعت برخي از مأموران و روحانيان سنّي از اين كار، و اينكه به شيعيان به خاطر اين كار اعتراض مي كنند دليل بي اطلاعي آنان از كتابهاي خودشان است</w:t>
      </w:r>
      <w:r>
        <w:rPr>
          <w:rFonts w:eastAsia="Amiri" w:cs="Amiri" w:ascii="Amiri" w:hAnsi="Amiri"/>
          <w:color w:val="111111"/>
          <w:sz w:val="28"/>
          <w:szCs w:val="28"/>
          <w:rtl w:val="true"/>
          <w:lang w:bidi="ar-SA"/>
        </w:rPr>
        <w:t>.</w:t>
      </w:r>
      <w:bookmarkStart w:id="138" w:name="pg593_6647"/>
    </w:p>
    <w:p>
      <w:pPr>
        <w:pStyle w:val="Heading2"/>
        <w:numPr>
          <w:ilvl w:val="1"/>
          <w:numId w:val="1"/>
        </w:numPr>
        <w:rPr/>
      </w:pPr>
      <w:bookmarkStart w:id="139" w:name="__RefHeading___Toc5114565_211673320"/>
      <w:bookmarkStart w:id="140" w:name="_Toc50"/>
      <w:bookmarkEnd w:id="138"/>
      <w:bookmarkEnd w:id="139"/>
      <w:r>
        <w:rPr>
          <w:rtl w:val="true"/>
        </w:rPr>
        <w:t>جمع بين نمازهاي ظهر و عصر و مغرب و عشاء</w:t>
      </w:r>
      <w:bookmarkEnd w:id="140"/>
    </w:p>
    <w:p>
      <w:pPr>
        <w:pStyle w:val="BookText"/>
        <w:rPr/>
      </w:pPr>
      <w:r>
        <w:rPr>
          <w:rFonts w:ascii="IRNazanin" w:hAnsi="IRNazanin" w:eastAsia="IRNazanin"/>
          <w:color w:val="111111"/>
          <w:sz w:val="28"/>
          <w:sz w:val="28"/>
          <w:szCs w:val="28"/>
          <w:rtl w:val="true"/>
          <w:lang w:bidi="fa-IR"/>
        </w:rPr>
        <w:t>بر هر مسلماني لازم است در شبانه روز پنج بار نماز بگزارد كه اوقات شرعي آنها در قرآن و سنت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ظهر تا غروب وقت نماز ظهر و عصر است؛ از مغرب تا نيمه شب وقت نماز مغرب و عشاء؛ و از طلوع فجر تا طلوع آفتاب نيز وقت نماز صبح</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شيعه آن طور كه در كتب فقهي توضيح داده شده معتقد است از ظهر تا غروب و از مغرب تا نيمه شب وقت مشترك دو نماز است، جز اينكه به مقدار چهار ركعت از اول وقت، مخصوص نماز ظهر و به مقدار سه ركعت از اول وقت مخصوص نماز مغرب و به مقدار چهار ركعت از آخر وقت، مخصوص نماز عصر و عشاء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غير از دو وقت اختصاصي مذكور، انسان مي تواند هر دو نماز را در فاصله مزبور هر وقت خواست انجام دهد هرچند</w:t>
      </w:r>
    </w:p>
    <w:p>
      <w:pPr>
        <w:pStyle w:val="BookText"/>
        <w:rPr/>
      </w:pPr>
      <w:r>
        <w:rPr>
          <w:rFonts w:ascii="Amiri" w:hAnsi="Amiri" w:eastAsia="Amiri" w:cs="Amiri"/>
          <w:color w:val="111111"/>
          <w:sz w:val="28"/>
          <w:sz w:val="28"/>
          <w:szCs w:val="28"/>
          <w:rtl w:val="true"/>
          <w:lang w:bidi="ar-SA"/>
        </w:rPr>
        <w:t>بهتر آن است كه آن ها را از هم جدا كند و هر يك را در وقت</w:t>
      </w:r>
    </w:p>
    <w:p>
      <w:pPr>
        <w:pStyle w:val="BookText"/>
        <w:rPr/>
      </w:pPr>
      <w:r>
        <w:rPr>
          <w:rFonts w:ascii="Amiri" w:hAnsi="Amiri" w:eastAsia="Amiri" w:cs="Amiri"/>
          <w:color w:val="111111"/>
          <w:sz w:val="28"/>
          <w:sz w:val="28"/>
          <w:szCs w:val="28"/>
          <w:rtl w:val="true"/>
          <w:lang w:bidi="ar-SA"/>
        </w:rPr>
        <w:t>فضيلت خود انجام 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زالت الشمسُ دَخَلَ الوقتان الظهرُ وَالعصرُ وإذا غابت الشمسُ دخل الوقتان المغربُ و العشاءُ الآخرة</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خورشيد به وسط آسمان رسيد وقت انجام دادن نماز ظهر و عصر فرا مي رسد و آنگاه كه خورشيد غروب كرد هنگام انجام نماز مغرب و عشاء فرا مي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زالت الشمسُ فقد دَخَلَ وقتُ الظهر وَ العصر جميعاً إلا ان هذه قبل هذه، ثمّ أنت في وقت منهما جميعاً حتي تغيب الشمس</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خورشيد به حدّ زوال رسيد وقت نماز ظهر و عصر فرا مي رسد؛ جز آنكه نماز ظهر قبل از نماز عصر انجام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تو وقت داري كه آن دو را در هر وقتي خواستي بخواني تا زماني كه خورشيد غروب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مي كند كه آن حضرت نماز ظهر و عصر را بدون هيچ عذر و علتي با هم به جاي آورد</w:t>
      </w:r>
      <w:r>
        <w:rPr>
          <w:rFonts w:eastAsia="IRNazanin" w:cs="IRNazanin"/>
          <w:color w:val="111111"/>
          <w:sz w:val="28"/>
          <w:szCs w:val="28"/>
          <w:rtl w:val="true"/>
          <w:lang w:bidi="fa-IR"/>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اصولا جواز جمع ميان دو نماز در برخي از موارد، مورد اتفاق همه فقهاي اسلام قرار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عرفه و مزدلفه همه فقها جمع ميان</w:t>
      </w:r>
    </w:p>
    <w:p>
      <w:pPr>
        <w:pStyle w:val="BookText"/>
        <w:rPr/>
      </w:pPr>
      <w:r>
        <w:rPr>
          <w:rFonts w:ascii="IRNazanin" w:hAnsi="IRNazanin" w:eastAsia="IRNazanin"/>
          <w:color w:val="111111"/>
          <w:sz w:val="28"/>
          <w:sz w:val="28"/>
          <w:szCs w:val="28"/>
          <w:rtl w:val="true"/>
          <w:lang w:bidi="fa-IR"/>
        </w:rPr>
        <w:t>نماز ظهر و عصر يا مغرب و عشاء را جايز مي دانند، همچنانكه گروه زيادي از فقهاي اهل سنت جمع بين دو نماز را در سفر مجاز مي 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تمايز شيعه از ديگران آن است كه با استناد به ادلّه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عين قبول افضليت انجام نمازها در وقت فضيلت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ميان دو نماز را مطلقاً جايز مي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اين امر نيز، همان گونه كه در احاديث بيان شده است، تسهيل امر بر مسلمانان است، و خود پيامبر گرامي در موارد زيادي بدون عذر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سفر، بيماري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دو نماز جمع مي كرده تا كار را براي امت آسان سازد كه هركس بخواهد بين نمازها جمع كند و هركس بخواهد آنها را جدا از يكديگر انجام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مسلم در كتاب صحيح خود نقل مي كند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رسولُ الله الظهرَ و العصرَ جميعاً والمغربَ والعشاءَ جميعاً في غير خوف ولا سفر</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نماز ظهر و عصر و نيز نماز مغرب و عشاء را با هم به جاي آوردند، بدون اينكه خوفي از دشمن باشد و يا در سفر باشند</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برخي از روايات به حكمت اين عمل اشاره شده است، چنانچه در يك روايت مي خوانيم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الظهر والعصر وبين المغرب والعشاء فقيل له في ذلك فقال صنعتُ هذا</w:t>
      </w:r>
    </w:p>
    <w:p>
      <w:pPr>
        <w:pStyle w:val="BookText"/>
        <w:rPr/>
      </w:pPr>
      <w:r>
        <w:rPr>
          <w:rFonts w:ascii="Amiri" w:hAnsi="Amiri" w:eastAsia="Amiri" w:cs="Amiri"/>
          <w:color w:val="111111"/>
          <w:sz w:val="28"/>
          <w:sz w:val="28"/>
          <w:szCs w:val="28"/>
          <w:rtl w:val="true"/>
          <w:lang w:bidi="ar-SA"/>
        </w:rPr>
        <w:t>لئلاّ تحرج أمتي</w:t>
      </w:r>
      <w:r>
        <w:rPr>
          <w:rFonts w:eastAsia="Amiri" w:cs="Amiri" w:ascii="Amiri" w:hAnsi="Amiri"/>
          <w:color w:val="111111"/>
          <w:sz w:val="28"/>
          <w:szCs w:val="28"/>
          <w:rtl w:val="true"/>
          <w:lang w:bidi="ar-SA"/>
        </w:rPr>
        <w:t xml:space="preserve">» </w:t>
      </w:r>
      <w:r>
        <w:rPr>
          <w:rStyle w:val="FootnoteAnchor"/>
          <w:rtl w:val="true"/>
        </w:rPr>
        <w:footnoteReference w:id="131"/>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و عصر و نيز مغرب و عشاء را با هم به جاي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امر از ايشان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كردم تا امّتم به رنج و سختي نيفتند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رواياتي كه درباره اقدام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جمع بين دو نماز، در صحاح و مسانيد وارد شده، متجاوز از بيست روايت است كه بخشي از آنها مربوط به سفر، و بخش ديگر در غير سفر و مرض و وقت باراني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برخي از آنها به حكمت جمع ميان نمازها، كه همان آسان شدن امر بر مسلمانان مي باشد، اشاره شده است و فقهاي شيعه از همين تسهيل استفاده كرده جمع بين دو نماز را مطلقاً جايز شمرده اند، و در عين حال خواندن نمازها را در پنج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مي دانند</w:t>
      </w:r>
      <w:r>
        <w:rPr>
          <w:rFonts w:eastAsia="IRNazanin" w:cs="IRNazanin"/>
          <w:color w:val="111111"/>
          <w:sz w:val="28"/>
          <w:szCs w:val="28"/>
          <w:rtl w:val="true"/>
          <w:lang w:bidi="fa-IR"/>
        </w:rPr>
        <w:t>.</w:t>
      </w:r>
      <w:bookmarkStart w:id="141" w:name="pg593_6651"/>
    </w:p>
    <w:p>
      <w:pPr>
        <w:pStyle w:val="Heading2"/>
        <w:numPr>
          <w:ilvl w:val="1"/>
          <w:numId w:val="1"/>
        </w:numPr>
        <w:rPr/>
      </w:pPr>
      <w:bookmarkStart w:id="142" w:name="__RefHeading___Toc5114567_211673320"/>
      <w:bookmarkStart w:id="143" w:name="_Toc51"/>
      <w:bookmarkEnd w:id="141"/>
      <w:bookmarkEnd w:id="142"/>
      <w:r>
        <w:rPr>
          <w:rtl w:val="true"/>
        </w:rPr>
        <w:t>نماز تراويح</w:t>
      </w:r>
      <w:bookmarkEnd w:id="143"/>
    </w:p>
    <w:p>
      <w:pPr>
        <w:pStyle w:val="BookText"/>
        <w:rPr/>
      </w:pPr>
      <w:r>
        <w:rPr>
          <w:rFonts w:ascii="IRNazanin" w:hAnsi="IRNazanin" w:eastAsia="IRNazanin"/>
          <w:color w:val="111111"/>
          <w:sz w:val="28"/>
          <w:sz w:val="28"/>
          <w:szCs w:val="28"/>
          <w:rtl w:val="true"/>
          <w:lang w:bidi="fa-IR"/>
        </w:rPr>
        <w:t xml:space="preserve">در فقه شيعه به پيروي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انسان در مجموع شبهاي ماه رمضان هزار ركعت نماز 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برگزاري اين نمازها به جماعت، بدعت است و بايد به صورت فُرادي برگزار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نمازهاي مستحبي را نمي توان با جماعت خواند، و هر نوع بدعت در دين مايه گمراهي بوده و عاقبت آن آتش است</w:t>
      </w:r>
      <w:r>
        <w:rPr>
          <w:rFonts w:eastAsia="IRNazanin" w:cs="IRNazanin"/>
          <w:color w:val="111111"/>
          <w:sz w:val="28"/>
          <w:szCs w:val="28"/>
          <w:rtl w:val="true"/>
          <w:lang w:bidi="fa-IR"/>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رساله خود كه پيرامون عقايد و واجبات و مستحبات و غيره نگاشته، يادآور شده است كه نماز مستحب را نمي توان به جماعت خواند، و اين كار بدعت است</w:t>
      </w:r>
      <w:r>
        <w:rPr>
          <w:rFonts w:eastAsia="IRNazanin" w:cs="IRNazanin"/>
          <w:color w:val="111111"/>
          <w:sz w:val="28"/>
          <w:szCs w:val="28"/>
          <w:rtl w:val="true"/>
          <w:lang w:bidi="fa-IR"/>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بررسي تاريخچه برگزاري نماز تراويح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در شب هاي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جماعت، كه در ميان اهل سنت متداول است، روشن مي شود كه اجتهاد به رأي، به اين عمل مشروعيت بخشيده، نه اينكه آيه يا روايتي دليل اين عمل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طالبين مي توانند به مدارك ياد شده در پاورقي مراجعه نمايند</w:t>
      </w:r>
      <w:r>
        <w:rPr>
          <w:rFonts w:eastAsia="IRNazanin" w:cs="IRNazanin"/>
          <w:color w:val="111111"/>
          <w:sz w:val="28"/>
          <w:szCs w:val="28"/>
          <w:rtl w:val="true"/>
          <w:lang w:bidi="fa-IR"/>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يادآوري</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اشتباهات اهل تسنن اين است كه از خواندن نماز مستحبي بعد از نماز صبح تا طلوع آفتاب و نيز از خواندن نماز مستحبي بعد از نماز عصر تا غروب آفتاب منع مي كنند و مي گويند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صورتي كه در فقه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حرام نيست بلكه به قولي مكروه است و مكروه در اين قبيل موارد به معني اين است كه ثوابش كمتر است</w:t>
      </w:r>
      <w:r>
        <w:rPr>
          <w:rFonts w:eastAsia="IRNazanin" w:cs="IRNazanin"/>
          <w:color w:val="111111"/>
          <w:sz w:val="28"/>
          <w:szCs w:val="28"/>
          <w:rtl w:val="true"/>
          <w:lang w:bidi="fa-IR"/>
        </w:rPr>
        <w:t>.</w:t>
      </w:r>
      <w:bookmarkStart w:id="144" w:name="pg593_6653"/>
    </w:p>
    <w:p>
      <w:pPr>
        <w:pStyle w:val="Heading2"/>
        <w:numPr>
          <w:ilvl w:val="1"/>
          <w:numId w:val="1"/>
        </w:numPr>
        <w:rPr/>
      </w:pPr>
      <w:bookmarkStart w:id="145" w:name="__RefHeading___Toc5114569_211673320"/>
      <w:bookmarkStart w:id="146" w:name="_Toc52"/>
      <w:bookmarkEnd w:id="144"/>
      <w:bookmarkEnd w:id="145"/>
      <w:r>
        <w:rPr>
          <w:rtl w:val="true"/>
        </w:rPr>
        <w:t>خمس</w:t>
      </w:r>
      <w:bookmarkEnd w:id="146"/>
    </w:p>
    <w:p>
      <w:pPr>
        <w:pStyle w:val="BookText"/>
        <w:rPr/>
      </w:pPr>
      <w:r>
        <w:rPr>
          <w:rFonts w:ascii="IRNazanin" w:hAnsi="IRNazanin" w:eastAsia="IRNazanin"/>
          <w:color w:val="111111"/>
          <w:sz w:val="28"/>
          <w:sz w:val="28"/>
          <w:szCs w:val="28"/>
          <w:rtl w:val="true"/>
          <w:lang w:bidi="fa-IR"/>
        </w:rPr>
        <w:t>همه فقهاء اسلام معتقدند كه غنايم جنگي ميان جهادگران تقسيم مي شود، مگر يك پنجم آن كه بايد در موارد خاصي صرف شود كه در آيه كريمه قرآن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أَنَّما غَنِمْتُمْ مِنْ شَيْء فَأَنَّ لِلّهِ خُمُسَهُ وَ لِلرَّسُولِ وَ لِذِي الْقُرْبي وَ الْيَتامي وَ الْمَساكينِ وَ ابْنِ السَّبيلِ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بدانيد آنچه را كه به غنيمت مي گيريد، يك پنجم آن، از آن خدا و رسول او، و خويشاوندان وي، و يتيمان و تهيدستان و در راه ماندگان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تفاوتي كه فقيهان شيعه با ديگر فقهاء دارند اين است كه سنّي ها خمس را منحصر به غنيمت جنگي دانسته و در غير آن قايل به چنين فريضه اي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دليل آنان اين است كه اين آيه در مورد غنيمت جنگي وارد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 اين مطلب از دو نظر صحيح نيست</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علاوه بر غنيمت جنگي، به هر چيزي كه</w:t>
      </w:r>
    </w:p>
    <w:p>
      <w:pPr>
        <w:pStyle w:val="BookText"/>
        <w:rPr/>
      </w:pPr>
      <w:r>
        <w:rPr>
          <w:rFonts w:ascii="IRNazanin" w:hAnsi="IRNazanin" w:eastAsia="IRNazanin"/>
          <w:color w:val="111111"/>
          <w:sz w:val="28"/>
          <w:sz w:val="28"/>
          <w:szCs w:val="28"/>
          <w:rtl w:val="true"/>
          <w:lang w:bidi="fa-IR"/>
        </w:rPr>
        <w:t>انسان به آن دست يابد، غنيمت گفته مي شود، و اختصاص به غنيمت جنگي ندارد، چنانكه ابن منظور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الغنم الفوز بالشيء من غير مشقّة</w:t>
      </w:r>
      <w:r>
        <w:rPr>
          <w:rFonts w:eastAsia="IRNazanin" w:cs="IRNazanin"/>
          <w:color w:val="111111"/>
          <w:sz w:val="28"/>
          <w:szCs w:val="28"/>
          <w:rtl w:val="true"/>
          <w:lang w:bidi="fa-IR"/>
        </w:rPr>
        <w:t xml:space="preserve">» </w:t>
      </w: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غنيمت، دست يافتن به چيزي است بدون مشقّت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اصولا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غنيمت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هرگاه انساني بدون بهره گيري از چيزي محكوم به پرداخت مبلغي شود، نام آن غرامت، و آنگاه كه نفعي به دست آورد، غنيمت 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تخصيص آيه به غنايم جنگي دليلي ندارد و نزول آيه در غنايم جنگي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اختصاص نيست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برخي از روايات وارد شده است كه پيامبر گرامي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خمس را از هر نوع درآمد واجب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گروهي از قبيله عبدالقيس حضور او رسيدند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ما و شما، مشركان حايل و مانع اند، و ما فقط در ماههاي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امنيت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توانيم نزد شما بياييم، دستوراتي را كه در سايه عمل به آن وارد بهشت گرديم و ديگران را نيز به آن دعوت كنيم، بيان فرماييد،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ايمان فرمان مي دهم، آنگاه در تفسير ايمان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شهادة أن لا إله إلا الله، و اقام الصلاة و إيتاء الزكاة، و ان تعطوا الخمس من المغنم</w:t>
      </w:r>
      <w:r>
        <w:rPr>
          <w:rFonts w:eastAsia="IRNazanin" w:cs="IRNazanin"/>
          <w:color w:val="111111"/>
          <w:sz w:val="28"/>
          <w:szCs w:val="28"/>
          <w:rtl w:val="true"/>
          <w:lang w:bidi="fa-IR"/>
        </w:rPr>
        <w:t xml:space="preserve">» </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بر</w:t>
      </w:r>
    </w:p>
    <w:p>
      <w:pPr>
        <w:pStyle w:val="BookText"/>
        <w:rPr/>
      </w:pPr>
      <w:r>
        <w:rPr>
          <w:rFonts w:ascii="IRNazanin" w:hAnsi="IRNazanin" w:eastAsia="IRNazanin"/>
          <w:color w:val="111111"/>
          <w:sz w:val="28"/>
          <w:sz w:val="28"/>
          <w:szCs w:val="28"/>
          <w:rtl w:val="true"/>
          <w:lang w:bidi="fa-IR"/>
        </w:rPr>
        <w:t>يگانگي خدا، و بر پاداشتن نماز، و پرداختن زكات و اينكه يك پنجم درآمدها را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غنيمت در اين حديث درآمدهاي غير جنگي است، زيرا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نقطه اي هستيم كه دسترسي به پيامبر نداريم، يعني از ترس مشركان نمي توانيم به مدينه بياييم، اين گونه افراد كه در محاصره مشركان بودند توانايي جهاد با مشركان را نداشتند تا خمس غنيمت جنگ با آنان را بپردازند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دليل اصلي وجوب خمس از نظر شيعه روايات ائمه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براي همه حجّت است بر لزوم پرداخت خمس از هر گونه درآمد تصريح كرده و نقطه ابهامي باقي نگذاشته است</w:t>
      </w:r>
      <w:r>
        <w:rPr>
          <w:rFonts w:eastAsia="IRNazanin" w:cs="IRNazanin"/>
          <w:color w:val="111111"/>
          <w:sz w:val="28"/>
          <w:szCs w:val="28"/>
          <w:rtl w:val="true"/>
          <w:lang w:bidi="fa-IR"/>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bookmarkStart w:id="147" w:name="pg593_6656"/>
    </w:p>
    <w:p>
      <w:pPr>
        <w:pStyle w:val="Heading2"/>
        <w:numPr>
          <w:ilvl w:val="1"/>
          <w:numId w:val="1"/>
        </w:numPr>
        <w:rPr/>
      </w:pPr>
      <w:bookmarkStart w:id="148" w:name="__RefHeading___Toc5114571_211673320"/>
      <w:bookmarkStart w:id="149" w:name="_Toc53"/>
      <w:bookmarkEnd w:id="147"/>
      <w:bookmarkEnd w:id="148"/>
      <w:r>
        <w:rPr>
          <w:rtl w:val="true"/>
        </w:rPr>
        <w:t>ازدواج موقت</w:t>
      </w:r>
      <w:bookmarkEnd w:id="149"/>
    </w:p>
    <w:p>
      <w:pPr>
        <w:pStyle w:val="BookText"/>
        <w:rPr/>
      </w:pPr>
      <w:r>
        <w:rPr>
          <w:rFonts w:ascii="IRNazanin" w:hAnsi="IRNazanin" w:eastAsia="IRNazanin"/>
          <w:color w:val="111111"/>
          <w:sz w:val="28"/>
          <w:sz w:val="28"/>
          <w:szCs w:val="28"/>
          <w:rtl w:val="true"/>
          <w:lang w:bidi="fa-IR"/>
        </w:rPr>
        <w:t>شريعت اسلام، شريعت جهاني و ابدي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ي ابعاد و نيازهاي زندگي فردي و اجتماعي انسان را مورد توجّه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آئين اسلام براي آن كه بتواند به رسالت جهاني و جاويدان و همه ي جانبه ي خود جامه ي عمل بپوشاند براي شرايط غير عادي، احكام و قوانين ويژه ي آنها را مقرّر داشته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نيازهاي طبيعي انسان، نياز به ازدواج است، اين نياز از نحوه ي آفرينش مرد و زن سرچشمه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آن را از نشانه هاي حكمت و قدرت الهي دانسته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آياتِهِ أَنْ خَلَقَ لَكُمْ مِنْ أَنْفُسِكُمْ أَزْواجاً لِتَسْكُنُوا إِلَيْها وَ جَعَلَ بَيْنَكُمْ مَوَدَّةً وَ رَحْمَةً إِنَّ في ذلِكَ َلآيات لِقَوْم يَتَفَكَّرُونَ</w:t>
      </w:r>
      <w:r>
        <w:rPr>
          <w:rFonts w:eastAsia="IRNazanin" w:cs="IRNazanin"/>
          <w:color w:val="111111"/>
          <w:sz w:val="28"/>
          <w:szCs w:val="28"/>
          <w:rtl w:val="true"/>
          <w:lang w:bidi="fa-IR"/>
        </w:rPr>
        <w:t xml:space="preserve">) </w:t>
      </w:r>
      <w:r>
        <w:rPr>
          <w:rStyle w:val="FootnoteAnchor"/>
          <w:rtl w:val="true"/>
        </w:rPr>
        <w:footnoteReference w:id="138"/>
      </w:r>
      <w:r>
        <w:rPr>
          <w:rFonts w:ascii="Amiri" w:hAnsi="Amiri" w:eastAsia="Amiri" w:cs="Amiri"/>
          <w:color w:val="111111"/>
          <w:sz w:val="28"/>
          <w:sz w:val="28"/>
          <w:szCs w:val="28"/>
          <w:rtl w:val="true"/>
          <w:lang w:bidi="ar-SA"/>
        </w:rPr>
        <w:t>؛ در اين آيه ي كريمه به برخي از آثار سازنده و اهداف حكيمانه ي ازدواج اشاره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كانوني گرم و سرشار از محبت و مودّت را بنيان مي نهد و در سايه ي آن انسان به آرامش روحي دست مي يابد</w:t>
      </w:r>
    </w:p>
    <w:p>
      <w:pPr>
        <w:pStyle w:val="BookText"/>
        <w:rPr/>
      </w:pPr>
      <w:r>
        <w:rPr>
          <w:rFonts w:ascii="IRNazanin" w:hAnsi="IRNazanin" w:eastAsia="IRNazanin"/>
          <w:color w:val="111111"/>
          <w:sz w:val="28"/>
          <w:sz w:val="28"/>
          <w:szCs w:val="28"/>
          <w:rtl w:val="true"/>
          <w:lang w:bidi="fa-IR"/>
        </w:rPr>
        <w:t>ازدواج سبب ادامه يافتن نسل بشر و تشكيل جوامع بشري مي شود كه منشا تمدن و تكامل مادي و معنوي انسان مي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جَعَلَ لَكُمْ مِنْ أَنْفُسِكُمْ أَزْواجاً وَ جَعَلَ لَكُمْ مِنْ أَزْواجِكُمْ بَنينَ وَ حَفَدَةً وَ رَزَقَكُمْ مِنَ الطَّيِّباتِ</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 در كنار اين اهداف و اغراض عقلاني، و معنوي، غريزه ي جنسي انسان نيز به طريق مشروع ارضاء مي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خود نتايج معنوي بزرگي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جهت است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را موجب حفظ نيمي از تديّن انسان دانسته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تزوّج فقد احرز نصف 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بدين جهت است كه آن حضرت ازدواج را از محبوب ترين امور دانسته 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بني في الاسلام بناء أحبّ اليّ من التّزويج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اگر واقع بينانه به زندگي بشر و شرايط گوناگون آن بنگريم اين حقيقت را مي يابيم كه نيازهاي بشر در مسأله ي ازدواج به گونه اي است كه دو گونه ازدواج را طلب مي كند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ازدواج دايمي و ديگري ازدواج موقت؛ ازدواج دايمي براي شرايط عادي و معمولي زندگي، و ازدواج موقت براي شرايط غير عادي، از قبيل سفر در مدتي طولاني و مواردي كه در اثر جنگ</w:t>
      </w:r>
    </w:p>
    <w:p>
      <w:pPr>
        <w:pStyle w:val="BookText"/>
        <w:rPr/>
      </w:pPr>
      <w:r>
        <w:rPr>
          <w:rFonts w:ascii="IRNazanin" w:hAnsi="IRNazanin" w:eastAsia="IRNazanin"/>
          <w:color w:val="111111"/>
          <w:sz w:val="28"/>
          <w:sz w:val="28"/>
          <w:szCs w:val="28"/>
          <w:rtl w:val="true"/>
          <w:lang w:bidi="fa-IR"/>
        </w:rPr>
        <w:t>و حوادث ديگر، زناني، همسران خود را از دست مي دهند، و از طرفي هزينه ي ازدواج دايمي و مشكلات ديگر مانع از چند همسري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شريعت مقدس اسلام، درست با توجه به واقعيت مزبور دو گونه از ازدواج دايمي و موقت را تشريع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ازدواج دايمي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خِفْتُمْ أَلاّ تُقْسِطُوا فِي الْيَتامي فَانْكِحُوا ما طابَ لَكُمْ مِنَ النِّساءِ مَثْني وَ ثُلاثَ وَ رُباعَ فَإِنْ خِفْتُمْ أَلاّ تَعْدِلُوا فَواحِدَةً</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اگر از ازدواج با يتيمان از اين جهت كه مبادا با آنان به عدل رفتار نكنيد بيمناكيد، با زنان غير يتيم كه مورد پسند شماست ازدواج كنيد، دو همسر يا سه همسر يا چهار همسر مي توانيد برگزينيد، ولي اگر از اجراء عدالت ميان آنها بيمناكيد، به يك همسر بسنده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مورد ازدواج موقت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 فَآتُوهُنَّ أُجُورَهُنَّ فَريضَةً</w:t>
      </w:r>
      <w:r>
        <w:rPr>
          <w:rFonts w:eastAsia="Amiri" w:cs="Amiri" w:ascii="Amiri" w:hAnsi="Amiri"/>
          <w:color w:val="111111"/>
          <w:sz w:val="28"/>
          <w:szCs w:val="28"/>
          <w:rtl w:val="true"/>
          <w:lang w:bidi="ar-SA"/>
        </w:rPr>
        <w:t xml:space="preserve">) </w:t>
      </w:r>
      <w:r>
        <w:rPr>
          <w:rStyle w:val="FootnoteAnchor"/>
          <w:rtl w:val="true"/>
        </w:rPr>
        <w:footnoteReference w:id="141"/>
      </w:r>
      <w:r>
        <w:rPr>
          <w:rFonts w:ascii="IRNazanin" w:hAnsi="IRNazanin" w:eastAsia="IRNazanin"/>
          <w:color w:val="111111"/>
          <w:sz w:val="28"/>
          <w:sz w:val="28"/>
          <w:szCs w:val="28"/>
          <w:rtl w:val="true"/>
          <w:lang w:bidi="fa-IR"/>
        </w:rPr>
        <w:t>، از هر زني كه به طور مشروع كام برگرفتيد، آنچه را كه در مقابل اين كام جويي به عنوان مهر مقرر داشته ايد به او بپردازيد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دلايل اين كه اين آيه مربوط به ازدواج موقت مي باشد متعدد است يكي از آنها روايات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آيه را به ازدواج</w:t>
      </w:r>
    </w:p>
    <w:p>
      <w:pPr>
        <w:pStyle w:val="BookText"/>
        <w:rPr/>
      </w:pPr>
      <w:r>
        <w:rPr>
          <w:rFonts w:ascii="Amiri" w:hAnsi="Amiri" w:eastAsia="Amiri" w:cs="Amiri"/>
          <w:color w:val="111111"/>
          <w:sz w:val="28"/>
          <w:sz w:val="28"/>
          <w:szCs w:val="28"/>
          <w:rtl w:val="true"/>
          <w:lang w:bidi="ar-SA"/>
        </w:rPr>
        <w:t xml:space="preserve">موقّت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كرده اند</w:t>
      </w:r>
      <w:r>
        <w:rPr>
          <w:rFonts w:eastAsia="Amiri" w:cs="Amiri" w:ascii="Amiri" w:hAnsi="Amiri"/>
          <w:color w:val="111111"/>
          <w:sz w:val="28"/>
          <w:szCs w:val="28"/>
          <w:rtl w:val="true"/>
          <w:lang w:bidi="ar-SA"/>
        </w:rPr>
        <w:t xml:space="preserve">. </w:t>
      </w:r>
      <w:r>
        <w:rPr>
          <w:rStyle w:val="FootnoteAnchor"/>
          <w:rtl w:val="true"/>
        </w:rPr>
        <w:footnoteReference w:id="142"/>
      </w:r>
      <w:r>
        <w:rPr>
          <w:rFonts w:ascii="IRNazanin" w:hAnsi="IRNazanin" w:eastAsia="IRNazanin"/>
          <w:color w:val="111111"/>
          <w:sz w:val="28"/>
          <w:sz w:val="28"/>
          <w:szCs w:val="28"/>
          <w:rtl w:val="true"/>
          <w:lang w:bidi="fa-IR"/>
        </w:rPr>
        <w:t>در احاديث اهل سنّت نيز اين تفسير از عدّه اي از صحابه و تابعان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 اُبيّ بن كعب و سعيدبن جبير و سدّي آيه را چنين قرائت مي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فَمَا اسْتَمْتَعْتُمْ بِهِ مِنْهُنَّ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 أجل مسمي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فَآتُوهُنَّ أُجُورَهُنَّ فَريضَة</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و مجاهد نيز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مورد ازدواج موقت نازل شده است</w:t>
      </w:r>
      <w:r>
        <w:rPr>
          <w:rFonts w:eastAsia="IRNazanin" w:cs="IRNazanin"/>
          <w:color w:val="111111"/>
          <w:sz w:val="28"/>
          <w:szCs w:val="28"/>
          <w:rtl w:val="true"/>
          <w:lang w:bidi="fa-IR"/>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فخرالدين رازي، پس از ذكر قرائت اُبيّ بن كعب و ابن عباس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مسلمانان اين گونه قرائت را بر آن دو انكار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به دست مي آيد كه درستي اين قرائت مورد قبول همه ي مسلمانان بوده است، در نتيجه مشروعيت ازدواج موقّت مورد اجماع مسلمانان بوده است</w:t>
      </w:r>
      <w:r>
        <w:rPr>
          <w:rFonts w:eastAsia="IRNazanin" w:cs="IRNazanin"/>
          <w:color w:val="111111"/>
          <w:sz w:val="28"/>
          <w:szCs w:val="28"/>
          <w:rtl w:val="true"/>
          <w:lang w:bidi="fa-IR"/>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احكام و خصوصيات</w:t>
      </w:r>
    </w:p>
    <w:p>
      <w:pPr>
        <w:pStyle w:val="BookText"/>
        <w:rPr/>
      </w:pPr>
      <w:r>
        <w:rPr>
          <w:rFonts w:ascii="IRNazanin" w:hAnsi="IRNazanin" w:eastAsia="IRNazanin"/>
          <w:color w:val="111111"/>
          <w:sz w:val="28"/>
          <w:sz w:val="28"/>
          <w:szCs w:val="28"/>
          <w:rtl w:val="true"/>
          <w:lang w:bidi="fa-IR"/>
        </w:rPr>
        <w:t>ازدواج موقّت در چند حكم با ازدواج دايمي يكسان است كه عبارتند از</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موانع ازدواج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محرّمات النكاح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شرايط لازم به هنگام عقد ازدواج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عده نبودن زن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اجراي صيغه ي مخصوص ازدواج</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لزوم مهريه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احكام مربوط به فرزندان و خويشاوندان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احكام مربوط به ارث فرزندان از پدر و مادر و بالعكس</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لزوم عدّه پس از پايان يافتن ازدواج براي زن</w:t>
      </w:r>
    </w:p>
    <w:p>
      <w:pPr>
        <w:pStyle w:val="BookText"/>
        <w:rPr/>
      </w:pPr>
      <w:r>
        <w:rPr>
          <w:rFonts w:ascii="Amiri" w:hAnsi="Amiri" w:eastAsia="Amiri" w:cs="Amiri"/>
          <w:color w:val="111111"/>
          <w:sz w:val="28"/>
          <w:sz w:val="28"/>
          <w:szCs w:val="28"/>
          <w:rtl w:val="true"/>
          <w:lang w:bidi="ar-SA"/>
        </w:rPr>
        <w:t>تفاوت هاي ازدواج موقت با ازدواج دايمي در امور ذيل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ازدواج موقّت زن و شوهر از يك ديگر ارث نمي 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ازدواج موقّت نفقه ي زن بر شوهر واجب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ازدواج موقّت زن حق همخوابگي با شوهر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ازدواج موقّت با پايان يافتن مدّت ازدواج اجراي صيغه ي طلاق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اي از تفاوت هاي ديگر كه در كتب فقه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ازدواج موقت با ازدواج دايمي هر دو از اقسام نكاح شرعي به شمار مي روند و در بسياري از احكام ازدواج يكسانند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هريك احكام ويژه اي نيز دارند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كه داشتن احكام ويژه سبب تباين آن دو نخواهد بود چنان كه در ديگر احكام شرعي نيز چنين است، مثلا هبه ي</w:t>
      </w:r>
    </w:p>
    <w:p>
      <w:pPr>
        <w:pStyle w:val="BookText"/>
        <w:rPr/>
      </w:pPr>
      <w:r>
        <w:rPr>
          <w:rFonts w:ascii="IRNazanin" w:hAnsi="IRNazanin" w:eastAsia="IRNazanin"/>
          <w:color w:val="111111"/>
          <w:sz w:val="28"/>
          <w:sz w:val="28"/>
          <w:szCs w:val="28"/>
          <w:rtl w:val="true"/>
          <w:lang w:bidi="fa-IR"/>
        </w:rPr>
        <w:t>معوّضه و غير معوّضه، و هبه ي به خويشاوند و غير خويشاوند احكام ويژه اي دارند، ولي همگي از اقسام يك نوع عقد شرعي به شمار مي روند كه هبه نام دارد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مطالب پيشين روشن شد كه در اصل مشروعيت ازدواج موقّت ترديدي نيست، و اين مطلب مورد اجماع مسلمانان است، ليكن علماي اهل سنّت با استناد به برخي از دليل هايي كه به نظر شيعه بي اعتبار است مدعي نسخ اين حكم شده اند</w:t>
      </w:r>
      <w:r>
        <w:rPr>
          <w:rFonts w:eastAsia="IRNazanin" w:cs="IRNazanin"/>
          <w:color w:val="111111"/>
          <w:sz w:val="28"/>
          <w:szCs w:val="28"/>
          <w:rtl w:val="true"/>
          <w:lang w:bidi="fa-IR"/>
        </w:rPr>
        <w:t>.</w:t>
      </w:r>
      <w:bookmarkStart w:id="150" w:name="pg593_6662"/>
    </w:p>
    <w:p>
      <w:pPr>
        <w:pStyle w:val="Heading2"/>
        <w:numPr>
          <w:ilvl w:val="1"/>
          <w:numId w:val="1"/>
        </w:numPr>
        <w:rPr/>
      </w:pPr>
      <w:bookmarkStart w:id="151" w:name="__RefHeading___Toc5114573_211673320"/>
      <w:bookmarkStart w:id="152" w:name="_Toc54"/>
      <w:bookmarkEnd w:id="150"/>
      <w:bookmarkEnd w:id="151"/>
      <w:r>
        <w:rPr>
          <w:rtl w:val="true"/>
        </w:rPr>
        <w:t>عدالت صحابه</w:t>
      </w:r>
      <w:bookmarkEnd w:id="152"/>
    </w:p>
    <w:p>
      <w:pPr>
        <w:pStyle w:val="BookText"/>
        <w:rPr/>
      </w:pPr>
      <w:r>
        <w:rPr>
          <w:rFonts w:ascii="IRNazanin" w:hAnsi="IRNazanin" w:eastAsia="IRNazanin"/>
          <w:color w:val="111111"/>
          <w:sz w:val="28"/>
          <w:sz w:val="28"/>
          <w:szCs w:val="28"/>
          <w:rtl w:val="true"/>
          <w:lang w:bidi="fa-IR"/>
        </w:rPr>
        <w:t xml:space="preserve">صحابه و ياران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زمان حيات آن حضرت به او ايمان آورده و از محضر وي كسب معرفت كرده اند، نزد شيعيان از احترام خاصي برخوردارند، چه آنان كه در زمان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رفتند و يا شهيد شدند و چه آنان كه پس از درگذشت پيامبر در قيد حيات باقي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اينان، از حيث آنكه به پيامبر ايمان آورده و در كنار او بوده اند، از احترام برخوردارند، و هيچ مسلماني نيست كه به صحابه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نظر اينكه صحابه پيامبر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بدگويي كرده يا اظهار بي مهري نمايد، و اگر چنين نسبتي به گروهي از مسلمانان بدهند نسبتي كاملا بي اساس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 در كنار اين مسأله، مطلب ديگري وجود دارد كه بايستي بدون هيچ تعصّب يا حبّ و بغضي بدان رسيدگي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همه اصحاب، عادل و پرهيزگار و پيراسته از گناه بوده اند؟ يا آنكه حكم</w:t>
      </w:r>
    </w:p>
    <w:p>
      <w:pPr>
        <w:pStyle w:val="BookText"/>
        <w:rPr/>
      </w:pPr>
      <w:r>
        <w:rPr>
          <w:rFonts w:ascii="IRNazanin" w:hAnsi="IRNazanin" w:eastAsia="IRNazanin"/>
          <w:color w:val="111111"/>
          <w:sz w:val="28"/>
          <w:sz w:val="28"/>
          <w:szCs w:val="28"/>
          <w:rtl w:val="true"/>
          <w:lang w:bidi="fa-IR"/>
        </w:rPr>
        <w:t>صحابه، از اين نظر، حكم بقيه مردم است كه نمي توان همگي آنان را عادل و پارسا دانست؟</w:t>
      </w:r>
    </w:p>
    <w:p>
      <w:pPr>
        <w:pStyle w:val="BookText"/>
        <w:rPr/>
      </w:pPr>
      <w:r>
        <w:rPr>
          <w:rFonts w:ascii="IRNazanin" w:hAnsi="IRNazanin" w:eastAsia="IRNazanin"/>
          <w:color w:val="111111"/>
          <w:sz w:val="28"/>
          <w:sz w:val="28"/>
          <w:szCs w:val="28"/>
          <w:rtl w:val="true"/>
          <w:lang w:bidi="fa-IR"/>
        </w:rPr>
        <w:t xml:space="preserve">بديهي است رؤيت پيامبر و مصاحبت با او، هرچند امري افتخارآميز است، ولي براي هيچ انساني مصونيت از گناه نمي آورد، و نمي توان به همه صحابه به يك نظر نگريست و همگي را عادل و پرهيزگار و پيراسته از گناه دانست، زيرا به شهادت قرآن، آنان در عين داشتن افتخار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صحابي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حيث ايمان و نفاق، و اطاعت و عصيان در برابر خدا و رسول ـ به اصناف گوناگوني تقسيم شده اند كه با توجه به اين تقسيم بندي نمي توان همگان را يكسان انديشيد، و كلا عادل و پرهيزگار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شكي نيست كه قرآن ياران پيامبر را در مواقع مختلف ستوده است</w:t>
      </w:r>
      <w:r>
        <w:rPr>
          <w:rFonts w:eastAsia="IRNazanin" w:cs="IRNazanin"/>
          <w:color w:val="111111"/>
          <w:sz w:val="28"/>
          <w:szCs w:val="28"/>
          <w:rtl w:val="true"/>
          <w:lang w:bidi="fa-IR"/>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المثل از بيعت كنندگان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جريان صلح حديبيه اظهار رضايت كرده ومي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رَضِيَ اللهُ عَنِ الْمُؤْمِنينَ إِذْ يُبايِعُونَكَ تَحْتَ الشَّجَرَةِ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اين ستايش، بيانگر رضايت خداوند از آنان در حال بيعت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يُبايِعُونَكَ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دلالت بر تضمين صلاح و رستگاري همه آنان تا پايان عمر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فرد يا افرادي از آنان بعداً راه خلاف در پيش گرفته باشند، مسلماً رضايت پيشين الهي، گواه بر پارسايي پيوسته و</w:t>
      </w:r>
    </w:p>
    <w:p>
      <w:pPr>
        <w:pStyle w:val="BookText"/>
        <w:rPr/>
      </w:pPr>
      <w:r>
        <w:rPr>
          <w:rFonts w:ascii="IRNazanin" w:hAnsi="IRNazanin" w:eastAsia="IRNazanin"/>
          <w:color w:val="111111"/>
          <w:sz w:val="28"/>
          <w:sz w:val="28"/>
          <w:szCs w:val="28"/>
          <w:rtl w:val="true"/>
          <w:lang w:bidi="fa-IR"/>
        </w:rPr>
        <w:t>رستگاري ابدي آنان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نوع آيات، بيانگر كمالي است كه اين افراد در آن حالت به دست آورده اند، و البته اگر تا پايان زندگي نيز آن كمال را پاس دارند، رستگار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آنچه گفته شد، هرگاه دلايل قاطعي از قرآن و سنت و تاريخ بر انحراف فرد يا افرادي گواهي داد، نمي توان به استناد به اين گونه ستايشها دلايل مزبور را رد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باب نمونه، قرآن كريم از برخي از صحابه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مي كند و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جاءَكُمْ فاسِقٌ بِنَبَإ فَتَبَيَّنُوا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آيه ديگر نيز درباره وي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أَفَمَنْ كانَ مُؤْمِناً كَمَنْ كانَ فاسِقاً لا يَسْتَوُونَ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فرد، به گواهي قطعي 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وليدبن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صحابه پيامبر بوده است، كه در عين كسب دو فضيلت صحابي بودن و هجرت كردن، نتوانست اعتبار خود را حفظ كند و با جعل دروغ درباره طايفه بني مصطلق، خداوند از وي به عنوان فاسق ياد كرد</w:t>
      </w:r>
      <w:r>
        <w:rPr>
          <w:rFonts w:eastAsia="IRNazanin" w:cs="IRNazanin"/>
          <w:color w:val="111111"/>
          <w:sz w:val="28"/>
          <w:szCs w:val="28"/>
          <w:rtl w:val="true"/>
          <w:lang w:bidi="fa-IR"/>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توجه به اين آيه و نظاير آن </w:t>
      </w:r>
      <w:r>
        <w:rPr>
          <w:rStyle w:val="FootnoteAnchor"/>
          <w:rtl w:val="true"/>
        </w:rPr>
        <w:footnoteReference w:id="148"/>
      </w:r>
      <w:r>
        <w:rPr>
          <w:rFonts w:ascii="Amiri" w:hAnsi="Amiri" w:eastAsia="Amiri" w:cs="Amiri"/>
          <w:color w:val="111111"/>
          <w:sz w:val="28"/>
          <w:sz w:val="28"/>
          <w:szCs w:val="28"/>
          <w:rtl w:val="true"/>
          <w:lang w:bidi="ar-SA"/>
        </w:rPr>
        <w:t xml:space="preserve">و نيز ملاحظه احاديثي كه در نكوهش برخي از صحابه در كتب حديث </w:t>
      </w:r>
      <w:r>
        <w:rPr>
          <w:rStyle w:val="FootnoteAnchor"/>
          <w:rtl w:val="true"/>
        </w:rPr>
        <w:footnoteReference w:id="149"/>
      </w:r>
      <w:r>
        <w:rPr>
          <w:rFonts w:ascii="IRNazanin" w:hAnsi="IRNazanin" w:eastAsia="IRNazanin"/>
          <w:color w:val="111111"/>
          <w:sz w:val="28"/>
          <w:sz w:val="28"/>
          <w:szCs w:val="28"/>
          <w:rtl w:val="true"/>
          <w:lang w:bidi="fa-IR"/>
        </w:rPr>
        <w:t>وارد شده و همچنين</w:t>
      </w:r>
    </w:p>
    <w:p>
      <w:pPr>
        <w:pStyle w:val="BookText"/>
        <w:rPr/>
      </w:pPr>
      <w:r>
        <w:rPr>
          <w:rFonts w:ascii="IRNazanin" w:hAnsi="IRNazanin" w:eastAsia="IRNazanin"/>
          <w:color w:val="111111"/>
          <w:sz w:val="28"/>
          <w:sz w:val="28"/>
          <w:szCs w:val="28"/>
          <w:rtl w:val="true"/>
          <w:lang w:bidi="fa-IR"/>
        </w:rPr>
        <w:t>مطالعه تاريخ زندگي آنان نمي توان همه اصحاب پيامبر را عادل و پارسا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كه در اينجا مورد بحث و بررسي است همانا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همه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سبّ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برخي ميان اين دو مسأله فرقي نگذاشته و مخالفان در مسأله نخست را به مطلب دوم متهم مي سازند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شيعه اماميه، احترام به مصاحبت با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مانع از داوري در افعال پاره اي از صحابه آن حضرت نمي داند و معتقد است كه معاشرت با پيامبر به تنهايي نمي تواند سبب مصونيت از گناه تا پايان عمر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داوري شيعه را نيز در اين باره، آيات قرآني و احاديث صحيح و تاريخ قطعي تشكيل مي دهد</w:t>
      </w:r>
      <w:r>
        <w:rPr>
          <w:rFonts w:eastAsia="IRNazanin" w:cs="IRNazanin"/>
          <w:color w:val="111111"/>
          <w:sz w:val="28"/>
          <w:szCs w:val="28"/>
          <w:rtl w:val="true"/>
          <w:lang w:bidi="fa-IR"/>
        </w:rPr>
        <w:t>.</w:t>
      </w:r>
      <w:bookmarkStart w:id="153" w:name="pg593_6666"/>
    </w:p>
    <w:p>
      <w:pPr>
        <w:pStyle w:val="Heading2"/>
        <w:numPr>
          <w:ilvl w:val="1"/>
          <w:numId w:val="1"/>
        </w:numPr>
        <w:rPr/>
      </w:pPr>
      <w:bookmarkStart w:id="154" w:name="__RefHeading___Toc5114575_211673320"/>
      <w:bookmarkStart w:id="155" w:name="_Toc55"/>
      <w:bookmarkEnd w:id="153"/>
      <w:bookmarkEnd w:id="154"/>
      <w:r>
        <w:rPr>
          <w:rtl w:val="true"/>
        </w:rPr>
        <w:t>برخي از خدمات دانشمندان شيعه</w:t>
      </w:r>
      <w:bookmarkEnd w:id="155"/>
    </w:p>
    <w:p>
      <w:pPr>
        <w:pStyle w:val="BookText"/>
        <w:rPr/>
      </w:pPr>
      <w:r>
        <w:rPr>
          <w:rFonts w:ascii="IRNazanin" w:hAnsi="IRNazanin" w:eastAsia="IRNazanin"/>
          <w:color w:val="111111"/>
          <w:sz w:val="28"/>
          <w:sz w:val="28"/>
          <w:szCs w:val="28"/>
          <w:rtl w:val="true"/>
          <w:lang w:bidi="fa-IR"/>
        </w:rPr>
        <w:t>تمدن اسلامي مرهون تلاشهاي بي وقفه امت اسلامي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داشتن مليتهاي گوناگون در سايه ايمان و عقيده، در اسلام و خدمت به آن ذوب شدند و همه تلاش خود را در مسير پيشبرد اهداف عالي اسلام بكار گرفتند، و در نتيجه تمدني را پايه گذاري كردند كه هم اكنون جامعه بشري مرهون آن تمدن درخشان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اين يادآوري لازم است كه شيعه در برافراشتن بناي شكوهمند تمدن اسلامي نقش مؤثري داشته است، كافي است در اينجا كتابهاي مربوط به علوم و تمدن اسلامي را ورق بزنيم كه همه جا نام دانشمندان شيعه مي درخشد</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ادبيات و علوم ادبي، كافي است كه پايه گذار آن اميرمؤمنان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ادامه دهنده راه او شاگردش ابوالأسود دوئلي، و پس از آن شخصيت هاي شيعي كه غالباً در عراق مي زيستند،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مازني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متوفاي</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سكيت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متوفاي</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اسحاق</w:t>
      </w:r>
    </w:p>
    <w:p>
      <w:pPr>
        <w:pStyle w:val="BookText"/>
        <w:rPr/>
      </w:pPr>
      <w:r>
        <w:rPr>
          <w:rFonts w:ascii="Amiri" w:hAnsi="Amiri" w:eastAsia="Amiri" w:cs="Amiri"/>
          <w:color w:val="111111"/>
          <w:sz w:val="28"/>
          <w:sz w:val="28"/>
          <w:szCs w:val="28"/>
          <w:rtl w:val="true"/>
          <w:lang w:bidi="ar-SA"/>
        </w:rPr>
        <w:t xml:space="preserve">نحوي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ياران امام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خليل بن احمد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متوفاي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ابن دريد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متوفاي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 بن عبّاد،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المحيط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متوفاي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در علم تفسير، اوّلين مفسر 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آنان اصحاب و شاگردان آنان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طول چهارده قرن، صدها تفسير بر قرآن به صورت هاي مختلف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علم حديث، شيعه بر ديگر فرق اسلامي تقدم داشته و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روزي كه نوشتن حديث در عصر خلفا ممنوع بود، با نوشتن و مذاكره، حفظ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مي توان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ابي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أبي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ياران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شخصيتهايي از شاگردان امام سجاد و حضرت صادق و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رُشد حديث در عصر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جايي رسيد كه حسن بن علي الوشّاء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مسجد كوفه نهصد محدّث را ديدم كه همگان مي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قلمرو فقه، در مكتب پيشوايان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مجتهدان برجسته اي تربيت شده 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ابان بن تغلب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متوفاي</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زرارة بن اعين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متوفاي</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متوفاي</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صفوان بن يحيي بجلي مؤلف سي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متوفاي</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صدها مجتهد توانا و محقق مانند شيخ مفيد، و سيد مرتضي و شيخ طوسي و ابن ادريس و محقق حلّي و علامه حلّي كه آثار گرانبهايي از خود به يادگار نهاده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شيعه نه تنها در اين علوم تلاشگر و خدمتگزار بوده، بلكه در ديگر علوم مانند تاريخ، رجال و درايه، شعر و ادب نيز خدمات شاياني را به جهان اسلام عرضه كرده است كه ذكر نام و اسامي آنان در اين مختصر نمي 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گفته شد مربوط به علوم نقلي است، ولي در علوم عقلي مانند كلام و فلسفه بر تمام مذاهب، تقدم داشته اند، زيرا شيعه بيش از تمام فرقه هاي اسلامي به عقل بها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الهام از گفتارهاي اميرمؤمنان و فرزندان معصوم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تبيين عقايد اسلامي بيش از حد كوشش كرده، و متكلمان عاليقدر و فلاسفه بزرگ به جهان اسلام تحويل داده است، و كلام شيعي يكي از پربارترين مكاتب كلام اسلامي است كه علاوه بر كتاب و سنت از عقل و خرد به نحو شايسته بهره مي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يكي از پايه هاي تمدن علمي، شناخت عالم طبيعت و قوانين آن است، و در عصر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نامدار او جابربن حيان در علوم طبيعي به پايه اي رسيد كه او را امروز پدر شيمي مي نامند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تدوين علوم جغرافيا، 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متوفاي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نخستين</w:t>
      </w:r>
    </w:p>
    <w:p>
      <w:pPr>
        <w:pStyle w:val="BookText"/>
        <w:rPr/>
      </w:pPr>
      <w:r>
        <w:rPr>
          <w:rFonts w:ascii="IRNazanin" w:hAnsi="IRNazanin" w:eastAsia="IRNazanin"/>
          <w:color w:val="111111"/>
          <w:sz w:val="28"/>
          <w:sz w:val="28"/>
          <w:szCs w:val="28"/>
          <w:rtl w:val="true"/>
          <w:lang w:bidi="fa-IR"/>
        </w:rPr>
        <w:t xml:space="preserve">جغرافي دان است كه كتابي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تلاش همه جانبه توسط دانشمندان شيعي از قرن نخست هجري تا به امروز ادامه داشته و در اين راه حوزه ها و مدارس و دانشگاههاي فراواني تأسيس كرده اند كه پيوسته در راه علم و دانش خدمتگزار بشريت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گفته شد اشاره اي گذرا به نقش شيعه در علم و تمدن اسلامي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آگاهي بيشتر به كتابهاي مربوط به اين موضوع رجوع فرماييد</w:t>
      </w:r>
      <w:r>
        <w:rPr>
          <w:rFonts w:eastAsia="IRNazanin" w:cs="IRNazanin"/>
          <w:color w:val="111111"/>
          <w:sz w:val="28"/>
          <w:szCs w:val="28"/>
          <w:rtl w:val="true"/>
          <w:lang w:bidi="fa-IR"/>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bookmarkStart w:id="156" w:name="pg593_6670"/>
    </w:p>
    <w:p>
      <w:pPr>
        <w:pStyle w:val="Heading2"/>
        <w:numPr>
          <w:ilvl w:val="1"/>
          <w:numId w:val="1"/>
        </w:numPr>
        <w:rPr/>
      </w:pPr>
      <w:bookmarkStart w:id="157" w:name="__RefHeading___Toc5114577_211673320"/>
      <w:bookmarkStart w:id="158" w:name="_Toc56"/>
      <w:bookmarkEnd w:id="156"/>
      <w:bookmarkEnd w:id="157"/>
      <w:r>
        <w:rPr>
          <w:rtl w:val="true"/>
        </w:rPr>
        <w:t>شيعه و سني برادرند</w:t>
      </w:r>
      <w:bookmarkEnd w:id="158"/>
    </w:p>
    <w:p>
      <w:pPr>
        <w:pStyle w:val="BookText"/>
        <w:rPr/>
      </w:pPr>
      <w:r>
        <w:rPr>
          <w:rFonts w:ascii="IRNazanin" w:hAnsi="IRNazanin" w:eastAsia="IRNazanin"/>
          <w:color w:val="111111"/>
          <w:sz w:val="28"/>
          <w:sz w:val="28"/>
          <w:szCs w:val="28"/>
          <w:rtl w:val="true"/>
          <w:lang w:bidi="fa-IR"/>
        </w:rPr>
        <w:t xml:space="preserve">شيعه اماميّه، اختلاف در برخي مسائل فقهي و غيره را مانع از اخوّت اسلامي و وحدت صفوف مسلمين در برابر دشمنان اسلام نمي داند و همچنين معتقد است كه با برگزاري مناظرات و مذاكرات علمي در محيط آرام، مي توان به بسياري از مشكلات و اختلافات فكري و فقهي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احياناً مانع اتحاد و همبستگي سياسي مسلمين جلوه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بستن باب انتقاد و مذاكره علمي بر روي انديشمندان، مايه مرگ دانش، و ميراييِ تفكر و انديشه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روي بزرگان شيعه در تمام اعصار كوشيده اند كه با طرح مباحث علمي و عقيدتي به روشن ساختن حقايق بپردازند و عملا نيز از هر نوع اتحاد و همدلي مسلمين بر ضدّ دشمنان قسم خورده اسلام همواره استقبال كرده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شعار همه متفكران و مصلحان شيعه اين است كه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الإسلامُ علي دعامتين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التوحيد، و توحيد الكلمة</w:t>
      </w:r>
      <w:r>
        <w:rPr>
          <w:rFonts w:eastAsia="Amiri" w:cs="Amiri" w:ascii="Amiri" w:hAnsi="Amiri"/>
          <w:color w:val="111111"/>
          <w:sz w:val="28"/>
          <w:szCs w:val="28"/>
          <w:rtl w:val="true"/>
          <w:lang w:bidi="ar-SA"/>
        </w:rPr>
        <w:t>».</w:t>
      </w:r>
      <w:bookmarkStart w:id="159" w:name="pg593_6671"/>
    </w:p>
    <w:p>
      <w:pPr>
        <w:pStyle w:val="BookText"/>
        <w:rPr/>
      </w:pPr>
      <w:bookmarkEnd w:id="159"/>
      <w:r>
        <w:rPr>
          <w:rFonts w:ascii="IRNazanin" w:hAnsi="IRNazanin" w:eastAsia="IRNazanin"/>
          <w:color w:val="111111"/>
          <w:sz w:val="28"/>
          <w:sz w:val="28"/>
          <w:szCs w:val="28"/>
          <w:rtl w:val="true"/>
          <w:lang w:bidi="fa-IR"/>
        </w:rPr>
        <w:t>اسلام بر دو پايه استوار گرديده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يكتاگرايي و يكتاپرستي</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اتحاد و همبستگي مسلمانان</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60" w:name="__RefHeading___Toc5114579_211673320"/>
      <w:bookmarkStart w:id="161" w:name="_Toc57"/>
      <w:bookmarkEnd w:id="160"/>
      <w:r>
        <w:rPr>
          <w:rtl w:val="true"/>
        </w:rPr>
        <w:t>منابع</w:t>
      </w:r>
      <w:bookmarkEnd w:id="161"/>
    </w:p>
    <w:p>
      <w:pPr>
        <w:pStyle w:val="BookText"/>
        <w:rPr/>
      </w:pPr>
      <w:r>
        <w:rPr>
          <w:rFonts w:ascii="Amiri" w:hAnsi="Amiri" w:eastAsia="Amiri" w:cs="Amiri"/>
          <w:color w:val="111111"/>
          <w:sz w:val="28"/>
          <w:sz w:val="28"/>
          <w:szCs w:val="28"/>
          <w:rtl w:val="true"/>
          <w:lang w:bidi="ar-SA"/>
        </w:rPr>
        <w:t>اثباة الهداة، شيخ حرّ عاملى</w:t>
      </w:r>
    </w:p>
    <w:p>
      <w:pPr>
        <w:pStyle w:val="BookText"/>
        <w:rPr/>
      </w:pPr>
      <w:r>
        <w:rPr>
          <w:rFonts w:ascii="Amiri" w:hAnsi="Amiri" w:eastAsia="Amiri" w:cs="Amiri"/>
          <w:color w:val="111111"/>
          <w:sz w:val="28"/>
          <w:sz w:val="28"/>
          <w:szCs w:val="28"/>
          <w:rtl w:val="true"/>
          <w:lang w:bidi="ar-SA"/>
        </w:rPr>
        <w:t>ارشاد السارى في شرح صحيح البخارى</w:t>
      </w:r>
    </w:p>
    <w:p>
      <w:pPr>
        <w:pStyle w:val="BookText"/>
        <w:rPr/>
      </w:pPr>
      <w:r>
        <w:rPr>
          <w:rFonts w:ascii="Amiri" w:hAnsi="Amiri" w:eastAsia="Amiri" w:cs="Amiri"/>
          <w:color w:val="111111"/>
          <w:sz w:val="28"/>
          <w:sz w:val="28"/>
          <w:szCs w:val="28"/>
          <w:rtl w:val="true"/>
          <w:lang w:bidi="ar-SA"/>
        </w:rPr>
        <w:t>اصل الشيعة واصولها، كاشف الغطاء</w:t>
      </w:r>
    </w:p>
    <w:p>
      <w:pPr>
        <w:pStyle w:val="BookText"/>
        <w:rPr/>
      </w:pPr>
      <w:r>
        <w:rPr>
          <w:rFonts w:ascii="Amiri" w:hAnsi="Amiri" w:eastAsia="Amiri" w:cs="Amiri"/>
          <w:color w:val="111111"/>
          <w:sz w:val="28"/>
          <w:sz w:val="28"/>
          <w:szCs w:val="28"/>
          <w:rtl w:val="true"/>
          <w:lang w:bidi="ar-SA"/>
        </w:rPr>
        <w:t>اصول الكافى، شيخ كلينى</w:t>
      </w:r>
    </w:p>
    <w:p>
      <w:pPr>
        <w:pStyle w:val="BookText"/>
        <w:rPr/>
      </w:pPr>
      <w:r>
        <w:rPr>
          <w:rFonts w:ascii="Amiri" w:hAnsi="Amiri" w:eastAsia="Amiri" w:cs="Amiri"/>
          <w:color w:val="111111"/>
          <w:sz w:val="28"/>
          <w:sz w:val="28"/>
          <w:szCs w:val="28"/>
          <w:rtl w:val="true"/>
          <w:lang w:bidi="ar-SA"/>
        </w:rPr>
        <w:t>اعيان الشيعه، سيد محسن عاملى</w:t>
      </w:r>
    </w:p>
    <w:p>
      <w:pPr>
        <w:pStyle w:val="BookText"/>
        <w:rPr/>
      </w:pPr>
      <w:r>
        <w:rPr>
          <w:rFonts w:ascii="IRNazanin" w:hAnsi="IRNazanin" w:eastAsia="IRNazanin"/>
          <w:color w:val="111111"/>
          <w:sz w:val="28"/>
          <w:sz w:val="28"/>
          <w:szCs w:val="28"/>
          <w:rtl w:val="true"/>
          <w:lang w:bidi="fa-IR"/>
        </w:rPr>
        <w:t>الاعتصام شاطبى</w:t>
      </w:r>
    </w:p>
    <w:p>
      <w:pPr>
        <w:pStyle w:val="BookText"/>
        <w:rPr/>
      </w:pPr>
      <w:r>
        <w:rPr>
          <w:rFonts w:ascii="Amiri" w:hAnsi="Amiri" w:eastAsia="Amiri" w:cs="Amiri"/>
          <w:color w:val="111111"/>
          <w:sz w:val="28"/>
          <w:sz w:val="28"/>
          <w:szCs w:val="28"/>
          <w:rtl w:val="true"/>
          <w:lang w:bidi="ar-SA"/>
        </w:rPr>
        <w:t>الامام الصادق والمذاهب الاربعة، اسد حيدر</w:t>
      </w:r>
    </w:p>
    <w:p>
      <w:pPr>
        <w:pStyle w:val="BookText"/>
        <w:rPr/>
      </w:pPr>
      <w:r>
        <w:rPr>
          <w:rFonts w:ascii="Amiri" w:hAnsi="Amiri" w:eastAsia="Amiri" w:cs="Amiri"/>
          <w:color w:val="111111"/>
          <w:sz w:val="28"/>
          <w:sz w:val="28"/>
          <w:szCs w:val="28"/>
          <w:rtl w:val="true"/>
          <w:lang w:bidi="ar-SA"/>
        </w:rPr>
        <w:t>التاريخ، ابن خلدون</w:t>
      </w:r>
    </w:p>
    <w:p>
      <w:pPr>
        <w:pStyle w:val="BookText"/>
        <w:rPr/>
      </w:pPr>
      <w:r>
        <w:rPr>
          <w:rFonts w:ascii="Amiri" w:hAnsi="Amiri" w:eastAsia="Amiri" w:cs="Amiri"/>
          <w:color w:val="111111"/>
          <w:sz w:val="28"/>
          <w:sz w:val="28"/>
          <w:szCs w:val="28"/>
          <w:rtl w:val="true"/>
          <w:lang w:bidi="ar-SA"/>
        </w:rPr>
        <w:t>التفسير، ابن كثير</w:t>
      </w:r>
    </w:p>
    <w:p>
      <w:pPr>
        <w:pStyle w:val="BookText"/>
        <w:rPr/>
      </w:pPr>
      <w:r>
        <w:rPr>
          <w:rFonts w:ascii="Amiri" w:hAnsi="Amiri" w:eastAsia="Amiri" w:cs="Amiri"/>
          <w:color w:val="111111"/>
          <w:sz w:val="28"/>
          <w:sz w:val="28"/>
          <w:szCs w:val="28"/>
          <w:rtl w:val="true"/>
          <w:lang w:bidi="ar-SA"/>
        </w:rPr>
        <w:t xml:space="preserve">التفسير، نسفى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حاشيه تفسير خازن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الخصائص الكبرى، جلال سيوطى</w:t>
      </w:r>
    </w:p>
    <w:p>
      <w:pPr>
        <w:pStyle w:val="BookText"/>
        <w:rPr/>
      </w:pPr>
      <w:r>
        <w:rPr>
          <w:rFonts w:ascii="IRNazanin" w:hAnsi="IRNazanin" w:eastAsia="IRNazanin"/>
          <w:color w:val="111111"/>
          <w:sz w:val="28"/>
          <w:sz w:val="28"/>
          <w:szCs w:val="28"/>
          <w:rtl w:val="true"/>
          <w:lang w:bidi="fa-IR"/>
        </w:rPr>
        <w:t>الخصائص، نسائى</w:t>
      </w:r>
    </w:p>
    <w:p>
      <w:pPr>
        <w:pStyle w:val="BookText"/>
        <w:rPr/>
      </w:pPr>
      <w:r>
        <w:rPr>
          <w:rFonts w:ascii="Amiri" w:hAnsi="Amiri" w:eastAsia="Amiri" w:cs="Amiri"/>
          <w:color w:val="111111"/>
          <w:sz w:val="28"/>
          <w:sz w:val="28"/>
          <w:szCs w:val="28"/>
          <w:rtl w:val="true"/>
          <w:lang w:bidi="ar-SA"/>
        </w:rPr>
        <w:t>الخصال، شيخ صدوق</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الدر المنثور، جلال سيوطى</w:t>
      </w:r>
    </w:p>
    <w:p>
      <w:pPr>
        <w:pStyle w:val="BookText"/>
        <w:rPr/>
      </w:pPr>
      <w:r>
        <w:rPr>
          <w:rFonts w:ascii="Amiri" w:hAnsi="Amiri" w:eastAsia="Amiri" w:cs="Amiri"/>
          <w:color w:val="111111"/>
          <w:sz w:val="28"/>
          <w:sz w:val="28"/>
          <w:szCs w:val="28"/>
          <w:rtl w:val="true"/>
          <w:lang w:bidi="ar-SA"/>
        </w:rPr>
        <w:t>الذريعة، علامه طهرانى</w:t>
      </w:r>
    </w:p>
    <w:p>
      <w:pPr>
        <w:pStyle w:val="BookText"/>
        <w:rPr/>
      </w:pPr>
      <w:r>
        <w:rPr>
          <w:rFonts w:ascii="IRNazanin" w:hAnsi="IRNazanin" w:eastAsia="IRNazanin"/>
          <w:color w:val="111111"/>
          <w:sz w:val="28"/>
          <w:sz w:val="28"/>
          <w:szCs w:val="28"/>
          <w:rtl w:val="true"/>
          <w:lang w:bidi="fa-IR"/>
        </w:rPr>
        <w:t>الرجال، نجاشى</w:t>
      </w:r>
    </w:p>
    <w:p>
      <w:pPr>
        <w:pStyle w:val="BookText"/>
        <w:rPr/>
      </w:pPr>
      <w:r>
        <w:rPr>
          <w:rFonts w:ascii="IRNazanin" w:hAnsi="IRNazanin" w:eastAsia="IRNazanin"/>
          <w:color w:val="111111"/>
          <w:sz w:val="28"/>
          <w:sz w:val="28"/>
          <w:szCs w:val="28"/>
          <w:rtl w:val="true"/>
          <w:lang w:bidi="fa-IR"/>
        </w:rPr>
        <w:t>السنن، ابن ماجه</w:t>
      </w:r>
    </w:p>
    <w:p>
      <w:pPr>
        <w:pStyle w:val="BookText"/>
        <w:rPr/>
      </w:pPr>
      <w:r>
        <w:rPr>
          <w:rFonts w:ascii="IRNazanin" w:hAnsi="IRNazanin" w:eastAsia="IRNazanin"/>
          <w:color w:val="111111"/>
          <w:sz w:val="28"/>
          <w:sz w:val="28"/>
          <w:szCs w:val="28"/>
          <w:rtl w:val="true"/>
          <w:lang w:bidi="fa-IR"/>
        </w:rPr>
        <w:t>السنن، ترمذى</w:t>
      </w:r>
    </w:p>
    <w:p>
      <w:pPr>
        <w:pStyle w:val="BookText"/>
        <w:rPr/>
      </w:pPr>
      <w:r>
        <w:rPr>
          <w:rFonts w:ascii="Amiri" w:hAnsi="Amiri" w:eastAsia="Amiri" w:cs="Amiri"/>
          <w:color w:val="111111"/>
          <w:sz w:val="28"/>
          <w:sz w:val="28"/>
          <w:szCs w:val="28"/>
          <w:rtl w:val="true"/>
          <w:lang w:bidi="ar-SA"/>
        </w:rPr>
        <w:t>السيرة النبوية، ابن هشام</w:t>
      </w:r>
    </w:p>
    <w:p>
      <w:pPr>
        <w:pStyle w:val="BookText"/>
        <w:rPr/>
      </w:pPr>
      <w:r>
        <w:rPr>
          <w:rFonts w:ascii="Amiri" w:hAnsi="Amiri" w:eastAsia="Amiri" w:cs="Amiri"/>
          <w:color w:val="111111"/>
          <w:sz w:val="28"/>
          <w:sz w:val="28"/>
          <w:szCs w:val="28"/>
          <w:rtl w:val="true"/>
          <w:lang w:bidi="ar-SA"/>
        </w:rPr>
        <w:t>الشيعة والتشيع، محمد جواد مغنيه</w:t>
      </w:r>
    </w:p>
    <w:p>
      <w:pPr>
        <w:pStyle w:val="BookText"/>
        <w:rPr/>
      </w:pPr>
      <w:r>
        <w:rPr>
          <w:rFonts w:ascii="Amiri" w:hAnsi="Amiri" w:eastAsia="Amiri" w:cs="Amiri"/>
          <w:color w:val="111111"/>
          <w:sz w:val="28"/>
          <w:sz w:val="28"/>
          <w:szCs w:val="28"/>
          <w:rtl w:val="true"/>
          <w:lang w:bidi="ar-SA"/>
        </w:rPr>
        <w:t>الصحيح، بخارى</w:t>
      </w:r>
    </w:p>
    <w:p>
      <w:pPr>
        <w:pStyle w:val="BookText"/>
        <w:rPr/>
      </w:pPr>
      <w:r>
        <w:rPr>
          <w:rFonts w:ascii="Amiri" w:hAnsi="Amiri" w:eastAsia="Amiri" w:cs="Amiri"/>
          <w:color w:val="111111"/>
          <w:sz w:val="28"/>
          <w:sz w:val="28"/>
          <w:szCs w:val="28"/>
          <w:rtl w:val="true"/>
          <w:lang w:bidi="ar-SA"/>
        </w:rPr>
        <w:t>الصحيح، مسلم</w:t>
      </w:r>
    </w:p>
    <w:p>
      <w:pPr>
        <w:pStyle w:val="BookText"/>
        <w:rPr/>
      </w:pPr>
      <w:r>
        <w:rPr>
          <w:rFonts w:ascii="Amiri" w:hAnsi="Amiri" w:eastAsia="Amiri" w:cs="Amiri"/>
          <w:color w:val="111111"/>
          <w:sz w:val="28"/>
          <w:sz w:val="28"/>
          <w:szCs w:val="28"/>
          <w:rtl w:val="true"/>
          <w:lang w:bidi="ar-SA"/>
        </w:rPr>
        <w:t>الصواعق المحرقة، ابن حجر عسقلانى</w:t>
      </w:r>
    </w:p>
    <w:p>
      <w:pPr>
        <w:pStyle w:val="BookText"/>
        <w:rPr/>
      </w:pPr>
      <w:r>
        <w:rPr>
          <w:rFonts w:ascii="Amiri" w:hAnsi="Amiri" w:eastAsia="Amiri" w:cs="Amiri"/>
          <w:color w:val="111111"/>
          <w:sz w:val="28"/>
          <w:sz w:val="28"/>
          <w:szCs w:val="28"/>
          <w:rtl w:val="true"/>
          <w:lang w:bidi="ar-SA"/>
        </w:rPr>
        <w:t>الغدير، علّامه امينى</w:t>
      </w:r>
    </w:p>
    <w:p>
      <w:pPr>
        <w:pStyle w:val="BookText"/>
        <w:rPr/>
      </w:pPr>
      <w:r>
        <w:rPr>
          <w:rFonts w:ascii="Amiri" w:hAnsi="Amiri" w:eastAsia="Amiri" w:cs="Amiri"/>
          <w:color w:val="111111"/>
          <w:sz w:val="28"/>
          <w:sz w:val="28"/>
          <w:szCs w:val="28"/>
          <w:rtl w:val="true"/>
          <w:lang w:bidi="ar-SA"/>
        </w:rPr>
        <w:t>الفهرست، ابن نديم</w:t>
      </w:r>
    </w:p>
    <w:p>
      <w:pPr>
        <w:pStyle w:val="BookText"/>
        <w:rPr/>
      </w:pPr>
      <w:r>
        <w:rPr>
          <w:rFonts w:ascii="Amiri" w:hAnsi="Amiri" w:eastAsia="Amiri" w:cs="Amiri"/>
          <w:color w:val="111111"/>
          <w:sz w:val="28"/>
          <w:sz w:val="28"/>
          <w:szCs w:val="28"/>
          <w:rtl w:val="true"/>
          <w:lang w:bidi="ar-SA"/>
        </w:rPr>
        <w:t>الفهرست، شيخ طوسى</w:t>
      </w:r>
    </w:p>
    <w:p>
      <w:pPr>
        <w:pStyle w:val="BookText"/>
        <w:rPr/>
      </w:pPr>
      <w:r>
        <w:rPr>
          <w:rFonts w:ascii="Amiri" w:hAnsi="Amiri" w:eastAsia="Amiri" w:cs="Amiri"/>
          <w:color w:val="111111"/>
          <w:sz w:val="28"/>
          <w:sz w:val="28"/>
          <w:szCs w:val="28"/>
          <w:rtl w:val="true"/>
          <w:lang w:bidi="ar-SA"/>
        </w:rPr>
        <w:t>المراجعات، سيد شرف‌الدّين عاملى</w:t>
      </w:r>
    </w:p>
    <w:p>
      <w:pPr>
        <w:pStyle w:val="BookText"/>
        <w:rPr/>
      </w:pPr>
      <w:r>
        <w:rPr>
          <w:rFonts w:ascii="Amiri" w:hAnsi="Amiri" w:eastAsia="Amiri" w:cs="Amiri"/>
          <w:color w:val="111111"/>
          <w:sz w:val="28"/>
          <w:sz w:val="28"/>
          <w:szCs w:val="28"/>
          <w:rtl w:val="true"/>
          <w:lang w:bidi="ar-SA"/>
        </w:rPr>
        <w:t>المستدرك، حاكم نيشابورى</w:t>
      </w:r>
    </w:p>
    <w:p>
      <w:pPr>
        <w:pStyle w:val="BookText"/>
        <w:rPr/>
      </w:pPr>
      <w:r>
        <w:rPr>
          <w:rFonts w:ascii="IRNazanin" w:hAnsi="IRNazanin" w:eastAsia="IRNazanin"/>
          <w:color w:val="111111"/>
          <w:sz w:val="28"/>
          <w:sz w:val="28"/>
          <w:szCs w:val="28"/>
          <w:rtl w:val="true"/>
          <w:lang w:bidi="fa-IR"/>
        </w:rPr>
        <w:t>المسند، احمد حنبل</w:t>
      </w:r>
    </w:p>
    <w:p>
      <w:pPr>
        <w:pStyle w:val="BookText"/>
        <w:rPr/>
      </w:pPr>
      <w:r>
        <w:rPr>
          <w:rFonts w:ascii="Amiri" w:hAnsi="Amiri" w:eastAsia="Amiri" w:cs="Amiri"/>
          <w:color w:val="111111"/>
          <w:sz w:val="28"/>
          <w:sz w:val="28"/>
          <w:szCs w:val="28"/>
          <w:rtl w:val="true"/>
          <w:lang w:bidi="ar-SA"/>
        </w:rPr>
        <w:t>المنار، رشيد رضا</w:t>
      </w:r>
    </w:p>
    <w:p>
      <w:pPr>
        <w:pStyle w:val="BookText"/>
        <w:rPr/>
      </w:pPr>
      <w:r>
        <w:rPr>
          <w:rFonts w:ascii="Amiri" w:hAnsi="Amiri" w:eastAsia="Amiri" w:cs="Amiri"/>
          <w:color w:val="111111"/>
          <w:sz w:val="28"/>
          <w:sz w:val="28"/>
          <w:szCs w:val="28"/>
          <w:rtl w:val="true"/>
          <w:lang w:bidi="ar-SA"/>
        </w:rPr>
        <w:t>المناقب، حافظ محمد بن سليمان كوفى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المناقب، خوارزمى</w:t>
      </w:r>
    </w:p>
    <w:p>
      <w:pPr>
        <w:pStyle w:val="BookText"/>
        <w:rPr/>
      </w:pPr>
      <w:r>
        <w:rPr>
          <w:rFonts w:ascii="Amiri" w:hAnsi="Amiri" w:eastAsia="Amiri" w:cs="Amiri"/>
          <w:color w:val="111111"/>
          <w:sz w:val="28"/>
          <w:sz w:val="28"/>
          <w:szCs w:val="28"/>
          <w:rtl w:val="true"/>
          <w:lang w:bidi="ar-SA"/>
        </w:rPr>
        <w:t>الميزان، علّامه طباطبايى</w:t>
      </w:r>
    </w:p>
    <w:p>
      <w:pPr>
        <w:pStyle w:val="BookText"/>
        <w:rPr/>
      </w:pPr>
      <w:r>
        <w:rPr>
          <w:rFonts w:ascii="Amiri" w:hAnsi="Amiri" w:eastAsia="Amiri" w:cs="Amiri"/>
          <w:color w:val="111111"/>
          <w:sz w:val="28"/>
          <w:sz w:val="28"/>
          <w:szCs w:val="28"/>
          <w:rtl w:val="true"/>
          <w:lang w:bidi="ar-SA"/>
        </w:rPr>
        <w:t>النهايه، ابن اثير</w:t>
      </w:r>
    </w:p>
    <w:p>
      <w:pPr>
        <w:pStyle w:val="BookText"/>
        <w:rPr/>
      </w:pPr>
      <w:r>
        <w:rPr>
          <w:rFonts w:ascii="Amiri" w:hAnsi="Amiri" w:eastAsia="Amiri" w:cs="Amiri"/>
          <w:color w:val="111111"/>
          <w:sz w:val="28"/>
          <w:sz w:val="28"/>
          <w:szCs w:val="28"/>
          <w:rtl w:val="true"/>
          <w:lang w:bidi="ar-SA"/>
        </w:rPr>
        <w:t>امتاع الاسماع، مقريزى</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بحارالانوار، علّامه مجلسى</w:t>
      </w:r>
    </w:p>
    <w:p>
      <w:pPr>
        <w:pStyle w:val="BookText"/>
        <w:rPr/>
      </w:pPr>
      <w:r>
        <w:rPr>
          <w:rFonts w:ascii="IRNazanin" w:hAnsi="IRNazanin" w:eastAsia="IRNazanin"/>
          <w:color w:val="111111"/>
          <w:sz w:val="28"/>
          <w:sz w:val="28"/>
          <w:szCs w:val="28"/>
          <w:rtl w:val="true"/>
          <w:lang w:bidi="fa-IR"/>
        </w:rPr>
        <w:t>بحوث فى الملل والنحل، سبحانى</w:t>
      </w:r>
    </w:p>
    <w:p>
      <w:pPr>
        <w:pStyle w:val="BookText"/>
        <w:rPr/>
      </w:pPr>
      <w:r>
        <w:rPr>
          <w:rFonts w:ascii="Amiri" w:hAnsi="Amiri" w:eastAsia="Amiri" w:cs="Amiri"/>
          <w:color w:val="111111"/>
          <w:sz w:val="28"/>
          <w:sz w:val="28"/>
          <w:szCs w:val="28"/>
          <w:rtl w:val="true"/>
          <w:lang w:bidi="ar-SA"/>
        </w:rPr>
        <w:t>بداية المجتهد، ابن رشد</w:t>
      </w:r>
    </w:p>
    <w:p>
      <w:pPr>
        <w:pStyle w:val="BookText"/>
        <w:rPr/>
      </w:pPr>
      <w:r>
        <w:rPr>
          <w:rFonts w:ascii="Amiri" w:hAnsi="Amiri" w:eastAsia="Amiri" w:cs="Amiri"/>
          <w:color w:val="111111"/>
          <w:sz w:val="28"/>
          <w:sz w:val="28"/>
          <w:szCs w:val="28"/>
          <w:rtl w:val="true"/>
          <w:lang w:bidi="ar-SA"/>
        </w:rPr>
        <w:t>تاريخ الاسلام، حسن ابراهيم حسن</w:t>
      </w:r>
    </w:p>
    <w:p>
      <w:pPr>
        <w:pStyle w:val="BookText"/>
        <w:rPr/>
      </w:pPr>
      <w:r>
        <w:rPr>
          <w:rFonts w:ascii="Amiri" w:hAnsi="Amiri" w:eastAsia="Amiri" w:cs="Amiri"/>
          <w:color w:val="111111"/>
          <w:sz w:val="28"/>
          <w:sz w:val="28"/>
          <w:szCs w:val="28"/>
          <w:rtl w:val="true"/>
          <w:lang w:bidi="ar-SA"/>
        </w:rPr>
        <w:t>تاريخ الامم والملوك، طبرى</w:t>
      </w:r>
    </w:p>
    <w:p>
      <w:pPr>
        <w:pStyle w:val="BookText"/>
        <w:rPr/>
      </w:pPr>
      <w:r>
        <w:rPr>
          <w:rFonts w:ascii="Amiri" w:hAnsi="Amiri" w:eastAsia="Amiri" w:cs="Amiri"/>
          <w:color w:val="111111"/>
          <w:sz w:val="28"/>
          <w:sz w:val="28"/>
          <w:szCs w:val="28"/>
          <w:rtl w:val="true"/>
          <w:lang w:bidi="ar-SA"/>
        </w:rPr>
        <w:t>تاريخ الخلفاء، جلال سيوطى</w:t>
      </w:r>
    </w:p>
    <w:p>
      <w:pPr>
        <w:pStyle w:val="BookText"/>
        <w:rPr/>
      </w:pPr>
      <w:r>
        <w:rPr>
          <w:rFonts w:ascii="Amiri" w:hAnsi="Amiri" w:eastAsia="Amiri" w:cs="Amiri"/>
          <w:color w:val="111111"/>
          <w:sz w:val="28"/>
          <w:sz w:val="28"/>
          <w:szCs w:val="28"/>
          <w:rtl w:val="true"/>
          <w:lang w:bidi="ar-SA"/>
        </w:rPr>
        <w:t>تاريخ الخميس، دياربكرى</w:t>
      </w:r>
    </w:p>
    <w:p>
      <w:pPr>
        <w:pStyle w:val="BookText"/>
        <w:rPr/>
      </w:pPr>
      <w:r>
        <w:rPr>
          <w:rFonts w:ascii="Amiri" w:hAnsi="Amiri" w:eastAsia="Amiri" w:cs="Amiri"/>
          <w:color w:val="111111"/>
          <w:sz w:val="28"/>
          <w:sz w:val="28"/>
          <w:szCs w:val="28"/>
          <w:rtl w:val="true"/>
          <w:lang w:bidi="ar-SA"/>
        </w:rPr>
        <w:t>تاريخ الشيعه، محمدحسين مظفر</w:t>
      </w:r>
    </w:p>
    <w:p>
      <w:pPr>
        <w:pStyle w:val="BookText"/>
        <w:rPr/>
      </w:pPr>
      <w:r>
        <w:rPr>
          <w:rFonts w:ascii="Amiri" w:hAnsi="Amiri" w:eastAsia="Amiri" w:cs="Amiri"/>
          <w:color w:val="111111"/>
          <w:sz w:val="28"/>
          <w:sz w:val="28"/>
          <w:szCs w:val="28"/>
          <w:rtl w:val="true"/>
          <w:lang w:bidi="ar-SA"/>
        </w:rPr>
        <w:t>تاريخ بغداد، خطيب</w:t>
      </w:r>
    </w:p>
    <w:p>
      <w:pPr>
        <w:pStyle w:val="BookText"/>
        <w:rPr/>
      </w:pPr>
      <w:r>
        <w:rPr>
          <w:rFonts w:ascii="Amiri" w:hAnsi="Amiri" w:eastAsia="Amiri" w:cs="Amiri"/>
          <w:color w:val="111111"/>
          <w:sz w:val="28"/>
          <w:sz w:val="28"/>
          <w:szCs w:val="28"/>
          <w:rtl w:val="true"/>
          <w:lang w:bidi="ar-SA"/>
        </w:rPr>
        <w:t>تأسيس الشيعة لعلوم الاسلام، سيدحسن صدر</w:t>
      </w:r>
    </w:p>
    <w:p>
      <w:pPr>
        <w:pStyle w:val="BookText"/>
        <w:rPr/>
      </w:pPr>
      <w:r>
        <w:rPr>
          <w:rFonts w:ascii="Amiri" w:hAnsi="Amiri" w:eastAsia="Amiri" w:cs="Amiri"/>
          <w:color w:val="111111"/>
          <w:sz w:val="28"/>
          <w:sz w:val="28"/>
          <w:szCs w:val="28"/>
          <w:rtl w:val="true"/>
          <w:lang w:bidi="ar-SA"/>
        </w:rPr>
        <w:t>تصحيح الاعتقاد، شيخ مفيد</w:t>
      </w:r>
    </w:p>
    <w:p>
      <w:pPr>
        <w:pStyle w:val="BookText"/>
        <w:rPr/>
      </w:pPr>
      <w:r>
        <w:rPr>
          <w:rFonts w:ascii="Amiri" w:hAnsi="Amiri" w:eastAsia="Amiri" w:cs="Amiri"/>
          <w:color w:val="111111"/>
          <w:sz w:val="28"/>
          <w:sz w:val="28"/>
          <w:szCs w:val="28"/>
          <w:rtl w:val="true"/>
          <w:lang w:bidi="ar-SA"/>
        </w:rPr>
        <w:t>تهذيب الاصول، امام خمينى قدس سره</w:t>
      </w:r>
    </w:p>
    <w:p>
      <w:pPr>
        <w:pStyle w:val="BookText"/>
        <w:rPr/>
      </w:pPr>
      <w:r>
        <w:rPr>
          <w:rFonts w:ascii="Amiri" w:hAnsi="Amiri" w:eastAsia="Amiri" w:cs="Amiri"/>
          <w:color w:val="111111"/>
          <w:sz w:val="28"/>
          <w:sz w:val="28"/>
          <w:szCs w:val="28"/>
          <w:rtl w:val="true"/>
          <w:lang w:bidi="ar-SA"/>
        </w:rPr>
        <w:t>جامع الاصول، ابن اثير</w:t>
      </w:r>
    </w:p>
    <w:p>
      <w:pPr>
        <w:pStyle w:val="BookText"/>
        <w:rPr/>
      </w:pPr>
      <w:r>
        <w:rPr>
          <w:rFonts w:ascii="Amiri" w:hAnsi="Amiri" w:eastAsia="Amiri" w:cs="Amiri"/>
          <w:color w:val="111111"/>
          <w:sz w:val="28"/>
          <w:sz w:val="28"/>
          <w:szCs w:val="28"/>
          <w:rtl w:val="true"/>
          <w:lang w:bidi="ar-SA"/>
        </w:rPr>
        <w:t>جامع البيان، طبرى</w:t>
      </w:r>
    </w:p>
    <w:p>
      <w:pPr>
        <w:pStyle w:val="BookText"/>
        <w:rPr/>
      </w:pPr>
      <w:r>
        <w:rPr>
          <w:rFonts w:ascii="Amiri" w:hAnsi="Amiri" w:eastAsia="Amiri" w:cs="Amiri"/>
          <w:color w:val="111111"/>
          <w:sz w:val="28"/>
          <w:sz w:val="28"/>
          <w:szCs w:val="28"/>
          <w:rtl w:val="true"/>
          <w:lang w:bidi="ar-SA"/>
        </w:rPr>
        <w:t>حديث الثقلين، وشنوى</w:t>
      </w:r>
    </w:p>
    <w:p>
      <w:pPr>
        <w:pStyle w:val="BookText"/>
        <w:rPr/>
      </w:pPr>
      <w:r>
        <w:rPr>
          <w:rFonts w:ascii="IRNazanin" w:hAnsi="IRNazanin" w:eastAsia="IRNazanin"/>
          <w:color w:val="111111"/>
          <w:sz w:val="28"/>
          <w:sz w:val="28"/>
          <w:szCs w:val="28"/>
          <w:rtl w:val="true"/>
          <w:lang w:bidi="fa-IR"/>
        </w:rPr>
        <w:t>روح المعانى، آلوسى</w:t>
      </w:r>
    </w:p>
    <w:p>
      <w:pPr>
        <w:pStyle w:val="BookText"/>
        <w:rPr/>
      </w:pPr>
      <w:r>
        <w:rPr>
          <w:rFonts w:ascii="Amiri" w:hAnsi="Amiri" w:eastAsia="Amiri" w:cs="Amiri"/>
          <w:color w:val="111111"/>
          <w:sz w:val="28"/>
          <w:sz w:val="28"/>
          <w:szCs w:val="28"/>
          <w:rtl w:val="true"/>
          <w:lang w:bidi="ar-SA"/>
        </w:rPr>
        <w:t>سفينة البحار، محدث قمى</w:t>
      </w:r>
    </w:p>
    <w:p>
      <w:pPr>
        <w:pStyle w:val="BookText"/>
        <w:rPr/>
      </w:pPr>
      <w:r>
        <w:rPr>
          <w:rFonts w:ascii="Amiri" w:hAnsi="Amiri" w:eastAsia="Amiri" w:cs="Amiri"/>
          <w:color w:val="111111"/>
          <w:sz w:val="28"/>
          <w:sz w:val="28"/>
          <w:szCs w:val="28"/>
          <w:rtl w:val="true"/>
          <w:lang w:bidi="ar-SA"/>
        </w:rPr>
        <w:t>شرح موطأ مالك، زرقانى</w:t>
      </w:r>
    </w:p>
    <w:p>
      <w:pPr>
        <w:pStyle w:val="BookText"/>
        <w:rPr/>
      </w:pPr>
      <w:r>
        <w:rPr>
          <w:rFonts w:ascii="Amiri" w:hAnsi="Amiri" w:eastAsia="Amiri" w:cs="Amiri"/>
          <w:color w:val="111111"/>
          <w:sz w:val="28"/>
          <w:sz w:val="28"/>
          <w:szCs w:val="28"/>
          <w:rtl w:val="true"/>
          <w:lang w:bidi="ar-SA"/>
        </w:rPr>
        <w:t>شيعه در اسلام، علامه طباطبائى</w:t>
      </w:r>
    </w:p>
    <w:p>
      <w:pPr>
        <w:pStyle w:val="BookText"/>
        <w:rPr/>
      </w:pPr>
      <w:r>
        <w:rPr>
          <w:rFonts w:ascii="Amiri" w:hAnsi="Amiri" w:eastAsia="Amiri" w:cs="Amiri"/>
          <w:color w:val="111111"/>
          <w:sz w:val="28"/>
          <w:sz w:val="28"/>
          <w:szCs w:val="28"/>
          <w:rtl w:val="true"/>
          <w:lang w:bidi="ar-SA"/>
        </w:rPr>
        <w:t>ضحى الاسلام، احمد امين مصرى</w:t>
      </w:r>
    </w:p>
    <w:p>
      <w:pPr>
        <w:pStyle w:val="BookText"/>
        <w:rPr/>
      </w:pPr>
      <w:r>
        <w:rPr>
          <w:rFonts w:ascii="Amiri" w:hAnsi="Amiri" w:eastAsia="Amiri" w:cs="Amiri"/>
          <w:color w:val="111111"/>
          <w:sz w:val="28"/>
          <w:sz w:val="28"/>
          <w:szCs w:val="28"/>
          <w:rtl w:val="true"/>
          <w:lang w:bidi="ar-SA"/>
        </w:rPr>
        <w:t>عبقات الانوار، مير حامد حسين</w:t>
      </w:r>
    </w:p>
    <w:p>
      <w:pPr>
        <w:pStyle w:val="BookText"/>
        <w:rPr/>
      </w:pPr>
      <w:r>
        <w:rPr>
          <w:rFonts w:ascii="Amiri" w:hAnsi="Amiri" w:eastAsia="Amiri" w:cs="Amiri"/>
          <w:color w:val="111111"/>
          <w:sz w:val="28"/>
          <w:sz w:val="28"/>
          <w:szCs w:val="28"/>
          <w:rtl w:val="true"/>
          <w:lang w:bidi="ar-SA"/>
        </w:rPr>
        <w:t>علل الشرايع، شيخ صدوق</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عمدة القارى، بدرالدين عينى</w:t>
      </w:r>
    </w:p>
    <w:p>
      <w:pPr>
        <w:pStyle w:val="BookText"/>
        <w:rPr/>
      </w:pPr>
      <w:r>
        <w:rPr>
          <w:rFonts w:ascii="Amiri" w:hAnsi="Amiri" w:eastAsia="Amiri" w:cs="Amiri"/>
          <w:color w:val="111111"/>
          <w:sz w:val="28"/>
          <w:sz w:val="28"/>
          <w:szCs w:val="28"/>
          <w:rtl w:val="true"/>
          <w:lang w:bidi="ar-SA"/>
        </w:rPr>
        <w:t>عيون اخبار الرضا، شيخ صدوق</w:t>
      </w:r>
    </w:p>
    <w:p>
      <w:pPr>
        <w:pStyle w:val="BookText"/>
        <w:rPr/>
      </w:pPr>
      <w:r>
        <w:rPr>
          <w:rFonts w:ascii="Amiri" w:hAnsi="Amiri" w:eastAsia="Amiri" w:cs="Amiri"/>
          <w:color w:val="111111"/>
          <w:sz w:val="28"/>
          <w:sz w:val="28"/>
          <w:szCs w:val="28"/>
          <w:rtl w:val="true"/>
          <w:lang w:bidi="ar-SA"/>
        </w:rPr>
        <w:t>غاية المرام، بحرانى</w:t>
      </w:r>
    </w:p>
    <w:p>
      <w:pPr>
        <w:pStyle w:val="BookText"/>
        <w:rPr/>
      </w:pPr>
      <w:r>
        <w:rPr>
          <w:rFonts w:ascii="IRNazanin" w:hAnsi="IRNazanin" w:eastAsia="IRNazanin"/>
          <w:color w:val="111111"/>
          <w:sz w:val="28"/>
          <w:sz w:val="28"/>
          <w:szCs w:val="28"/>
          <w:rtl w:val="true"/>
          <w:lang w:bidi="fa-IR"/>
        </w:rPr>
        <w:t>فتح البارى، ابن حجر عسقلانى</w:t>
      </w:r>
    </w:p>
    <w:p>
      <w:pPr>
        <w:pStyle w:val="BookText"/>
        <w:rPr/>
      </w:pPr>
      <w:r>
        <w:rPr>
          <w:rFonts w:ascii="Amiri" w:hAnsi="Amiri" w:eastAsia="Amiri" w:cs="Amiri"/>
          <w:color w:val="111111"/>
          <w:sz w:val="28"/>
          <w:sz w:val="28"/>
          <w:szCs w:val="28"/>
          <w:rtl w:val="true"/>
          <w:lang w:bidi="ar-SA"/>
        </w:rPr>
        <w:t>قاموس اللغة، فيروزآبادى</w:t>
      </w:r>
    </w:p>
    <w:p>
      <w:pPr>
        <w:pStyle w:val="BookText"/>
        <w:rPr/>
      </w:pPr>
      <w:r>
        <w:rPr>
          <w:rFonts w:ascii="Amiri" w:hAnsi="Amiri" w:eastAsia="Amiri" w:cs="Amiri"/>
          <w:color w:val="111111"/>
          <w:sz w:val="28"/>
          <w:sz w:val="28"/>
          <w:szCs w:val="28"/>
          <w:rtl w:val="true"/>
          <w:lang w:bidi="ar-SA"/>
        </w:rPr>
        <w:t>كشف الغمه، اربلى</w:t>
      </w:r>
    </w:p>
    <w:p>
      <w:pPr>
        <w:pStyle w:val="BookText"/>
        <w:rPr/>
      </w:pPr>
      <w:r>
        <w:rPr>
          <w:rFonts w:ascii="Amiri" w:hAnsi="Amiri" w:eastAsia="Amiri" w:cs="Amiri"/>
          <w:color w:val="111111"/>
          <w:sz w:val="28"/>
          <w:sz w:val="28"/>
          <w:szCs w:val="28"/>
          <w:rtl w:val="true"/>
          <w:lang w:bidi="ar-SA"/>
        </w:rPr>
        <w:t>كشف المراد، علّامه حلّى</w:t>
      </w:r>
    </w:p>
    <w:p>
      <w:pPr>
        <w:pStyle w:val="BookText"/>
        <w:rPr/>
      </w:pPr>
      <w:r>
        <w:rPr>
          <w:rFonts w:ascii="Amiri" w:hAnsi="Amiri" w:eastAsia="Amiri" w:cs="Amiri"/>
          <w:color w:val="111111"/>
          <w:sz w:val="28"/>
          <w:sz w:val="28"/>
          <w:szCs w:val="28"/>
          <w:rtl w:val="true"/>
          <w:lang w:bidi="ar-SA"/>
        </w:rPr>
        <w:t>كفاية الاثر، خزّاز قمى</w:t>
      </w:r>
    </w:p>
    <w:p>
      <w:pPr>
        <w:pStyle w:val="BookText"/>
        <w:rPr/>
      </w:pPr>
      <w:r>
        <w:rPr>
          <w:rFonts w:ascii="Amiri" w:hAnsi="Amiri" w:eastAsia="Amiri" w:cs="Amiri"/>
          <w:color w:val="111111"/>
          <w:sz w:val="28"/>
          <w:sz w:val="28"/>
          <w:szCs w:val="28"/>
          <w:rtl w:val="true"/>
          <w:lang w:bidi="ar-SA"/>
        </w:rPr>
        <w:t>كمال الدين، شيخ صدوق</w:t>
      </w:r>
    </w:p>
    <w:p>
      <w:pPr>
        <w:pStyle w:val="BookText"/>
        <w:rPr/>
      </w:pPr>
      <w:r>
        <w:rPr>
          <w:rFonts w:ascii="Amiri" w:hAnsi="Amiri" w:eastAsia="Amiri" w:cs="Amiri"/>
          <w:color w:val="111111"/>
          <w:sz w:val="28"/>
          <w:sz w:val="28"/>
          <w:szCs w:val="28"/>
          <w:rtl w:val="true"/>
          <w:lang w:bidi="ar-SA"/>
        </w:rPr>
        <w:t>كنز العمّال، متقى هندى</w:t>
      </w:r>
    </w:p>
    <w:p>
      <w:pPr>
        <w:pStyle w:val="BookText"/>
        <w:rPr/>
      </w:pPr>
      <w:r>
        <w:rPr>
          <w:rFonts w:ascii="IRNazanin" w:hAnsi="IRNazanin" w:eastAsia="IRNazanin"/>
          <w:color w:val="111111"/>
          <w:sz w:val="28"/>
          <w:sz w:val="28"/>
          <w:szCs w:val="28"/>
          <w:rtl w:val="true"/>
          <w:lang w:bidi="fa-IR"/>
        </w:rPr>
        <w:t>لسان العرب</w:t>
      </w:r>
    </w:p>
    <w:p>
      <w:pPr>
        <w:pStyle w:val="BookText"/>
        <w:rPr/>
      </w:pPr>
      <w:r>
        <w:rPr>
          <w:rFonts w:ascii="Amiri" w:hAnsi="Amiri" w:eastAsia="Amiri" w:cs="Amiri"/>
          <w:color w:val="111111"/>
          <w:sz w:val="28"/>
          <w:sz w:val="28"/>
          <w:szCs w:val="28"/>
          <w:rtl w:val="true"/>
          <w:lang w:bidi="ar-SA"/>
        </w:rPr>
        <w:t>ما نزل من القرآن في على، ابونعيم اصفهانى</w:t>
      </w:r>
    </w:p>
    <w:p>
      <w:pPr>
        <w:pStyle w:val="BookText"/>
        <w:rPr/>
      </w:pPr>
      <w:r>
        <w:rPr>
          <w:rFonts w:ascii="Amiri" w:hAnsi="Amiri" w:eastAsia="Amiri" w:cs="Amiri"/>
          <w:color w:val="111111"/>
          <w:sz w:val="28"/>
          <w:sz w:val="28"/>
          <w:szCs w:val="28"/>
          <w:rtl w:val="true"/>
          <w:lang w:bidi="ar-SA"/>
        </w:rPr>
        <w:t>مجمع البيان، طبرسى</w:t>
      </w:r>
    </w:p>
    <w:p>
      <w:pPr>
        <w:pStyle w:val="BookText"/>
        <w:rPr/>
      </w:pPr>
      <w:r>
        <w:rPr>
          <w:rFonts w:ascii="Amiri" w:hAnsi="Amiri" w:eastAsia="Amiri" w:cs="Amiri"/>
          <w:color w:val="111111"/>
          <w:sz w:val="28"/>
          <w:sz w:val="28"/>
          <w:szCs w:val="28"/>
          <w:rtl w:val="true"/>
          <w:lang w:bidi="ar-SA"/>
        </w:rPr>
        <w:t>مفاتيح الغيب، فخر رازى</w:t>
      </w:r>
    </w:p>
    <w:p>
      <w:pPr>
        <w:pStyle w:val="BookText"/>
        <w:rPr/>
      </w:pPr>
      <w:r>
        <w:rPr>
          <w:rFonts w:ascii="IRNazanin" w:hAnsi="IRNazanin" w:eastAsia="IRNazanin"/>
          <w:color w:val="111111"/>
          <w:sz w:val="28"/>
          <w:sz w:val="28"/>
          <w:szCs w:val="28"/>
          <w:rtl w:val="true"/>
          <w:lang w:bidi="fa-IR"/>
        </w:rPr>
        <w:t>منتخب الاثر، صافى گلپايگانى</w:t>
      </w:r>
    </w:p>
    <w:p>
      <w:pPr>
        <w:pStyle w:val="BookText"/>
        <w:rPr/>
      </w:pPr>
      <w:r>
        <w:rPr>
          <w:rFonts w:ascii="Amiri" w:hAnsi="Amiri" w:eastAsia="Amiri" w:cs="Amiri"/>
          <w:color w:val="111111"/>
          <w:sz w:val="28"/>
          <w:sz w:val="28"/>
          <w:szCs w:val="28"/>
          <w:rtl w:val="true"/>
          <w:lang w:bidi="ar-SA"/>
        </w:rPr>
        <w:t>من لا يحضره الفقيه، شيخ صدوق</w:t>
      </w:r>
    </w:p>
    <w:p>
      <w:pPr>
        <w:pStyle w:val="BookText"/>
        <w:rPr/>
      </w:pPr>
      <w:r>
        <w:rPr>
          <w:rFonts w:ascii="Amiri" w:hAnsi="Amiri" w:eastAsia="Amiri" w:cs="Amiri"/>
          <w:color w:val="111111"/>
          <w:sz w:val="28"/>
          <w:sz w:val="28"/>
          <w:szCs w:val="28"/>
          <w:rtl w:val="true"/>
          <w:lang w:bidi="ar-SA"/>
        </w:rPr>
        <w:t>ميزان الاعتدال، ذهبى</w:t>
      </w:r>
    </w:p>
    <w:p>
      <w:pPr>
        <w:pStyle w:val="BookText"/>
        <w:rPr/>
      </w:pPr>
      <w:r>
        <w:rPr>
          <w:rFonts w:ascii="Amiri" w:hAnsi="Amiri" w:eastAsia="Amiri" w:cs="Amiri"/>
          <w:color w:val="111111"/>
          <w:sz w:val="28"/>
          <w:sz w:val="28"/>
          <w:szCs w:val="28"/>
          <w:rtl w:val="true"/>
          <w:lang w:bidi="ar-SA"/>
        </w:rPr>
        <w:t>نشأة التشيع، سيد طالب خرسان</w:t>
      </w:r>
    </w:p>
    <w:p>
      <w:pPr>
        <w:pStyle w:val="BookText"/>
        <w:rPr/>
      </w:pPr>
      <w:r>
        <w:rPr>
          <w:rFonts w:ascii="Amiri" w:hAnsi="Amiri" w:eastAsia="Amiri" w:cs="Amiri"/>
          <w:color w:val="111111"/>
          <w:sz w:val="28"/>
          <w:sz w:val="28"/>
          <w:szCs w:val="28"/>
          <w:rtl w:val="true"/>
          <w:lang w:bidi="ar-SA"/>
        </w:rPr>
        <w:t>نفحات الازهار في خلاصة عبقات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ميلانى</w:t>
      </w:r>
    </w:p>
    <w:p>
      <w:pPr>
        <w:pStyle w:val="BookText"/>
        <w:rPr/>
      </w:pPr>
      <w:r>
        <w:rPr>
          <w:rFonts w:ascii="IRNazanin" w:hAnsi="IRNazanin" w:eastAsia="IRNazanin"/>
          <w:color w:val="111111"/>
          <w:sz w:val="28"/>
          <w:sz w:val="28"/>
          <w:szCs w:val="28"/>
          <w:rtl w:val="true"/>
          <w:lang w:bidi="fa-IR"/>
        </w:rPr>
        <w:t>نور الابصار، شبلنجى</w:t>
      </w:r>
    </w:p>
    <w:p>
      <w:pPr>
        <w:pStyle w:val="BookText"/>
        <w:rPr/>
      </w:pPr>
      <w:r>
        <w:rPr>
          <w:rFonts w:ascii="Amiri" w:hAnsi="Amiri" w:eastAsia="Amiri" w:cs="Amiri"/>
          <w:color w:val="111111"/>
          <w:sz w:val="28"/>
          <w:sz w:val="28"/>
          <w:szCs w:val="28"/>
          <w:rtl w:val="true"/>
          <w:lang w:bidi="ar-SA"/>
        </w:rPr>
        <w:t>نهج‌البلاغه، سيد رضى</w:t>
      </w:r>
    </w:p>
    <w:p>
      <w:pPr>
        <w:pStyle w:val="BookText"/>
        <w:rPr/>
      </w:pPr>
      <w:r>
        <w:rPr>
          <w:rFonts w:ascii="Amiri" w:hAnsi="Amiri" w:eastAsia="Amiri" w:cs="Amiri"/>
          <w:color w:val="111111"/>
          <w:sz w:val="28"/>
          <w:sz w:val="28"/>
          <w:szCs w:val="28"/>
          <w:rtl w:val="true"/>
          <w:lang w:bidi="ar-SA"/>
        </w:rPr>
        <w:t>وسائل الشيعة، شيخ حرّ عاملى</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ينابيع المودة، قندوزى‌</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نورالابصار،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فصل</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فصل نهم،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علاقه مندان مي توانند جهت اطلاع بيشتر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شيعيان علي از نگاه 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كنند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الشيعة،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بحوث في الملل و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جزوه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شامل چهل حديث در اين باره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قم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الوصية،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الشيعة و اصولها،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قاهره، و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دارالاضواء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سيد محسن امين در اعيان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شيخ محمد حسين مظفر در تاريخ الشيعة،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شيخ محمد جواد مغنيه در الشيعة و التشيع،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علامه طباطبايي در شيعه در اسلام،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آية الله سبحاني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بحوث في الملل و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سيد طالب خِرسان در نشأة التشيع،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نظريه را برگزيده اند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شيعه در اسلام،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در كتاب 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دكتر حسن ابراهيم حسن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احمد امين مصري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ضحي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و مؤلف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العقيدة و الشريعة في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اين نظريه را برگزيده اند،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نشأة التشيع،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تاريخ 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تفسير طبري جامع البيان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تفسير سوره شعراء، آيه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باب غزوه تبوك؛ 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در باب فضايل علي عليه السلام ؛ 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باب فضائل النبي؛ مسند امام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سيره نبويه، ابن هشام،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غزوه تبوك</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وَهَبْنا لَهُ مِنْ رَحْمَتِنا أَخاهُ هارُونَ نَبِيّاً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إِذْ قالَ مُوسي ِلأَخيهِ هارُونَ اخْلُفْني في قَوْمي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اجْعَلْ لي وَزيراً مِنْ أَهْلي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الصواعق المحرقة،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تاريخ الخلفاء، ص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الخصائص الكبري،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ينابيع المودّة،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فتح القدير،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ديگر</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سنن ترمذي،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سنن 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خصائص علويه، نسائي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مستدرك 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و كتب ديگر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ضمناً مي توان به رساله حديث الثقلين از نشريات دارالتقريب بين المذاهب الاسلامية قاهره، رجوع كرد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محدثان و مفسران اسلامي به نزول اين ايه در پايان حجة الوداع، روز غدير، اشاره كرده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بنگريد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سيوطي،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فتح القدير شوكاني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كشف الغمة اربلي،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ينابيع المودة قندوزي،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المنار،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براي آگاهي از اسناد تهنيت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گروهي از صحابه و تابعين، آيه فوق را مربوط به واقعه غدير خم دانسته اند، مانند ابوسعيد خدري، زيد بن ارقم، جابربن عبدالله انصاري، ابوهريره و مجاهد مكي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 آشنايي با روايات اشخاص فوق درباره واقعه مزبور، 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در تفسير خود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حافظ ابونعيم اصفهاني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نزل من القرآن في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خطيب بغدادي در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خود،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الدرالمنثور،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خطيب خوارزمي در كتاب مناقب كه عبارت آنان را كتاب الغدير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رازي در تفسير خود مي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نزول اين آيه، پيامبر گرامي كمتر از سه ماه زنده بود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سيره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آگاهي از ساير روايات، به كتب حديث مانند اصول كافي، كفاية الاثر؛ اثبات الهداة، منتخب الاثر و غيره رجوع شود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باب الاستخلاف؛ صحيح مسلم،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الامارة؛ مسند احمد،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مستدرك 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تاريخ ولادت و وفات برخي از ائمه اختلاف است كه ما يكي از اقوال را برگزيديم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مي دانيم كه درگذشت همه يا غالب آنها به صورت شهادت رخ داده كه شرح آن در تواريخ مذكور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 مبحث امامت، مسأله ي دوم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الحجة، باب نادر جامع في فضل الامام و صفاته،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اگر آن دو سال نبود هلاك شده بودم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الصادق و المذاهب الاربعة،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الاعتقاد،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امالي شيخ طوسي</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تفويض اين است كه كسي بر اين عقيده باشد كه امر خلق و رزق بندگان به ائمه عليهم السلام واگذار شده است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به نقل از عيون اخبار الرضا عليه السلام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حجّيت اجماع هم از نظر شيعه بستگي به كاشف بودن از قول معصوم دارد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الاخذ بالسنة و شواهد الكتاب</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تقرير اين است كه مثلا كسي نزد امام عليه السلام كاري را به عنوان يك عمل مستحب انجام دهد و امام عليه السلام سكوت كند و به او نگويد كه اين كار مستحب نيست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الشيعة و اصولها،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ثقلين به عبارت هاي مختلف نقل شده است، آنچه در متن آمده نقل مشهور آن است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سند حديث و راويان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عبقات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اول و دوم 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ي شماره 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الازهار في خلاصة عبقات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علي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جهت آگاهي از ديگر مصادر حديث سفينة از طريق عامّه و خاصّه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هاشم 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مراجعه ي شماره ي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به نقل از الصواعق المحرقة،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تفسير آيه ي هفتم</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طبرسي،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كتاب ايمان،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فضايل علي،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كتاب ايمان و كفر، به نقل از معاني الاخبار شيخ صدوق</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كتاب الإيمان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شهادة أن لا إله إلاّ الله و انّ محمّداً رسول الله و إقامة الصلاة و إيتاء الزكاة و الحج و صوم رمضان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شيخ صدوق،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 ي اول</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روشن است كه مقصود امام عليه السلام نفي واقعيت صفات از ذات الهي نيست، زيرا اين سخن اولا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مستلزم نقص در ذات الهي است و ثانياً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ديگر سخنان امام عليه السلام كه خداوند را به صفات ثبوتيه ذاتيه مانند علم و قدرت توصيف نموده است منافات دارد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إِذْ قُلْنا لِلْمَلائِكَةِ اسْجُدُوا ِلآدَمَ فَسَجَدُوا إِلاّ إِبْليسَ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رَفَعَ أَبَوَيْهِ عَلَي الْعَرْشِ وَ خَرُّوا لَهُ سُجَّداً وَ قالَ يا أَبَتِ هذا تَأْويلُ رُءْيايَ مِنْ قَبْلُ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الشِّرْكَ لَظُلْمٌ عَظيم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 إِنَّ اللهَ لا يَأْمُرُ بِالْفَحْشاءِ أَ تَقُولُونَ عَلَي اللهِ ما لا تَعْلَمُونَ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الذوق الديني المتخذ من الاستيناس بظواهره يقضي باختصاص هذا الفعل به تعالي، و المنع عن استعماله في غير مورده تعالي، و ان لم يقصد به الا التحية والتكرمة فقط، الميزان،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الالهيات،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كتاب توحيد،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ي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قيامت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شيخ صدوق، ابواب پنجگانه، صحيح 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من رجل مسلم يموت فيقوم علي جنازته أربعون رجلا لا يشركون بالله شيئاً، إلاّ شفّعهم الله فيه 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النّبي أن يشفع لي يوم القيامة فقال أنا فاعل، قلت فأين أطلبك؟ فقال علي الصراط سنن 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باب ما جاء في شأن الصراط</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يا أَبانَا اسْتَغْفِرْ لَنا ذُنُوبَنا إِنّا كُنّا خاطِئينَ قالَ سَوْفَ أَسْتَغْفِرُ لَكُمْ رَبّي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 أَنَّهُمْ إِذْ ظَلَمُوا أَنْفُسَهُمْ جاؤُكَ فَاسْتَغْفَرُوا اللهَ وَ اسْتَغْفَرَ لَهُمُ الرَّسُولُ لَوَجَدُوا اللهَ تَوّاباً رَحيماً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منافقين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إِذا قيلَ لَهُمْ تَعالَوْا يَسْتَغْفِرْ لَكُمْ رَسُولُ اللهِ لَوَّوْا رُؤُسَهُمْ وَ رَأَيْتَهُمْ يَصُدُّونَ وَ هُمْ مُسْتَكْبِرُونَ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ما جاء في زيارة القبور،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ما يقال عند دخول القبور،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باب قتل ابي جهل، سيره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ما يقال عند دخول القبر</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بخش خطبه ها، شماره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تفسير 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تفسير نسفي، در حاشيه تفسير خازن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روح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جامع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جامع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الامام اميرالمؤمنين تأليف حافظ محمد بن سليمان كوفي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علل الشرايع باب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جامع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سيره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مدرك قبل، و مقريزي در امتاع الأسماع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بيست جلدي</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سلفيه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دارالفكر بيروت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أبواب مواقيت،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أبواب مواقعيت،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أبواب مواقعيت،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كتاب صلاة المسافرين وقصرها،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دارالفكر</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زرقاني بر موطأ مالك،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الجمع بين الصلاتين في الحضر و السفر،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 صدوق،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الساري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الاعتصام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كلمه غَنَم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قريب به اين معناست كلام ابن اثير در النهاية، و كلام فيروز آبادي در قاموس اللغة</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وسايل الشيعه،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كتاب خمس، باب اول</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ابواب المتعة، باب اول</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اين است كه آنان جمله 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 أجل مسمّي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عنوان تفسير به هنگام قرائت آيه اضافه مي كردند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مفتايح الغيب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سوره فتح آيه هاي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سوره حشر 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دو آيه فوق به تفاسير مراجعه شود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نجاشي، شماره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نديم، رجال نجاشي، فهرست شيخ طوسي، تأسيس الشيعة، الذريعة إلي تصانيف الشيعة، أعيان الشيعة، و جلد ششم از بحوث في الملل و النحل و كتب ديگر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image" Target="media/image2.jpeg"/><Relationship Id="rId165" Type="http://schemas.openxmlformats.org/officeDocument/2006/relationships/image" Target="media/image2.jpeg"/><Relationship Id="rId166" Type="http://schemas.openxmlformats.org/officeDocument/2006/relationships/footer" Target="footer159.xml"/><Relationship Id="rId167" Type="http://schemas.openxmlformats.org/officeDocument/2006/relationships/footnotes" Target="footnotes.xml"/><Relationship Id="rId168" Type="http://schemas.openxmlformats.org/officeDocument/2006/relationships/numbering" Target="numbering.xml"/><Relationship Id="rId169" Type="http://schemas.openxmlformats.org/officeDocument/2006/relationships/fontTable" Target="fontTable.xml"/><Relationship Id="rId170" Type="http://schemas.openxmlformats.org/officeDocument/2006/relationships/settings" Target="settings.xml"/><Relationship Id="rId17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162</Pages>
  <Words>29717</Words>
  <Characters>110307</Characters>
  <CharactersWithSpaces>139099</CharactersWithSpaces>
  <Paragraphs>1132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2026-08-16T07:08:54Z</dcterms:created>
  <dc:creator>ghaemiyeh.com</dc:creator>
  <dc:description/>
  <dc:language>en-US</dc:language>
  <cp:lastModifiedBy/>
  <dcterms:modified xsi:type="dcterms:W3CDTF">2026-08-16T10:38:58Z</dcterms:modified>
  <cp:revision>1</cp:revision>
  <dc:subject/>
  <dc:title>شیعه و پاسخ به چند پرسش</dc:title>
</cp:coreProperties>
</file>

<file path=docProps/custom.xml><?xml version="1.0" encoding="utf-8"?>
<Properties xmlns="http://schemas.openxmlformats.org/officeDocument/2006/custom-properties" xmlns:vt="http://schemas.openxmlformats.org/officeDocument/2006/docPropsVTypes"/>
</file>