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4.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5.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العقول الی مباحث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06862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506864_3381743652">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7506866_3381743652">
            <w:r>
              <w:rPr>
                <w:webHidden/>
                <w:rStyle w:val="IndexLink"/>
                <w:rtl w:val="true"/>
              </w:rPr>
              <w:t>مقدمة المحاضر</w:t>
            </w:r>
            <w:r>
              <w:rPr>
                <w:rStyle w:val="IndexLink"/>
                <w:rtl w:val="true"/>
              </w:rPr>
              <w:t>:</w:t>
              <w:tab/>
            </w:r>
            <w:r>
              <w:rPr>
                <w:rStyle w:val="IndexLink"/>
              </w:rPr>
              <w:t>14</w:t>
            </w:r>
          </w:hyperlink>
        </w:p>
        <w:p>
          <w:pPr>
            <w:pStyle w:val="Contents2"/>
            <w:tabs>
              <w:tab w:val="clear" w:pos="8743"/>
              <w:tab w:val="right" w:pos="9026" w:leader="dot"/>
            </w:tabs>
            <w:rPr/>
          </w:pPr>
          <w:hyperlink w:anchor="__RefHeading___Toc7506868_3381743652">
            <w:r>
              <w:rPr>
                <w:webHidden/>
                <w:rStyle w:val="IndexLink"/>
                <w:rtl w:val="true"/>
              </w:rPr>
              <w:t>مقدمة المؤلّف</w:t>
            </w:r>
            <w:r>
              <w:rPr>
                <w:rStyle w:val="IndexLink"/>
                <w:rtl w:val="true"/>
              </w:rPr>
              <w:t>:</w:t>
              <w:tab/>
            </w:r>
            <w:r>
              <w:rPr>
                <w:rStyle w:val="IndexLink"/>
              </w:rPr>
              <w:t>15</w:t>
            </w:r>
          </w:hyperlink>
        </w:p>
        <w:p>
          <w:pPr>
            <w:pStyle w:val="Contents2"/>
            <w:tabs>
              <w:tab w:val="clear" w:pos="8743"/>
              <w:tab w:val="right" w:pos="9026" w:leader="dot"/>
            </w:tabs>
            <w:rPr/>
          </w:pPr>
          <w:hyperlink w:anchor="__RefHeading___Toc7506870_3381743652">
            <w:r>
              <w:rPr>
                <w:webHidden/>
                <w:rStyle w:val="IndexLink"/>
                <w:rtl w:val="true"/>
              </w:rPr>
              <w:t>تتمة المقصد السابع</w:t>
            </w:r>
            <w:r>
              <w:rPr>
                <w:rStyle w:val="IndexLink"/>
                <w:rtl w:val="true"/>
              </w:rPr>
              <w:tab/>
            </w:r>
            <w:r>
              <w:rPr>
                <w:rStyle w:val="IndexLink"/>
              </w:rPr>
              <w:t>17</w:t>
            </w:r>
          </w:hyperlink>
        </w:p>
        <w:p>
          <w:pPr>
            <w:pStyle w:val="Contents3"/>
            <w:tabs>
              <w:tab w:val="clear" w:pos="8459"/>
              <w:tab w:val="right" w:pos="9026" w:leader="dot"/>
            </w:tabs>
            <w:rPr/>
          </w:pPr>
          <w:hyperlink w:anchor="__RefHeading___Toc7506872_3381743652">
            <w:r>
              <w:rPr>
                <w:webHidden/>
                <w:rStyle w:val="IndexLink"/>
                <w:rtl w:val="true"/>
              </w:rPr>
              <w:t>الأصل الرابع من الأُصول العملية</w:t>
            </w:r>
            <w:r>
              <w:rPr>
                <w:rStyle w:val="IndexLink"/>
                <w:rtl w:val="true"/>
              </w:rPr>
              <w:tab/>
            </w:r>
            <w:r>
              <w:rPr>
                <w:rStyle w:val="IndexLink"/>
              </w:rPr>
              <w:t>17</w:t>
            </w:r>
          </w:hyperlink>
        </w:p>
        <w:p>
          <w:pPr>
            <w:pStyle w:val="Contents4"/>
            <w:tabs>
              <w:tab w:val="clear" w:pos="8176"/>
              <w:tab w:val="right" w:pos="9026" w:leader="dot"/>
            </w:tabs>
            <w:rPr/>
          </w:pPr>
          <w:hyperlink w:anchor="__RefHeading___Toc7506874_3381743652">
            <w:r>
              <w:rPr>
                <w:webHidden/>
                <w:rStyle w:val="IndexLink"/>
                <w:rtl w:val="true"/>
              </w:rPr>
              <w:t>الاستصحاب</w:t>
            </w:r>
            <w:r>
              <w:rPr>
                <w:rStyle w:val="IndexLink"/>
                <w:rtl w:val="true"/>
              </w:rPr>
              <w:tab/>
            </w:r>
            <w:r>
              <w:rPr>
                <w:rStyle w:val="IndexLink"/>
              </w:rPr>
              <w:t>17</w:t>
            </w:r>
          </w:hyperlink>
        </w:p>
        <w:p>
          <w:pPr>
            <w:pStyle w:val="Contents5"/>
            <w:tabs>
              <w:tab w:val="clear" w:pos="7892"/>
              <w:tab w:val="right" w:pos="9026" w:leader="dot"/>
            </w:tabs>
            <w:rPr/>
          </w:pPr>
          <w:hyperlink w:anchor="__RefHeading___Toc7506876_3381743652">
            <w:r>
              <w:rPr>
                <w:webHidden/>
                <w:rStyle w:val="IndexLink"/>
                <w:rtl w:val="true"/>
              </w:rPr>
              <w:t>اشارة</w:t>
            </w:r>
            <w:r>
              <w:rPr>
                <w:rStyle w:val="IndexLink"/>
                <w:rtl w:val="true"/>
              </w:rPr>
              <w:tab/>
            </w:r>
            <w:r>
              <w:rPr>
                <w:rStyle w:val="IndexLink"/>
              </w:rPr>
              <w:t>17</w:t>
            </w:r>
          </w:hyperlink>
        </w:p>
        <w:p>
          <w:pPr>
            <w:pStyle w:val="Contents5"/>
            <w:tabs>
              <w:tab w:val="clear" w:pos="7892"/>
              <w:tab w:val="right" w:pos="9026" w:leader="dot"/>
            </w:tabs>
            <w:rPr/>
          </w:pPr>
          <w:hyperlink w:anchor="__RefHeading___Toc7506878_3381743652">
            <w:r>
              <w:rPr>
                <w:webHidden/>
                <w:rStyle w:val="IndexLink"/>
                <w:rtl w:val="true"/>
              </w:rPr>
              <w:t>الأمر الأوّل</w:t>
            </w:r>
            <w:r>
              <w:rPr>
                <w:rStyle w:val="IndexLink"/>
                <w:rtl w:val="true"/>
              </w:rPr>
              <w:t xml:space="preserve">: </w:t>
            </w:r>
            <w:r>
              <w:rPr>
                <w:rStyle w:val="IndexLink"/>
                <w:rtl w:val="true"/>
              </w:rPr>
              <w:t>في تعريف الاستصحاب</w:t>
            </w:r>
            <w:r>
              <w:rPr>
                <w:rStyle w:val="IndexLink"/>
                <w:rtl w:val="true"/>
              </w:rPr>
              <w:tab/>
            </w:r>
            <w:r>
              <w:rPr>
                <w:rStyle w:val="IndexLink"/>
              </w:rPr>
              <w:t>17</w:t>
            </w:r>
          </w:hyperlink>
        </w:p>
        <w:p>
          <w:pPr>
            <w:pStyle w:val="Contents5"/>
            <w:tabs>
              <w:tab w:val="clear" w:pos="7892"/>
              <w:tab w:val="right" w:pos="9026" w:leader="dot"/>
            </w:tabs>
            <w:rPr/>
          </w:pPr>
          <w:hyperlink w:anchor="__RefHeading___Toc7506880_3381743652">
            <w:r>
              <w:rPr>
                <w:webHidden/>
                <w:rStyle w:val="IndexLink"/>
                <w:rtl w:val="true"/>
              </w:rPr>
              <w:t>الأمر الثاني</w:t>
            </w:r>
            <w:r>
              <w:rPr>
                <w:rStyle w:val="IndexLink"/>
                <w:rtl w:val="true"/>
              </w:rPr>
              <w:t xml:space="preserve">: </w:t>
            </w:r>
            <w:r>
              <w:rPr>
                <w:rStyle w:val="IndexLink"/>
                <w:rtl w:val="true"/>
              </w:rPr>
              <w:t>الاستصحاب مسألة أُصولية لا قاعدة فقهية</w:t>
            </w:r>
            <w:r>
              <w:rPr>
                <w:rStyle w:val="IndexLink"/>
                <w:rtl w:val="true"/>
              </w:rPr>
              <w:tab/>
            </w:r>
            <w:r>
              <w:rPr>
                <w:rStyle w:val="IndexLink"/>
              </w:rPr>
              <w:t>20</w:t>
            </w:r>
          </w:hyperlink>
        </w:p>
        <w:p>
          <w:pPr>
            <w:pStyle w:val="Contents5"/>
            <w:tabs>
              <w:tab w:val="clear" w:pos="7892"/>
              <w:tab w:val="right" w:pos="9026" w:leader="dot"/>
            </w:tabs>
            <w:rPr/>
          </w:pPr>
          <w:hyperlink w:anchor="__RefHeading___Toc7506882_3381743652">
            <w:r>
              <w:rPr>
                <w:webHidden/>
                <w:rStyle w:val="IndexLink"/>
                <w:rtl w:val="true"/>
              </w:rPr>
              <w:t>الأمر الثالث</w:t>
            </w:r>
            <w:r>
              <w:rPr>
                <w:rStyle w:val="IndexLink"/>
                <w:rtl w:val="true"/>
              </w:rPr>
              <w:t xml:space="preserve">: </w:t>
            </w:r>
            <w:r>
              <w:rPr>
                <w:rStyle w:val="IndexLink"/>
                <w:rtl w:val="true"/>
              </w:rPr>
              <w:t>أركان الاستصحاب</w:t>
            </w:r>
            <w:r>
              <w:rPr>
                <w:rStyle w:val="IndexLink"/>
                <w:rtl w:val="true"/>
              </w:rPr>
              <w:tab/>
            </w:r>
            <w:r>
              <w:rPr>
                <w:rStyle w:val="IndexLink"/>
              </w:rPr>
              <w:t>23</w:t>
            </w:r>
          </w:hyperlink>
        </w:p>
        <w:p>
          <w:pPr>
            <w:pStyle w:val="Contents5"/>
            <w:tabs>
              <w:tab w:val="clear" w:pos="7892"/>
              <w:tab w:val="right" w:pos="9026" w:leader="dot"/>
            </w:tabs>
            <w:rPr/>
          </w:pPr>
          <w:hyperlink w:anchor="__RefHeading___Toc7506884_3381743652">
            <w:r>
              <w:rPr>
                <w:webHidden/>
                <w:rStyle w:val="IndexLink"/>
                <w:rtl w:val="true"/>
              </w:rPr>
              <w:t>الأمر الرابع</w:t>
            </w:r>
            <w:r>
              <w:rPr>
                <w:rStyle w:val="IndexLink"/>
                <w:rtl w:val="true"/>
              </w:rPr>
              <w:t xml:space="preserve">: </w:t>
            </w:r>
            <w:r>
              <w:rPr>
                <w:rStyle w:val="IndexLink"/>
                <w:rtl w:val="true"/>
              </w:rPr>
              <w:t>في القواعد الثلاث</w:t>
            </w:r>
            <w:r>
              <w:rPr>
                <w:rStyle w:val="IndexLink"/>
                <w:rtl w:val="true"/>
              </w:rPr>
              <w:tab/>
            </w:r>
            <w:r>
              <w:rPr>
                <w:rStyle w:val="IndexLink"/>
              </w:rPr>
              <w:t>24</w:t>
            </w:r>
          </w:hyperlink>
        </w:p>
        <w:p>
          <w:pPr>
            <w:pStyle w:val="Contents6"/>
            <w:tabs>
              <w:tab w:val="clear" w:pos="7609"/>
              <w:tab w:val="right" w:pos="9026" w:leader="dot"/>
            </w:tabs>
            <w:rPr/>
          </w:pPr>
          <w:hyperlink w:anchor="__RefHeading___Toc7506886_3381743652">
            <w:r>
              <w:rPr>
                <w:webHidden/>
                <w:rStyle w:val="IndexLink"/>
                <w:rtl w:val="true"/>
              </w:rPr>
              <w:t>اشارة</w:t>
            </w:r>
            <w:r>
              <w:rPr>
                <w:rStyle w:val="IndexLink"/>
                <w:rtl w:val="true"/>
              </w:rPr>
              <w:tab/>
            </w:r>
            <w:r>
              <w:rPr>
                <w:rStyle w:val="IndexLink"/>
              </w:rPr>
              <w:t>24</w:t>
            </w:r>
          </w:hyperlink>
        </w:p>
        <w:p>
          <w:pPr>
            <w:pStyle w:val="Contents6"/>
            <w:tabs>
              <w:tab w:val="clear" w:pos="7609"/>
              <w:tab w:val="right" w:pos="9026" w:leader="dot"/>
            </w:tabs>
            <w:rPr/>
          </w:pPr>
          <w:hyperlink w:anchor="__RefHeading___Toc7506888_3381743652">
            <w:r>
              <w:rPr>
                <w:webHidden/>
                <w:rStyle w:val="IndexLink"/>
                <w:rtl w:val="true"/>
              </w:rPr>
              <w:t>أ</w:t>
            </w:r>
            <w:r>
              <w:rPr>
                <w:rStyle w:val="IndexLink"/>
                <w:rtl w:val="true"/>
              </w:rPr>
              <w:t xml:space="preserve">: </w:t>
            </w:r>
            <w:r>
              <w:rPr>
                <w:rStyle w:val="IndexLink"/>
                <w:rtl w:val="true"/>
              </w:rPr>
              <w:t>قاعدة اليقين أو الشكّ الساري</w:t>
            </w:r>
            <w:r>
              <w:rPr>
                <w:rStyle w:val="IndexLink"/>
                <w:rtl w:val="true"/>
              </w:rPr>
              <w:tab/>
            </w:r>
            <w:r>
              <w:rPr>
                <w:rStyle w:val="IndexLink"/>
              </w:rPr>
              <w:t>24</w:t>
            </w:r>
          </w:hyperlink>
        </w:p>
        <w:p>
          <w:pPr>
            <w:pStyle w:val="Contents6"/>
            <w:tabs>
              <w:tab w:val="clear" w:pos="7609"/>
              <w:tab w:val="right" w:pos="9026" w:leader="dot"/>
            </w:tabs>
            <w:rPr/>
          </w:pPr>
          <w:hyperlink w:anchor="__RefHeading___Toc7506890_3381743652">
            <w:r>
              <w:rPr>
                <w:webHidden/>
                <w:rStyle w:val="IndexLink"/>
                <w:rtl w:val="true"/>
              </w:rPr>
              <w:t>ب</w:t>
            </w:r>
            <w:r>
              <w:rPr>
                <w:rStyle w:val="IndexLink"/>
                <w:rtl w:val="true"/>
              </w:rPr>
              <w:t xml:space="preserve">: </w:t>
            </w:r>
            <w:r>
              <w:rPr>
                <w:rStyle w:val="IndexLink"/>
                <w:rtl w:val="true"/>
              </w:rPr>
              <w:t>قاعدة المقتضي والمانع</w:t>
            </w:r>
            <w:r>
              <w:rPr>
                <w:rStyle w:val="IndexLink"/>
                <w:rtl w:val="true"/>
              </w:rPr>
              <w:tab/>
            </w:r>
            <w:r>
              <w:rPr>
                <w:rStyle w:val="IndexLink"/>
              </w:rPr>
              <w:t>26</w:t>
            </w:r>
          </w:hyperlink>
        </w:p>
        <w:p>
          <w:pPr>
            <w:pStyle w:val="Contents6"/>
            <w:tabs>
              <w:tab w:val="clear" w:pos="7609"/>
              <w:tab w:val="right" w:pos="9026" w:leader="dot"/>
            </w:tabs>
            <w:rPr/>
          </w:pPr>
          <w:hyperlink w:anchor="__RefHeading___Toc7506892_3381743652">
            <w:r>
              <w:rPr>
                <w:webHidden/>
                <w:rStyle w:val="IndexLink"/>
                <w:rtl w:val="true"/>
              </w:rPr>
              <w:t>ج</w:t>
            </w:r>
            <w:r>
              <w:rPr>
                <w:rStyle w:val="IndexLink"/>
                <w:rtl w:val="true"/>
              </w:rPr>
              <w:t xml:space="preserve">: </w:t>
            </w:r>
            <w:r>
              <w:rPr>
                <w:rStyle w:val="IndexLink"/>
                <w:rtl w:val="true"/>
              </w:rPr>
              <w:t>الاستصحاب القهقري</w:t>
            </w:r>
            <w:r>
              <w:rPr>
                <w:rStyle w:val="IndexLink"/>
                <w:rtl w:val="true"/>
              </w:rPr>
              <w:tab/>
            </w:r>
            <w:r>
              <w:rPr>
                <w:rStyle w:val="IndexLink"/>
              </w:rPr>
              <w:t>26</w:t>
            </w:r>
          </w:hyperlink>
        </w:p>
        <w:p>
          <w:pPr>
            <w:pStyle w:val="Contents5"/>
            <w:tabs>
              <w:tab w:val="clear" w:pos="7892"/>
              <w:tab w:val="right" w:pos="9026" w:leader="dot"/>
            </w:tabs>
            <w:rPr/>
          </w:pPr>
          <w:hyperlink w:anchor="__RefHeading___Toc7506894_3381743652">
            <w:r>
              <w:rPr>
                <w:webHidden/>
                <w:rStyle w:val="IndexLink"/>
                <w:rtl w:val="true"/>
              </w:rPr>
              <w:t>الأمر الخامس</w:t>
            </w:r>
            <w:r>
              <w:rPr>
                <w:rStyle w:val="IndexLink"/>
                <w:rtl w:val="true"/>
              </w:rPr>
              <w:t xml:space="preserve">: </w:t>
            </w:r>
            <w:r>
              <w:rPr>
                <w:rStyle w:val="IndexLink"/>
                <w:rtl w:val="true"/>
              </w:rPr>
              <w:t>في تقسيمات الاستصحاب</w:t>
            </w:r>
            <w:r>
              <w:rPr>
                <w:rStyle w:val="IndexLink"/>
                <w:rtl w:val="true"/>
              </w:rPr>
              <w:tab/>
            </w:r>
            <w:r>
              <w:rPr>
                <w:rStyle w:val="IndexLink"/>
              </w:rPr>
              <w:t>27</w:t>
            </w:r>
          </w:hyperlink>
        </w:p>
        <w:p>
          <w:pPr>
            <w:pStyle w:val="Contents4"/>
            <w:tabs>
              <w:tab w:val="clear" w:pos="8176"/>
              <w:tab w:val="right" w:pos="9026" w:leader="dot"/>
            </w:tabs>
            <w:rPr/>
          </w:pPr>
          <w:hyperlink w:anchor="__RefHeading___Toc7506896_3381743652">
            <w:r>
              <w:rPr>
                <w:webHidden/>
                <w:rStyle w:val="IndexLink"/>
                <w:rtl w:val="true"/>
              </w:rPr>
              <w:t>حجّية الاستصحاب</w:t>
            </w:r>
            <w:r>
              <w:rPr>
                <w:rStyle w:val="IndexLink"/>
                <w:rtl w:val="true"/>
              </w:rPr>
              <w:tab/>
            </w:r>
            <w:r>
              <w:rPr>
                <w:rStyle w:val="IndexLink"/>
              </w:rPr>
              <w:t>30</w:t>
            </w:r>
          </w:hyperlink>
        </w:p>
        <w:p>
          <w:pPr>
            <w:pStyle w:val="Contents5"/>
            <w:tabs>
              <w:tab w:val="clear" w:pos="7892"/>
              <w:tab w:val="right" w:pos="9026" w:leader="dot"/>
            </w:tabs>
            <w:rPr/>
          </w:pPr>
          <w:hyperlink w:anchor="__RefHeading___Toc7506898_3381743652">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7506900_3381743652">
            <w:r>
              <w:rPr>
                <w:webHidden/>
                <w:rStyle w:val="IndexLink"/>
                <w:rtl w:val="true"/>
              </w:rPr>
              <w:t>الأوّل</w:t>
            </w:r>
            <w:r>
              <w:rPr>
                <w:rStyle w:val="IndexLink"/>
                <w:rtl w:val="true"/>
              </w:rPr>
              <w:t xml:space="preserve">: </w:t>
            </w:r>
            <w:r>
              <w:rPr>
                <w:rStyle w:val="IndexLink"/>
                <w:rtl w:val="true"/>
              </w:rPr>
              <w:t>بناء العقلاء</w:t>
            </w:r>
            <w:r>
              <w:rPr>
                <w:rStyle w:val="IndexLink"/>
                <w:rtl w:val="true"/>
              </w:rPr>
              <w:tab/>
            </w:r>
            <w:r>
              <w:rPr>
                <w:rStyle w:val="IndexLink"/>
              </w:rPr>
              <w:t>30</w:t>
            </w:r>
          </w:hyperlink>
        </w:p>
        <w:p>
          <w:pPr>
            <w:pStyle w:val="Contents5"/>
            <w:tabs>
              <w:tab w:val="clear" w:pos="7892"/>
              <w:tab w:val="right" w:pos="9026" w:leader="dot"/>
            </w:tabs>
            <w:rPr/>
          </w:pPr>
          <w:hyperlink w:anchor="__RefHeading___Toc7506902_3381743652">
            <w:r>
              <w:rPr>
                <w:webHidden/>
                <w:rStyle w:val="IndexLink"/>
                <w:rtl w:val="true"/>
              </w:rPr>
              <w:t>الثاني</w:t>
            </w:r>
            <w:r>
              <w:rPr>
                <w:rStyle w:val="IndexLink"/>
                <w:rtl w:val="true"/>
              </w:rPr>
              <w:t xml:space="preserve">: </w:t>
            </w:r>
            <w:r>
              <w:rPr>
                <w:rStyle w:val="IndexLink"/>
                <w:rtl w:val="true"/>
              </w:rPr>
              <w:t>الاستقراء</w:t>
            </w:r>
            <w:r>
              <w:rPr>
                <w:rStyle w:val="IndexLink"/>
                <w:rtl w:val="true"/>
              </w:rPr>
              <w:tab/>
            </w:r>
            <w:r>
              <w:rPr>
                <w:rStyle w:val="IndexLink"/>
              </w:rPr>
              <w:t>32</w:t>
            </w:r>
          </w:hyperlink>
        </w:p>
        <w:p>
          <w:pPr>
            <w:pStyle w:val="Contents5"/>
            <w:tabs>
              <w:tab w:val="clear" w:pos="7892"/>
              <w:tab w:val="right" w:pos="9026" w:leader="dot"/>
            </w:tabs>
            <w:rPr/>
          </w:pPr>
          <w:hyperlink w:anchor="__RefHeading___Toc7506904_3381743652">
            <w:r>
              <w:rPr>
                <w:webHidden/>
                <w:rStyle w:val="IndexLink"/>
                <w:rtl w:val="true"/>
              </w:rPr>
              <w:t>الثالث</w:t>
            </w:r>
            <w:r>
              <w:rPr>
                <w:rStyle w:val="IndexLink"/>
                <w:rtl w:val="true"/>
              </w:rPr>
              <w:t xml:space="preserve">: </w:t>
            </w:r>
            <w:r>
              <w:rPr>
                <w:rStyle w:val="IndexLink"/>
                <w:rtl w:val="true"/>
              </w:rPr>
              <w:t>الاستصحاب مفيد للظن</w:t>
            </w:r>
            <w:r>
              <w:rPr>
                <w:rStyle w:val="IndexLink"/>
                <w:rtl w:val="true"/>
              </w:rPr>
              <w:tab/>
            </w:r>
            <w:r>
              <w:rPr>
                <w:rStyle w:val="IndexLink"/>
              </w:rPr>
              <w:t>33</w:t>
            </w:r>
          </w:hyperlink>
        </w:p>
        <w:p>
          <w:pPr>
            <w:pStyle w:val="Contents5"/>
            <w:tabs>
              <w:tab w:val="clear" w:pos="7892"/>
              <w:tab w:val="right" w:pos="9026" w:leader="dot"/>
            </w:tabs>
            <w:rPr/>
          </w:pPr>
          <w:hyperlink w:anchor="__RefHeading___Toc7506906_3381743652">
            <w:r>
              <w:rPr>
                <w:webHidden/>
                <w:rStyle w:val="IndexLink"/>
                <w:rtl w:val="true"/>
              </w:rPr>
              <w:t>الرابع</w:t>
            </w:r>
            <w:r>
              <w:rPr>
                <w:rStyle w:val="IndexLink"/>
                <w:rtl w:val="true"/>
              </w:rPr>
              <w:t xml:space="preserve">: </w:t>
            </w:r>
            <w:r>
              <w:rPr>
                <w:rStyle w:val="IndexLink"/>
                <w:rtl w:val="true"/>
              </w:rPr>
              <w:t>الإجماع المنقول</w:t>
            </w:r>
            <w:r>
              <w:rPr>
                <w:rStyle w:val="IndexLink"/>
                <w:rtl w:val="true"/>
              </w:rPr>
              <w:tab/>
            </w:r>
            <w:r>
              <w:rPr>
                <w:rStyle w:val="IndexLink"/>
              </w:rPr>
              <w:t>34</w:t>
            </w:r>
          </w:hyperlink>
        </w:p>
        <w:p>
          <w:pPr>
            <w:pStyle w:val="Contents5"/>
            <w:tabs>
              <w:tab w:val="clear" w:pos="7892"/>
              <w:tab w:val="right" w:pos="9026" w:leader="dot"/>
            </w:tabs>
            <w:rPr/>
          </w:pPr>
          <w:hyperlink w:anchor="__RefHeading___Toc7506908_3381743652">
            <w:r>
              <w:rPr>
                <w:webHidden/>
                <w:rStyle w:val="IndexLink"/>
                <w:rtl w:val="true"/>
              </w:rPr>
              <w:t>الخامس</w:t>
            </w:r>
            <w:r>
              <w:rPr>
                <w:rStyle w:val="IndexLink"/>
                <w:rtl w:val="true"/>
              </w:rPr>
              <w:t xml:space="preserve">: </w:t>
            </w:r>
            <w:r>
              <w:rPr>
                <w:rStyle w:val="IndexLink"/>
                <w:rtl w:val="true"/>
              </w:rPr>
              <w:t>الأخبار المستفيضة</w:t>
            </w:r>
            <w:r>
              <w:rPr>
                <w:rStyle w:val="IndexLink"/>
                <w:rtl w:val="true"/>
              </w:rPr>
              <w:tab/>
            </w:r>
            <w:r>
              <w:rPr>
                <w:rStyle w:val="IndexLink"/>
              </w:rPr>
              <w:t>34</w:t>
            </w:r>
          </w:hyperlink>
        </w:p>
        <w:p>
          <w:pPr>
            <w:pStyle w:val="Contents6"/>
            <w:tabs>
              <w:tab w:val="clear" w:pos="7609"/>
              <w:tab w:val="right" w:pos="9026" w:leader="dot"/>
            </w:tabs>
            <w:rPr/>
          </w:pPr>
          <w:hyperlink w:anchor="__RefHeading___Toc7506910_3381743652">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7506912_3381743652">
            <w:r>
              <w:rPr>
                <w:webHidden/>
                <w:rStyle w:val="IndexLink"/>
              </w:rPr>
              <w:t>1</w:t>
            </w:r>
            <w:r>
              <w:rPr>
                <w:rStyle w:val="IndexLink"/>
                <w:rtl w:val="true"/>
              </w:rPr>
              <w:t xml:space="preserve">. </w:t>
            </w:r>
            <w:r>
              <w:rPr>
                <w:rStyle w:val="IndexLink"/>
                <w:rtl w:val="true"/>
              </w:rPr>
              <w:t>مضمرة زرارة الأُولى</w:t>
            </w:r>
            <w:r>
              <w:rPr>
                <w:rStyle w:val="IndexLink"/>
                <w:rtl w:val="true"/>
              </w:rPr>
              <w:tab/>
            </w:r>
            <w:r>
              <w:rPr>
                <w:rStyle w:val="IndexLink"/>
              </w:rPr>
              <w:t>34</w:t>
            </w:r>
          </w:hyperlink>
        </w:p>
        <w:p>
          <w:pPr>
            <w:pStyle w:val="Contents6"/>
            <w:tabs>
              <w:tab w:val="clear" w:pos="7609"/>
              <w:tab w:val="right" w:pos="9026" w:leader="dot"/>
            </w:tabs>
            <w:rPr/>
          </w:pPr>
          <w:hyperlink w:anchor="__RefHeading___Toc7506914_3381743652">
            <w:r>
              <w:rPr>
                <w:webHidden/>
                <w:rStyle w:val="IndexLink"/>
                <w:rtl w:val="true"/>
              </w:rPr>
              <w:t>أ</w:t>
            </w:r>
            <w:r>
              <w:rPr>
                <w:rStyle w:val="IndexLink"/>
                <w:rtl w:val="true"/>
              </w:rPr>
              <w:t xml:space="preserve">: </w:t>
            </w:r>
            <w:r>
              <w:rPr>
                <w:rStyle w:val="IndexLink"/>
                <w:rtl w:val="true"/>
              </w:rPr>
              <w:t>ما هو محور السؤال؟</w:t>
            </w:r>
            <w:r>
              <w:rPr>
                <w:rStyle w:val="IndexLink"/>
                <w:rtl w:val="true"/>
              </w:rPr>
              <w:tab/>
            </w:r>
            <w:r>
              <w:rPr>
                <w:rStyle w:val="IndexLink"/>
              </w:rPr>
              <w:t>36</w:t>
            </w:r>
          </w:hyperlink>
        </w:p>
        <w:p>
          <w:pPr>
            <w:pStyle w:val="Contents6"/>
            <w:tabs>
              <w:tab w:val="clear" w:pos="7609"/>
              <w:tab w:val="right" w:pos="9026" w:leader="dot"/>
            </w:tabs>
            <w:rPr/>
          </w:pPr>
          <w:hyperlink w:anchor="__RefHeading___Toc7506916_3381743652">
            <w:r>
              <w:rPr>
                <w:webHidden/>
                <w:rStyle w:val="IndexLink"/>
                <w:rtl w:val="true"/>
              </w:rPr>
              <w:t>ب</w:t>
            </w:r>
            <w:r>
              <w:rPr>
                <w:rStyle w:val="IndexLink"/>
                <w:rtl w:val="true"/>
              </w:rPr>
              <w:t xml:space="preserve">: </w:t>
            </w:r>
            <w:r>
              <w:rPr>
                <w:rStyle w:val="IndexLink"/>
                <w:rtl w:val="true"/>
              </w:rPr>
              <w:t>ما هو الجزاء لقوله</w:t>
            </w:r>
            <w:r>
              <w:rPr>
                <w:rStyle w:val="IndexLink"/>
                <w:rtl w:val="true"/>
              </w:rPr>
              <w:t xml:space="preserve">: </w:t>
            </w:r>
            <w:r>
              <w:rPr>
                <w:rStyle w:val="IndexLink"/>
                <w:rtl w:val="true"/>
              </w:rPr>
              <w:t>وإلّا فإنّه على يقين؟</w:t>
            </w:r>
            <w:r>
              <w:rPr>
                <w:rStyle w:val="IndexLink"/>
                <w:rtl w:val="true"/>
              </w:rPr>
              <w:tab/>
            </w:r>
            <w:r>
              <w:rPr>
                <w:rStyle w:val="IndexLink"/>
              </w:rPr>
              <w:t>37</w:t>
            </w:r>
          </w:hyperlink>
        </w:p>
        <w:p>
          <w:pPr>
            <w:pStyle w:val="Contents6"/>
            <w:tabs>
              <w:tab w:val="clear" w:pos="7609"/>
              <w:tab w:val="right" w:pos="9026" w:leader="dot"/>
            </w:tabs>
            <w:rPr/>
          </w:pPr>
          <w:hyperlink w:anchor="__RefHeading___Toc7506918_3381743652">
            <w:r>
              <w:rPr>
                <w:webHidden/>
                <w:rStyle w:val="IndexLink"/>
                <w:rtl w:val="true"/>
              </w:rPr>
              <w:t>ج</w:t>
            </w:r>
            <w:r>
              <w:rPr>
                <w:rStyle w:val="IndexLink"/>
                <w:rtl w:val="true"/>
              </w:rPr>
              <w:t xml:space="preserve">: </w:t>
            </w:r>
            <w:r>
              <w:rPr>
                <w:rStyle w:val="IndexLink"/>
                <w:rtl w:val="true"/>
              </w:rPr>
              <w:t>دلالة الرواية على حرمة النقض في جميع الأبواب</w:t>
            </w:r>
            <w:r>
              <w:rPr>
                <w:rStyle w:val="IndexLink"/>
                <w:rtl w:val="true"/>
              </w:rPr>
              <w:tab/>
            </w:r>
            <w:r>
              <w:rPr>
                <w:rStyle w:val="IndexLink"/>
              </w:rPr>
              <w:t>38</w:t>
            </w:r>
          </w:hyperlink>
        </w:p>
        <w:p>
          <w:pPr>
            <w:pStyle w:val="Contents6"/>
            <w:tabs>
              <w:tab w:val="clear" w:pos="7609"/>
              <w:tab w:val="right" w:pos="9026" w:leader="dot"/>
            </w:tabs>
            <w:rPr/>
          </w:pPr>
          <w:hyperlink w:anchor="__RefHeading___Toc7506920_3381743652">
            <w:r>
              <w:rPr>
                <w:webHidden/>
                <w:rStyle w:val="IndexLink"/>
              </w:rPr>
              <w:t>2</w:t>
            </w:r>
            <w:r>
              <w:rPr>
                <w:rStyle w:val="IndexLink"/>
                <w:rtl w:val="true"/>
              </w:rPr>
              <w:t xml:space="preserve">. </w:t>
            </w:r>
            <w:r>
              <w:rPr>
                <w:rStyle w:val="IndexLink"/>
                <w:rtl w:val="true"/>
              </w:rPr>
              <w:t>الصحيحة الثانية لزرارة</w:t>
            </w:r>
            <w:r>
              <w:rPr>
                <w:rStyle w:val="IndexLink"/>
                <w:rtl w:val="true"/>
              </w:rPr>
              <w:tab/>
            </w:r>
            <w:r>
              <w:rPr>
                <w:rStyle w:val="IndexLink"/>
              </w:rPr>
              <w:t>39</w:t>
            </w:r>
          </w:hyperlink>
        </w:p>
        <w:p>
          <w:pPr>
            <w:pStyle w:val="Contents6"/>
            <w:tabs>
              <w:tab w:val="clear" w:pos="7609"/>
              <w:tab w:val="right" w:pos="9026" w:leader="dot"/>
            </w:tabs>
            <w:rPr/>
          </w:pPr>
          <w:hyperlink w:anchor="__RefHeading___Toc7506922_3381743652">
            <w:r>
              <w:rPr>
                <w:webHidden/>
                <w:rStyle w:val="IndexLink"/>
                <w:rtl w:val="true"/>
              </w:rPr>
              <w:t>الأوّل</w:t>
            </w:r>
            <w:r>
              <w:rPr>
                <w:rStyle w:val="IndexLink"/>
                <w:rtl w:val="true"/>
              </w:rPr>
              <w:t xml:space="preserve">: </w:t>
            </w:r>
            <w:r>
              <w:rPr>
                <w:rStyle w:val="IndexLink"/>
                <w:rtl w:val="true"/>
              </w:rPr>
              <w:t>في سند الحديث</w:t>
            </w:r>
            <w:r>
              <w:rPr>
                <w:rStyle w:val="IndexLink"/>
                <w:rtl w:val="true"/>
              </w:rPr>
              <w:tab/>
            </w:r>
            <w:r>
              <w:rPr>
                <w:rStyle w:val="IndexLink"/>
              </w:rPr>
              <w:t>41</w:t>
            </w:r>
          </w:hyperlink>
        </w:p>
        <w:p>
          <w:pPr>
            <w:pStyle w:val="Contents6"/>
            <w:tabs>
              <w:tab w:val="clear" w:pos="7609"/>
              <w:tab w:val="right" w:pos="9026" w:leader="dot"/>
            </w:tabs>
            <w:rPr/>
          </w:pPr>
          <w:hyperlink w:anchor="__RefHeading___Toc7506924_3381743652">
            <w:r>
              <w:rPr>
                <w:webHidden/>
                <w:rStyle w:val="IndexLink"/>
                <w:rtl w:val="true"/>
              </w:rPr>
              <w:t>الثاني</w:t>
            </w:r>
            <w:r>
              <w:rPr>
                <w:rStyle w:val="IndexLink"/>
                <w:rtl w:val="true"/>
              </w:rPr>
              <w:t xml:space="preserve">: </w:t>
            </w:r>
            <w:r>
              <w:rPr>
                <w:rStyle w:val="IndexLink"/>
                <w:rtl w:val="true"/>
              </w:rPr>
              <w:t>في توضيح الأسئلة الواردة فيها</w:t>
            </w:r>
            <w:r>
              <w:rPr>
                <w:rStyle w:val="IndexLink"/>
                <w:rtl w:val="true"/>
              </w:rPr>
              <w:tab/>
            </w:r>
            <w:r>
              <w:rPr>
                <w:rStyle w:val="IndexLink"/>
              </w:rPr>
              <w:t>41</w:t>
            </w:r>
          </w:hyperlink>
        </w:p>
        <w:p>
          <w:pPr>
            <w:pStyle w:val="Contents6"/>
            <w:tabs>
              <w:tab w:val="clear" w:pos="7609"/>
              <w:tab w:val="right" w:pos="9026" w:leader="dot"/>
            </w:tabs>
            <w:rPr/>
          </w:pPr>
          <w:hyperlink w:anchor="__RefHeading___Toc7506926_3381743652">
            <w:r>
              <w:rPr>
                <w:webHidden/>
                <w:rStyle w:val="IndexLink"/>
                <w:rtl w:val="true"/>
              </w:rPr>
              <w:t>الثالث</w:t>
            </w:r>
            <w:r>
              <w:rPr>
                <w:rStyle w:val="IndexLink"/>
                <w:rtl w:val="true"/>
              </w:rPr>
              <w:t xml:space="preserve">: </w:t>
            </w:r>
            <w:r>
              <w:rPr>
                <w:rStyle w:val="IndexLink"/>
                <w:rtl w:val="true"/>
              </w:rPr>
              <w:t>في إيضاح السؤال الثالث</w:t>
            </w:r>
            <w:r>
              <w:rPr>
                <w:rStyle w:val="IndexLink"/>
                <w:rtl w:val="true"/>
              </w:rPr>
              <w:tab/>
            </w:r>
            <w:r>
              <w:rPr>
                <w:rStyle w:val="IndexLink"/>
              </w:rPr>
              <w:t>42</w:t>
            </w:r>
          </w:hyperlink>
        </w:p>
        <w:p>
          <w:pPr>
            <w:pStyle w:val="Contents6"/>
            <w:tabs>
              <w:tab w:val="clear" w:pos="7609"/>
              <w:tab w:val="right" w:pos="9026" w:leader="dot"/>
            </w:tabs>
            <w:rPr/>
          </w:pPr>
          <w:hyperlink w:anchor="__RefHeading___Toc7506928_3381743652">
            <w:r>
              <w:rPr>
                <w:webHidden/>
                <w:rStyle w:val="IndexLink"/>
                <w:rtl w:val="true"/>
              </w:rPr>
              <w:t>الرابع</w:t>
            </w:r>
            <w:r>
              <w:rPr>
                <w:rStyle w:val="IndexLink"/>
                <w:rtl w:val="true"/>
              </w:rPr>
              <w:t xml:space="preserve">: </w:t>
            </w:r>
            <w:r>
              <w:rPr>
                <w:rStyle w:val="IndexLink"/>
                <w:rtl w:val="true"/>
              </w:rPr>
              <w:t>في كيفية الاستدلال بالفقرة الثالثة</w:t>
            </w:r>
            <w:r>
              <w:rPr>
                <w:rStyle w:val="IndexLink"/>
                <w:rtl w:val="true"/>
              </w:rPr>
              <w:tab/>
            </w:r>
            <w:r>
              <w:rPr>
                <w:rStyle w:val="IndexLink"/>
              </w:rPr>
              <w:t>43</w:t>
            </w:r>
          </w:hyperlink>
        </w:p>
        <w:p>
          <w:pPr>
            <w:pStyle w:val="Contents6"/>
            <w:tabs>
              <w:tab w:val="clear" w:pos="7609"/>
              <w:tab w:val="right" w:pos="9026" w:leader="dot"/>
            </w:tabs>
            <w:rPr/>
          </w:pPr>
          <w:hyperlink w:anchor="__RefHeading___Toc7506930_3381743652">
            <w:r>
              <w:rPr>
                <w:webHidden/>
                <w:rStyle w:val="IndexLink"/>
                <w:rtl w:val="true"/>
              </w:rPr>
              <w:t>وقد أُجيب عن الإشكال بوجوه</w:t>
            </w:r>
            <w:r>
              <w:rPr>
                <w:rStyle w:val="IndexLink"/>
                <w:rtl w:val="true"/>
              </w:rPr>
              <w:t>:</w:t>
              <w:tab/>
            </w:r>
            <w:r>
              <w:rPr>
                <w:rStyle w:val="IndexLink"/>
              </w:rPr>
              <w:t>44</w:t>
            </w:r>
          </w:hyperlink>
        </w:p>
        <w:p>
          <w:pPr>
            <w:pStyle w:val="Contents6"/>
            <w:tabs>
              <w:tab w:val="clear" w:pos="7609"/>
              <w:tab w:val="right" w:pos="9026" w:leader="dot"/>
            </w:tabs>
            <w:rPr/>
          </w:pPr>
          <w:hyperlink w:anchor="__RefHeading___Toc7506932_3381743652">
            <w:r>
              <w:rPr>
                <w:webHidden/>
                <w:rStyle w:val="IndexLink"/>
                <w:rtl w:val="true"/>
              </w:rPr>
              <w:t>الخامس</w:t>
            </w:r>
            <w:r>
              <w:rPr>
                <w:rStyle w:val="IndexLink"/>
                <w:rtl w:val="true"/>
              </w:rPr>
              <w:t xml:space="preserve">: </w:t>
            </w:r>
            <w:r>
              <w:rPr>
                <w:rStyle w:val="IndexLink"/>
                <w:rtl w:val="true"/>
              </w:rPr>
              <w:t>دراسة الفقرة السادسة بكلا شقيها</w:t>
            </w:r>
            <w:r>
              <w:rPr>
                <w:rStyle w:val="IndexLink"/>
                <w:rtl w:val="true"/>
              </w:rPr>
              <w:tab/>
            </w:r>
            <w:r>
              <w:rPr>
                <w:rStyle w:val="IndexLink"/>
              </w:rPr>
              <w:t>46</w:t>
            </w:r>
          </w:hyperlink>
        </w:p>
        <w:p>
          <w:pPr>
            <w:pStyle w:val="Contents6"/>
            <w:tabs>
              <w:tab w:val="clear" w:pos="7609"/>
              <w:tab w:val="right" w:pos="9026" w:leader="dot"/>
            </w:tabs>
            <w:rPr/>
          </w:pPr>
          <w:hyperlink w:anchor="__RefHeading___Toc7506934_3381743652">
            <w:r>
              <w:rPr>
                <w:webHidden/>
                <w:rStyle w:val="IndexLink"/>
                <w:rtl w:val="true"/>
              </w:rPr>
              <w:t>الجواب عن الإشكال</w:t>
            </w:r>
            <w:r>
              <w:rPr>
                <w:rStyle w:val="IndexLink"/>
                <w:rtl w:val="true"/>
              </w:rPr>
              <w:tab/>
            </w:r>
            <w:r>
              <w:rPr>
                <w:rStyle w:val="IndexLink"/>
              </w:rPr>
              <w:t>48</w:t>
            </w:r>
          </w:hyperlink>
        </w:p>
        <w:p>
          <w:pPr>
            <w:pStyle w:val="Contents6"/>
            <w:tabs>
              <w:tab w:val="clear" w:pos="7609"/>
              <w:tab w:val="right" w:pos="9026" w:leader="dot"/>
            </w:tabs>
            <w:rPr/>
          </w:pPr>
          <w:hyperlink w:anchor="__RefHeading___Toc7506936_3381743652">
            <w:r>
              <w:rPr>
                <w:webHidden/>
                <w:rStyle w:val="IndexLink"/>
                <w:rtl w:val="true"/>
              </w:rPr>
              <w:t>السادس</w:t>
            </w:r>
            <w:r>
              <w:rPr>
                <w:rStyle w:val="IndexLink"/>
                <w:rtl w:val="true"/>
              </w:rPr>
              <w:t xml:space="preserve">: </w:t>
            </w:r>
            <w:r>
              <w:rPr>
                <w:rStyle w:val="IndexLink"/>
                <w:rtl w:val="true"/>
              </w:rPr>
              <w:t>الرواية تهدف إلى الاستصحاب</w:t>
            </w:r>
            <w:r>
              <w:rPr>
                <w:rStyle w:val="IndexLink"/>
                <w:rtl w:val="true"/>
              </w:rPr>
              <w:tab/>
            </w:r>
            <w:r>
              <w:rPr>
                <w:rStyle w:val="IndexLink"/>
              </w:rPr>
              <w:t>49</w:t>
            </w:r>
          </w:hyperlink>
        </w:p>
        <w:p>
          <w:pPr>
            <w:pStyle w:val="Contents6"/>
            <w:tabs>
              <w:tab w:val="clear" w:pos="7609"/>
              <w:tab w:val="right" w:pos="9026" w:leader="dot"/>
            </w:tabs>
            <w:rPr/>
          </w:pPr>
          <w:hyperlink w:anchor="__RefHeading___Toc7506938_3381743652">
            <w:r>
              <w:rPr>
                <w:webHidden/>
                <w:rStyle w:val="IndexLink"/>
              </w:rPr>
              <w:t>3</w:t>
            </w:r>
            <w:r>
              <w:rPr>
                <w:rStyle w:val="IndexLink"/>
                <w:rtl w:val="true"/>
              </w:rPr>
              <w:t xml:space="preserve">. </w:t>
            </w:r>
            <w:r>
              <w:rPr>
                <w:rStyle w:val="IndexLink"/>
                <w:rtl w:val="true"/>
              </w:rPr>
              <w:t>الصحيحة الثالثة لزرارة</w:t>
            </w:r>
            <w:r>
              <w:rPr>
                <w:rStyle w:val="IndexLink"/>
                <w:rtl w:val="true"/>
              </w:rPr>
              <w:tab/>
            </w:r>
            <w:r>
              <w:rPr>
                <w:rStyle w:val="IndexLink"/>
              </w:rPr>
              <w:t>51</w:t>
            </w:r>
          </w:hyperlink>
        </w:p>
        <w:p>
          <w:pPr>
            <w:pStyle w:val="Contents6"/>
            <w:tabs>
              <w:tab w:val="clear" w:pos="7609"/>
              <w:tab w:val="right" w:pos="9026" w:leader="dot"/>
            </w:tabs>
            <w:rPr/>
          </w:pPr>
          <w:hyperlink w:anchor="__RefHeading___Toc7506940_3381743652">
            <w:r>
              <w:rPr>
                <w:webHidden/>
                <w:rStyle w:val="IndexLink"/>
              </w:rPr>
              <w:t>1</w:t>
            </w:r>
            <w:r>
              <w:rPr>
                <w:rStyle w:val="IndexLink"/>
                <w:rtl w:val="true"/>
              </w:rPr>
              <w:t xml:space="preserve">. </w:t>
            </w:r>
            <w:r>
              <w:rPr>
                <w:rStyle w:val="IndexLink"/>
                <w:rtl w:val="true"/>
              </w:rPr>
              <w:t>صحّة السند</w:t>
            </w:r>
            <w:r>
              <w:rPr>
                <w:rStyle w:val="IndexLink"/>
                <w:rtl w:val="true"/>
              </w:rPr>
              <w:tab/>
            </w:r>
            <w:r>
              <w:rPr>
                <w:rStyle w:val="IndexLink"/>
              </w:rPr>
              <w:t>51</w:t>
            </w:r>
          </w:hyperlink>
        </w:p>
        <w:p>
          <w:pPr>
            <w:pStyle w:val="Contents6"/>
            <w:tabs>
              <w:tab w:val="clear" w:pos="7609"/>
              <w:tab w:val="right" w:pos="9026" w:leader="dot"/>
            </w:tabs>
            <w:rPr/>
          </w:pPr>
          <w:hyperlink w:anchor="__RefHeading___Toc7506942_3381743652">
            <w:r>
              <w:rPr>
                <w:webHidden/>
                <w:rStyle w:val="IndexLink"/>
              </w:rPr>
              <w:t>2</w:t>
            </w:r>
            <w:r>
              <w:rPr>
                <w:rStyle w:val="IndexLink"/>
                <w:rtl w:val="true"/>
              </w:rPr>
              <w:t xml:space="preserve">. </w:t>
            </w:r>
            <w:r>
              <w:rPr>
                <w:rStyle w:val="IndexLink"/>
                <w:rtl w:val="true"/>
              </w:rPr>
              <w:t>كيفية الاستدلال</w:t>
            </w:r>
            <w:r>
              <w:rPr>
                <w:rStyle w:val="IndexLink"/>
                <w:rtl w:val="true"/>
              </w:rPr>
              <w:tab/>
            </w:r>
            <w:r>
              <w:rPr>
                <w:rStyle w:val="IndexLink"/>
              </w:rPr>
              <w:t>52</w:t>
            </w:r>
          </w:hyperlink>
        </w:p>
        <w:p>
          <w:pPr>
            <w:pStyle w:val="Contents6"/>
            <w:tabs>
              <w:tab w:val="clear" w:pos="7609"/>
              <w:tab w:val="right" w:pos="9026" w:leader="dot"/>
            </w:tabs>
            <w:rPr/>
          </w:pPr>
          <w:hyperlink w:anchor="__RefHeading___Toc7506944_3381743652">
            <w:r>
              <w:rPr>
                <w:webHidden/>
                <w:rStyle w:val="IndexLink"/>
                <w:rtl w:val="true"/>
              </w:rPr>
              <w:t>الأوّل</w:t>
            </w:r>
            <w:r>
              <w:rPr>
                <w:rStyle w:val="IndexLink"/>
                <w:rtl w:val="true"/>
              </w:rPr>
              <w:t xml:space="preserve">: </w:t>
            </w:r>
            <w:r>
              <w:rPr>
                <w:rStyle w:val="IndexLink"/>
                <w:rtl w:val="true"/>
              </w:rPr>
              <w:t>الحمل على الاستصحاب لا يوافق المذهب</w:t>
            </w:r>
            <w:r>
              <w:rPr>
                <w:rStyle w:val="IndexLink"/>
                <w:rtl w:val="true"/>
              </w:rPr>
              <w:tab/>
            </w:r>
            <w:r>
              <w:rPr>
                <w:rStyle w:val="IndexLink"/>
              </w:rPr>
              <w:t>52</w:t>
            </w:r>
          </w:hyperlink>
        </w:p>
        <w:p>
          <w:pPr>
            <w:pStyle w:val="Contents6"/>
            <w:tabs>
              <w:tab w:val="clear" w:pos="7609"/>
              <w:tab w:val="right" w:pos="9026" w:leader="dot"/>
            </w:tabs>
            <w:rPr/>
          </w:pPr>
          <w:hyperlink w:anchor="__RefHeading___Toc7506946_3381743652">
            <w:r>
              <w:rPr>
                <w:webHidden/>
                <w:rStyle w:val="IndexLink"/>
                <w:rtl w:val="true"/>
              </w:rPr>
              <w:t>الثاني</w:t>
            </w:r>
            <w:r>
              <w:rPr>
                <w:rStyle w:val="IndexLink"/>
                <w:rtl w:val="true"/>
              </w:rPr>
              <w:t xml:space="preserve">: </w:t>
            </w:r>
            <w:r>
              <w:rPr>
                <w:rStyle w:val="IndexLink"/>
                <w:rtl w:val="true"/>
              </w:rPr>
              <w:t>الحمل على الاستصحاب يستلزم التفكيك</w:t>
            </w:r>
            <w:r>
              <w:rPr>
                <w:rStyle w:val="IndexLink"/>
                <w:rtl w:val="true"/>
              </w:rPr>
              <w:tab/>
            </w:r>
            <w:r>
              <w:rPr>
                <w:rStyle w:val="IndexLink"/>
              </w:rPr>
              <w:t>55</w:t>
            </w:r>
          </w:hyperlink>
        </w:p>
        <w:p>
          <w:pPr>
            <w:pStyle w:val="Contents6"/>
            <w:tabs>
              <w:tab w:val="clear" w:pos="7609"/>
              <w:tab w:val="right" w:pos="9026" w:leader="dot"/>
            </w:tabs>
            <w:rPr/>
          </w:pPr>
          <w:hyperlink w:anchor="__RefHeading___Toc7506948_3381743652">
            <w:r>
              <w:rPr>
                <w:webHidden/>
                <w:rStyle w:val="IndexLink"/>
                <w:rtl w:val="true"/>
              </w:rPr>
              <w:t>الثالث</w:t>
            </w:r>
            <w:r>
              <w:rPr>
                <w:rStyle w:val="IndexLink"/>
                <w:rtl w:val="true"/>
              </w:rPr>
              <w:t xml:space="preserve">: </w:t>
            </w:r>
            <w:r>
              <w:rPr>
                <w:rStyle w:val="IndexLink"/>
                <w:rtl w:val="true"/>
              </w:rPr>
              <w:t>الصحيحة مختصة بباب المشكوك</w:t>
            </w:r>
            <w:r>
              <w:rPr>
                <w:rStyle w:val="IndexLink"/>
                <w:rtl w:val="true"/>
              </w:rPr>
              <w:tab/>
            </w:r>
            <w:r>
              <w:rPr>
                <w:rStyle w:val="IndexLink"/>
              </w:rPr>
              <w:t>55</w:t>
            </w:r>
          </w:hyperlink>
        </w:p>
        <w:p>
          <w:pPr>
            <w:pStyle w:val="Contents6"/>
            <w:tabs>
              <w:tab w:val="clear" w:pos="7609"/>
              <w:tab w:val="right" w:pos="9026" w:leader="dot"/>
            </w:tabs>
            <w:rPr/>
          </w:pPr>
          <w:hyperlink w:anchor="__RefHeading___Toc7506950_3381743652">
            <w:r>
              <w:rPr>
                <w:webHidden/>
                <w:rStyle w:val="IndexLink"/>
                <w:rtl w:val="true"/>
              </w:rPr>
              <w:t>الرابع</w:t>
            </w:r>
            <w:r>
              <w:rPr>
                <w:rStyle w:val="IndexLink"/>
                <w:rtl w:val="true"/>
              </w:rPr>
              <w:t xml:space="preserve">: </w:t>
            </w:r>
            <w:r>
              <w:rPr>
                <w:rStyle w:val="IndexLink"/>
                <w:rtl w:val="true"/>
              </w:rPr>
              <w:t>الاستصحاب مثبت</w:t>
            </w:r>
            <w:r>
              <w:rPr>
                <w:rStyle w:val="IndexLink"/>
                <w:rtl w:val="true"/>
              </w:rPr>
              <w:tab/>
            </w:r>
            <w:r>
              <w:rPr>
                <w:rStyle w:val="IndexLink"/>
              </w:rPr>
              <w:t>56</w:t>
            </w:r>
          </w:hyperlink>
        </w:p>
        <w:p>
          <w:pPr>
            <w:pStyle w:val="Contents6"/>
            <w:tabs>
              <w:tab w:val="clear" w:pos="7609"/>
              <w:tab w:val="right" w:pos="9026" w:leader="dot"/>
            </w:tabs>
            <w:rPr/>
          </w:pPr>
          <w:hyperlink w:anchor="__RefHeading___Toc7506952_3381743652">
            <w:r>
              <w:rPr>
                <w:webHidden/>
                <w:rStyle w:val="IndexLink"/>
                <w:rtl w:val="true"/>
              </w:rPr>
              <w:t>التفسير الثاني للرواية</w:t>
            </w:r>
            <w:r>
              <w:rPr>
                <w:rStyle w:val="IndexLink"/>
                <w:rtl w:val="true"/>
              </w:rPr>
              <w:tab/>
            </w:r>
            <w:r>
              <w:rPr>
                <w:rStyle w:val="IndexLink"/>
              </w:rPr>
              <w:t>57</w:t>
            </w:r>
          </w:hyperlink>
        </w:p>
        <w:p>
          <w:pPr>
            <w:pStyle w:val="Contents6"/>
            <w:tabs>
              <w:tab w:val="clear" w:pos="7609"/>
              <w:tab w:val="right" w:pos="9026" w:leader="dot"/>
            </w:tabs>
            <w:rPr/>
          </w:pPr>
          <w:hyperlink w:anchor="__RefHeading___Toc7506954_3381743652">
            <w:r>
              <w:rPr>
                <w:webHidden/>
                <w:rStyle w:val="IndexLink"/>
              </w:rPr>
              <w:t>4</w:t>
            </w:r>
            <w:r>
              <w:rPr>
                <w:rStyle w:val="IndexLink"/>
                <w:rtl w:val="true"/>
              </w:rPr>
              <w:t xml:space="preserve">. </w:t>
            </w:r>
            <w:r>
              <w:rPr>
                <w:rStyle w:val="IndexLink"/>
                <w:rtl w:val="true"/>
              </w:rPr>
              <w:t>موثّقة إسحاق بن عمّار</w:t>
            </w:r>
            <w:r>
              <w:rPr>
                <w:rStyle w:val="IndexLink"/>
                <w:rtl w:val="true"/>
              </w:rPr>
              <w:tab/>
            </w:r>
            <w:r>
              <w:rPr>
                <w:rStyle w:val="IndexLink"/>
              </w:rPr>
              <w:t>58</w:t>
            </w:r>
          </w:hyperlink>
        </w:p>
        <w:p>
          <w:pPr>
            <w:pStyle w:val="Contents6"/>
            <w:tabs>
              <w:tab w:val="clear" w:pos="7609"/>
              <w:tab w:val="right" w:pos="9026" w:leader="dot"/>
            </w:tabs>
            <w:rPr/>
          </w:pPr>
          <w:hyperlink w:anchor="__RefHeading___Toc7506956_3381743652">
            <w:r>
              <w:rPr>
                <w:webHidden/>
                <w:rStyle w:val="IndexLink"/>
              </w:rPr>
              <w:t>5</w:t>
            </w:r>
            <w:r>
              <w:rPr>
                <w:rStyle w:val="IndexLink"/>
                <w:rtl w:val="true"/>
              </w:rPr>
              <w:t xml:space="preserve">. </w:t>
            </w:r>
            <w:r>
              <w:rPr>
                <w:rStyle w:val="IndexLink"/>
                <w:rtl w:val="true"/>
              </w:rPr>
              <w:t>حديث الأربعمائة</w:t>
            </w:r>
            <w:r>
              <w:rPr>
                <w:rStyle w:val="IndexLink"/>
                <w:rtl w:val="true"/>
              </w:rPr>
              <w:tab/>
            </w:r>
            <w:r>
              <w:rPr>
                <w:rStyle w:val="IndexLink"/>
              </w:rPr>
              <w:t>59</w:t>
            </w:r>
          </w:hyperlink>
        </w:p>
        <w:p>
          <w:pPr>
            <w:pStyle w:val="Contents6"/>
            <w:tabs>
              <w:tab w:val="clear" w:pos="7609"/>
              <w:tab w:val="right" w:pos="9026" w:leader="dot"/>
            </w:tabs>
            <w:rPr/>
          </w:pPr>
          <w:hyperlink w:anchor="__RefHeading___Toc7506958_3381743652">
            <w:r>
              <w:rPr>
                <w:webHidden/>
                <w:rStyle w:val="IndexLink"/>
                <w:rtl w:val="true"/>
              </w:rPr>
              <w:t>الأوّل</w:t>
            </w:r>
            <w:r>
              <w:rPr>
                <w:rStyle w:val="IndexLink"/>
                <w:rtl w:val="true"/>
              </w:rPr>
              <w:t xml:space="preserve">: </w:t>
            </w:r>
            <w:r>
              <w:rPr>
                <w:rStyle w:val="IndexLink"/>
                <w:rtl w:val="true"/>
              </w:rPr>
              <w:t>أنها ناظرة إلى قاعدة اليقين</w:t>
            </w:r>
            <w:r>
              <w:rPr>
                <w:rStyle w:val="IndexLink"/>
                <w:rtl w:val="true"/>
              </w:rPr>
              <w:tab/>
            </w:r>
            <w:r>
              <w:rPr>
                <w:rStyle w:val="IndexLink"/>
              </w:rPr>
              <w:t>61</w:t>
            </w:r>
          </w:hyperlink>
        </w:p>
        <w:p>
          <w:pPr>
            <w:pStyle w:val="Contents6"/>
            <w:tabs>
              <w:tab w:val="clear" w:pos="7609"/>
              <w:tab w:val="right" w:pos="9026" w:leader="dot"/>
            </w:tabs>
            <w:rPr/>
          </w:pPr>
          <w:hyperlink w:anchor="__RefHeading___Toc7506960_3381743652">
            <w:r>
              <w:rPr>
                <w:webHidden/>
                <w:rStyle w:val="IndexLink"/>
                <w:rtl w:val="true"/>
              </w:rPr>
              <w:t>أ</w:t>
            </w:r>
            <w:r>
              <w:rPr>
                <w:rStyle w:val="IndexLink"/>
                <w:rtl w:val="true"/>
              </w:rPr>
              <w:t xml:space="preserve">: </w:t>
            </w:r>
            <w:r>
              <w:rPr>
                <w:rStyle w:val="IndexLink"/>
                <w:rtl w:val="true"/>
              </w:rPr>
              <w:t>تقدّم اليقين على الشكّ‌</w:t>
            </w:r>
            <w:r>
              <w:rPr>
                <w:rStyle w:val="IndexLink"/>
                <w:rtl w:val="true"/>
              </w:rPr>
              <w:tab/>
            </w:r>
            <w:r>
              <w:rPr>
                <w:rStyle w:val="IndexLink"/>
              </w:rPr>
              <w:t>61</w:t>
            </w:r>
          </w:hyperlink>
        </w:p>
        <w:p>
          <w:pPr>
            <w:pStyle w:val="Contents6"/>
            <w:tabs>
              <w:tab w:val="clear" w:pos="7609"/>
              <w:tab w:val="right" w:pos="9026" w:leader="dot"/>
            </w:tabs>
            <w:rPr/>
          </w:pPr>
          <w:hyperlink w:anchor="__RefHeading___Toc7506962_3381743652">
            <w:r>
              <w:rPr>
                <w:webHidden/>
                <w:rStyle w:val="IndexLink"/>
                <w:rtl w:val="true"/>
              </w:rPr>
              <w:t>ب</w:t>
            </w:r>
            <w:r>
              <w:rPr>
                <w:rStyle w:val="IndexLink"/>
                <w:rtl w:val="true"/>
              </w:rPr>
              <w:t xml:space="preserve">: </w:t>
            </w:r>
            <w:r>
              <w:rPr>
                <w:rStyle w:val="IndexLink"/>
                <w:rtl w:val="true"/>
              </w:rPr>
              <w:t>وحدة متعلّق اليقين والشكّ‌</w:t>
            </w:r>
            <w:r>
              <w:rPr>
                <w:rStyle w:val="IndexLink"/>
                <w:rtl w:val="true"/>
              </w:rPr>
              <w:tab/>
            </w:r>
            <w:r>
              <w:rPr>
                <w:rStyle w:val="IndexLink"/>
              </w:rPr>
              <w:t>61</w:t>
            </w:r>
          </w:hyperlink>
        </w:p>
        <w:p>
          <w:pPr>
            <w:pStyle w:val="Contents6"/>
            <w:tabs>
              <w:tab w:val="clear" w:pos="7609"/>
              <w:tab w:val="right" w:pos="9026" w:leader="dot"/>
            </w:tabs>
            <w:rPr/>
          </w:pPr>
          <w:hyperlink w:anchor="__RefHeading___Toc7506964_3381743652">
            <w:r>
              <w:rPr>
                <w:webHidden/>
                <w:rStyle w:val="IndexLink"/>
                <w:rtl w:val="true"/>
              </w:rPr>
              <w:t>ج</w:t>
            </w:r>
            <w:r>
              <w:rPr>
                <w:rStyle w:val="IndexLink"/>
                <w:rtl w:val="true"/>
              </w:rPr>
              <w:t xml:space="preserve">: </w:t>
            </w:r>
            <w:r>
              <w:rPr>
                <w:rStyle w:val="IndexLink"/>
                <w:rtl w:val="true"/>
              </w:rPr>
              <w:t>زوال اليقين</w:t>
            </w:r>
            <w:r>
              <w:rPr>
                <w:rStyle w:val="IndexLink"/>
                <w:rtl w:val="true"/>
              </w:rPr>
              <w:tab/>
            </w:r>
            <w:r>
              <w:rPr>
                <w:rStyle w:val="IndexLink"/>
              </w:rPr>
              <w:t>62</w:t>
            </w:r>
          </w:hyperlink>
        </w:p>
        <w:p>
          <w:pPr>
            <w:pStyle w:val="Contents6"/>
            <w:tabs>
              <w:tab w:val="clear" w:pos="7609"/>
              <w:tab w:val="right" w:pos="9026" w:leader="dot"/>
            </w:tabs>
            <w:rPr/>
          </w:pPr>
          <w:hyperlink w:anchor="__RefHeading___Toc7506966_3381743652">
            <w:r>
              <w:rPr>
                <w:webHidden/>
                <w:rStyle w:val="IndexLink"/>
                <w:rtl w:val="true"/>
              </w:rPr>
              <w:t>الثاني</w:t>
            </w:r>
            <w:r>
              <w:rPr>
                <w:rStyle w:val="IndexLink"/>
                <w:rtl w:val="true"/>
              </w:rPr>
              <w:t xml:space="preserve">: </w:t>
            </w:r>
            <w:r>
              <w:rPr>
                <w:rStyle w:val="IndexLink"/>
                <w:rtl w:val="true"/>
              </w:rPr>
              <w:t>ناظرة إلى الاستصحاب</w:t>
            </w:r>
            <w:r>
              <w:rPr>
                <w:rStyle w:val="IndexLink"/>
                <w:rtl w:val="true"/>
              </w:rPr>
              <w:tab/>
            </w:r>
            <w:r>
              <w:rPr>
                <w:rStyle w:val="IndexLink"/>
              </w:rPr>
              <w:t>63</w:t>
            </w:r>
          </w:hyperlink>
        </w:p>
        <w:p>
          <w:pPr>
            <w:pStyle w:val="Contents6"/>
            <w:tabs>
              <w:tab w:val="clear" w:pos="7609"/>
              <w:tab w:val="right" w:pos="9026" w:leader="dot"/>
            </w:tabs>
            <w:rPr/>
          </w:pPr>
          <w:hyperlink w:anchor="__RefHeading___Toc7506968_3381743652">
            <w:r>
              <w:rPr>
                <w:webHidden/>
                <w:rStyle w:val="IndexLink"/>
              </w:rPr>
              <w:t>6</w:t>
            </w:r>
            <w:r>
              <w:rPr>
                <w:rStyle w:val="IndexLink"/>
                <w:rtl w:val="true"/>
              </w:rPr>
              <w:t xml:space="preserve">. </w:t>
            </w:r>
            <w:r>
              <w:rPr>
                <w:rStyle w:val="IndexLink"/>
                <w:rtl w:val="true"/>
              </w:rPr>
              <w:t>مكاتبة القاساني</w:t>
            </w:r>
            <w:r>
              <w:rPr>
                <w:rStyle w:val="IndexLink"/>
                <w:rtl w:val="true"/>
              </w:rPr>
              <w:tab/>
            </w:r>
            <w:r>
              <w:rPr>
                <w:rStyle w:val="IndexLink"/>
              </w:rPr>
              <w:t>64</w:t>
            </w:r>
          </w:hyperlink>
        </w:p>
        <w:p>
          <w:pPr>
            <w:pStyle w:val="Contents6"/>
            <w:tabs>
              <w:tab w:val="clear" w:pos="7609"/>
              <w:tab w:val="right" w:pos="9026" w:leader="dot"/>
            </w:tabs>
            <w:rPr/>
          </w:pPr>
          <w:hyperlink w:anchor="__RefHeading___Toc7506970_3381743652">
            <w:r>
              <w:rPr>
                <w:webHidden/>
                <w:rStyle w:val="IndexLink"/>
              </w:rPr>
              <w:t>7</w:t>
            </w:r>
            <w:r>
              <w:rPr>
                <w:rStyle w:val="IndexLink"/>
                <w:rtl w:val="true"/>
              </w:rPr>
              <w:t xml:space="preserve">. </w:t>
            </w:r>
            <w:r>
              <w:rPr>
                <w:rStyle w:val="IndexLink"/>
                <w:rtl w:val="true"/>
              </w:rPr>
              <w:t>صحيحة عبد اللّه بن سنان</w:t>
            </w:r>
            <w:r>
              <w:rPr>
                <w:rStyle w:val="IndexLink"/>
                <w:rtl w:val="true"/>
              </w:rPr>
              <w:tab/>
            </w:r>
            <w:r>
              <w:rPr>
                <w:rStyle w:val="IndexLink"/>
              </w:rPr>
              <w:t>67</w:t>
            </w:r>
          </w:hyperlink>
        </w:p>
        <w:p>
          <w:pPr>
            <w:pStyle w:val="Contents6"/>
            <w:tabs>
              <w:tab w:val="clear" w:pos="7609"/>
              <w:tab w:val="right" w:pos="9026" w:leader="dot"/>
            </w:tabs>
            <w:rPr/>
          </w:pPr>
          <w:hyperlink w:anchor="__RefHeading___Toc7506972_3381743652">
            <w:r>
              <w:rPr>
                <w:webHidden/>
                <w:rStyle w:val="IndexLink"/>
              </w:rPr>
              <w:t>8</w:t>
            </w:r>
            <w:r>
              <w:rPr>
                <w:rStyle w:val="IndexLink"/>
                <w:rtl w:val="true"/>
              </w:rPr>
              <w:t xml:space="preserve">. </w:t>
            </w:r>
            <w:r>
              <w:rPr>
                <w:rStyle w:val="IndexLink"/>
                <w:rtl w:val="true"/>
              </w:rPr>
              <w:t>موثّقة عمّار</w:t>
            </w:r>
            <w:r>
              <w:rPr>
                <w:rStyle w:val="IndexLink"/>
                <w:rtl w:val="true"/>
              </w:rPr>
              <w:tab/>
            </w:r>
            <w:r>
              <w:rPr>
                <w:rStyle w:val="IndexLink"/>
              </w:rPr>
              <w:t>68</w:t>
            </w:r>
          </w:hyperlink>
        </w:p>
        <w:p>
          <w:pPr>
            <w:pStyle w:val="Contents6"/>
            <w:tabs>
              <w:tab w:val="clear" w:pos="7609"/>
              <w:tab w:val="right" w:pos="9026" w:leader="dot"/>
            </w:tabs>
            <w:rPr/>
          </w:pPr>
          <w:hyperlink w:anchor="__RefHeading___Toc7506974_3381743652">
            <w:r>
              <w:rPr>
                <w:webHidden/>
                <w:rStyle w:val="IndexLink"/>
              </w:rPr>
              <w:t>9</w:t>
            </w:r>
            <w:r>
              <w:rPr>
                <w:rStyle w:val="IndexLink"/>
                <w:rtl w:val="true"/>
              </w:rPr>
              <w:t xml:space="preserve">. </w:t>
            </w:r>
            <w:r>
              <w:rPr>
                <w:rStyle w:val="IndexLink"/>
                <w:rtl w:val="true"/>
              </w:rPr>
              <w:t>معتبرة حمّاد بن عثمان</w:t>
            </w:r>
            <w:r>
              <w:rPr>
                <w:rStyle w:val="IndexLink"/>
                <w:rtl w:val="true"/>
              </w:rPr>
              <w:tab/>
            </w:r>
            <w:r>
              <w:rPr>
                <w:rStyle w:val="IndexLink"/>
              </w:rPr>
              <w:t>68</w:t>
            </w:r>
          </w:hyperlink>
        </w:p>
        <w:p>
          <w:pPr>
            <w:pStyle w:val="Contents6"/>
            <w:tabs>
              <w:tab w:val="clear" w:pos="7609"/>
              <w:tab w:val="right" w:pos="9026" w:leader="dot"/>
            </w:tabs>
            <w:rPr/>
          </w:pPr>
          <w:hyperlink w:anchor="__RefHeading___Toc7506976_3381743652">
            <w:r>
              <w:rPr>
                <w:webHidden/>
                <w:rStyle w:val="IndexLink"/>
              </w:rPr>
              <w:t>10</w:t>
            </w:r>
            <w:r>
              <w:rPr>
                <w:rStyle w:val="IndexLink"/>
                <w:rtl w:val="true"/>
              </w:rPr>
              <w:t xml:space="preserve">. </w:t>
            </w:r>
            <w:r>
              <w:rPr>
                <w:rStyle w:val="IndexLink"/>
                <w:rtl w:val="true"/>
              </w:rPr>
              <w:t>موثّقة مسعدة بن صدقة</w:t>
            </w:r>
            <w:r>
              <w:rPr>
                <w:rStyle w:val="IndexLink"/>
                <w:rtl w:val="true"/>
              </w:rPr>
              <w:tab/>
            </w:r>
            <w:r>
              <w:rPr>
                <w:rStyle w:val="IndexLink"/>
              </w:rPr>
              <w:t>69</w:t>
            </w:r>
          </w:hyperlink>
        </w:p>
        <w:p>
          <w:pPr>
            <w:pStyle w:val="Contents6"/>
            <w:tabs>
              <w:tab w:val="clear" w:pos="7609"/>
              <w:tab w:val="right" w:pos="9026" w:leader="dot"/>
            </w:tabs>
            <w:rPr/>
          </w:pPr>
          <w:hyperlink w:anchor="__RefHeading___Toc7506978_3381743652">
            <w:r>
              <w:rPr>
                <w:webHidden/>
                <w:rStyle w:val="IndexLink"/>
                <w:rtl w:val="true"/>
              </w:rPr>
              <w:t>النظرية الأُولى</w:t>
            </w:r>
            <w:r>
              <w:rPr>
                <w:rStyle w:val="IndexLink"/>
                <w:rtl w:val="true"/>
              </w:rPr>
              <w:t xml:space="preserve">: </w:t>
            </w:r>
            <w:r>
              <w:rPr>
                <w:rStyle w:val="IndexLink"/>
                <w:rtl w:val="true"/>
              </w:rPr>
              <w:t>جعل الطهارة الظاهرية و</w:t>
            </w:r>
            <w:r>
              <w:rPr>
                <w:rStyle w:val="IndexLink"/>
                <w:rtl w:val="true"/>
              </w:rPr>
              <w:t>...</w:t>
              <w:tab/>
            </w:r>
            <w:r>
              <w:rPr>
                <w:rStyle w:val="IndexLink"/>
              </w:rPr>
              <w:t>70</w:t>
            </w:r>
          </w:hyperlink>
        </w:p>
        <w:p>
          <w:pPr>
            <w:pStyle w:val="Contents6"/>
            <w:tabs>
              <w:tab w:val="clear" w:pos="7609"/>
              <w:tab w:val="right" w:pos="9026" w:leader="dot"/>
            </w:tabs>
            <w:rPr/>
          </w:pPr>
          <w:hyperlink w:anchor="__RefHeading___Toc7506980_3381743652">
            <w:r>
              <w:rPr>
                <w:webHidden/>
                <w:rStyle w:val="IndexLink"/>
                <w:rtl w:val="true"/>
              </w:rPr>
              <w:t>النظرية الثانية</w:t>
            </w:r>
            <w:r>
              <w:rPr>
                <w:rStyle w:val="IndexLink"/>
                <w:rtl w:val="true"/>
              </w:rPr>
              <w:t xml:space="preserve">: </w:t>
            </w:r>
            <w:r>
              <w:rPr>
                <w:rStyle w:val="IndexLink"/>
                <w:rtl w:val="true"/>
              </w:rPr>
              <w:t>جعل الطهارة الظاهرية واستصحابها</w:t>
            </w:r>
            <w:r>
              <w:rPr>
                <w:rStyle w:val="IndexLink"/>
                <w:rtl w:val="true"/>
              </w:rPr>
              <w:tab/>
            </w:r>
            <w:r>
              <w:rPr>
                <w:rStyle w:val="IndexLink"/>
              </w:rPr>
              <w:t>70</w:t>
            </w:r>
          </w:hyperlink>
        </w:p>
        <w:p>
          <w:pPr>
            <w:pStyle w:val="Contents6"/>
            <w:tabs>
              <w:tab w:val="clear" w:pos="7609"/>
              <w:tab w:val="right" w:pos="9026" w:leader="dot"/>
            </w:tabs>
            <w:rPr/>
          </w:pPr>
          <w:hyperlink w:anchor="__RefHeading___Toc7506982_3381743652">
            <w:r>
              <w:rPr>
                <w:webHidden/>
                <w:rStyle w:val="IndexLink"/>
                <w:rtl w:val="true"/>
              </w:rPr>
              <w:t>النظرية الثالثة</w:t>
            </w:r>
            <w:r>
              <w:rPr>
                <w:rStyle w:val="IndexLink"/>
                <w:rtl w:val="true"/>
              </w:rPr>
              <w:tab/>
            </w:r>
            <w:r>
              <w:rPr>
                <w:rStyle w:val="IndexLink"/>
              </w:rPr>
              <w:t>73</w:t>
            </w:r>
          </w:hyperlink>
        </w:p>
        <w:p>
          <w:pPr>
            <w:pStyle w:val="Contents6"/>
            <w:tabs>
              <w:tab w:val="clear" w:pos="7609"/>
              <w:tab w:val="right" w:pos="9026" w:leader="dot"/>
            </w:tabs>
            <w:rPr/>
          </w:pPr>
          <w:hyperlink w:anchor="__RefHeading___Toc7506984_3381743652">
            <w:r>
              <w:rPr>
                <w:webHidden/>
                <w:rStyle w:val="IndexLink"/>
                <w:rtl w:val="true"/>
              </w:rPr>
              <w:t>يلاحظ عليه بأُمور</w:t>
            </w:r>
            <w:r>
              <w:rPr>
                <w:rStyle w:val="IndexLink"/>
                <w:rtl w:val="true"/>
              </w:rPr>
              <w:t>:</w:t>
              <w:tab/>
            </w:r>
            <w:r>
              <w:rPr>
                <w:rStyle w:val="IndexLink"/>
              </w:rPr>
              <w:t>75</w:t>
            </w:r>
          </w:hyperlink>
        </w:p>
        <w:p>
          <w:pPr>
            <w:pStyle w:val="Contents6"/>
            <w:tabs>
              <w:tab w:val="clear" w:pos="7609"/>
              <w:tab w:val="right" w:pos="9026" w:leader="dot"/>
            </w:tabs>
            <w:rPr/>
          </w:pPr>
          <w:hyperlink w:anchor="__RefHeading___Toc7506986_3381743652">
            <w:r>
              <w:rPr>
                <w:webHidden/>
                <w:rStyle w:val="IndexLink"/>
                <w:rtl w:val="true"/>
              </w:rPr>
              <w:t>النظرية الرابعة</w:t>
            </w:r>
            <w:r>
              <w:rPr>
                <w:rStyle w:val="IndexLink"/>
                <w:rtl w:val="true"/>
              </w:rPr>
              <w:tab/>
            </w:r>
            <w:r>
              <w:rPr>
                <w:rStyle w:val="IndexLink"/>
              </w:rPr>
              <w:t>76</w:t>
            </w:r>
          </w:hyperlink>
        </w:p>
        <w:p>
          <w:pPr>
            <w:pStyle w:val="Contents4"/>
            <w:tabs>
              <w:tab w:val="clear" w:pos="8176"/>
              <w:tab w:val="right" w:pos="9026" w:leader="dot"/>
            </w:tabs>
            <w:rPr/>
          </w:pPr>
          <w:hyperlink w:anchor="__RefHeading___Toc7506988_3381743652">
            <w:r>
              <w:rPr>
                <w:webHidden/>
                <w:rStyle w:val="IndexLink"/>
                <w:rtl w:val="true"/>
              </w:rPr>
              <w:t>تفاصيل في حجّية الاستصحاب</w:t>
            </w:r>
            <w:r>
              <w:rPr>
                <w:rStyle w:val="IndexLink"/>
                <w:rtl w:val="true"/>
              </w:rPr>
              <w:tab/>
            </w:r>
            <w:r>
              <w:rPr>
                <w:rStyle w:val="IndexLink"/>
              </w:rPr>
              <w:t>78</w:t>
            </w:r>
          </w:hyperlink>
        </w:p>
        <w:p>
          <w:pPr>
            <w:pStyle w:val="Contents5"/>
            <w:tabs>
              <w:tab w:val="clear" w:pos="7892"/>
              <w:tab w:val="right" w:pos="9026" w:leader="dot"/>
            </w:tabs>
            <w:rPr/>
          </w:pPr>
          <w:hyperlink w:anchor="__RefHeading___Toc7506990_3381743652">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7506992_3381743652">
            <w:r>
              <w:rPr>
                <w:webHidden/>
                <w:rStyle w:val="IndexLink"/>
                <w:rtl w:val="true"/>
              </w:rPr>
              <w:t>التفصيل الأوّل التفصيل بين الشكّ في المقتضي والرافع</w:t>
            </w:r>
            <w:r>
              <w:rPr>
                <w:rStyle w:val="IndexLink"/>
                <w:rtl w:val="true"/>
              </w:rPr>
              <w:tab/>
            </w:r>
            <w:r>
              <w:rPr>
                <w:rStyle w:val="IndexLink"/>
              </w:rPr>
              <w:t>80</w:t>
            </w:r>
          </w:hyperlink>
        </w:p>
        <w:p>
          <w:pPr>
            <w:pStyle w:val="Contents5"/>
            <w:tabs>
              <w:tab w:val="clear" w:pos="7892"/>
              <w:tab w:val="right" w:pos="9026" w:leader="dot"/>
            </w:tabs>
            <w:rPr/>
          </w:pPr>
          <w:hyperlink w:anchor="__RefHeading___Toc7506994_3381743652">
            <w:r>
              <w:rPr>
                <w:webHidden/>
                <w:rStyle w:val="IndexLink"/>
                <w:rtl w:val="true"/>
              </w:rPr>
              <w:t>التفصيل الثاني التفصيل بين الشكّ في الرافع والرافعية</w:t>
            </w:r>
            <w:r>
              <w:rPr>
                <w:rStyle w:val="IndexLink"/>
                <w:rtl w:val="true"/>
              </w:rPr>
              <w:tab/>
            </w:r>
            <w:r>
              <w:rPr>
                <w:rStyle w:val="IndexLink"/>
              </w:rPr>
              <w:t>87</w:t>
            </w:r>
          </w:hyperlink>
        </w:p>
        <w:p>
          <w:pPr>
            <w:pStyle w:val="Contents5"/>
            <w:tabs>
              <w:tab w:val="clear" w:pos="7892"/>
              <w:tab w:val="right" w:pos="9026" w:leader="dot"/>
            </w:tabs>
            <w:rPr/>
          </w:pPr>
          <w:hyperlink w:anchor="__RefHeading___Toc7506996_3381743652">
            <w:r>
              <w:rPr>
                <w:webHidden/>
                <w:rStyle w:val="IndexLink"/>
                <w:rtl w:val="true"/>
              </w:rPr>
              <w:t>التفصيل الثالث عدم الحجّية إذا كان منشأ الشكّ إجمال الغاية</w:t>
            </w:r>
            <w:r>
              <w:rPr>
                <w:rStyle w:val="IndexLink"/>
                <w:rtl w:val="true"/>
              </w:rPr>
              <w:tab/>
            </w:r>
            <w:r>
              <w:rPr>
                <w:rStyle w:val="IndexLink"/>
              </w:rPr>
              <w:t>89</w:t>
            </w:r>
          </w:hyperlink>
        </w:p>
        <w:p>
          <w:pPr>
            <w:pStyle w:val="Contents5"/>
            <w:tabs>
              <w:tab w:val="clear" w:pos="7892"/>
              <w:tab w:val="right" w:pos="9026" w:leader="dot"/>
            </w:tabs>
            <w:rPr/>
          </w:pPr>
          <w:hyperlink w:anchor="__RefHeading___Toc7506998_3381743652">
            <w:r>
              <w:rPr>
                <w:webHidden/>
                <w:rStyle w:val="IndexLink"/>
                <w:rtl w:val="true"/>
              </w:rPr>
              <w:t>التفصيل الرابع بين الأحكام التكليفية والوضعية</w:t>
            </w:r>
            <w:r>
              <w:rPr>
                <w:rStyle w:val="IndexLink"/>
                <w:rtl w:val="true"/>
              </w:rPr>
              <w:tab/>
            </w:r>
            <w:r>
              <w:rPr>
                <w:rStyle w:val="IndexLink"/>
              </w:rPr>
              <w:t>91</w:t>
            </w:r>
          </w:hyperlink>
        </w:p>
        <w:p>
          <w:pPr>
            <w:pStyle w:val="Contents6"/>
            <w:tabs>
              <w:tab w:val="clear" w:pos="7609"/>
              <w:tab w:val="right" w:pos="9026" w:leader="dot"/>
            </w:tabs>
            <w:rPr/>
          </w:pPr>
          <w:hyperlink w:anchor="__RefHeading___Toc7507000_3381743652">
            <w:r>
              <w:rPr>
                <w:webHidden/>
                <w:rStyle w:val="IndexLink"/>
                <w:rtl w:val="true"/>
              </w:rPr>
              <w:t>اشارة</w:t>
            </w:r>
            <w:r>
              <w:rPr>
                <w:rStyle w:val="IndexLink"/>
                <w:rtl w:val="true"/>
              </w:rPr>
              <w:tab/>
            </w:r>
            <w:r>
              <w:rPr>
                <w:rStyle w:val="IndexLink"/>
              </w:rPr>
              <w:t>91</w:t>
            </w:r>
          </w:hyperlink>
        </w:p>
        <w:p>
          <w:pPr>
            <w:pStyle w:val="Contents6"/>
            <w:tabs>
              <w:tab w:val="clear" w:pos="7609"/>
              <w:tab w:val="right" w:pos="9026" w:leader="dot"/>
            </w:tabs>
            <w:rPr/>
          </w:pPr>
          <w:hyperlink w:anchor="__RefHeading___Toc7507002_3381743652">
            <w:r>
              <w:rPr>
                <w:webHidden/>
                <w:rStyle w:val="IndexLink"/>
              </w:rPr>
              <w:t>1</w:t>
            </w:r>
            <w:r>
              <w:rPr>
                <w:rStyle w:val="IndexLink"/>
                <w:rtl w:val="true"/>
              </w:rPr>
              <w:t xml:space="preserve">. </w:t>
            </w:r>
            <w:r>
              <w:rPr>
                <w:rStyle w:val="IndexLink"/>
                <w:rtl w:val="true"/>
              </w:rPr>
              <w:t>الحكم لغة واصطلاحاً</w:t>
            </w:r>
            <w:r>
              <w:rPr>
                <w:rStyle w:val="IndexLink"/>
                <w:rtl w:val="true"/>
              </w:rPr>
              <w:tab/>
            </w:r>
            <w:r>
              <w:rPr>
                <w:rStyle w:val="IndexLink"/>
              </w:rPr>
              <w:t>91</w:t>
            </w:r>
          </w:hyperlink>
        </w:p>
        <w:p>
          <w:pPr>
            <w:pStyle w:val="Contents6"/>
            <w:tabs>
              <w:tab w:val="clear" w:pos="7609"/>
              <w:tab w:val="right" w:pos="9026" w:leader="dot"/>
            </w:tabs>
            <w:rPr/>
          </w:pPr>
          <w:hyperlink w:anchor="__RefHeading___Toc7507004_3381743652">
            <w:r>
              <w:rPr>
                <w:webHidden/>
                <w:rStyle w:val="IndexLink"/>
              </w:rPr>
              <w:t>2</w:t>
            </w:r>
            <w:r>
              <w:rPr>
                <w:rStyle w:val="IndexLink"/>
                <w:rtl w:val="true"/>
              </w:rPr>
              <w:t xml:space="preserve">. </w:t>
            </w:r>
            <w:r>
              <w:rPr>
                <w:rStyle w:val="IndexLink"/>
                <w:rtl w:val="true"/>
              </w:rPr>
              <w:t>تقسيم المفاهيم إلى مراتب أربع</w:t>
            </w:r>
            <w:r>
              <w:rPr>
                <w:rStyle w:val="IndexLink"/>
                <w:rtl w:val="true"/>
              </w:rPr>
              <w:tab/>
            </w:r>
            <w:r>
              <w:rPr>
                <w:rStyle w:val="IndexLink"/>
              </w:rPr>
              <w:t>92</w:t>
            </w:r>
          </w:hyperlink>
        </w:p>
        <w:p>
          <w:pPr>
            <w:pStyle w:val="Contents6"/>
            <w:tabs>
              <w:tab w:val="clear" w:pos="7609"/>
              <w:tab w:val="right" w:pos="9026" w:leader="dot"/>
            </w:tabs>
            <w:rPr/>
          </w:pPr>
          <w:hyperlink w:anchor="__RefHeading___Toc7507006_3381743652">
            <w:r>
              <w:rPr>
                <w:webHidden/>
                <w:rStyle w:val="IndexLink"/>
              </w:rPr>
              <w:t>3</w:t>
            </w:r>
            <w:r>
              <w:rPr>
                <w:rStyle w:val="IndexLink"/>
                <w:rtl w:val="true"/>
              </w:rPr>
              <w:t xml:space="preserve">. </w:t>
            </w:r>
            <w:r>
              <w:rPr>
                <w:rStyle w:val="IndexLink"/>
                <w:rtl w:val="true"/>
              </w:rPr>
              <w:t>ذكر الأقوال في مجعولية الأحكام الوضعية</w:t>
            </w:r>
            <w:r>
              <w:rPr>
                <w:rStyle w:val="IndexLink"/>
                <w:rtl w:val="true"/>
              </w:rPr>
              <w:tab/>
            </w:r>
            <w:r>
              <w:rPr>
                <w:rStyle w:val="IndexLink"/>
              </w:rPr>
              <w:t>94</w:t>
            </w:r>
          </w:hyperlink>
        </w:p>
        <w:p>
          <w:pPr>
            <w:pStyle w:val="Contents6"/>
            <w:tabs>
              <w:tab w:val="clear" w:pos="7609"/>
              <w:tab w:val="right" w:pos="9026" w:leader="dot"/>
            </w:tabs>
            <w:rPr/>
          </w:pPr>
          <w:hyperlink w:anchor="__RefHeading___Toc7507008_3381743652">
            <w:r>
              <w:rPr>
                <w:webHidden/>
                <w:rStyle w:val="IndexLink"/>
                <w:rtl w:val="true"/>
              </w:rPr>
              <w:t>وأمّا القول الثالث</w:t>
            </w:r>
            <w:r>
              <w:rPr>
                <w:rStyle w:val="IndexLink"/>
                <w:rtl w:val="true"/>
              </w:rPr>
              <w:t xml:space="preserve">: </w:t>
            </w:r>
            <w:r>
              <w:rPr>
                <w:rStyle w:val="IndexLink"/>
                <w:rtl w:val="true"/>
              </w:rPr>
              <w:t>فقد قسّم الوضعي إلى أقسام ثلاثة</w:t>
            </w:r>
            <w:r>
              <w:rPr>
                <w:rStyle w:val="IndexLink"/>
                <w:rtl w:val="true"/>
              </w:rPr>
              <w:t>:</w:t>
              <w:tab/>
            </w:r>
            <w:r>
              <w:rPr>
                <w:rStyle w:val="IndexLink"/>
              </w:rPr>
              <w:t>96</w:t>
            </w:r>
          </w:hyperlink>
        </w:p>
        <w:p>
          <w:pPr>
            <w:pStyle w:val="Contents6"/>
            <w:tabs>
              <w:tab w:val="clear" w:pos="7609"/>
              <w:tab w:val="right" w:pos="9026" w:leader="dot"/>
            </w:tabs>
            <w:rPr/>
          </w:pPr>
          <w:hyperlink w:anchor="__RefHeading___Toc7507010_3381743652">
            <w:r>
              <w:rPr>
                <w:webHidden/>
                <w:rStyle w:val="IndexLink"/>
                <w:rtl w:val="true"/>
              </w:rPr>
              <w:t>القسم الأول</w:t>
            </w:r>
            <w:r>
              <w:rPr>
                <w:rStyle w:val="IndexLink"/>
                <w:rtl w:val="true"/>
              </w:rPr>
              <w:t xml:space="preserve">: </w:t>
            </w:r>
            <w:r>
              <w:rPr>
                <w:rStyle w:val="IndexLink"/>
                <w:rtl w:val="true"/>
              </w:rPr>
              <w:t>مالا تناله يد الجعل التشريعي لا تبعاً التكليفي</w:t>
            </w:r>
            <w:r>
              <w:rPr>
                <w:rStyle w:val="IndexLink"/>
                <w:rtl w:val="true"/>
              </w:rPr>
              <w:t xml:space="preserve">) </w:t>
            </w:r>
            <w:r>
              <w:rPr>
                <w:rStyle w:val="IndexLink"/>
                <w:rtl w:val="true"/>
              </w:rPr>
              <w:t>ولا استقلالاً</w:t>
            </w:r>
            <w:r>
              <w:rPr>
                <w:rStyle w:val="IndexLink"/>
                <w:rtl w:val="true"/>
              </w:rPr>
              <w:t>:</w:t>
              <w:tab/>
            </w:r>
            <w:r>
              <w:rPr>
                <w:rStyle w:val="IndexLink"/>
              </w:rPr>
              <w:t>96</w:t>
            </w:r>
          </w:hyperlink>
        </w:p>
        <w:p>
          <w:pPr>
            <w:pStyle w:val="Contents6"/>
            <w:tabs>
              <w:tab w:val="clear" w:pos="7609"/>
              <w:tab w:val="right" w:pos="9026" w:leader="dot"/>
            </w:tabs>
            <w:rPr/>
          </w:pPr>
          <w:hyperlink w:anchor="__RefHeading___Toc7507012_3381743652">
            <w:r>
              <w:rPr>
                <w:webHidden/>
                <w:rStyle w:val="IndexLink"/>
                <w:rtl w:val="true"/>
              </w:rPr>
              <w:t>القسم الثاني</w:t>
            </w:r>
            <w:r>
              <w:rPr>
                <w:rStyle w:val="IndexLink"/>
                <w:rtl w:val="true"/>
              </w:rPr>
              <w:t xml:space="preserve">: </w:t>
            </w:r>
            <w:r>
              <w:rPr>
                <w:rStyle w:val="IndexLink"/>
                <w:rtl w:val="true"/>
              </w:rPr>
              <w:t>ما تناله يد الجعل تبعاً لا استقلالاً</w:t>
            </w:r>
            <w:r>
              <w:rPr>
                <w:rStyle w:val="IndexLink"/>
                <w:rtl w:val="true"/>
              </w:rPr>
              <w:tab/>
            </w:r>
            <w:r>
              <w:rPr>
                <w:rStyle w:val="IndexLink"/>
              </w:rPr>
              <w:t>102</w:t>
            </w:r>
          </w:hyperlink>
        </w:p>
        <w:p>
          <w:pPr>
            <w:pStyle w:val="Contents6"/>
            <w:tabs>
              <w:tab w:val="clear" w:pos="7609"/>
              <w:tab w:val="right" w:pos="9026" w:leader="dot"/>
            </w:tabs>
            <w:rPr/>
          </w:pPr>
          <w:hyperlink w:anchor="__RefHeading___Toc7507014_3381743652">
            <w:r>
              <w:rPr>
                <w:webHidden/>
                <w:rStyle w:val="IndexLink"/>
                <w:rtl w:val="true"/>
              </w:rPr>
              <w:t>القسم الثالث</w:t>
            </w:r>
            <w:r>
              <w:rPr>
                <w:rStyle w:val="IndexLink"/>
                <w:rtl w:val="true"/>
              </w:rPr>
              <w:t xml:space="preserve">: </w:t>
            </w:r>
            <w:r>
              <w:rPr>
                <w:rStyle w:val="IndexLink"/>
                <w:rtl w:val="true"/>
              </w:rPr>
              <w:t>ما تناله الجعل استقلالاً</w:t>
            </w:r>
            <w:r>
              <w:rPr>
                <w:rStyle w:val="IndexLink"/>
                <w:rtl w:val="true"/>
              </w:rPr>
              <w:tab/>
            </w:r>
            <w:r>
              <w:rPr>
                <w:rStyle w:val="IndexLink"/>
              </w:rPr>
              <w:t>103</w:t>
            </w:r>
          </w:hyperlink>
        </w:p>
        <w:p>
          <w:pPr>
            <w:pStyle w:val="Contents6"/>
            <w:tabs>
              <w:tab w:val="clear" w:pos="7609"/>
              <w:tab w:val="right" w:pos="9026" w:leader="dot"/>
            </w:tabs>
            <w:rPr/>
          </w:pPr>
          <w:hyperlink w:anchor="__RefHeading___Toc7507016_3381743652">
            <w:r>
              <w:rPr>
                <w:webHidden/>
                <w:rStyle w:val="IndexLink"/>
                <w:rtl w:val="true"/>
              </w:rPr>
              <w:t>تحقيق فيه تفصيل</w:t>
            </w:r>
            <w:r>
              <w:rPr>
                <w:rStyle w:val="IndexLink"/>
                <w:rtl w:val="true"/>
              </w:rPr>
              <w:tab/>
            </w:r>
            <w:r>
              <w:rPr>
                <w:rStyle w:val="IndexLink"/>
              </w:rPr>
              <w:t>104</w:t>
            </w:r>
          </w:hyperlink>
        </w:p>
        <w:p>
          <w:pPr>
            <w:pStyle w:val="Contents4"/>
            <w:tabs>
              <w:tab w:val="clear" w:pos="8176"/>
              <w:tab w:val="right" w:pos="9026" w:leader="dot"/>
            </w:tabs>
            <w:rPr/>
          </w:pPr>
          <w:hyperlink w:anchor="__RefHeading___Toc7507018_3381743652">
            <w:r>
              <w:rPr>
                <w:webHidden/>
                <w:rStyle w:val="IndexLink"/>
                <w:rtl w:val="true"/>
              </w:rPr>
              <w:t>التنبيهات</w:t>
            </w:r>
            <w:r>
              <w:rPr>
                <w:rStyle w:val="IndexLink"/>
                <w:rtl w:val="true"/>
              </w:rPr>
              <w:tab/>
            </w:r>
            <w:r>
              <w:rPr>
                <w:rStyle w:val="IndexLink"/>
              </w:rPr>
              <w:t>109</w:t>
            </w:r>
          </w:hyperlink>
        </w:p>
        <w:p>
          <w:pPr>
            <w:pStyle w:val="Contents5"/>
            <w:tabs>
              <w:tab w:val="clear" w:pos="7892"/>
              <w:tab w:val="right" w:pos="9026" w:leader="dot"/>
            </w:tabs>
            <w:rPr/>
          </w:pPr>
          <w:hyperlink w:anchor="__RefHeading___Toc7507020_3381743652">
            <w:r>
              <w:rPr>
                <w:webHidden/>
                <w:rStyle w:val="IndexLink"/>
              </w:rPr>
              <w:t>1</w:t>
            </w:r>
            <w:r>
              <w:rPr>
                <w:rStyle w:val="IndexLink"/>
                <w:rtl w:val="true"/>
              </w:rPr>
              <w:t xml:space="preserve">- </w:t>
            </w:r>
            <w:r>
              <w:rPr>
                <w:rStyle w:val="IndexLink"/>
                <w:rtl w:val="true"/>
              </w:rPr>
              <w:t>جريان الاستصحاب في الأُمور الاستقبالية</w:t>
            </w:r>
            <w:r>
              <w:rPr>
                <w:rStyle w:val="IndexLink"/>
                <w:rtl w:val="true"/>
              </w:rPr>
              <w:tab/>
            </w:r>
            <w:r>
              <w:rPr>
                <w:rStyle w:val="IndexLink"/>
              </w:rPr>
              <w:t>109</w:t>
            </w:r>
          </w:hyperlink>
        </w:p>
        <w:p>
          <w:pPr>
            <w:pStyle w:val="Contents5"/>
            <w:tabs>
              <w:tab w:val="clear" w:pos="7892"/>
              <w:tab w:val="right" w:pos="9026" w:leader="dot"/>
            </w:tabs>
            <w:rPr/>
          </w:pPr>
          <w:hyperlink w:anchor="__RefHeading___Toc7507022_3381743652">
            <w:r>
              <w:rPr>
                <w:webHidden/>
                <w:rStyle w:val="IndexLink"/>
              </w:rPr>
              <w:t>2</w:t>
            </w:r>
            <w:r>
              <w:rPr>
                <w:rStyle w:val="IndexLink"/>
                <w:rtl w:val="true"/>
              </w:rPr>
              <w:t xml:space="preserve">- </w:t>
            </w:r>
            <w:r>
              <w:rPr>
                <w:rStyle w:val="IndexLink"/>
                <w:rtl w:val="true"/>
              </w:rPr>
              <w:t>في اشتراط فعلية اليقين والشكّ‌</w:t>
            </w:r>
            <w:r>
              <w:rPr>
                <w:rStyle w:val="IndexLink"/>
                <w:rtl w:val="true"/>
              </w:rPr>
              <w:tab/>
            </w:r>
            <w:r>
              <w:rPr>
                <w:rStyle w:val="IndexLink"/>
              </w:rPr>
              <w:t>112</w:t>
            </w:r>
          </w:hyperlink>
        </w:p>
        <w:p>
          <w:pPr>
            <w:pStyle w:val="Contents6"/>
            <w:tabs>
              <w:tab w:val="clear" w:pos="7609"/>
              <w:tab w:val="right" w:pos="9026" w:leader="dot"/>
            </w:tabs>
            <w:rPr/>
          </w:pPr>
          <w:hyperlink w:anchor="__RefHeading___Toc7507024_3381743652">
            <w:r>
              <w:rPr>
                <w:webHidden/>
                <w:rStyle w:val="IndexLink"/>
                <w:rtl w:val="true"/>
              </w:rPr>
              <w:t>اشارة</w:t>
            </w:r>
            <w:r>
              <w:rPr>
                <w:rStyle w:val="IndexLink"/>
                <w:rtl w:val="true"/>
              </w:rPr>
              <w:tab/>
            </w:r>
            <w:r>
              <w:rPr>
                <w:rStyle w:val="IndexLink"/>
              </w:rPr>
              <w:t>112</w:t>
            </w:r>
          </w:hyperlink>
        </w:p>
        <w:p>
          <w:pPr>
            <w:pStyle w:val="Contents6"/>
            <w:tabs>
              <w:tab w:val="clear" w:pos="7609"/>
              <w:tab w:val="right" w:pos="9026" w:leader="dot"/>
            </w:tabs>
            <w:rPr/>
          </w:pPr>
          <w:hyperlink w:anchor="__RefHeading___Toc7507026_3381743652">
            <w:r>
              <w:rPr>
                <w:webHidden/>
                <w:rStyle w:val="IndexLink"/>
                <w:rtl w:val="true"/>
              </w:rPr>
              <w:t>الفرع الأوّل</w:t>
            </w:r>
            <w:r>
              <w:rPr>
                <w:rStyle w:val="IndexLink"/>
                <w:rtl w:val="true"/>
              </w:rPr>
              <w:tab/>
            </w:r>
            <w:r>
              <w:rPr>
                <w:rStyle w:val="IndexLink"/>
              </w:rPr>
              <w:t>114</w:t>
            </w:r>
          </w:hyperlink>
        </w:p>
        <w:p>
          <w:pPr>
            <w:pStyle w:val="Contents6"/>
            <w:tabs>
              <w:tab w:val="clear" w:pos="7609"/>
              <w:tab w:val="right" w:pos="9026" w:leader="dot"/>
            </w:tabs>
            <w:rPr/>
          </w:pPr>
          <w:hyperlink w:anchor="__RefHeading___Toc7507028_3381743652">
            <w:r>
              <w:rPr>
                <w:webHidden/>
                <w:rStyle w:val="IndexLink"/>
                <w:rtl w:val="true"/>
              </w:rPr>
              <w:t>الفرع الثاني</w:t>
            </w:r>
            <w:r>
              <w:rPr>
                <w:rStyle w:val="IndexLink"/>
                <w:rtl w:val="true"/>
              </w:rPr>
              <w:tab/>
            </w:r>
            <w:r>
              <w:rPr>
                <w:rStyle w:val="IndexLink"/>
              </w:rPr>
              <w:t>115</w:t>
            </w:r>
          </w:hyperlink>
        </w:p>
        <w:p>
          <w:pPr>
            <w:pStyle w:val="Contents6"/>
            <w:tabs>
              <w:tab w:val="clear" w:pos="7609"/>
              <w:tab w:val="right" w:pos="9026" w:leader="dot"/>
            </w:tabs>
            <w:rPr/>
          </w:pPr>
          <w:hyperlink w:anchor="__RefHeading___Toc7507030_3381743652">
            <w:r>
              <w:rPr>
                <w:webHidden/>
                <w:rStyle w:val="IndexLink"/>
                <w:rtl w:val="true"/>
              </w:rPr>
              <w:t>الفرع الثالث</w:t>
            </w:r>
            <w:r>
              <w:rPr>
                <w:rStyle w:val="IndexLink"/>
                <w:rtl w:val="true"/>
              </w:rPr>
              <w:tab/>
            </w:r>
            <w:r>
              <w:rPr>
                <w:rStyle w:val="IndexLink"/>
              </w:rPr>
              <w:t>116</w:t>
            </w:r>
          </w:hyperlink>
        </w:p>
        <w:p>
          <w:pPr>
            <w:pStyle w:val="Contents6"/>
            <w:tabs>
              <w:tab w:val="clear" w:pos="7609"/>
              <w:tab w:val="right" w:pos="9026" w:leader="dot"/>
            </w:tabs>
            <w:rPr/>
          </w:pPr>
          <w:hyperlink w:anchor="__RefHeading___Toc7507032_3381743652">
            <w:r>
              <w:rPr>
                <w:webHidden/>
                <w:rStyle w:val="IndexLink"/>
                <w:rtl w:val="true"/>
              </w:rPr>
              <w:t>الفرع الرابع</w:t>
            </w:r>
            <w:r>
              <w:rPr>
                <w:rStyle w:val="IndexLink"/>
                <w:rtl w:val="true"/>
              </w:rPr>
              <w:tab/>
            </w:r>
            <w:r>
              <w:rPr>
                <w:rStyle w:val="IndexLink"/>
              </w:rPr>
              <w:t>116</w:t>
            </w:r>
          </w:hyperlink>
        </w:p>
        <w:p>
          <w:pPr>
            <w:pStyle w:val="Contents5"/>
            <w:tabs>
              <w:tab w:val="clear" w:pos="7892"/>
              <w:tab w:val="right" w:pos="9026" w:leader="dot"/>
            </w:tabs>
            <w:rPr/>
          </w:pPr>
          <w:hyperlink w:anchor="__RefHeading___Toc7507034_3381743652">
            <w:r>
              <w:rPr>
                <w:webHidden/>
                <w:rStyle w:val="IndexLink"/>
              </w:rPr>
              <w:t>3</w:t>
            </w:r>
            <w:r>
              <w:rPr>
                <w:rStyle w:val="IndexLink"/>
                <w:rtl w:val="true"/>
              </w:rPr>
              <w:t xml:space="preserve">- </w:t>
            </w:r>
            <w:r>
              <w:rPr>
                <w:rStyle w:val="IndexLink"/>
                <w:rtl w:val="true"/>
              </w:rPr>
              <w:t>إذا كان المتيقّن محرزاً بالأمارة</w:t>
            </w:r>
            <w:r>
              <w:rPr>
                <w:rStyle w:val="IndexLink"/>
                <w:rtl w:val="true"/>
              </w:rPr>
              <w:tab/>
            </w:r>
            <w:r>
              <w:rPr>
                <w:rStyle w:val="IndexLink"/>
              </w:rPr>
              <w:t>118</w:t>
            </w:r>
          </w:hyperlink>
        </w:p>
        <w:p>
          <w:pPr>
            <w:pStyle w:val="Contents5"/>
            <w:tabs>
              <w:tab w:val="clear" w:pos="7892"/>
              <w:tab w:val="right" w:pos="9026" w:leader="dot"/>
            </w:tabs>
            <w:rPr/>
          </w:pPr>
          <w:hyperlink w:anchor="__RefHeading___Toc7507036_3381743652">
            <w:r>
              <w:rPr>
                <w:webHidden/>
                <w:rStyle w:val="IndexLink"/>
              </w:rPr>
              <w:t>4</w:t>
            </w:r>
            <w:r>
              <w:rPr>
                <w:rStyle w:val="IndexLink"/>
                <w:rtl w:val="true"/>
              </w:rPr>
              <w:t xml:space="preserve">- </w:t>
            </w:r>
            <w:r>
              <w:rPr>
                <w:rStyle w:val="IndexLink"/>
                <w:rtl w:val="true"/>
              </w:rPr>
              <w:t>في استصحاب الكلّي</w:t>
            </w:r>
            <w:r>
              <w:rPr>
                <w:rStyle w:val="IndexLink"/>
                <w:rtl w:val="true"/>
              </w:rPr>
              <w:tab/>
            </w:r>
            <w:r>
              <w:rPr>
                <w:rStyle w:val="IndexLink"/>
              </w:rPr>
              <w:t>123</w:t>
            </w:r>
          </w:hyperlink>
        </w:p>
        <w:p>
          <w:pPr>
            <w:pStyle w:val="Contents6"/>
            <w:tabs>
              <w:tab w:val="clear" w:pos="7609"/>
              <w:tab w:val="right" w:pos="9026" w:leader="dot"/>
            </w:tabs>
            <w:rPr/>
          </w:pPr>
          <w:hyperlink w:anchor="__RefHeading___Toc7507038_3381743652">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7507040_3381743652">
            <w:r>
              <w:rPr>
                <w:webHidden/>
                <w:rStyle w:val="IndexLink"/>
              </w:rPr>
              <w:t>1</w:t>
            </w:r>
            <w:r>
              <w:rPr>
                <w:rStyle w:val="IndexLink"/>
                <w:rtl w:val="true"/>
              </w:rPr>
              <w:t xml:space="preserve">. </w:t>
            </w:r>
            <w:r>
              <w:rPr>
                <w:rStyle w:val="IndexLink"/>
                <w:rtl w:val="true"/>
              </w:rPr>
              <w:t>ما هو المراد من الكلّي في المقام؟</w:t>
            </w:r>
            <w:r>
              <w:rPr>
                <w:rStyle w:val="IndexLink"/>
                <w:rtl w:val="true"/>
              </w:rPr>
              <w:tab/>
            </w:r>
            <w:r>
              <w:rPr>
                <w:rStyle w:val="IndexLink"/>
              </w:rPr>
              <w:t>123</w:t>
            </w:r>
          </w:hyperlink>
        </w:p>
        <w:p>
          <w:pPr>
            <w:pStyle w:val="Contents6"/>
            <w:tabs>
              <w:tab w:val="clear" w:pos="7609"/>
              <w:tab w:val="right" w:pos="9026" w:leader="dot"/>
            </w:tabs>
            <w:rPr/>
          </w:pPr>
          <w:hyperlink w:anchor="__RefHeading___Toc7507042_3381743652">
            <w:r>
              <w:rPr>
                <w:webHidden/>
                <w:rStyle w:val="IndexLink"/>
              </w:rPr>
              <w:t>2</w:t>
            </w:r>
            <w:r>
              <w:rPr>
                <w:rStyle w:val="IndexLink"/>
                <w:rtl w:val="true"/>
              </w:rPr>
              <w:t xml:space="preserve">. </w:t>
            </w:r>
            <w:r>
              <w:rPr>
                <w:rStyle w:val="IndexLink"/>
                <w:rtl w:val="true"/>
              </w:rPr>
              <w:t>في بيان أقسام استصحاب الكلي</w:t>
            </w:r>
            <w:r>
              <w:rPr>
                <w:rStyle w:val="IndexLink"/>
                <w:rtl w:val="true"/>
              </w:rPr>
              <w:tab/>
            </w:r>
            <w:r>
              <w:rPr>
                <w:rStyle w:val="IndexLink"/>
              </w:rPr>
              <w:t>123</w:t>
            </w:r>
          </w:hyperlink>
        </w:p>
        <w:p>
          <w:pPr>
            <w:pStyle w:val="Contents6"/>
            <w:tabs>
              <w:tab w:val="clear" w:pos="7609"/>
              <w:tab w:val="right" w:pos="9026" w:leader="dot"/>
            </w:tabs>
            <w:rPr/>
          </w:pPr>
          <w:hyperlink w:anchor="__RefHeading___Toc7507044_3381743652">
            <w:r>
              <w:rPr>
                <w:webHidden/>
                <w:rStyle w:val="IndexLink"/>
              </w:rPr>
              <w:t>3</w:t>
            </w:r>
            <w:r>
              <w:rPr>
                <w:rStyle w:val="IndexLink"/>
                <w:rtl w:val="true"/>
              </w:rPr>
              <w:t xml:space="preserve">. </w:t>
            </w:r>
            <w:r>
              <w:rPr>
                <w:rStyle w:val="IndexLink"/>
                <w:rtl w:val="true"/>
              </w:rPr>
              <w:t>ترتب الأثر على الجامع</w:t>
            </w:r>
            <w:r>
              <w:rPr>
                <w:rStyle w:val="IndexLink"/>
                <w:rtl w:val="true"/>
              </w:rPr>
              <w:tab/>
            </w:r>
            <w:r>
              <w:rPr>
                <w:rStyle w:val="IndexLink"/>
              </w:rPr>
              <w:t>125</w:t>
            </w:r>
          </w:hyperlink>
        </w:p>
        <w:p>
          <w:pPr>
            <w:pStyle w:val="Contents6"/>
            <w:tabs>
              <w:tab w:val="clear" w:pos="7609"/>
              <w:tab w:val="right" w:pos="9026" w:leader="dot"/>
            </w:tabs>
            <w:rPr/>
          </w:pPr>
          <w:hyperlink w:anchor="__RefHeading___Toc7507046_3381743652">
            <w:r>
              <w:rPr>
                <w:webHidden/>
                <w:rStyle w:val="IndexLink"/>
                <w:rtl w:val="true"/>
              </w:rPr>
              <w:t>القسم الأوّل من أقسام استصحاب الكلّي</w:t>
            </w:r>
            <w:r>
              <w:rPr>
                <w:rStyle w:val="IndexLink"/>
                <w:rtl w:val="true"/>
              </w:rPr>
              <w:tab/>
            </w:r>
            <w:r>
              <w:rPr>
                <w:rStyle w:val="IndexLink"/>
              </w:rPr>
              <w:t>125</w:t>
            </w:r>
          </w:hyperlink>
        </w:p>
        <w:p>
          <w:pPr>
            <w:pStyle w:val="Contents6"/>
            <w:tabs>
              <w:tab w:val="clear" w:pos="7609"/>
              <w:tab w:val="right" w:pos="9026" w:leader="dot"/>
            </w:tabs>
            <w:rPr/>
          </w:pPr>
          <w:hyperlink w:anchor="__RefHeading___Toc7507048_3381743652">
            <w:r>
              <w:rPr>
                <w:webHidden/>
                <w:rStyle w:val="IndexLink"/>
                <w:rtl w:val="true"/>
              </w:rPr>
              <w:t>استصحاب الكلي لا يُغني عن استصحاب الفرد</w:t>
            </w:r>
            <w:r>
              <w:rPr>
                <w:rStyle w:val="IndexLink"/>
                <w:rtl w:val="true"/>
              </w:rPr>
              <w:tab/>
            </w:r>
            <w:r>
              <w:rPr>
                <w:rStyle w:val="IndexLink"/>
              </w:rPr>
              <w:t>126</w:t>
            </w:r>
          </w:hyperlink>
        </w:p>
        <w:p>
          <w:pPr>
            <w:pStyle w:val="Contents6"/>
            <w:tabs>
              <w:tab w:val="clear" w:pos="7609"/>
              <w:tab w:val="right" w:pos="9026" w:leader="dot"/>
            </w:tabs>
            <w:rPr/>
          </w:pPr>
          <w:hyperlink w:anchor="__RefHeading___Toc7507050_3381743652">
            <w:r>
              <w:rPr>
                <w:webHidden/>
                <w:rStyle w:val="IndexLink"/>
                <w:rtl w:val="true"/>
              </w:rPr>
              <w:t>القسم الثاني من أقسام استصحاب الكلّي</w:t>
            </w:r>
            <w:r>
              <w:rPr>
                <w:rStyle w:val="IndexLink"/>
                <w:rtl w:val="true"/>
              </w:rPr>
              <w:tab/>
            </w:r>
            <w:r>
              <w:rPr>
                <w:rStyle w:val="IndexLink"/>
              </w:rPr>
              <w:t>128</w:t>
            </w:r>
          </w:hyperlink>
        </w:p>
        <w:p>
          <w:pPr>
            <w:pStyle w:val="Contents6"/>
            <w:tabs>
              <w:tab w:val="clear" w:pos="7609"/>
              <w:tab w:val="right" w:pos="9026" w:leader="dot"/>
            </w:tabs>
            <w:rPr/>
          </w:pPr>
          <w:hyperlink w:anchor="__RefHeading___Toc7507052_3381743652">
            <w:r>
              <w:rPr>
                <w:webHidden/>
                <w:rStyle w:val="IndexLink"/>
                <w:rtl w:val="true"/>
              </w:rPr>
              <w:t>الأوّل</w:t>
            </w:r>
            <w:r>
              <w:rPr>
                <w:rStyle w:val="IndexLink"/>
                <w:rtl w:val="true"/>
              </w:rPr>
              <w:t xml:space="preserve">: </w:t>
            </w:r>
            <w:r>
              <w:rPr>
                <w:rStyle w:val="IndexLink"/>
                <w:rtl w:val="true"/>
              </w:rPr>
              <w:t>اختلال أركان الاستصحاب</w:t>
            </w:r>
            <w:r>
              <w:rPr>
                <w:rStyle w:val="IndexLink"/>
                <w:rtl w:val="true"/>
              </w:rPr>
              <w:tab/>
            </w:r>
            <w:r>
              <w:rPr>
                <w:rStyle w:val="IndexLink"/>
              </w:rPr>
              <w:t>129</w:t>
            </w:r>
          </w:hyperlink>
        </w:p>
        <w:p>
          <w:pPr>
            <w:pStyle w:val="Contents6"/>
            <w:tabs>
              <w:tab w:val="clear" w:pos="7609"/>
              <w:tab w:val="right" w:pos="9026" w:leader="dot"/>
            </w:tabs>
            <w:rPr/>
          </w:pPr>
          <w:hyperlink w:anchor="__RefHeading___Toc7507054_3381743652">
            <w:r>
              <w:rPr>
                <w:webHidden/>
                <w:rStyle w:val="IndexLink"/>
                <w:rtl w:val="true"/>
              </w:rPr>
              <w:t>الثاني</w:t>
            </w:r>
            <w:r>
              <w:rPr>
                <w:rStyle w:val="IndexLink"/>
                <w:rtl w:val="true"/>
              </w:rPr>
              <w:t xml:space="preserve">: </w:t>
            </w:r>
            <w:r>
              <w:rPr>
                <w:rStyle w:val="IndexLink"/>
                <w:rtl w:val="true"/>
              </w:rPr>
              <w:t>حكومة الأصل السببي على المسببي</w:t>
            </w:r>
            <w:r>
              <w:rPr>
                <w:rStyle w:val="IndexLink"/>
                <w:rtl w:val="true"/>
              </w:rPr>
              <w:tab/>
            </w:r>
            <w:r>
              <w:rPr>
                <w:rStyle w:val="IndexLink"/>
              </w:rPr>
              <w:t>130</w:t>
            </w:r>
          </w:hyperlink>
        </w:p>
        <w:p>
          <w:pPr>
            <w:pStyle w:val="Contents6"/>
            <w:tabs>
              <w:tab w:val="clear" w:pos="7609"/>
              <w:tab w:val="right" w:pos="9026" w:leader="dot"/>
            </w:tabs>
            <w:rPr/>
          </w:pPr>
          <w:hyperlink w:anchor="__RefHeading___Toc7507056_3381743652">
            <w:r>
              <w:rPr>
                <w:webHidden/>
                <w:rStyle w:val="IndexLink"/>
                <w:rtl w:val="true"/>
              </w:rPr>
              <w:t>الأجوبة الثلاثة عن الإشكال الثاني</w:t>
            </w:r>
            <w:r>
              <w:rPr>
                <w:rStyle w:val="IndexLink"/>
                <w:rtl w:val="true"/>
              </w:rPr>
              <w:tab/>
            </w:r>
            <w:r>
              <w:rPr>
                <w:rStyle w:val="IndexLink"/>
              </w:rPr>
              <w:t>130</w:t>
            </w:r>
          </w:hyperlink>
        </w:p>
        <w:p>
          <w:pPr>
            <w:pStyle w:val="Contents6"/>
            <w:tabs>
              <w:tab w:val="clear" w:pos="7609"/>
              <w:tab w:val="right" w:pos="9026" w:leader="dot"/>
            </w:tabs>
            <w:rPr/>
          </w:pPr>
          <w:hyperlink w:anchor="__RefHeading___Toc7507058_3381743652">
            <w:r>
              <w:rPr>
                <w:webHidden/>
                <w:rStyle w:val="IndexLink"/>
                <w:rtl w:val="true"/>
              </w:rPr>
              <w:t>تطبيقات</w:t>
            </w:r>
            <w:r>
              <w:rPr>
                <w:rStyle w:val="IndexLink"/>
                <w:rtl w:val="true"/>
              </w:rPr>
              <w:tab/>
            </w:r>
            <w:r>
              <w:rPr>
                <w:rStyle w:val="IndexLink"/>
              </w:rPr>
              <w:t>131</w:t>
            </w:r>
          </w:hyperlink>
        </w:p>
        <w:p>
          <w:pPr>
            <w:pStyle w:val="Contents6"/>
            <w:tabs>
              <w:tab w:val="clear" w:pos="7609"/>
              <w:tab w:val="right" w:pos="9026" w:leader="dot"/>
            </w:tabs>
            <w:rPr/>
          </w:pPr>
          <w:hyperlink w:anchor="__RefHeading___Toc7507060_3381743652">
            <w:r>
              <w:rPr>
                <w:webHidden/>
                <w:rStyle w:val="IndexLink"/>
                <w:rtl w:val="true"/>
              </w:rPr>
              <w:t>جواب السيد الصدر</w:t>
            </w:r>
            <w:r>
              <w:rPr>
                <w:rStyle w:val="IndexLink"/>
                <w:rtl w:val="true"/>
              </w:rPr>
              <w:tab/>
            </w:r>
            <w:r>
              <w:rPr>
                <w:rStyle w:val="IndexLink"/>
              </w:rPr>
              <w:t>135</w:t>
            </w:r>
          </w:hyperlink>
        </w:p>
        <w:p>
          <w:pPr>
            <w:pStyle w:val="Contents6"/>
            <w:tabs>
              <w:tab w:val="clear" w:pos="7609"/>
              <w:tab w:val="right" w:pos="9026" w:leader="dot"/>
            </w:tabs>
            <w:rPr/>
          </w:pPr>
          <w:hyperlink w:anchor="__RefHeading___Toc7507062_3381743652">
            <w:r>
              <w:rPr>
                <w:webHidden/>
                <w:rStyle w:val="IndexLink"/>
                <w:rtl w:val="true"/>
              </w:rPr>
              <w:t>ما هوالمختار في الجواب؟</w:t>
            </w:r>
            <w:r>
              <w:rPr>
                <w:rStyle w:val="IndexLink"/>
                <w:rtl w:val="true"/>
              </w:rPr>
              <w:tab/>
            </w:r>
            <w:r>
              <w:rPr>
                <w:rStyle w:val="IndexLink"/>
              </w:rPr>
              <w:t>136</w:t>
            </w:r>
          </w:hyperlink>
        </w:p>
        <w:p>
          <w:pPr>
            <w:pStyle w:val="Contents6"/>
            <w:tabs>
              <w:tab w:val="clear" w:pos="7609"/>
              <w:tab w:val="right" w:pos="9026" w:leader="dot"/>
            </w:tabs>
            <w:rPr/>
          </w:pPr>
          <w:hyperlink w:anchor="__RefHeading___Toc7507064_3381743652">
            <w:r>
              <w:rPr>
                <w:webHidden/>
                <w:rStyle w:val="IndexLink"/>
                <w:rtl w:val="true"/>
              </w:rPr>
              <w:t>القسم الثالث من أقسام الاستصحاب الكلي</w:t>
            </w:r>
            <w:r>
              <w:rPr>
                <w:rStyle w:val="IndexLink"/>
                <w:rtl w:val="true"/>
              </w:rPr>
              <w:tab/>
            </w:r>
            <w:r>
              <w:rPr>
                <w:rStyle w:val="IndexLink"/>
              </w:rPr>
              <w:t>137</w:t>
            </w:r>
          </w:hyperlink>
        </w:p>
        <w:p>
          <w:pPr>
            <w:pStyle w:val="Contents6"/>
            <w:tabs>
              <w:tab w:val="clear" w:pos="7609"/>
              <w:tab w:val="right" w:pos="9026" w:leader="dot"/>
            </w:tabs>
            <w:rPr/>
          </w:pPr>
          <w:hyperlink w:anchor="__RefHeading___Toc7507066_3381743652">
            <w:r>
              <w:rPr>
                <w:webHidden/>
                <w:rStyle w:val="IndexLink"/>
                <w:rtl w:val="true"/>
              </w:rPr>
              <w:t>الصورة الأُولى</w:t>
            </w:r>
            <w:r>
              <w:rPr>
                <w:rStyle w:val="IndexLink"/>
                <w:rtl w:val="true"/>
              </w:rPr>
              <w:tab/>
            </w:r>
            <w:r>
              <w:rPr>
                <w:rStyle w:val="IndexLink"/>
              </w:rPr>
              <w:t>138</w:t>
            </w:r>
          </w:hyperlink>
        </w:p>
        <w:p>
          <w:pPr>
            <w:pStyle w:val="Contents6"/>
            <w:tabs>
              <w:tab w:val="clear" w:pos="7609"/>
              <w:tab w:val="right" w:pos="9026" w:leader="dot"/>
            </w:tabs>
            <w:rPr/>
          </w:pPr>
          <w:hyperlink w:anchor="__RefHeading___Toc7507068_3381743652">
            <w:r>
              <w:rPr>
                <w:webHidden/>
                <w:rStyle w:val="IndexLink"/>
                <w:rtl w:val="true"/>
              </w:rPr>
              <w:t>الصورة الثانية</w:t>
            </w:r>
            <w:r>
              <w:rPr>
                <w:rStyle w:val="IndexLink"/>
                <w:rtl w:val="true"/>
              </w:rPr>
              <w:tab/>
            </w:r>
            <w:r>
              <w:rPr>
                <w:rStyle w:val="IndexLink"/>
              </w:rPr>
              <w:t>139</w:t>
            </w:r>
          </w:hyperlink>
        </w:p>
        <w:p>
          <w:pPr>
            <w:pStyle w:val="Contents6"/>
            <w:tabs>
              <w:tab w:val="clear" w:pos="7609"/>
              <w:tab w:val="right" w:pos="9026" w:leader="dot"/>
            </w:tabs>
            <w:rPr/>
          </w:pPr>
          <w:hyperlink w:anchor="__RefHeading___Toc7507070_3381743652">
            <w:r>
              <w:rPr>
                <w:webHidden/>
                <w:rStyle w:val="IndexLink"/>
                <w:rtl w:val="true"/>
              </w:rPr>
              <w:t>الصورة الثالثة</w:t>
            </w:r>
            <w:r>
              <w:rPr>
                <w:rStyle w:val="IndexLink"/>
                <w:rtl w:val="true"/>
              </w:rPr>
              <w:tab/>
            </w:r>
            <w:r>
              <w:rPr>
                <w:rStyle w:val="IndexLink"/>
              </w:rPr>
              <w:t>140</w:t>
            </w:r>
          </w:hyperlink>
        </w:p>
        <w:p>
          <w:pPr>
            <w:pStyle w:val="Contents6"/>
            <w:tabs>
              <w:tab w:val="clear" w:pos="7609"/>
              <w:tab w:val="right" w:pos="9026" w:leader="dot"/>
            </w:tabs>
            <w:rPr/>
          </w:pPr>
          <w:hyperlink w:anchor="__RefHeading___Toc7507072_3381743652">
            <w:r>
              <w:rPr>
                <w:webHidden/>
                <w:rStyle w:val="IndexLink"/>
                <w:rtl w:val="true"/>
              </w:rPr>
              <w:t>الصورة الرابعة</w:t>
            </w:r>
            <w:r>
              <w:rPr>
                <w:rStyle w:val="IndexLink"/>
                <w:rtl w:val="true"/>
              </w:rPr>
              <w:tab/>
            </w:r>
            <w:r>
              <w:rPr>
                <w:rStyle w:val="IndexLink"/>
              </w:rPr>
              <w:t>140</w:t>
            </w:r>
          </w:hyperlink>
        </w:p>
        <w:p>
          <w:pPr>
            <w:pStyle w:val="Contents5"/>
            <w:tabs>
              <w:tab w:val="clear" w:pos="7892"/>
              <w:tab w:val="right" w:pos="9026" w:leader="dot"/>
            </w:tabs>
            <w:rPr/>
          </w:pPr>
          <w:hyperlink w:anchor="__RefHeading___Toc7507074_3381743652">
            <w:r>
              <w:rPr>
                <w:webHidden/>
                <w:rStyle w:val="IndexLink"/>
              </w:rPr>
              <w:t>5</w:t>
            </w:r>
            <w:r>
              <w:rPr>
                <w:rStyle w:val="IndexLink"/>
                <w:rtl w:val="true"/>
              </w:rPr>
              <w:t xml:space="preserve">- </w:t>
            </w:r>
            <w:r>
              <w:rPr>
                <w:rStyle w:val="IndexLink"/>
                <w:rtl w:val="true"/>
              </w:rPr>
              <w:t>استصحاب الزمان والزمانيات والأُمور القارة‌المقيّدة بالزمان</w:t>
            </w:r>
            <w:r>
              <w:rPr>
                <w:rStyle w:val="IndexLink"/>
                <w:rtl w:val="true"/>
              </w:rPr>
              <w:tab/>
            </w:r>
            <w:r>
              <w:rPr>
                <w:rStyle w:val="IndexLink"/>
              </w:rPr>
              <w:t>144</w:t>
            </w:r>
          </w:hyperlink>
        </w:p>
        <w:p>
          <w:pPr>
            <w:pStyle w:val="Contents6"/>
            <w:tabs>
              <w:tab w:val="clear" w:pos="7609"/>
              <w:tab w:val="right" w:pos="9026" w:leader="dot"/>
            </w:tabs>
            <w:rPr/>
          </w:pPr>
          <w:hyperlink w:anchor="__RefHeading___Toc7507076_3381743652">
            <w:r>
              <w:rPr>
                <w:webHidden/>
                <w:rStyle w:val="IndexLink"/>
                <w:rtl w:val="true"/>
              </w:rPr>
              <w:t>اشارة</w:t>
            </w:r>
            <w:r>
              <w:rPr>
                <w:rStyle w:val="IndexLink"/>
                <w:rtl w:val="true"/>
              </w:rPr>
              <w:tab/>
            </w:r>
            <w:r>
              <w:rPr>
                <w:rStyle w:val="IndexLink"/>
              </w:rPr>
              <w:t>144</w:t>
            </w:r>
          </w:hyperlink>
        </w:p>
        <w:p>
          <w:pPr>
            <w:pStyle w:val="Contents6"/>
            <w:tabs>
              <w:tab w:val="clear" w:pos="7609"/>
              <w:tab w:val="right" w:pos="9026" w:leader="dot"/>
            </w:tabs>
            <w:rPr/>
          </w:pPr>
          <w:hyperlink w:anchor="__RefHeading___Toc7507078_3381743652">
            <w:r>
              <w:rPr>
                <w:webHidden/>
                <w:rStyle w:val="IndexLink"/>
                <w:rtl w:val="true"/>
              </w:rPr>
              <w:t>الموضع الأوّل</w:t>
            </w:r>
            <w:r>
              <w:rPr>
                <w:rStyle w:val="IndexLink"/>
                <w:rtl w:val="true"/>
              </w:rPr>
              <w:t xml:space="preserve">: </w:t>
            </w:r>
            <w:r>
              <w:rPr>
                <w:rStyle w:val="IndexLink"/>
                <w:rtl w:val="true"/>
              </w:rPr>
              <w:t>استصحاب نفس الزمان المعنون بعنوان وجودي</w:t>
            </w:r>
            <w:r>
              <w:rPr>
                <w:rStyle w:val="IndexLink"/>
                <w:rtl w:val="true"/>
              </w:rPr>
              <w:tab/>
            </w:r>
            <w:r>
              <w:rPr>
                <w:rStyle w:val="IndexLink"/>
              </w:rPr>
              <w:t>144</w:t>
            </w:r>
          </w:hyperlink>
        </w:p>
        <w:p>
          <w:pPr>
            <w:pStyle w:val="Contents6"/>
            <w:tabs>
              <w:tab w:val="clear" w:pos="7609"/>
              <w:tab w:val="right" w:pos="9026" w:leader="dot"/>
            </w:tabs>
            <w:rPr/>
          </w:pPr>
          <w:hyperlink w:anchor="__RefHeading___Toc7507080_3381743652">
            <w:r>
              <w:rPr>
                <w:webHidden/>
                <w:rStyle w:val="IndexLink"/>
                <w:rtl w:val="true"/>
              </w:rPr>
              <w:t>الأوّل</w:t>
            </w:r>
            <w:r>
              <w:rPr>
                <w:rStyle w:val="IndexLink"/>
                <w:rtl w:val="true"/>
              </w:rPr>
              <w:t xml:space="preserve">: </w:t>
            </w:r>
            <w:r>
              <w:rPr>
                <w:rStyle w:val="IndexLink"/>
                <w:rtl w:val="true"/>
              </w:rPr>
              <w:t>عدم تصوّر البقاء فيه</w:t>
            </w:r>
            <w:r>
              <w:rPr>
                <w:rStyle w:val="IndexLink"/>
                <w:rtl w:val="true"/>
              </w:rPr>
              <w:tab/>
            </w:r>
            <w:r>
              <w:rPr>
                <w:rStyle w:val="IndexLink"/>
              </w:rPr>
              <w:t>145</w:t>
            </w:r>
          </w:hyperlink>
        </w:p>
        <w:p>
          <w:pPr>
            <w:pStyle w:val="Contents6"/>
            <w:tabs>
              <w:tab w:val="clear" w:pos="7609"/>
              <w:tab w:val="right" w:pos="9026" w:leader="dot"/>
            </w:tabs>
            <w:rPr/>
          </w:pPr>
          <w:hyperlink w:anchor="__RefHeading___Toc7507082_3381743652">
            <w:r>
              <w:rPr>
                <w:webHidden/>
                <w:rStyle w:val="IndexLink"/>
                <w:rtl w:val="true"/>
              </w:rPr>
              <w:t>الثاني</w:t>
            </w:r>
            <w:r>
              <w:rPr>
                <w:rStyle w:val="IndexLink"/>
                <w:rtl w:val="true"/>
              </w:rPr>
              <w:t xml:space="preserve">: </w:t>
            </w:r>
            <w:r>
              <w:rPr>
                <w:rStyle w:val="IndexLink"/>
                <w:rtl w:val="true"/>
              </w:rPr>
              <w:t>عدم بقاء الموضوع</w:t>
            </w:r>
            <w:r>
              <w:rPr>
                <w:rStyle w:val="IndexLink"/>
                <w:rtl w:val="true"/>
              </w:rPr>
              <w:tab/>
            </w:r>
            <w:r>
              <w:rPr>
                <w:rStyle w:val="IndexLink"/>
              </w:rPr>
              <w:t>147</w:t>
            </w:r>
          </w:hyperlink>
        </w:p>
        <w:p>
          <w:pPr>
            <w:pStyle w:val="Contents6"/>
            <w:tabs>
              <w:tab w:val="clear" w:pos="7609"/>
              <w:tab w:val="right" w:pos="9026" w:leader="dot"/>
            </w:tabs>
            <w:rPr/>
          </w:pPr>
          <w:hyperlink w:anchor="__RefHeading___Toc7507084_3381743652">
            <w:r>
              <w:rPr>
                <w:webHidden/>
                <w:rStyle w:val="IndexLink"/>
                <w:rtl w:val="true"/>
              </w:rPr>
              <w:t>الثالث</w:t>
            </w:r>
            <w:r>
              <w:rPr>
                <w:rStyle w:val="IndexLink"/>
                <w:rtl w:val="true"/>
              </w:rPr>
              <w:t xml:space="preserve">. </w:t>
            </w:r>
            <w:r>
              <w:rPr>
                <w:rStyle w:val="IndexLink"/>
                <w:rtl w:val="true"/>
              </w:rPr>
              <w:t>الاستصحاب مثبت</w:t>
            </w:r>
            <w:r>
              <w:rPr>
                <w:rStyle w:val="IndexLink"/>
                <w:rtl w:val="true"/>
              </w:rPr>
              <w:tab/>
            </w:r>
            <w:r>
              <w:rPr>
                <w:rStyle w:val="IndexLink"/>
              </w:rPr>
              <w:t>147</w:t>
            </w:r>
          </w:hyperlink>
        </w:p>
        <w:p>
          <w:pPr>
            <w:pStyle w:val="Contents6"/>
            <w:tabs>
              <w:tab w:val="clear" w:pos="7609"/>
              <w:tab w:val="right" w:pos="9026" w:leader="dot"/>
            </w:tabs>
            <w:rPr/>
          </w:pPr>
          <w:hyperlink w:anchor="__RefHeading___Toc7507086_3381743652">
            <w:r>
              <w:rPr>
                <w:webHidden/>
                <w:rStyle w:val="IndexLink"/>
                <w:rtl w:val="true"/>
              </w:rPr>
              <w:t>الموضع الثاني</w:t>
            </w:r>
            <w:r>
              <w:rPr>
                <w:rStyle w:val="IndexLink"/>
                <w:rtl w:val="true"/>
              </w:rPr>
              <w:t xml:space="preserve">: </w:t>
            </w:r>
            <w:r>
              <w:rPr>
                <w:rStyle w:val="IndexLink"/>
                <w:rtl w:val="true"/>
              </w:rPr>
              <w:t>جريان الاستصحاب في الأُمور التدريجية غير الزمان</w:t>
            </w:r>
            <w:r>
              <w:rPr>
                <w:rStyle w:val="IndexLink"/>
                <w:rtl w:val="true"/>
              </w:rPr>
              <w:tab/>
            </w:r>
            <w:r>
              <w:rPr>
                <w:rStyle w:val="IndexLink"/>
              </w:rPr>
              <w:t>149</w:t>
            </w:r>
          </w:hyperlink>
        </w:p>
        <w:p>
          <w:pPr>
            <w:pStyle w:val="Contents6"/>
            <w:tabs>
              <w:tab w:val="clear" w:pos="7609"/>
              <w:tab w:val="right" w:pos="9026" w:leader="dot"/>
            </w:tabs>
            <w:rPr/>
          </w:pPr>
          <w:hyperlink w:anchor="__RefHeading___Toc7507088_3381743652">
            <w:r>
              <w:rPr>
                <w:webHidden/>
                <w:rStyle w:val="IndexLink"/>
                <w:rtl w:val="true"/>
              </w:rPr>
              <w:t>الصورة الأُولى</w:t>
            </w:r>
            <w:r>
              <w:rPr>
                <w:rStyle w:val="IndexLink"/>
                <w:rtl w:val="true"/>
              </w:rPr>
              <w:t xml:space="preserve">: </w:t>
            </w:r>
            <w:r>
              <w:rPr>
                <w:rStyle w:val="IndexLink"/>
                <w:rtl w:val="true"/>
              </w:rPr>
              <w:t>إذا أحرز المتيقّن وشكّ في الرافع</w:t>
            </w:r>
            <w:r>
              <w:rPr>
                <w:rStyle w:val="IndexLink"/>
                <w:rtl w:val="true"/>
              </w:rPr>
              <w:tab/>
            </w:r>
            <w:r>
              <w:rPr>
                <w:rStyle w:val="IndexLink"/>
              </w:rPr>
              <w:t>150</w:t>
            </w:r>
          </w:hyperlink>
        </w:p>
        <w:p>
          <w:pPr>
            <w:pStyle w:val="Contents6"/>
            <w:tabs>
              <w:tab w:val="clear" w:pos="7609"/>
              <w:tab w:val="right" w:pos="9026" w:leader="dot"/>
            </w:tabs>
            <w:rPr/>
          </w:pPr>
          <w:hyperlink w:anchor="__RefHeading___Toc7507090_3381743652">
            <w:r>
              <w:rPr>
                <w:webHidden/>
                <w:rStyle w:val="IndexLink"/>
                <w:rtl w:val="true"/>
              </w:rPr>
              <w:t>الصورة الثانية</w:t>
            </w:r>
            <w:r>
              <w:rPr>
                <w:rStyle w:val="IndexLink"/>
                <w:rtl w:val="true"/>
              </w:rPr>
              <w:t xml:space="preserve">: </w:t>
            </w:r>
            <w:r>
              <w:rPr>
                <w:rStyle w:val="IndexLink"/>
                <w:rtl w:val="true"/>
              </w:rPr>
              <w:t>إذا شكّ في استمراره لأجل الشكّ في بقاء المقتضي</w:t>
            </w:r>
            <w:r>
              <w:rPr>
                <w:rStyle w:val="IndexLink"/>
                <w:rtl w:val="true"/>
              </w:rPr>
              <w:tab/>
            </w:r>
            <w:r>
              <w:rPr>
                <w:rStyle w:val="IndexLink"/>
              </w:rPr>
              <w:t>151</w:t>
            </w:r>
          </w:hyperlink>
        </w:p>
        <w:p>
          <w:pPr>
            <w:pStyle w:val="Contents6"/>
            <w:tabs>
              <w:tab w:val="clear" w:pos="7609"/>
              <w:tab w:val="right" w:pos="9026" w:leader="dot"/>
            </w:tabs>
            <w:rPr/>
          </w:pPr>
          <w:hyperlink w:anchor="__RefHeading___Toc7507092_3381743652">
            <w:r>
              <w:rPr>
                <w:webHidden/>
                <w:rStyle w:val="IndexLink"/>
                <w:rtl w:val="true"/>
              </w:rPr>
              <w:t>الصورة الثالثة</w:t>
            </w:r>
            <w:r>
              <w:rPr>
                <w:rStyle w:val="IndexLink"/>
                <w:rtl w:val="true"/>
              </w:rPr>
              <w:t xml:space="preserve">: </w:t>
            </w:r>
            <w:r>
              <w:rPr>
                <w:rStyle w:val="IndexLink"/>
                <w:rtl w:val="true"/>
              </w:rPr>
              <w:t>في احتمال نيابة داعٍ آخر مكانه</w:t>
            </w:r>
            <w:r>
              <w:rPr>
                <w:rStyle w:val="IndexLink"/>
                <w:rtl w:val="true"/>
              </w:rPr>
              <w:tab/>
            </w:r>
            <w:r>
              <w:rPr>
                <w:rStyle w:val="IndexLink"/>
              </w:rPr>
              <w:t>151</w:t>
            </w:r>
          </w:hyperlink>
        </w:p>
        <w:p>
          <w:pPr>
            <w:pStyle w:val="Contents6"/>
            <w:tabs>
              <w:tab w:val="clear" w:pos="7609"/>
              <w:tab w:val="right" w:pos="9026" w:leader="dot"/>
            </w:tabs>
            <w:rPr/>
          </w:pPr>
          <w:hyperlink w:anchor="__RefHeading___Toc7507094_3381743652">
            <w:r>
              <w:rPr>
                <w:webHidden/>
                <w:rStyle w:val="IndexLink"/>
                <w:rtl w:val="true"/>
              </w:rPr>
              <w:t>الموضع الثالث</w:t>
            </w:r>
            <w:r>
              <w:rPr>
                <w:rStyle w:val="IndexLink"/>
                <w:rtl w:val="true"/>
              </w:rPr>
              <w:t xml:space="preserve">: </w:t>
            </w:r>
            <w:r>
              <w:rPr>
                <w:rStyle w:val="IndexLink"/>
                <w:rtl w:val="true"/>
              </w:rPr>
              <w:t xml:space="preserve">الفعل </w:t>
            </w:r>
            <w:r>
              <w:rPr>
                <w:rStyle w:val="IndexLink"/>
                <w:rtl w:val="true"/>
              </w:rPr>
              <w:t>(</w:t>
            </w:r>
            <w:r>
              <w:rPr>
                <w:rStyle w:val="IndexLink"/>
                <w:rtl w:val="true"/>
              </w:rPr>
              <w:t>القارّ</w:t>
            </w:r>
            <w:r>
              <w:rPr>
                <w:rStyle w:val="IndexLink"/>
                <w:rtl w:val="true"/>
              </w:rPr>
              <w:t xml:space="preserve">) </w:t>
            </w:r>
            <w:r>
              <w:rPr>
                <w:rStyle w:val="IndexLink"/>
                <w:rtl w:val="true"/>
              </w:rPr>
              <w:t>المقيّد بالزمان</w:t>
            </w:r>
            <w:r>
              <w:rPr>
                <w:rStyle w:val="IndexLink"/>
                <w:rtl w:val="true"/>
              </w:rPr>
              <w:tab/>
            </w:r>
            <w:r>
              <w:rPr>
                <w:rStyle w:val="IndexLink"/>
              </w:rPr>
              <w:t>152</w:t>
            </w:r>
          </w:hyperlink>
        </w:p>
        <w:p>
          <w:pPr>
            <w:pStyle w:val="Contents5"/>
            <w:tabs>
              <w:tab w:val="clear" w:pos="7892"/>
              <w:tab w:val="right" w:pos="9026" w:leader="dot"/>
            </w:tabs>
            <w:rPr/>
          </w:pPr>
          <w:hyperlink w:anchor="__RefHeading___Toc7507096_3381743652">
            <w:r>
              <w:rPr>
                <w:webHidden/>
                <w:rStyle w:val="IndexLink"/>
              </w:rPr>
              <w:t>6</w:t>
            </w:r>
            <w:r>
              <w:rPr>
                <w:rStyle w:val="IndexLink"/>
                <w:rtl w:val="true"/>
              </w:rPr>
              <w:t xml:space="preserve">- </w:t>
            </w:r>
            <w:r>
              <w:rPr>
                <w:rStyle w:val="IndexLink"/>
                <w:rtl w:val="true"/>
              </w:rPr>
              <w:t>في جريان الاستصحاب في الشبهات الحكمية أو جريانه في الفعل المقيّد بالزمان</w:t>
            </w:r>
            <w:r>
              <w:rPr>
                <w:rStyle w:val="IndexLink"/>
                <w:rtl w:val="true"/>
              </w:rPr>
              <w:tab/>
            </w:r>
            <w:r>
              <w:rPr>
                <w:rStyle w:val="IndexLink"/>
              </w:rPr>
              <w:t>155</w:t>
            </w:r>
          </w:hyperlink>
        </w:p>
        <w:p>
          <w:pPr>
            <w:pStyle w:val="Contents6"/>
            <w:tabs>
              <w:tab w:val="clear" w:pos="7609"/>
              <w:tab w:val="right" w:pos="9026" w:leader="dot"/>
            </w:tabs>
            <w:rPr/>
          </w:pPr>
          <w:hyperlink w:anchor="__RefHeading___Toc7507098_3381743652">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7507100_3381743652">
            <w:r>
              <w:rPr>
                <w:webHidden/>
                <w:rStyle w:val="IndexLink"/>
                <w:rtl w:val="true"/>
              </w:rPr>
              <w:t>القول الأوّل</w:t>
            </w:r>
            <w:r>
              <w:rPr>
                <w:rStyle w:val="IndexLink"/>
                <w:rtl w:val="true"/>
              </w:rPr>
              <w:t xml:space="preserve">: </w:t>
            </w:r>
            <w:r>
              <w:rPr>
                <w:rStyle w:val="IndexLink"/>
                <w:rtl w:val="true"/>
              </w:rPr>
              <w:t>جريان الاستصحابين وتعارضهما</w:t>
            </w:r>
            <w:r>
              <w:rPr>
                <w:rStyle w:val="IndexLink"/>
                <w:rtl w:val="true"/>
              </w:rPr>
              <w:tab/>
            </w:r>
            <w:r>
              <w:rPr>
                <w:rStyle w:val="IndexLink"/>
              </w:rPr>
              <w:t>157</w:t>
            </w:r>
          </w:hyperlink>
        </w:p>
        <w:p>
          <w:pPr>
            <w:pStyle w:val="Contents6"/>
            <w:tabs>
              <w:tab w:val="clear" w:pos="7609"/>
              <w:tab w:val="right" w:pos="9026" w:leader="dot"/>
            </w:tabs>
            <w:rPr/>
          </w:pPr>
          <w:hyperlink w:anchor="__RefHeading___Toc7507102_3381743652">
            <w:r>
              <w:rPr>
                <w:webHidden/>
                <w:rStyle w:val="IndexLink"/>
                <w:rtl w:val="true"/>
              </w:rPr>
              <w:t>القول الثاني</w:t>
            </w:r>
            <w:r>
              <w:rPr>
                <w:rStyle w:val="IndexLink"/>
                <w:rtl w:val="true"/>
              </w:rPr>
              <w:t xml:space="preserve">: </w:t>
            </w:r>
            <w:r>
              <w:rPr>
                <w:rStyle w:val="IndexLink"/>
                <w:rtl w:val="true"/>
              </w:rPr>
              <w:t>التفصيل بين كون الزمان ظرفاً و قيداً</w:t>
            </w:r>
            <w:r>
              <w:rPr>
                <w:rStyle w:val="IndexLink"/>
                <w:rtl w:val="true"/>
              </w:rPr>
              <w:tab/>
            </w:r>
            <w:r>
              <w:rPr>
                <w:rStyle w:val="IndexLink"/>
              </w:rPr>
              <w:t>158</w:t>
            </w:r>
          </w:hyperlink>
        </w:p>
        <w:p>
          <w:pPr>
            <w:pStyle w:val="Contents6"/>
            <w:tabs>
              <w:tab w:val="clear" w:pos="7609"/>
              <w:tab w:val="right" w:pos="9026" w:leader="dot"/>
            </w:tabs>
            <w:rPr/>
          </w:pPr>
          <w:hyperlink w:anchor="__RefHeading___Toc7507104_3381743652">
            <w:r>
              <w:rPr>
                <w:webHidden/>
                <w:rStyle w:val="IndexLink"/>
                <w:rtl w:val="true"/>
              </w:rPr>
              <w:t>نقد تفصيل الشيخ</w:t>
            </w:r>
            <w:r>
              <w:rPr>
                <w:rStyle w:val="IndexLink"/>
                <w:rtl w:val="true"/>
              </w:rPr>
              <w:tab/>
            </w:r>
            <w:r>
              <w:rPr>
                <w:rStyle w:val="IndexLink"/>
              </w:rPr>
              <w:t>159</w:t>
            </w:r>
          </w:hyperlink>
        </w:p>
        <w:p>
          <w:pPr>
            <w:pStyle w:val="Contents6"/>
            <w:tabs>
              <w:tab w:val="clear" w:pos="7609"/>
              <w:tab w:val="right" w:pos="9026" w:leader="dot"/>
            </w:tabs>
            <w:rPr/>
          </w:pPr>
          <w:hyperlink w:anchor="__RefHeading___Toc7507106_3381743652">
            <w:r>
              <w:rPr>
                <w:webHidden/>
                <w:rStyle w:val="IndexLink"/>
                <w:rtl w:val="true"/>
              </w:rPr>
              <w:t>القول الثالث</w:t>
            </w:r>
            <w:r>
              <w:rPr>
                <w:rStyle w:val="IndexLink"/>
                <w:rtl w:val="true"/>
              </w:rPr>
              <w:t xml:space="preserve">: </w:t>
            </w:r>
            <w:r>
              <w:rPr>
                <w:rStyle w:val="IndexLink"/>
                <w:rtl w:val="true"/>
              </w:rPr>
              <w:t>جريان خصوص الاستصحاب الوجودي</w:t>
            </w:r>
            <w:r>
              <w:rPr>
                <w:rStyle w:val="IndexLink"/>
                <w:rtl w:val="true"/>
              </w:rPr>
              <w:tab/>
            </w:r>
            <w:r>
              <w:rPr>
                <w:rStyle w:val="IndexLink"/>
              </w:rPr>
              <w:t>160</w:t>
            </w:r>
          </w:hyperlink>
        </w:p>
        <w:p>
          <w:pPr>
            <w:pStyle w:val="Contents6"/>
            <w:tabs>
              <w:tab w:val="clear" w:pos="7609"/>
              <w:tab w:val="right" w:pos="9026" w:leader="dot"/>
            </w:tabs>
            <w:rPr/>
          </w:pPr>
          <w:hyperlink w:anchor="__RefHeading___Toc7507108_3381743652">
            <w:r>
              <w:rPr>
                <w:webHidden/>
                <w:rStyle w:val="IndexLink"/>
                <w:rtl w:val="true"/>
              </w:rPr>
              <w:t>نظرية النراقي بثوبها الجديد</w:t>
            </w:r>
            <w:r>
              <w:rPr>
                <w:rStyle w:val="IndexLink"/>
                <w:rtl w:val="true"/>
              </w:rPr>
              <w:tab/>
            </w:r>
            <w:r>
              <w:rPr>
                <w:rStyle w:val="IndexLink"/>
              </w:rPr>
              <w:t>161</w:t>
            </w:r>
          </w:hyperlink>
        </w:p>
        <w:p>
          <w:pPr>
            <w:pStyle w:val="Contents6"/>
            <w:tabs>
              <w:tab w:val="clear" w:pos="7609"/>
              <w:tab w:val="right" w:pos="9026" w:leader="dot"/>
            </w:tabs>
            <w:rPr/>
          </w:pPr>
          <w:hyperlink w:anchor="__RefHeading___Toc7507110_3381743652">
            <w:r>
              <w:rPr>
                <w:webHidden/>
                <w:rStyle w:val="IndexLink"/>
                <w:rtl w:val="true"/>
              </w:rPr>
              <w:t>القول الرابع</w:t>
            </w:r>
            <w:r>
              <w:rPr>
                <w:rStyle w:val="IndexLink"/>
                <w:rtl w:val="true"/>
              </w:rPr>
              <w:t xml:space="preserve">: </w:t>
            </w:r>
            <w:r>
              <w:rPr>
                <w:rStyle w:val="IndexLink"/>
                <w:rtl w:val="true"/>
              </w:rPr>
              <w:t>لا تعارض بين الاستصحابين</w:t>
            </w:r>
            <w:r>
              <w:rPr>
                <w:rStyle w:val="IndexLink"/>
                <w:rtl w:val="true"/>
              </w:rPr>
              <w:tab/>
            </w:r>
            <w:r>
              <w:rPr>
                <w:rStyle w:val="IndexLink"/>
              </w:rPr>
              <w:t>164</w:t>
            </w:r>
          </w:hyperlink>
        </w:p>
        <w:p>
          <w:pPr>
            <w:pStyle w:val="Contents6"/>
            <w:tabs>
              <w:tab w:val="clear" w:pos="7609"/>
              <w:tab w:val="right" w:pos="9026" w:leader="dot"/>
            </w:tabs>
            <w:rPr/>
          </w:pPr>
          <w:hyperlink w:anchor="__RefHeading___Toc7507112_3381743652">
            <w:r>
              <w:rPr>
                <w:webHidden/>
                <w:rStyle w:val="IndexLink"/>
                <w:rtl w:val="true"/>
              </w:rPr>
              <w:t>نظرية المحقّق النائيني بثوبها الجديد</w:t>
            </w:r>
            <w:r>
              <w:rPr>
                <w:rStyle w:val="IndexLink"/>
                <w:rtl w:val="true"/>
              </w:rPr>
              <w:tab/>
            </w:r>
            <w:r>
              <w:rPr>
                <w:rStyle w:val="IndexLink"/>
              </w:rPr>
              <w:t>165</w:t>
            </w:r>
          </w:hyperlink>
        </w:p>
        <w:p>
          <w:pPr>
            <w:pStyle w:val="Contents6"/>
            <w:tabs>
              <w:tab w:val="clear" w:pos="7609"/>
              <w:tab w:val="right" w:pos="9026" w:leader="dot"/>
            </w:tabs>
            <w:rPr/>
          </w:pPr>
          <w:hyperlink w:anchor="__RefHeading___Toc7507114_3381743652">
            <w:r>
              <w:rPr>
                <w:webHidden/>
                <w:rStyle w:val="IndexLink"/>
                <w:rtl w:val="true"/>
              </w:rPr>
              <w:t>إيقاظ</w:t>
            </w:r>
            <w:r>
              <w:rPr>
                <w:rStyle w:val="IndexLink"/>
                <w:rtl w:val="true"/>
              </w:rPr>
              <w:tab/>
            </w:r>
            <w:r>
              <w:rPr>
                <w:rStyle w:val="IndexLink"/>
              </w:rPr>
              <w:t>166</w:t>
            </w:r>
          </w:hyperlink>
        </w:p>
        <w:p>
          <w:pPr>
            <w:pStyle w:val="Contents6"/>
            <w:tabs>
              <w:tab w:val="clear" w:pos="7609"/>
              <w:tab w:val="right" w:pos="9026" w:leader="dot"/>
            </w:tabs>
            <w:rPr/>
          </w:pPr>
          <w:hyperlink w:anchor="__RefHeading___Toc7507116_3381743652">
            <w:r>
              <w:rPr>
                <w:webHidden/>
                <w:rStyle w:val="IndexLink"/>
                <w:rtl w:val="true"/>
              </w:rPr>
              <w:t>القول الخامس</w:t>
            </w:r>
            <w:r>
              <w:rPr>
                <w:rStyle w:val="IndexLink"/>
                <w:rtl w:val="true"/>
              </w:rPr>
              <w:t xml:space="preserve">: </w:t>
            </w:r>
            <w:r>
              <w:rPr>
                <w:rStyle w:val="IndexLink"/>
                <w:rtl w:val="true"/>
              </w:rPr>
              <w:t>عدم الحجية في الحكم الشرعي الكلّي</w:t>
            </w:r>
            <w:r>
              <w:rPr>
                <w:rStyle w:val="IndexLink"/>
                <w:rtl w:val="true"/>
              </w:rPr>
              <w:tab/>
            </w:r>
            <w:r>
              <w:rPr>
                <w:rStyle w:val="IndexLink"/>
              </w:rPr>
              <w:t>167</w:t>
            </w:r>
          </w:hyperlink>
        </w:p>
        <w:p>
          <w:pPr>
            <w:pStyle w:val="Contents5"/>
            <w:tabs>
              <w:tab w:val="clear" w:pos="7892"/>
              <w:tab w:val="right" w:pos="9026" w:leader="dot"/>
            </w:tabs>
            <w:rPr/>
          </w:pPr>
          <w:hyperlink w:anchor="__RefHeading___Toc7507118_3381743652">
            <w:r>
              <w:rPr>
                <w:webHidden/>
                <w:rStyle w:val="IndexLink"/>
              </w:rPr>
              <w:t>7</w:t>
            </w:r>
            <w:r>
              <w:rPr>
                <w:rStyle w:val="IndexLink"/>
                <w:rtl w:val="true"/>
              </w:rPr>
              <w:t xml:space="preserve">- </w:t>
            </w:r>
            <w:r>
              <w:rPr>
                <w:rStyle w:val="IndexLink"/>
                <w:rtl w:val="true"/>
              </w:rPr>
              <w:t>في الاستصحاب التعليقي</w:t>
            </w:r>
            <w:r>
              <w:rPr>
                <w:rStyle w:val="IndexLink"/>
                <w:rtl w:val="true"/>
              </w:rPr>
              <w:tab/>
            </w:r>
            <w:r>
              <w:rPr>
                <w:rStyle w:val="IndexLink"/>
              </w:rPr>
              <w:t>169</w:t>
            </w:r>
          </w:hyperlink>
        </w:p>
        <w:p>
          <w:pPr>
            <w:pStyle w:val="Contents6"/>
            <w:tabs>
              <w:tab w:val="clear" w:pos="7609"/>
              <w:tab w:val="right" w:pos="9026" w:leader="dot"/>
            </w:tabs>
            <w:rPr/>
          </w:pPr>
          <w:hyperlink w:anchor="__RefHeading___Toc7507120_3381743652">
            <w:r>
              <w:rPr>
                <w:webHidden/>
                <w:rStyle w:val="IndexLink"/>
                <w:rtl w:val="true"/>
              </w:rPr>
              <w:t>اشارة</w:t>
            </w:r>
            <w:r>
              <w:rPr>
                <w:rStyle w:val="IndexLink"/>
                <w:rtl w:val="true"/>
              </w:rPr>
              <w:tab/>
            </w:r>
            <w:r>
              <w:rPr>
                <w:rStyle w:val="IndexLink"/>
              </w:rPr>
              <w:t>169</w:t>
            </w:r>
          </w:hyperlink>
        </w:p>
        <w:p>
          <w:pPr>
            <w:pStyle w:val="Contents6"/>
            <w:tabs>
              <w:tab w:val="clear" w:pos="7609"/>
              <w:tab w:val="right" w:pos="9026" w:leader="dot"/>
            </w:tabs>
            <w:rPr/>
          </w:pPr>
          <w:hyperlink w:anchor="__RefHeading___Toc7507122_3381743652">
            <w:r>
              <w:rPr>
                <w:webHidden/>
                <w:rStyle w:val="IndexLink"/>
              </w:rPr>
              <w:t>1</w:t>
            </w:r>
            <w:r>
              <w:rPr>
                <w:rStyle w:val="IndexLink"/>
                <w:rtl w:val="true"/>
              </w:rPr>
              <w:t xml:space="preserve">. </w:t>
            </w:r>
            <w:r>
              <w:rPr>
                <w:rStyle w:val="IndexLink"/>
                <w:rtl w:val="true"/>
              </w:rPr>
              <w:t>لا وجود للمعلَّق قبل وجود ما عُلِّق عليه</w:t>
            </w:r>
            <w:r>
              <w:rPr>
                <w:rStyle w:val="IndexLink"/>
                <w:rtl w:val="true"/>
              </w:rPr>
              <w:tab/>
            </w:r>
            <w:r>
              <w:rPr>
                <w:rStyle w:val="IndexLink"/>
              </w:rPr>
              <w:t>173</w:t>
            </w:r>
          </w:hyperlink>
        </w:p>
        <w:p>
          <w:pPr>
            <w:pStyle w:val="Contents6"/>
            <w:tabs>
              <w:tab w:val="clear" w:pos="7609"/>
              <w:tab w:val="right" w:pos="9026" w:leader="dot"/>
            </w:tabs>
            <w:rPr/>
          </w:pPr>
          <w:hyperlink w:anchor="__RefHeading___Toc7507124_3381743652">
            <w:r>
              <w:rPr>
                <w:webHidden/>
                <w:rStyle w:val="IndexLink"/>
                <w:rtl w:val="true"/>
              </w:rPr>
              <w:t>نظرية صاحب المناهل بثوبها الجديد</w:t>
            </w:r>
            <w:r>
              <w:rPr>
                <w:rStyle w:val="IndexLink"/>
                <w:rtl w:val="true"/>
              </w:rPr>
              <w:tab/>
            </w:r>
            <w:r>
              <w:rPr>
                <w:rStyle w:val="IndexLink"/>
              </w:rPr>
              <w:t>173</w:t>
            </w:r>
          </w:hyperlink>
        </w:p>
        <w:p>
          <w:pPr>
            <w:pStyle w:val="Contents6"/>
            <w:tabs>
              <w:tab w:val="clear" w:pos="7609"/>
              <w:tab w:val="right" w:pos="9026" w:leader="dot"/>
            </w:tabs>
            <w:rPr/>
          </w:pPr>
          <w:hyperlink w:anchor="__RefHeading___Toc7507126_3381743652">
            <w:r>
              <w:rPr>
                <w:webHidden/>
                <w:rStyle w:val="IndexLink"/>
                <w:rtl w:val="true"/>
              </w:rPr>
              <w:t>إجابة أُخرى عن إشكال صاحب المناهل</w:t>
            </w:r>
            <w:r>
              <w:rPr>
                <w:rStyle w:val="IndexLink"/>
                <w:rtl w:val="true"/>
              </w:rPr>
              <w:tab/>
            </w:r>
            <w:r>
              <w:rPr>
                <w:rStyle w:val="IndexLink"/>
              </w:rPr>
              <w:t>177</w:t>
            </w:r>
          </w:hyperlink>
        </w:p>
        <w:p>
          <w:pPr>
            <w:pStyle w:val="Contents6"/>
            <w:tabs>
              <w:tab w:val="clear" w:pos="7609"/>
              <w:tab w:val="right" w:pos="9026" w:leader="dot"/>
            </w:tabs>
            <w:rPr/>
          </w:pPr>
          <w:hyperlink w:anchor="__RefHeading___Toc7507128_3381743652">
            <w:r>
              <w:rPr>
                <w:webHidden/>
                <w:rStyle w:val="IndexLink"/>
              </w:rPr>
              <w:t>2</w:t>
            </w:r>
            <w:r>
              <w:rPr>
                <w:rStyle w:val="IndexLink"/>
                <w:rtl w:val="true"/>
              </w:rPr>
              <w:t xml:space="preserve">. </w:t>
            </w:r>
            <w:r>
              <w:rPr>
                <w:rStyle w:val="IndexLink"/>
                <w:rtl w:val="true"/>
              </w:rPr>
              <w:t>الاستصحاب التعليقي معارض للتنجيزي</w:t>
            </w:r>
            <w:r>
              <w:rPr>
                <w:rStyle w:val="IndexLink"/>
                <w:rtl w:val="true"/>
              </w:rPr>
              <w:tab/>
            </w:r>
            <w:r>
              <w:rPr>
                <w:rStyle w:val="IndexLink"/>
              </w:rPr>
              <w:t>178</w:t>
            </w:r>
          </w:hyperlink>
        </w:p>
        <w:p>
          <w:pPr>
            <w:pStyle w:val="Contents6"/>
            <w:tabs>
              <w:tab w:val="clear" w:pos="7609"/>
              <w:tab w:val="right" w:pos="9026" w:leader="dot"/>
            </w:tabs>
            <w:rPr/>
          </w:pPr>
          <w:hyperlink w:anchor="__RefHeading___Toc7507130_3381743652">
            <w:r>
              <w:rPr>
                <w:webHidden/>
                <w:rStyle w:val="IndexLink"/>
              </w:rPr>
              <w:t>3</w:t>
            </w:r>
            <w:r>
              <w:rPr>
                <w:rStyle w:val="IndexLink"/>
                <w:rtl w:val="true"/>
              </w:rPr>
              <w:t xml:space="preserve">. </w:t>
            </w:r>
            <w:r>
              <w:rPr>
                <w:rStyle w:val="IndexLink"/>
                <w:rtl w:val="true"/>
              </w:rPr>
              <w:t>تبدل الموضوع</w:t>
            </w:r>
            <w:r>
              <w:rPr>
                <w:rStyle w:val="IndexLink"/>
                <w:rtl w:val="true"/>
              </w:rPr>
              <w:tab/>
            </w:r>
            <w:r>
              <w:rPr>
                <w:rStyle w:val="IndexLink"/>
              </w:rPr>
              <w:t>180</w:t>
            </w:r>
          </w:hyperlink>
        </w:p>
        <w:p>
          <w:pPr>
            <w:pStyle w:val="Contents5"/>
            <w:tabs>
              <w:tab w:val="clear" w:pos="7892"/>
              <w:tab w:val="right" w:pos="9026" w:leader="dot"/>
            </w:tabs>
            <w:rPr/>
          </w:pPr>
          <w:hyperlink w:anchor="__RefHeading___Toc7507132_3381743652">
            <w:r>
              <w:rPr>
                <w:webHidden/>
                <w:rStyle w:val="IndexLink"/>
              </w:rPr>
              <w:t>8</w:t>
            </w:r>
            <w:r>
              <w:rPr>
                <w:rStyle w:val="IndexLink"/>
                <w:rtl w:val="true"/>
              </w:rPr>
              <w:t xml:space="preserve">- </w:t>
            </w:r>
            <w:r>
              <w:rPr>
                <w:rStyle w:val="IndexLink"/>
                <w:rtl w:val="true"/>
              </w:rPr>
              <w:t>استصحاب أحكام الشرائع السابقة</w:t>
            </w:r>
            <w:r>
              <w:rPr>
                <w:rStyle w:val="IndexLink"/>
                <w:rtl w:val="true"/>
              </w:rPr>
              <w:tab/>
            </w:r>
            <w:r>
              <w:rPr>
                <w:rStyle w:val="IndexLink"/>
              </w:rPr>
              <w:t>184</w:t>
            </w:r>
          </w:hyperlink>
        </w:p>
        <w:p>
          <w:pPr>
            <w:pStyle w:val="Contents6"/>
            <w:tabs>
              <w:tab w:val="clear" w:pos="7609"/>
              <w:tab w:val="right" w:pos="9026" w:leader="dot"/>
            </w:tabs>
            <w:rPr/>
          </w:pPr>
          <w:hyperlink w:anchor="__RefHeading___Toc7507134_3381743652">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7507136_3381743652">
            <w:r>
              <w:rPr>
                <w:webHidden/>
                <w:rStyle w:val="IndexLink"/>
                <w:rtl w:val="true"/>
              </w:rPr>
              <w:t>استصحاب أحكام الشرائع السابقة</w:t>
            </w:r>
            <w:r>
              <w:rPr>
                <w:rStyle w:val="IndexLink"/>
                <w:rtl w:val="true"/>
              </w:rPr>
              <w:tab/>
            </w:r>
            <w:r>
              <w:rPr>
                <w:rStyle w:val="IndexLink"/>
              </w:rPr>
              <w:t>189</w:t>
            </w:r>
          </w:hyperlink>
        </w:p>
        <w:p>
          <w:pPr>
            <w:pStyle w:val="Contents6"/>
            <w:tabs>
              <w:tab w:val="clear" w:pos="7609"/>
              <w:tab w:val="right" w:pos="9026" w:leader="dot"/>
            </w:tabs>
            <w:rPr/>
          </w:pPr>
          <w:hyperlink w:anchor="__RefHeading___Toc7507138_3381743652">
            <w:r>
              <w:rPr>
                <w:webHidden/>
                <w:rStyle w:val="IndexLink"/>
                <w:rtl w:val="true"/>
              </w:rPr>
              <w:t>الأوّل</w:t>
            </w:r>
            <w:r>
              <w:rPr>
                <w:rStyle w:val="IndexLink"/>
                <w:rtl w:val="true"/>
              </w:rPr>
              <w:t xml:space="preserve">: </w:t>
            </w:r>
            <w:r>
              <w:rPr>
                <w:rStyle w:val="IndexLink"/>
                <w:rtl w:val="true"/>
              </w:rPr>
              <w:t>عدم اليقين بالحكم السابق</w:t>
            </w:r>
            <w:r>
              <w:rPr>
                <w:rStyle w:val="IndexLink"/>
                <w:rtl w:val="true"/>
              </w:rPr>
              <w:tab/>
            </w:r>
            <w:r>
              <w:rPr>
                <w:rStyle w:val="IndexLink"/>
              </w:rPr>
              <w:t>189</w:t>
            </w:r>
          </w:hyperlink>
        </w:p>
        <w:p>
          <w:pPr>
            <w:pStyle w:val="Contents6"/>
            <w:tabs>
              <w:tab w:val="clear" w:pos="7609"/>
              <w:tab w:val="right" w:pos="9026" w:leader="dot"/>
            </w:tabs>
            <w:rPr/>
          </w:pPr>
          <w:hyperlink w:anchor="__RefHeading___Toc7507140_3381743652">
            <w:r>
              <w:rPr>
                <w:webHidden/>
                <w:rStyle w:val="IndexLink"/>
                <w:rtl w:val="true"/>
              </w:rPr>
              <w:t>الثاني</w:t>
            </w:r>
            <w:r>
              <w:rPr>
                <w:rStyle w:val="IndexLink"/>
                <w:rtl w:val="true"/>
              </w:rPr>
              <w:t xml:space="preserve">: </w:t>
            </w:r>
            <w:r>
              <w:rPr>
                <w:rStyle w:val="IndexLink"/>
                <w:rtl w:val="true"/>
              </w:rPr>
              <w:t>عدم الشكّ في البقاء</w:t>
            </w:r>
            <w:r>
              <w:rPr>
                <w:rStyle w:val="IndexLink"/>
                <w:rtl w:val="true"/>
              </w:rPr>
              <w:tab/>
            </w:r>
            <w:r>
              <w:rPr>
                <w:rStyle w:val="IndexLink"/>
              </w:rPr>
              <w:t>189</w:t>
            </w:r>
          </w:hyperlink>
        </w:p>
        <w:p>
          <w:pPr>
            <w:pStyle w:val="Contents6"/>
            <w:tabs>
              <w:tab w:val="clear" w:pos="7609"/>
              <w:tab w:val="right" w:pos="9026" w:leader="dot"/>
            </w:tabs>
            <w:rPr/>
          </w:pPr>
          <w:hyperlink w:anchor="__RefHeading___Toc7507142_3381743652">
            <w:r>
              <w:rPr>
                <w:webHidden/>
                <w:rStyle w:val="IndexLink"/>
                <w:rtl w:val="true"/>
              </w:rPr>
              <w:t>الثالث</w:t>
            </w:r>
            <w:r>
              <w:rPr>
                <w:rStyle w:val="IndexLink"/>
                <w:rtl w:val="true"/>
              </w:rPr>
              <w:t xml:space="preserve">: </w:t>
            </w:r>
            <w:r>
              <w:rPr>
                <w:rStyle w:val="IndexLink"/>
                <w:rtl w:val="true"/>
              </w:rPr>
              <w:t>العلم الإجمالي مانع من جريان الاستصحاب</w:t>
            </w:r>
            <w:r>
              <w:rPr>
                <w:rStyle w:val="IndexLink"/>
                <w:rtl w:val="true"/>
              </w:rPr>
              <w:tab/>
            </w:r>
            <w:r>
              <w:rPr>
                <w:rStyle w:val="IndexLink"/>
              </w:rPr>
              <w:t>190</w:t>
            </w:r>
          </w:hyperlink>
        </w:p>
        <w:p>
          <w:pPr>
            <w:pStyle w:val="Contents6"/>
            <w:tabs>
              <w:tab w:val="clear" w:pos="7609"/>
              <w:tab w:val="right" w:pos="9026" w:leader="dot"/>
            </w:tabs>
            <w:rPr/>
          </w:pPr>
          <w:hyperlink w:anchor="__RefHeading___Toc7507144_3381743652">
            <w:r>
              <w:rPr>
                <w:webHidden/>
                <w:rStyle w:val="IndexLink"/>
                <w:rtl w:val="true"/>
              </w:rPr>
              <w:t>الرابع</w:t>
            </w:r>
            <w:r>
              <w:rPr>
                <w:rStyle w:val="IndexLink"/>
                <w:rtl w:val="true"/>
              </w:rPr>
              <w:t xml:space="preserve">: </w:t>
            </w:r>
            <w:r>
              <w:rPr>
                <w:rStyle w:val="IndexLink"/>
                <w:rtl w:val="true"/>
              </w:rPr>
              <w:t>النسخ إبطال للشريعة السابقة</w:t>
            </w:r>
            <w:r>
              <w:rPr>
                <w:rStyle w:val="IndexLink"/>
                <w:rtl w:val="true"/>
              </w:rPr>
              <w:tab/>
            </w:r>
            <w:r>
              <w:rPr>
                <w:rStyle w:val="IndexLink"/>
              </w:rPr>
              <w:t>191</w:t>
            </w:r>
          </w:hyperlink>
        </w:p>
        <w:p>
          <w:pPr>
            <w:pStyle w:val="Contents6"/>
            <w:tabs>
              <w:tab w:val="clear" w:pos="7609"/>
              <w:tab w:val="right" w:pos="9026" w:leader="dot"/>
            </w:tabs>
            <w:rPr/>
          </w:pPr>
          <w:hyperlink w:anchor="__RefHeading___Toc7507146_3381743652">
            <w:r>
              <w:rPr>
                <w:webHidden/>
                <w:rStyle w:val="IndexLink"/>
                <w:rtl w:val="true"/>
              </w:rPr>
              <w:t>الخامس</w:t>
            </w:r>
            <w:r>
              <w:rPr>
                <w:rStyle w:val="IndexLink"/>
                <w:rtl w:val="true"/>
              </w:rPr>
              <w:t xml:space="preserve">: </w:t>
            </w:r>
            <w:r>
              <w:rPr>
                <w:rStyle w:val="IndexLink"/>
                <w:rtl w:val="true"/>
              </w:rPr>
              <w:t>بناء الاستصحاب على الحسن الذاتي</w:t>
            </w:r>
            <w:r>
              <w:rPr>
                <w:rStyle w:val="IndexLink"/>
                <w:rtl w:val="true"/>
              </w:rPr>
              <w:tab/>
            </w:r>
            <w:r>
              <w:rPr>
                <w:rStyle w:val="IndexLink"/>
              </w:rPr>
              <w:t>192</w:t>
            </w:r>
          </w:hyperlink>
        </w:p>
        <w:p>
          <w:pPr>
            <w:pStyle w:val="Contents6"/>
            <w:tabs>
              <w:tab w:val="clear" w:pos="7609"/>
              <w:tab w:val="right" w:pos="9026" w:leader="dot"/>
            </w:tabs>
            <w:rPr/>
          </w:pPr>
          <w:hyperlink w:anchor="__RefHeading___Toc7507148_3381743652">
            <w:r>
              <w:rPr>
                <w:webHidden/>
                <w:rStyle w:val="IndexLink"/>
                <w:rtl w:val="true"/>
              </w:rPr>
              <w:t>السادس</w:t>
            </w:r>
            <w:r>
              <w:rPr>
                <w:rStyle w:val="IndexLink"/>
                <w:rtl w:val="true"/>
              </w:rPr>
              <w:t xml:space="preserve">: </w:t>
            </w:r>
            <w:r>
              <w:rPr>
                <w:rStyle w:val="IndexLink"/>
                <w:rtl w:val="true"/>
              </w:rPr>
              <w:t>عدم سعة الشرائع السابقة</w:t>
            </w:r>
            <w:r>
              <w:rPr>
                <w:rStyle w:val="IndexLink"/>
                <w:rtl w:val="true"/>
              </w:rPr>
              <w:tab/>
            </w:r>
            <w:r>
              <w:rPr>
                <w:rStyle w:val="IndexLink"/>
              </w:rPr>
              <w:t>192</w:t>
            </w:r>
          </w:hyperlink>
        </w:p>
        <w:p>
          <w:pPr>
            <w:pStyle w:val="Contents6"/>
            <w:tabs>
              <w:tab w:val="clear" w:pos="7609"/>
              <w:tab w:val="right" w:pos="9026" w:leader="dot"/>
            </w:tabs>
            <w:rPr/>
          </w:pPr>
          <w:hyperlink w:anchor="__RefHeading___Toc7507150_3381743652">
            <w:r>
              <w:rPr>
                <w:webHidden/>
                <w:rStyle w:val="IndexLink"/>
                <w:rtl w:val="true"/>
              </w:rPr>
              <w:t>تطبيقات</w:t>
            </w:r>
            <w:r>
              <w:rPr>
                <w:rStyle w:val="IndexLink"/>
                <w:rtl w:val="true"/>
              </w:rPr>
              <w:tab/>
            </w:r>
            <w:r>
              <w:rPr>
                <w:rStyle w:val="IndexLink"/>
              </w:rPr>
              <w:t>193</w:t>
            </w:r>
          </w:hyperlink>
        </w:p>
        <w:p>
          <w:pPr>
            <w:pStyle w:val="Contents6"/>
            <w:tabs>
              <w:tab w:val="clear" w:pos="7609"/>
              <w:tab w:val="right" w:pos="9026" w:leader="dot"/>
            </w:tabs>
            <w:rPr/>
          </w:pPr>
          <w:hyperlink w:anchor="__RefHeading___Toc7507152_3381743652">
            <w:r>
              <w:rPr>
                <w:webHidden/>
                <w:rStyle w:val="IndexLink"/>
              </w:rPr>
              <w:t>1</w:t>
            </w:r>
            <w:r>
              <w:rPr>
                <w:rStyle w:val="IndexLink"/>
                <w:rtl w:val="true"/>
              </w:rPr>
              <w:t xml:space="preserve">. </w:t>
            </w:r>
            <w:r>
              <w:rPr>
                <w:rStyle w:val="IndexLink"/>
                <w:rtl w:val="true"/>
              </w:rPr>
              <w:t>زواج غير المعينة بمهر غير معين</w:t>
            </w:r>
            <w:r>
              <w:rPr>
                <w:rStyle w:val="IndexLink"/>
                <w:rtl w:val="true"/>
              </w:rPr>
              <w:tab/>
            </w:r>
            <w:r>
              <w:rPr>
                <w:rStyle w:val="IndexLink"/>
              </w:rPr>
              <w:t>194</w:t>
            </w:r>
          </w:hyperlink>
        </w:p>
        <w:p>
          <w:pPr>
            <w:pStyle w:val="Contents6"/>
            <w:tabs>
              <w:tab w:val="clear" w:pos="7609"/>
              <w:tab w:val="right" w:pos="9026" w:leader="dot"/>
            </w:tabs>
            <w:rPr/>
          </w:pPr>
          <w:hyperlink w:anchor="__RefHeading___Toc7507154_3381743652">
            <w:r>
              <w:rPr>
                <w:webHidden/>
                <w:rStyle w:val="IndexLink"/>
              </w:rPr>
              <w:t>2</w:t>
            </w:r>
            <w:r>
              <w:rPr>
                <w:rStyle w:val="IndexLink"/>
                <w:rtl w:val="true"/>
              </w:rPr>
              <w:t xml:space="preserve">. </w:t>
            </w:r>
            <w:r>
              <w:rPr>
                <w:rStyle w:val="IndexLink"/>
                <w:rtl w:val="true"/>
              </w:rPr>
              <w:t>الجهل بالعوض في الجعالة وضمان مالم يجب</w:t>
            </w:r>
            <w:r>
              <w:rPr>
                <w:rStyle w:val="IndexLink"/>
                <w:rtl w:val="true"/>
              </w:rPr>
              <w:tab/>
            </w:r>
            <w:r>
              <w:rPr>
                <w:rStyle w:val="IndexLink"/>
              </w:rPr>
              <w:t>195</w:t>
            </w:r>
          </w:hyperlink>
        </w:p>
        <w:p>
          <w:pPr>
            <w:pStyle w:val="Contents6"/>
            <w:tabs>
              <w:tab w:val="clear" w:pos="7609"/>
              <w:tab w:val="right" w:pos="9026" w:leader="dot"/>
            </w:tabs>
            <w:rPr/>
          </w:pPr>
          <w:hyperlink w:anchor="__RefHeading___Toc7507156_3381743652">
            <w:r>
              <w:rPr>
                <w:webHidden/>
                <w:rStyle w:val="IndexLink"/>
              </w:rPr>
              <w:t>3</w:t>
            </w:r>
            <w:r>
              <w:rPr>
                <w:rStyle w:val="IndexLink"/>
                <w:rtl w:val="true"/>
              </w:rPr>
              <w:t xml:space="preserve">. </w:t>
            </w:r>
            <w:r>
              <w:rPr>
                <w:rStyle w:val="IndexLink"/>
                <w:rtl w:val="true"/>
              </w:rPr>
              <w:t>جواز الضرب بالضغث مكان الضرب بالسوط</w:t>
            </w:r>
            <w:r>
              <w:rPr>
                <w:rStyle w:val="IndexLink"/>
                <w:rtl w:val="true"/>
              </w:rPr>
              <w:tab/>
            </w:r>
            <w:r>
              <w:rPr>
                <w:rStyle w:val="IndexLink"/>
              </w:rPr>
              <w:t>196</w:t>
            </w:r>
          </w:hyperlink>
        </w:p>
        <w:p>
          <w:pPr>
            <w:pStyle w:val="Contents6"/>
            <w:tabs>
              <w:tab w:val="clear" w:pos="7609"/>
              <w:tab w:val="right" w:pos="9026" w:leader="dot"/>
            </w:tabs>
            <w:rPr/>
          </w:pPr>
          <w:hyperlink w:anchor="__RefHeading___Toc7507158_3381743652">
            <w:r>
              <w:rPr>
                <w:webHidden/>
                <w:rStyle w:val="IndexLink"/>
              </w:rPr>
              <w:t>4</w:t>
            </w:r>
            <w:r>
              <w:rPr>
                <w:rStyle w:val="IndexLink"/>
                <w:rtl w:val="true"/>
              </w:rPr>
              <w:t xml:space="preserve">. </w:t>
            </w:r>
            <w:r>
              <w:rPr>
                <w:rStyle w:val="IndexLink"/>
                <w:rtl w:val="true"/>
              </w:rPr>
              <w:t>جواز إجراء القصاص على من له عين واحدة</w:t>
            </w:r>
            <w:r>
              <w:rPr>
                <w:rStyle w:val="IndexLink"/>
                <w:rtl w:val="true"/>
              </w:rPr>
              <w:tab/>
            </w:r>
            <w:r>
              <w:rPr>
                <w:rStyle w:val="IndexLink"/>
              </w:rPr>
              <w:t>197</w:t>
            </w:r>
          </w:hyperlink>
        </w:p>
        <w:p>
          <w:pPr>
            <w:pStyle w:val="Contents6"/>
            <w:tabs>
              <w:tab w:val="clear" w:pos="7609"/>
              <w:tab w:val="right" w:pos="9026" w:leader="dot"/>
            </w:tabs>
            <w:rPr/>
          </w:pPr>
          <w:hyperlink w:anchor="__RefHeading___Toc7507160_3381743652">
            <w:r>
              <w:rPr>
                <w:webHidden/>
                <w:rStyle w:val="IndexLink"/>
                <w:rtl w:val="true"/>
              </w:rPr>
              <w:t>مشروعية القرعة</w:t>
            </w:r>
            <w:r>
              <w:rPr>
                <w:rStyle w:val="IndexLink"/>
                <w:rtl w:val="true"/>
              </w:rPr>
              <w:tab/>
            </w:r>
            <w:r>
              <w:rPr>
                <w:rStyle w:val="IndexLink"/>
              </w:rPr>
              <w:t>198</w:t>
            </w:r>
          </w:hyperlink>
        </w:p>
        <w:p>
          <w:pPr>
            <w:pStyle w:val="Contents5"/>
            <w:tabs>
              <w:tab w:val="clear" w:pos="7892"/>
              <w:tab w:val="right" w:pos="9026" w:leader="dot"/>
            </w:tabs>
            <w:rPr/>
          </w:pPr>
          <w:hyperlink w:anchor="__RefHeading___Toc7507162_3381743652">
            <w:r>
              <w:rPr>
                <w:webHidden/>
                <w:rStyle w:val="IndexLink"/>
              </w:rPr>
              <w:t>9</w:t>
            </w:r>
            <w:r>
              <w:rPr>
                <w:rStyle w:val="IndexLink"/>
                <w:rtl w:val="true"/>
              </w:rPr>
              <w:t xml:space="preserve">- </w:t>
            </w:r>
            <w:r>
              <w:rPr>
                <w:rStyle w:val="IndexLink"/>
                <w:rtl w:val="true"/>
              </w:rPr>
              <w:t>في الأُصول المثبتة</w:t>
            </w:r>
            <w:r>
              <w:rPr>
                <w:rStyle w:val="IndexLink"/>
                <w:rtl w:val="true"/>
              </w:rPr>
              <w:tab/>
            </w:r>
            <w:r>
              <w:rPr>
                <w:rStyle w:val="IndexLink"/>
              </w:rPr>
              <w:t>200</w:t>
            </w:r>
          </w:hyperlink>
        </w:p>
        <w:p>
          <w:pPr>
            <w:pStyle w:val="Contents6"/>
            <w:tabs>
              <w:tab w:val="clear" w:pos="7609"/>
              <w:tab w:val="right" w:pos="9026" w:leader="dot"/>
            </w:tabs>
            <w:rPr/>
          </w:pPr>
          <w:hyperlink w:anchor="__RefHeading___Toc7507164_33817436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7507166_3381743652">
            <w:r>
              <w:rPr>
                <w:webHidden/>
                <w:rStyle w:val="IndexLink"/>
                <w:rtl w:val="true"/>
              </w:rPr>
              <w:t>المقام الأوّل</w:t>
            </w:r>
            <w:r>
              <w:rPr>
                <w:rStyle w:val="IndexLink"/>
                <w:rtl w:val="true"/>
              </w:rPr>
              <w:t xml:space="preserve">: </w:t>
            </w:r>
            <w:r>
              <w:rPr>
                <w:rStyle w:val="IndexLink"/>
                <w:rtl w:val="true"/>
              </w:rPr>
              <w:t>تعريف الأصل المثبت</w:t>
            </w:r>
            <w:r>
              <w:rPr>
                <w:rStyle w:val="IndexLink"/>
                <w:rtl w:val="true"/>
              </w:rPr>
              <w:tab/>
            </w:r>
            <w:r>
              <w:rPr>
                <w:rStyle w:val="IndexLink"/>
              </w:rPr>
              <w:t>201</w:t>
            </w:r>
          </w:hyperlink>
        </w:p>
        <w:p>
          <w:pPr>
            <w:pStyle w:val="Contents6"/>
            <w:tabs>
              <w:tab w:val="clear" w:pos="7609"/>
              <w:tab w:val="right" w:pos="9026" w:leader="dot"/>
            </w:tabs>
            <w:rPr/>
          </w:pPr>
          <w:hyperlink w:anchor="__RefHeading___Toc7507168_3381743652">
            <w:r>
              <w:rPr>
                <w:webHidden/>
                <w:rStyle w:val="IndexLink"/>
                <w:rtl w:val="true"/>
              </w:rPr>
              <w:t>المقام الثاني</w:t>
            </w:r>
            <w:r>
              <w:rPr>
                <w:rStyle w:val="IndexLink"/>
                <w:rtl w:val="true"/>
              </w:rPr>
              <w:t xml:space="preserve">: </w:t>
            </w:r>
            <w:r>
              <w:rPr>
                <w:rStyle w:val="IndexLink"/>
                <w:rtl w:val="true"/>
              </w:rPr>
              <w:t>الدليل على عدم حجّية الأُصول المثبتة</w:t>
            </w:r>
            <w:r>
              <w:rPr>
                <w:rStyle w:val="IndexLink"/>
                <w:rtl w:val="true"/>
              </w:rPr>
              <w:tab/>
            </w:r>
            <w:r>
              <w:rPr>
                <w:rStyle w:val="IndexLink"/>
              </w:rPr>
              <w:t>201</w:t>
            </w:r>
          </w:hyperlink>
        </w:p>
        <w:p>
          <w:pPr>
            <w:pStyle w:val="Contents6"/>
            <w:tabs>
              <w:tab w:val="clear" w:pos="7609"/>
              <w:tab w:val="right" w:pos="9026" w:leader="dot"/>
            </w:tabs>
            <w:rPr/>
          </w:pPr>
          <w:hyperlink w:anchor="__RefHeading___Toc7507170_3381743652">
            <w:r>
              <w:rPr>
                <w:webHidden/>
                <w:rStyle w:val="IndexLink"/>
                <w:rtl w:val="true"/>
              </w:rPr>
              <w:t>الوجه الخامس</w:t>
            </w:r>
            <w:r>
              <w:rPr>
                <w:rStyle w:val="IndexLink"/>
                <w:rtl w:val="true"/>
              </w:rPr>
              <w:tab/>
            </w:r>
            <w:r>
              <w:rPr>
                <w:rStyle w:val="IndexLink"/>
              </w:rPr>
              <w:t>206</w:t>
            </w:r>
          </w:hyperlink>
        </w:p>
        <w:p>
          <w:pPr>
            <w:pStyle w:val="Contents6"/>
            <w:tabs>
              <w:tab w:val="clear" w:pos="7609"/>
              <w:tab w:val="right" w:pos="9026" w:leader="dot"/>
            </w:tabs>
            <w:rPr/>
          </w:pPr>
          <w:hyperlink w:anchor="__RefHeading___Toc7507172_3381743652">
            <w:r>
              <w:rPr>
                <w:webHidden/>
                <w:rStyle w:val="IndexLink"/>
                <w:rtl w:val="true"/>
              </w:rPr>
              <w:t>المقام الثالث</w:t>
            </w:r>
            <w:r>
              <w:rPr>
                <w:rStyle w:val="IndexLink"/>
                <w:rtl w:val="true"/>
              </w:rPr>
              <w:t xml:space="preserve">: </w:t>
            </w:r>
            <w:r>
              <w:rPr>
                <w:rStyle w:val="IndexLink"/>
                <w:rtl w:val="true"/>
              </w:rPr>
              <w:t>الفرق بين الأُصول و الأمارات</w:t>
            </w:r>
            <w:r>
              <w:rPr>
                <w:rStyle w:val="IndexLink"/>
                <w:rtl w:val="true"/>
              </w:rPr>
              <w:tab/>
            </w:r>
            <w:r>
              <w:rPr>
                <w:rStyle w:val="IndexLink"/>
              </w:rPr>
              <w:t>208</w:t>
            </w:r>
          </w:hyperlink>
        </w:p>
        <w:p>
          <w:pPr>
            <w:pStyle w:val="Contents6"/>
            <w:tabs>
              <w:tab w:val="clear" w:pos="7609"/>
              <w:tab w:val="right" w:pos="9026" w:leader="dot"/>
            </w:tabs>
            <w:rPr/>
          </w:pPr>
          <w:hyperlink w:anchor="__RefHeading___Toc7507174_3381743652">
            <w:r>
              <w:rPr>
                <w:webHidden/>
                <w:rStyle w:val="IndexLink"/>
                <w:rtl w:val="true"/>
              </w:rPr>
              <w:t>المقام الرابع</w:t>
            </w:r>
            <w:r>
              <w:rPr>
                <w:rStyle w:val="IndexLink"/>
                <w:rtl w:val="true"/>
              </w:rPr>
              <w:t xml:space="preserve">: </w:t>
            </w:r>
            <w:r>
              <w:rPr>
                <w:rStyle w:val="IndexLink"/>
                <w:rtl w:val="true"/>
              </w:rPr>
              <w:t>مستثنيات الأُصول المثبتة</w:t>
            </w:r>
            <w:r>
              <w:rPr>
                <w:rStyle w:val="IndexLink"/>
                <w:rtl w:val="true"/>
              </w:rPr>
              <w:tab/>
            </w:r>
            <w:r>
              <w:rPr>
                <w:rStyle w:val="IndexLink"/>
              </w:rPr>
              <w:t>211</w:t>
            </w:r>
          </w:hyperlink>
        </w:p>
        <w:p>
          <w:pPr>
            <w:pStyle w:val="Contents6"/>
            <w:tabs>
              <w:tab w:val="clear" w:pos="7609"/>
              <w:tab w:val="right" w:pos="9026" w:leader="dot"/>
            </w:tabs>
            <w:rPr/>
          </w:pPr>
          <w:hyperlink w:anchor="__RefHeading___Toc7507176_3381743652">
            <w:r>
              <w:rPr>
                <w:webHidden/>
                <w:rStyle w:val="IndexLink"/>
                <w:rtl w:val="true"/>
              </w:rPr>
              <w:t>الأوّل</w:t>
            </w:r>
            <w:r>
              <w:rPr>
                <w:rStyle w:val="IndexLink"/>
                <w:rtl w:val="true"/>
              </w:rPr>
              <w:t xml:space="preserve">: </w:t>
            </w:r>
            <w:r>
              <w:rPr>
                <w:rStyle w:val="IndexLink"/>
                <w:rtl w:val="true"/>
              </w:rPr>
              <w:t>خفاء الواسطة</w:t>
            </w:r>
            <w:r>
              <w:rPr>
                <w:rStyle w:val="IndexLink"/>
                <w:rtl w:val="true"/>
              </w:rPr>
              <w:tab/>
            </w:r>
            <w:r>
              <w:rPr>
                <w:rStyle w:val="IndexLink"/>
              </w:rPr>
              <w:t>211</w:t>
            </w:r>
          </w:hyperlink>
        </w:p>
        <w:p>
          <w:pPr>
            <w:pStyle w:val="Contents6"/>
            <w:tabs>
              <w:tab w:val="clear" w:pos="7609"/>
              <w:tab w:val="right" w:pos="9026" w:leader="dot"/>
            </w:tabs>
            <w:rPr/>
          </w:pPr>
          <w:hyperlink w:anchor="__RefHeading___Toc7507178_3381743652">
            <w:r>
              <w:rPr>
                <w:webHidden/>
                <w:rStyle w:val="IndexLink"/>
                <w:rtl w:val="true"/>
              </w:rPr>
              <w:t>الثاني</w:t>
            </w:r>
            <w:r>
              <w:rPr>
                <w:rStyle w:val="IndexLink"/>
                <w:rtl w:val="true"/>
              </w:rPr>
              <w:t xml:space="preserve">: </w:t>
            </w:r>
            <w:r>
              <w:rPr>
                <w:rStyle w:val="IndexLink"/>
                <w:rtl w:val="true"/>
              </w:rPr>
              <w:t>وجود الملازمة العرفية</w:t>
            </w:r>
            <w:r>
              <w:rPr>
                <w:rStyle w:val="IndexLink"/>
                <w:rtl w:val="true"/>
              </w:rPr>
              <w:tab/>
            </w:r>
            <w:r>
              <w:rPr>
                <w:rStyle w:val="IndexLink"/>
              </w:rPr>
              <w:t>213</w:t>
            </w:r>
          </w:hyperlink>
        </w:p>
        <w:p>
          <w:pPr>
            <w:pStyle w:val="Contents6"/>
            <w:tabs>
              <w:tab w:val="clear" w:pos="7609"/>
              <w:tab w:val="right" w:pos="9026" w:leader="dot"/>
            </w:tabs>
            <w:rPr/>
          </w:pPr>
          <w:hyperlink w:anchor="__RefHeading___Toc7507180_3381743652">
            <w:r>
              <w:rPr>
                <w:webHidden/>
                <w:rStyle w:val="IndexLink"/>
                <w:rtl w:val="true"/>
              </w:rPr>
              <w:t>المقام الخامس في التطبيقات</w:t>
            </w:r>
            <w:r>
              <w:rPr>
                <w:rStyle w:val="IndexLink"/>
                <w:rtl w:val="true"/>
              </w:rPr>
              <w:tab/>
            </w:r>
            <w:r>
              <w:rPr>
                <w:rStyle w:val="IndexLink"/>
              </w:rPr>
              <w:t>214</w:t>
            </w:r>
          </w:hyperlink>
        </w:p>
        <w:p>
          <w:pPr>
            <w:pStyle w:val="Contents5"/>
            <w:tabs>
              <w:tab w:val="clear" w:pos="7892"/>
              <w:tab w:val="right" w:pos="9026" w:leader="dot"/>
            </w:tabs>
            <w:rPr/>
          </w:pPr>
          <w:hyperlink w:anchor="__RefHeading___Toc7507182_3381743652">
            <w:r>
              <w:rPr>
                <w:webHidden/>
                <w:rStyle w:val="IndexLink"/>
              </w:rPr>
              <w:t>10</w:t>
            </w:r>
            <w:r>
              <w:rPr>
                <w:rStyle w:val="IndexLink"/>
                <w:rtl w:val="true"/>
              </w:rPr>
              <w:t xml:space="preserve">- </w:t>
            </w:r>
            <w:r>
              <w:rPr>
                <w:rStyle w:val="IndexLink"/>
                <w:rtl w:val="true"/>
              </w:rPr>
              <w:t>فيما خرج عن الأصل المثبت موضوعاً</w:t>
            </w:r>
            <w:r>
              <w:rPr>
                <w:rStyle w:val="IndexLink"/>
                <w:rtl w:val="true"/>
              </w:rPr>
              <w:tab/>
            </w:r>
            <w:r>
              <w:rPr>
                <w:rStyle w:val="IndexLink"/>
              </w:rPr>
              <w:t>219</w:t>
            </w:r>
          </w:hyperlink>
        </w:p>
        <w:p>
          <w:pPr>
            <w:pStyle w:val="Contents6"/>
            <w:tabs>
              <w:tab w:val="clear" w:pos="7609"/>
              <w:tab w:val="right" w:pos="9026" w:leader="dot"/>
            </w:tabs>
            <w:rPr/>
          </w:pPr>
          <w:hyperlink w:anchor="__RefHeading___Toc7507184_3381743652">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7507186_3381743652">
            <w:r>
              <w:rPr>
                <w:webHidden/>
                <w:rStyle w:val="IndexLink"/>
                <w:rtl w:val="true"/>
              </w:rPr>
              <w:t>أ</w:t>
            </w:r>
            <w:r>
              <w:rPr>
                <w:rStyle w:val="IndexLink"/>
                <w:rtl w:val="true"/>
              </w:rPr>
              <w:t xml:space="preserve">: </w:t>
            </w:r>
            <w:r>
              <w:rPr>
                <w:rStyle w:val="IndexLink"/>
                <w:rtl w:val="true"/>
              </w:rPr>
              <w:t>استصحاب الفرد وترتيب الأثر الكلي عليه</w:t>
            </w:r>
            <w:r>
              <w:rPr>
                <w:rStyle w:val="IndexLink"/>
                <w:rtl w:val="true"/>
              </w:rPr>
              <w:tab/>
            </w:r>
            <w:r>
              <w:rPr>
                <w:rStyle w:val="IndexLink"/>
              </w:rPr>
              <w:t>219</w:t>
            </w:r>
          </w:hyperlink>
        </w:p>
        <w:p>
          <w:pPr>
            <w:pStyle w:val="Contents6"/>
            <w:tabs>
              <w:tab w:val="clear" w:pos="7609"/>
              <w:tab w:val="right" w:pos="9026" w:leader="dot"/>
            </w:tabs>
            <w:rPr/>
          </w:pPr>
          <w:hyperlink w:anchor="__RefHeading___Toc7507188_3381743652">
            <w:r>
              <w:rPr>
                <w:webHidden/>
                <w:rStyle w:val="IndexLink"/>
                <w:rtl w:val="true"/>
              </w:rPr>
              <w:t>ب</w:t>
            </w:r>
            <w:r>
              <w:rPr>
                <w:rStyle w:val="IndexLink"/>
                <w:rtl w:val="true"/>
              </w:rPr>
              <w:t xml:space="preserve">: </w:t>
            </w:r>
            <w:r>
              <w:rPr>
                <w:rStyle w:val="IndexLink"/>
                <w:rtl w:val="true"/>
              </w:rPr>
              <w:t>لا فرق بين المجعول بنفسه أو بمنشأ انتزاعه</w:t>
            </w:r>
            <w:r>
              <w:rPr>
                <w:rStyle w:val="IndexLink"/>
                <w:rtl w:val="true"/>
              </w:rPr>
              <w:tab/>
            </w:r>
            <w:r>
              <w:rPr>
                <w:rStyle w:val="IndexLink"/>
              </w:rPr>
              <w:t>222</w:t>
            </w:r>
          </w:hyperlink>
        </w:p>
        <w:p>
          <w:pPr>
            <w:pStyle w:val="Contents6"/>
            <w:tabs>
              <w:tab w:val="clear" w:pos="7609"/>
              <w:tab w:val="right" w:pos="9026" w:leader="dot"/>
            </w:tabs>
            <w:rPr/>
          </w:pPr>
          <w:hyperlink w:anchor="__RefHeading___Toc7507190_3381743652">
            <w:r>
              <w:rPr>
                <w:webHidden/>
                <w:rStyle w:val="IndexLink"/>
                <w:rtl w:val="true"/>
              </w:rPr>
              <w:t>ج</w:t>
            </w:r>
            <w:r>
              <w:rPr>
                <w:rStyle w:val="IndexLink"/>
                <w:rtl w:val="true"/>
              </w:rPr>
              <w:t xml:space="preserve">: </w:t>
            </w:r>
            <w:r>
              <w:rPr>
                <w:rStyle w:val="IndexLink"/>
                <w:rtl w:val="true"/>
              </w:rPr>
              <w:t>عدم الفرق بين وجود الأثر وعدمه مستصحباً وأثراً</w:t>
            </w:r>
            <w:r>
              <w:rPr>
                <w:rStyle w:val="IndexLink"/>
                <w:rtl w:val="true"/>
              </w:rPr>
              <w:tab/>
            </w:r>
            <w:r>
              <w:rPr>
                <w:rStyle w:val="IndexLink"/>
              </w:rPr>
              <w:t>223</w:t>
            </w:r>
          </w:hyperlink>
        </w:p>
        <w:p>
          <w:pPr>
            <w:pStyle w:val="Contents6"/>
            <w:tabs>
              <w:tab w:val="clear" w:pos="7609"/>
              <w:tab w:val="right" w:pos="9026" w:leader="dot"/>
            </w:tabs>
            <w:rPr/>
          </w:pPr>
          <w:hyperlink w:anchor="__RefHeading___Toc7507192_3381743652">
            <w:r>
              <w:rPr>
                <w:webHidden/>
                <w:rStyle w:val="IndexLink"/>
                <w:rtl w:val="true"/>
              </w:rPr>
              <w:t>د</w:t>
            </w:r>
            <w:r>
              <w:rPr>
                <w:rStyle w:val="IndexLink"/>
                <w:rtl w:val="true"/>
              </w:rPr>
              <w:t xml:space="preserve">: </w:t>
            </w:r>
            <w:r>
              <w:rPr>
                <w:rStyle w:val="IndexLink"/>
                <w:rtl w:val="true"/>
              </w:rPr>
              <w:t>فيما يعد أثراً للوجود الأعم من الواقعي و الظاهري</w:t>
            </w:r>
            <w:r>
              <w:rPr>
                <w:rStyle w:val="IndexLink"/>
                <w:rtl w:val="true"/>
              </w:rPr>
              <w:tab/>
            </w:r>
            <w:r>
              <w:rPr>
                <w:rStyle w:val="IndexLink"/>
              </w:rPr>
              <w:t>225</w:t>
            </w:r>
          </w:hyperlink>
        </w:p>
        <w:p>
          <w:pPr>
            <w:pStyle w:val="Contents5"/>
            <w:tabs>
              <w:tab w:val="clear" w:pos="7892"/>
              <w:tab w:val="right" w:pos="9026" w:leader="dot"/>
            </w:tabs>
            <w:rPr/>
          </w:pPr>
          <w:hyperlink w:anchor="__RefHeading___Toc7507194_3381743652">
            <w:r>
              <w:rPr>
                <w:webHidden/>
                <w:rStyle w:val="IndexLink"/>
              </w:rPr>
              <w:t>11</w:t>
            </w:r>
            <w:r>
              <w:rPr>
                <w:rStyle w:val="IndexLink"/>
                <w:rtl w:val="true"/>
              </w:rPr>
              <w:t xml:space="preserve">- </w:t>
            </w:r>
            <w:r>
              <w:rPr>
                <w:rStyle w:val="IndexLink"/>
                <w:rtl w:val="true"/>
              </w:rPr>
              <w:t>في كفاية ترتب الأثر بقاءً‌</w:t>
            </w:r>
            <w:r>
              <w:rPr>
                <w:rStyle w:val="IndexLink"/>
                <w:rtl w:val="true"/>
              </w:rPr>
              <w:tab/>
            </w:r>
            <w:r>
              <w:rPr>
                <w:rStyle w:val="IndexLink"/>
              </w:rPr>
              <w:t>226</w:t>
            </w:r>
          </w:hyperlink>
        </w:p>
        <w:p>
          <w:pPr>
            <w:pStyle w:val="Contents5"/>
            <w:tabs>
              <w:tab w:val="clear" w:pos="7892"/>
              <w:tab w:val="right" w:pos="9026" w:leader="dot"/>
            </w:tabs>
            <w:rPr/>
          </w:pPr>
          <w:hyperlink w:anchor="__RefHeading___Toc7507196_3381743652">
            <w:r>
              <w:rPr>
                <w:webHidden/>
                <w:rStyle w:val="IndexLink"/>
              </w:rPr>
              <w:t>12</w:t>
            </w:r>
            <w:r>
              <w:rPr>
                <w:rStyle w:val="IndexLink"/>
                <w:rtl w:val="true"/>
              </w:rPr>
              <w:t xml:space="preserve">- </w:t>
            </w:r>
            <w:r>
              <w:rPr>
                <w:rStyle w:val="IndexLink"/>
                <w:rtl w:val="true"/>
              </w:rPr>
              <w:t>في تأخّر الحادث</w:t>
            </w:r>
            <w:r>
              <w:rPr>
                <w:rStyle w:val="IndexLink"/>
                <w:rtl w:val="true"/>
              </w:rPr>
              <w:tab/>
            </w:r>
            <w:r>
              <w:rPr>
                <w:rStyle w:val="IndexLink"/>
              </w:rPr>
              <w:t>228</w:t>
            </w:r>
          </w:hyperlink>
        </w:p>
        <w:p>
          <w:pPr>
            <w:pStyle w:val="Contents6"/>
            <w:tabs>
              <w:tab w:val="clear" w:pos="7609"/>
              <w:tab w:val="right" w:pos="9026" w:leader="dot"/>
            </w:tabs>
            <w:rPr/>
          </w:pPr>
          <w:hyperlink w:anchor="__RefHeading___Toc7507198_3381743652">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7507200_3381743652">
            <w:r>
              <w:rPr>
                <w:webHidden/>
                <w:rStyle w:val="IndexLink"/>
                <w:rtl w:val="true"/>
              </w:rPr>
              <w:t>المقام الأوّل</w:t>
            </w:r>
            <w:r>
              <w:rPr>
                <w:rStyle w:val="IndexLink"/>
                <w:rtl w:val="true"/>
              </w:rPr>
              <w:t xml:space="preserve">: </w:t>
            </w:r>
            <w:r>
              <w:rPr>
                <w:rStyle w:val="IndexLink"/>
                <w:rtl w:val="true"/>
              </w:rPr>
              <w:t>في القياس إلى أجزاء الزمان</w:t>
            </w:r>
            <w:r>
              <w:rPr>
                <w:rStyle w:val="IndexLink"/>
                <w:rtl w:val="true"/>
              </w:rPr>
              <w:tab/>
            </w:r>
            <w:r>
              <w:rPr>
                <w:rStyle w:val="IndexLink"/>
              </w:rPr>
              <w:t>228</w:t>
            </w:r>
          </w:hyperlink>
        </w:p>
        <w:p>
          <w:pPr>
            <w:pStyle w:val="Contents6"/>
            <w:tabs>
              <w:tab w:val="clear" w:pos="7609"/>
              <w:tab w:val="right" w:pos="9026" w:leader="dot"/>
            </w:tabs>
            <w:rPr/>
          </w:pPr>
          <w:hyperlink w:anchor="__RefHeading___Toc7507202_3381743652">
            <w:r>
              <w:rPr>
                <w:webHidden/>
                <w:rStyle w:val="IndexLink"/>
                <w:rtl w:val="true"/>
              </w:rPr>
              <w:t>المقام الثاني</w:t>
            </w:r>
            <w:r>
              <w:rPr>
                <w:rStyle w:val="IndexLink"/>
                <w:rtl w:val="true"/>
              </w:rPr>
              <w:t xml:space="preserve">: </w:t>
            </w:r>
            <w:r>
              <w:rPr>
                <w:rStyle w:val="IndexLink"/>
                <w:rtl w:val="true"/>
              </w:rPr>
              <w:t>في القياس إلى حادث آخر</w:t>
            </w:r>
            <w:r>
              <w:rPr>
                <w:rStyle w:val="IndexLink"/>
                <w:rtl w:val="true"/>
              </w:rPr>
              <w:tab/>
            </w:r>
            <w:r>
              <w:rPr>
                <w:rStyle w:val="IndexLink"/>
              </w:rPr>
              <w:t>230</w:t>
            </w:r>
          </w:hyperlink>
        </w:p>
        <w:p>
          <w:pPr>
            <w:pStyle w:val="Contents6"/>
            <w:tabs>
              <w:tab w:val="clear" w:pos="7609"/>
              <w:tab w:val="right" w:pos="9026" w:leader="dot"/>
            </w:tabs>
            <w:rPr/>
          </w:pPr>
          <w:hyperlink w:anchor="__RefHeading___Toc7507204_3381743652">
            <w:r>
              <w:rPr>
                <w:webHidden/>
                <w:rStyle w:val="IndexLink"/>
                <w:rtl w:val="true"/>
              </w:rPr>
              <w:t>الموضع الأوّل</w:t>
            </w:r>
            <w:r>
              <w:rPr>
                <w:rStyle w:val="IndexLink"/>
                <w:rtl w:val="true"/>
              </w:rPr>
              <w:t xml:space="preserve">: </w:t>
            </w:r>
            <w:r>
              <w:rPr>
                <w:rStyle w:val="IndexLink"/>
                <w:rtl w:val="true"/>
              </w:rPr>
              <w:t>فيما جهل تاريخهما</w:t>
            </w:r>
            <w:r>
              <w:rPr>
                <w:rStyle w:val="IndexLink"/>
                <w:rtl w:val="true"/>
              </w:rPr>
              <w:tab/>
            </w:r>
            <w:r>
              <w:rPr>
                <w:rStyle w:val="IndexLink"/>
              </w:rPr>
              <w:t>230</w:t>
            </w:r>
          </w:hyperlink>
        </w:p>
        <w:p>
          <w:pPr>
            <w:pStyle w:val="Contents6"/>
            <w:tabs>
              <w:tab w:val="clear" w:pos="7609"/>
              <w:tab w:val="right" w:pos="9026" w:leader="dot"/>
            </w:tabs>
            <w:rPr/>
          </w:pPr>
          <w:hyperlink w:anchor="__RefHeading___Toc7507206_3381743652">
            <w:r>
              <w:rPr>
                <w:webHidden/>
                <w:rStyle w:val="IndexLink"/>
                <w:rtl w:val="true"/>
              </w:rPr>
              <w:t>يلاحظ عليه</w:t>
            </w:r>
            <w:r>
              <w:rPr>
                <w:rStyle w:val="IndexLink"/>
                <w:rtl w:val="true"/>
              </w:rPr>
              <w:tab/>
            </w:r>
            <w:r>
              <w:rPr>
                <w:rStyle w:val="IndexLink"/>
              </w:rPr>
              <w:t>236</w:t>
            </w:r>
          </w:hyperlink>
        </w:p>
        <w:p>
          <w:pPr>
            <w:pStyle w:val="Contents6"/>
            <w:tabs>
              <w:tab w:val="clear" w:pos="7609"/>
              <w:tab w:val="right" w:pos="9026" w:leader="dot"/>
            </w:tabs>
            <w:rPr/>
          </w:pPr>
          <w:hyperlink w:anchor="__RefHeading___Toc7507208_3381743652">
            <w:r>
              <w:rPr>
                <w:webHidden/>
                <w:rStyle w:val="IndexLink"/>
                <w:rtl w:val="true"/>
              </w:rPr>
              <w:t>تقرير المحقّق المشكيني لعدم الاتصال</w:t>
            </w:r>
            <w:r>
              <w:rPr>
                <w:rStyle w:val="IndexLink"/>
                <w:rtl w:val="true"/>
              </w:rPr>
              <w:tab/>
            </w:r>
            <w:r>
              <w:rPr>
                <w:rStyle w:val="IndexLink"/>
              </w:rPr>
              <w:t>237</w:t>
            </w:r>
          </w:hyperlink>
        </w:p>
        <w:p>
          <w:pPr>
            <w:pStyle w:val="Contents6"/>
            <w:tabs>
              <w:tab w:val="clear" w:pos="7609"/>
              <w:tab w:val="right" w:pos="9026" w:leader="dot"/>
            </w:tabs>
            <w:rPr/>
          </w:pPr>
          <w:hyperlink w:anchor="__RefHeading___Toc7507210_3381743652">
            <w:r>
              <w:rPr>
                <w:webHidden/>
                <w:rStyle w:val="IndexLink"/>
                <w:rtl w:val="true"/>
              </w:rPr>
              <w:t>الموضع الثاني</w:t>
            </w:r>
            <w:r>
              <w:rPr>
                <w:rStyle w:val="IndexLink"/>
                <w:rtl w:val="true"/>
              </w:rPr>
              <w:t xml:space="preserve">: </w:t>
            </w:r>
            <w:r>
              <w:rPr>
                <w:rStyle w:val="IndexLink"/>
                <w:rtl w:val="true"/>
              </w:rPr>
              <w:t>فيما إذا علم تاريخ أحدهما</w:t>
            </w:r>
            <w:r>
              <w:rPr>
                <w:rStyle w:val="IndexLink"/>
                <w:rtl w:val="true"/>
              </w:rPr>
              <w:tab/>
            </w:r>
            <w:r>
              <w:rPr>
                <w:rStyle w:val="IndexLink"/>
              </w:rPr>
              <w:t>239</w:t>
            </w:r>
          </w:hyperlink>
        </w:p>
        <w:p>
          <w:pPr>
            <w:pStyle w:val="Contents6"/>
            <w:tabs>
              <w:tab w:val="clear" w:pos="7609"/>
              <w:tab w:val="right" w:pos="9026" w:leader="dot"/>
            </w:tabs>
            <w:rPr/>
          </w:pPr>
          <w:hyperlink w:anchor="__RefHeading___Toc7507212_3381743652">
            <w:r>
              <w:rPr>
                <w:webHidden/>
                <w:rStyle w:val="IndexLink"/>
                <w:rtl w:val="true"/>
              </w:rPr>
              <w:t>تطبيقات</w:t>
            </w:r>
            <w:r>
              <w:rPr>
                <w:rStyle w:val="IndexLink"/>
                <w:rtl w:val="true"/>
              </w:rPr>
              <w:tab/>
            </w:r>
            <w:r>
              <w:rPr>
                <w:rStyle w:val="IndexLink"/>
              </w:rPr>
              <w:t>244</w:t>
            </w:r>
          </w:hyperlink>
        </w:p>
        <w:p>
          <w:pPr>
            <w:pStyle w:val="Contents6"/>
            <w:tabs>
              <w:tab w:val="clear" w:pos="7609"/>
              <w:tab w:val="right" w:pos="9026" w:leader="dot"/>
            </w:tabs>
            <w:rPr/>
          </w:pPr>
          <w:hyperlink w:anchor="__RefHeading___Toc7507214_3381743652">
            <w:r>
              <w:rPr>
                <w:webHidden/>
                <w:rStyle w:val="IndexLink"/>
                <w:rtl w:val="true"/>
              </w:rPr>
              <w:t>المقام الأوّل</w:t>
            </w:r>
            <w:r>
              <w:rPr>
                <w:rStyle w:val="IndexLink"/>
                <w:rtl w:val="true"/>
              </w:rPr>
              <w:t xml:space="preserve">: </w:t>
            </w:r>
            <w:r>
              <w:rPr>
                <w:rStyle w:val="IndexLink"/>
                <w:rtl w:val="true"/>
              </w:rPr>
              <w:t>فيما إذا كانت الحالة السابقة مجهولة</w:t>
            </w:r>
            <w:r>
              <w:rPr>
                <w:rStyle w:val="IndexLink"/>
                <w:rtl w:val="true"/>
              </w:rPr>
              <w:tab/>
            </w:r>
            <w:r>
              <w:rPr>
                <w:rStyle w:val="IndexLink"/>
              </w:rPr>
              <w:t>248</w:t>
            </w:r>
          </w:hyperlink>
        </w:p>
        <w:p>
          <w:pPr>
            <w:pStyle w:val="Contents6"/>
            <w:tabs>
              <w:tab w:val="clear" w:pos="7609"/>
              <w:tab w:val="right" w:pos="9026" w:leader="dot"/>
            </w:tabs>
            <w:rPr/>
          </w:pPr>
          <w:hyperlink w:anchor="__RefHeading___Toc7507216_3381743652">
            <w:r>
              <w:rPr>
                <w:webHidden/>
                <w:rStyle w:val="IndexLink"/>
                <w:rtl w:val="true"/>
              </w:rPr>
              <w:t>المقام الثاني</w:t>
            </w:r>
            <w:r>
              <w:rPr>
                <w:rStyle w:val="IndexLink"/>
                <w:rtl w:val="true"/>
              </w:rPr>
              <w:t xml:space="preserve">: </w:t>
            </w:r>
            <w:r>
              <w:rPr>
                <w:rStyle w:val="IndexLink"/>
                <w:rtl w:val="true"/>
              </w:rPr>
              <w:t>فيما إذا كانت الحالة السابقة معلومة</w:t>
            </w:r>
            <w:r>
              <w:rPr>
                <w:rStyle w:val="IndexLink"/>
                <w:rtl w:val="true"/>
              </w:rPr>
              <w:tab/>
            </w:r>
            <w:r>
              <w:rPr>
                <w:rStyle w:val="IndexLink"/>
              </w:rPr>
              <w:t>248</w:t>
            </w:r>
          </w:hyperlink>
        </w:p>
        <w:p>
          <w:pPr>
            <w:pStyle w:val="Contents5"/>
            <w:tabs>
              <w:tab w:val="clear" w:pos="7892"/>
              <w:tab w:val="right" w:pos="9026" w:leader="dot"/>
            </w:tabs>
            <w:rPr/>
          </w:pPr>
          <w:hyperlink w:anchor="__RefHeading___Toc7507218_3381743652">
            <w:r>
              <w:rPr>
                <w:webHidden/>
                <w:rStyle w:val="IndexLink"/>
              </w:rPr>
              <w:t>13</w:t>
            </w:r>
            <w:r>
              <w:rPr>
                <w:rStyle w:val="IndexLink"/>
                <w:rtl w:val="true"/>
              </w:rPr>
              <w:t xml:space="preserve">- </w:t>
            </w:r>
            <w:r>
              <w:rPr>
                <w:rStyle w:val="IndexLink"/>
                <w:rtl w:val="true"/>
              </w:rPr>
              <w:t>في جريان الاستصحاب في العقائد والمعارف</w:t>
            </w:r>
            <w:r>
              <w:rPr>
                <w:rStyle w:val="IndexLink"/>
                <w:rtl w:val="true"/>
              </w:rPr>
              <w:tab/>
            </w:r>
            <w:r>
              <w:rPr>
                <w:rStyle w:val="IndexLink"/>
              </w:rPr>
              <w:t>254</w:t>
            </w:r>
          </w:hyperlink>
        </w:p>
        <w:p>
          <w:pPr>
            <w:pStyle w:val="Contents6"/>
            <w:tabs>
              <w:tab w:val="clear" w:pos="7609"/>
              <w:tab w:val="right" w:pos="9026" w:leader="dot"/>
            </w:tabs>
            <w:rPr/>
          </w:pPr>
          <w:hyperlink w:anchor="__RefHeading___Toc7507220_3381743652">
            <w:r>
              <w:rPr>
                <w:webHidden/>
                <w:rStyle w:val="IndexLink"/>
                <w:rtl w:val="true"/>
              </w:rPr>
              <w:t>اشارة</w:t>
            </w:r>
            <w:r>
              <w:rPr>
                <w:rStyle w:val="IndexLink"/>
                <w:rtl w:val="true"/>
              </w:rPr>
              <w:tab/>
            </w:r>
            <w:r>
              <w:rPr>
                <w:rStyle w:val="IndexLink"/>
              </w:rPr>
              <w:t>254</w:t>
            </w:r>
          </w:hyperlink>
        </w:p>
        <w:p>
          <w:pPr>
            <w:pStyle w:val="Contents6"/>
            <w:tabs>
              <w:tab w:val="clear" w:pos="7609"/>
              <w:tab w:val="right" w:pos="9026" w:leader="dot"/>
            </w:tabs>
            <w:rPr/>
          </w:pPr>
          <w:hyperlink w:anchor="__RefHeading___Toc7507222_3381743652">
            <w:r>
              <w:rPr>
                <w:webHidden/>
                <w:rStyle w:val="IndexLink"/>
                <w:rtl w:val="true"/>
              </w:rPr>
              <w:t>المقام الأوّل</w:t>
            </w:r>
            <w:r>
              <w:rPr>
                <w:rStyle w:val="IndexLink"/>
                <w:rtl w:val="true"/>
              </w:rPr>
              <w:t xml:space="preserve">: </w:t>
            </w:r>
            <w:r>
              <w:rPr>
                <w:rStyle w:val="IndexLink"/>
                <w:rtl w:val="true"/>
              </w:rPr>
              <w:t>جريان الاستصحاب في الأُمور الاعتقادية</w:t>
            </w:r>
            <w:r>
              <w:rPr>
                <w:rStyle w:val="IndexLink"/>
                <w:rtl w:val="true"/>
              </w:rPr>
              <w:tab/>
            </w:r>
            <w:r>
              <w:rPr>
                <w:rStyle w:val="IndexLink"/>
              </w:rPr>
              <w:t>256</w:t>
            </w:r>
          </w:hyperlink>
        </w:p>
        <w:p>
          <w:pPr>
            <w:pStyle w:val="Contents6"/>
            <w:tabs>
              <w:tab w:val="clear" w:pos="7609"/>
              <w:tab w:val="right" w:pos="9026" w:leader="dot"/>
            </w:tabs>
            <w:rPr/>
          </w:pPr>
          <w:hyperlink w:anchor="__RefHeading___Toc7507224_3381743652">
            <w:r>
              <w:rPr>
                <w:webHidden/>
                <w:rStyle w:val="IndexLink"/>
                <w:rtl w:val="true"/>
              </w:rPr>
              <w:t>المقام الثاني</w:t>
            </w:r>
            <w:r>
              <w:rPr>
                <w:rStyle w:val="IndexLink"/>
                <w:rtl w:val="true"/>
              </w:rPr>
              <w:t xml:space="preserve">: </w:t>
            </w:r>
            <w:r>
              <w:rPr>
                <w:rStyle w:val="IndexLink"/>
                <w:rtl w:val="true"/>
              </w:rPr>
              <w:t>استصحاب النبوة</w:t>
            </w:r>
            <w:r>
              <w:rPr>
                <w:rStyle w:val="IndexLink"/>
                <w:rtl w:val="true"/>
              </w:rPr>
              <w:tab/>
            </w:r>
            <w:r>
              <w:rPr>
                <w:rStyle w:val="IndexLink"/>
              </w:rPr>
              <w:t>257</w:t>
            </w:r>
          </w:hyperlink>
        </w:p>
        <w:p>
          <w:pPr>
            <w:pStyle w:val="Contents6"/>
            <w:tabs>
              <w:tab w:val="clear" w:pos="7609"/>
              <w:tab w:val="right" w:pos="9026" w:leader="dot"/>
            </w:tabs>
            <w:rPr/>
          </w:pPr>
          <w:hyperlink w:anchor="__RefHeading___Toc7507226_3381743652">
            <w:r>
              <w:rPr>
                <w:webHidden/>
                <w:rStyle w:val="IndexLink"/>
                <w:rtl w:val="true"/>
              </w:rPr>
              <w:t>المقام الثالث</w:t>
            </w:r>
            <w:r>
              <w:rPr>
                <w:rStyle w:val="IndexLink"/>
                <w:rtl w:val="true"/>
              </w:rPr>
              <w:t xml:space="preserve">: </w:t>
            </w:r>
            <w:r>
              <w:rPr>
                <w:rStyle w:val="IndexLink"/>
                <w:rtl w:val="true"/>
              </w:rPr>
              <w:t>هل ينتفع الكتابي بالاستصحاب أو لا؟</w:t>
            </w:r>
            <w:r>
              <w:rPr>
                <w:rStyle w:val="IndexLink"/>
                <w:rtl w:val="true"/>
              </w:rPr>
              <w:tab/>
            </w:r>
            <w:r>
              <w:rPr>
                <w:rStyle w:val="IndexLink"/>
              </w:rPr>
              <w:t>258</w:t>
            </w:r>
          </w:hyperlink>
        </w:p>
        <w:p>
          <w:pPr>
            <w:pStyle w:val="Contents5"/>
            <w:tabs>
              <w:tab w:val="clear" w:pos="7892"/>
              <w:tab w:val="right" w:pos="9026" w:leader="dot"/>
            </w:tabs>
            <w:rPr/>
          </w:pPr>
          <w:hyperlink w:anchor="__RefHeading___Toc7507228_3381743652">
            <w:r>
              <w:rPr>
                <w:webHidden/>
                <w:rStyle w:val="IndexLink"/>
              </w:rPr>
              <w:t>14</w:t>
            </w:r>
            <w:r>
              <w:rPr>
                <w:rStyle w:val="IndexLink"/>
                <w:rtl w:val="true"/>
              </w:rPr>
              <w:t xml:space="preserve">- </w:t>
            </w:r>
            <w:r>
              <w:rPr>
                <w:rStyle w:val="IndexLink"/>
                <w:rtl w:val="true"/>
              </w:rPr>
              <w:t>في استصحاب حكم المخصص</w:t>
            </w:r>
            <w:r>
              <w:rPr>
                <w:rStyle w:val="IndexLink"/>
                <w:rtl w:val="true"/>
              </w:rPr>
              <w:tab/>
            </w:r>
            <w:r>
              <w:rPr>
                <w:rStyle w:val="IndexLink"/>
              </w:rPr>
              <w:t>260</w:t>
            </w:r>
          </w:hyperlink>
        </w:p>
        <w:p>
          <w:pPr>
            <w:pStyle w:val="Contents6"/>
            <w:tabs>
              <w:tab w:val="clear" w:pos="7609"/>
              <w:tab w:val="right" w:pos="9026" w:leader="dot"/>
            </w:tabs>
            <w:rPr/>
          </w:pPr>
          <w:hyperlink w:anchor="__RefHeading___Toc7507230_3381743652">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7507232_3381743652">
            <w:r>
              <w:rPr>
                <w:webHidden/>
                <w:rStyle w:val="IndexLink"/>
              </w:rPr>
              <w:t>1</w:t>
            </w:r>
            <w:r>
              <w:rPr>
                <w:rStyle w:val="IndexLink"/>
                <w:rtl w:val="true"/>
              </w:rPr>
              <w:t xml:space="preserve">. </w:t>
            </w:r>
            <w:r>
              <w:rPr>
                <w:rStyle w:val="IndexLink"/>
                <w:rtl w:val="true"/>
              </w:rPr>
              <w:t>الفرق بين كون الزمان قيداً أو ظرفاً</w:t>
            </w:r>
            <w:r>
              <w:rPr>
                <w:rStyle w:val="IndexLink"/>
                <w:rtl w:val="true"/>
              </w:rPr>
              <w:tab/>
            </w:r>
            <w:r>
              <w:rPr>
                <w:rStyle w:val="IndexLink"/>
              </w:rPr>
              <w:t>260</w:t>
            </w:r>
          </w:hyperlink>
        </w:p>
        <w:p>
          <w:pPr>
            <w:pStyle w:val="Contents6"/>
            <w:tabs>
              <w:tab w:val="clear" w:pos="7609"/>
              <w:tab w:val="right" w:pos="9026" w:leader="dot"/>
            </w:tabs>
            <w:rPr/>
          </w:pPr>
          <w:hyperlink w:anchor="__RefHeading___Toc7507234_3381743652">
            <w:r>
              <w:rPr>
                <w:webHidden/>
                <w:rStyle w:val="IndexLink"/>
              </w:rPr>
              <w:t>2</w:t>
            </w:r>
            <w:r>
              <w:rPr>
                <w:rStyle w:val="IndexLink"/>
                <w:rtl w:val="true"/>
              </w:rPr>
              <w:t xml:space="preserve">. </w:t>
            </w:r>
            <w:r>
              <w:rPr>
                <w:rStyle w:val="IndexLink"/>
                <w:rtl w:val="true"/>
              </w:rPr>
              <w:t>رباعية التقسيم</w:t>
            </w:r>
            <w:r>
              <w:rPr>
                <w:rStyle w:val="IndexLink"/>
                <w:rtl w:val="true"/>
              </w:rPr>
              <w:tab/>
            </w:r>
            <w:r>
              <w:rPr>
                <w:rStyle w:val="IndexLink"/>
              </w:rPr>
              <w:t>261</w:t>
            </w:r>
          </w:hyperlink>
        </w:p>
        <w:p>
          <w:pPr>
            <w:pStyle w:val="Contents6"/>
            <w:tabs>
              <w:tab w:val="clear" w:pos="7609"/>
              <w:tab w:val="right" w:pos="9026" w:leader="dot"/>
            </w:tabs>
            <w:rPr/>
          </w:pPr>
          <w:hyperlink w:anchor="__RefHeading___Toc7507236_3381743652">
            <w:r>
              <w:rPr>
                <w:webHidden/>
                <w:rStyle w:val="IndexLink"/>
                <w:rtl w:val="true"/>
              </w:rPr>
              <w:t>الصورة الأُولى</w:t>
            </w:r>
            <w:r>
              <w:rPr>
                <w:rStyle w:val="IndexLink"/>
                <w:rtl w:val="true"/>
              </w:rPr>
              <w:t xml:space="preserve">: </w:t>
            </w:r>
            <w:r>
              <w:rPr>
                <w:rStyle w:val="IndexLink"/>
                <w:rtl w:val="true"/>
              </w:rPr>
              <w:t>أخذ الزمان ظرفاً في العام والخاص</w:t>
            </w:r>
            <w:r>
              <w:rPr>
                <w:rStyle w:val="IndexLink"/>
                <w:rtl w:val="true"/>
              </w:rPr>
              <w:tab/>
            </w:r>
            <w:r>
              <w:rPr>
                <w:rStyle w:val="IndexLink"/>
              </w:rPr>
              <w:t>262</w:t>
            </w:r>
          </w:hyperlink>
        </w:p>
        <w:p>
          <w:pPr>
            <w:pStyle w:val="Contents6"/>
            <w:tabs>
              <w:tab w:val="clear" w:pos="7609"/>
              <w:tab w:val="right" w:pos="9026" w:leader="dot"/>
            </w:tabs>
            <w:rPr/>
          </w:pPr>
          <w:hyperlink w:anchor="__RefHeading___Toc7507238_3381743652">
            <w:r>
              <w:rPr>
                <w:webHidden/>
                <w:rStyle w:val="IndexLink"/>
                <w:rtl w:val="true"/>
              </w:rPr>
              <w:t>الصورة الثانية</w:t>
            </w:r>
            <w:r>
              <w:rPr>
                <w:rStyle w:val="IndexLink"/>
                <w:rtl w:val="true"/>
              </w:rPr>
              <w:t xml:space="preserve">: </w:t>
            </w:r>
            <w:r>
              <w:rPr>
                <w:rStyle w:val="IndexLink"/>
                <w:rtl w:val="true"/>
              </w:rPr>
              <w:t>أخذ الزمان قيداً في العام والخاص</w:t>
            </w:r>
            <w:r>
              <w:rPr>
                <w:rStyle w:val="IndexLink"/>
                <w:rtl w:val="true"/>
              </w:rPr>
              <w:tab/>
            </w:r>
            <w:r>
              <w:rPr>
                <w:rStyle w:val="IndexLink"/>
              </w:rPr>
              <w:t>262</w:t>
            </w:r>
          </w:hyperlink>
        </w:p>
        <w:p>
          <w:pPr>
            <w:pStyle w:val="Contents6"/>
            <w:tabs>
              <w:tab w:val="clear" w:pos="7609"/>
              <w:tab w:val="right" w:pos="9026" w:leader="dot"/>
            </w:tabs>
            <w:rPr/>
          </w:pPr>
          <w:hyperlink w:anchor="__RefHeading___Toc7507240_3381743652">
            <w:r>
              <w:rPr>
                <w:webHidden/>
                <w:rStyle w:val="IndexLink"/>
                <w:rtl w:val="true"/>
              </w:rPr>
              <w:t>الصورة الثالثة</w:t>
            </w:r>
            <w:r>
              <w:rPr>
                <w:rStyle w:val="IndexLink"/>
                <w:rtl w:val="true"/>
              </w:rPr>
              <w:t xml:space="preserve">: </w:t>
            </w:r>
            <w:r>
              <w:rPr>
                <w:rStyle w:val="IndexLink"/>
                <w:rtl w:val="true"/>
              </w:rPr>
              <w:t>أخذ الزمان ظرفاً في العام دون الخاص</w:t>
            </w:r>
            <w:r>
              <w:rPr>
                <w:rStyle w:val="IndexLink"/>
                <w:rtl w:val="true"/>
              </w:rPr>
              <w:tab/>
            </w:r>
            <w:r>
              <w:rPr>
                <w:rStyle w:val="IndexLink"/>
              </w:rPr>
              <w:t>262</w:t>
            </w:r>
          </w:hyperlink>
        </w:p>
        <w:p>
          <w:pPr>
            <w:pStyle w:val="Contents6"/>
            <w:tabs>
              <w:tab w:val="clear" w:pos="7609"/>
              <w:tab w:val="right" w:pos="9026" w:leader="dot"/>
            </w:tabs>
            <w:rPr/>
          </w:pPr>
          <w:hyperlink w:anchor="__RefHeading___Toc7507242_3381743652">
            <w:r>
              <w:rPr>
                <w:webHidden/>
                <w:rStyle w:val="IndexLink"/>
                <w:rtl w:val="true"/>
              </w:rPr>
              <w:t>الصورة الرابعة</w:t>
            </w:r>
            <w:r>
              <w:rPr>
                <w:rStyle w:val="IndexLink"/>
                <w:rtl w:val="true"/>
              </w:rPr>
              <w:t xml:space="preserve">: </w:t>
            </w:r>
            <w:r>
              <w:rPr>
                <w:rStyle w:val="IndexLink"/>
                <w:rtl w:val="true"/>
              </w:rPr>
              <w:t>أخذ الزمان قيداً في العام دون الخاص</w:t>
            </w:r>
            <w:r>
              <w:rPr>
                <w:rStyle w:val="IndexLink"/>
                <w:rtl w:val="true"/>
              </w:rPr>
              <w:tab/>
            </w:r>
            <w:r>
              <w:rPr>
                <w:rStyle w:val="IndexLink"/>
              </w:rPr>
              <w:t>263</w:t>
            </w:r>
          </w:hyperlink>
        </w:p>
        <w:p>
          <w:pPr>
            <w:pStyle w:val="Contents6"/>
            <w:tabs>
              <w:tab w:val="clear" w:pos="7609"/>
              <w:tab w:val="right" w:pos="9026" w:leader="dot"/>
            </w:tabs>
            <w:rPr/>
          </w:pPr>
          <w:hyperlink w:anchor="__RefHeading___Toc7507244_3381743652">
            <w:r>
              <w:rPr>
                <w:webHidden/>
                <w:rStyle w:val="IndexLink"/>
              </w:rPr>
              <w:t>3</w:t>
            </w:r>
            <w:r>
              <w:rPr>
                <w:rStyle w:val="IndexLink"/>
                <w:rtl w:val="true"/>
              </w:rPr>
              <w:t xml:space="preserve">. </w:t>
            </w:r>
            <w:r>
              <w:rPr>
                <w:rStyle w:val="IndexLink"/>
                <w:rtl w:val="true"/>
              </w:rPr>
              <w:t>التفريق بين كون الزمان قيداً للمتعلّق أو للحكم</w:t>
            </w:r>
            <w:r>
              <w:rPr>
                <w:rStyle w:val="IndexLink"/>
                <w:rtl w:val="true"/>
              </w:rPr>
              <w:tab/>
            </w:r>
            <w:r>
              <w:rPr>
                <w:rStyle w:val="IndexLink"/>
              </w:rPr>
              <w:t>264</w:t>
            </w:r>
          </w:hyperlink>
        </w:p>
        <w:p>
          <w:pPr>
            <w:pStyle w:val="Contents6"/>
            <w:tabs>
              <w:tab w:val="clear" w:pos="7609"/>
              <w:tab w:val="right" w:pos="9026" w:leader="dot"/>
            </w:tabs>
            <w:rPr/>
          </w:pPr>
          <w:hyperlink w:anchor="__RefHeading___Toc7507246_3381743652">
            <w:r>
              <w:rPr>
                <w:webHidden/>
                <w:rStyle w:val="IndexLink"/>
                <w:rtl w:val="true"/>
              </w:rPr>
              <w:t>يلاحظ عليه بوجهين</w:t>
            </w:r>
            <w:r>
              <w:rPr>
                <w:rStyle w:val="IndexLink"/>
                <w:rtl w:val="true"/>
              </w:rPr>
              <w:t>:</w:t>
              <w:tab/>
            </w:r>
            <w:r>
              <w:rPr>
                <w:rStyle w:val="IndexLink"/>
              </w:rPr>
              <w:t>266</w:t>
            </w:r>
          </w:hyperlink>
        </w:p>
        <w:p>
          <w:pPr>
            <w:pStyle w:val="Contents6"/>
            <w:tabs>
              <w:tab w:val="clear" w:pos="7609"/>
              <w:tab w:val="right" w:pos="9026" w:leader="dot"/>
            </w:tabs>
            <w:rPr/>
          </w:pPr>
          <w:hyperlink w:anchor="__RefHeading___Toc7507248_3381743652">
            <w:r>
              <w:rPr>
                <w:webHidden/>
                <w:rStyle w:val="IndexLink"/>
              </w:rPr>
              <w:t>4</w:t>
            </w:r>
            <w:r>
              <w:rPr>
                <w:rStyle w:val="IndexLink"/>
                <w:rtl w:val="true"/>
              </w:rPr>
              <w:t xml:space="preserve">. </w:t>
            </w:r>
            <w:r>
              <w:rPr>
                <w:rStyle w:val="IndexLink"/>
                <w:rtl w:val="true"/>
              </w:rPr>
              <w:t>المرجع هو العام مطلقاً</w:t>
            </w:r>
            <w:r>
              <w:rPr>
                <w:rStyle w:val="IndexLink"/>
                <w:rtl w:val="true"/>
              </w:rPr>
              <w:tab/>
            </w:r>
            <w:r>
              <w:rPr>
                <w:rStyle w:val="IndexLink"/>
              </w:rPr>
              <w:t>267</w:t>
            </w:r>
          </w:hyperlink>
        </w:p>
        <w:p>
          <w:pPr>
            <w:pStyle w:val="Contents5"/>
            <w:tabs>
              <w:tab w:val="clear" w:pos="7892"/>
              <w:tab w:val="right" w:pos="9026" w:leader="dot"/>
            </w:tabs>
            <w:rPr/>
          </w:pPr>
          <w:hyperlink w:anchor="__RefHeading___Toc7507250_3381743652">
            <w:r>
              <w:rPr>
                <w:webHidden/>
                <w:rStyle w:val="IndexLink"/>
              </w:rPr>
              <w:t>15</w:t>
            </w:r>
            <w:r>
              <w:rPr>
                <w:rStyle w:val="IndexLink"/>
                <w:rtl w:val="true"/>
              </w:rPr>
              <w:t xml:space="preserve">- </w:t>
            </w:r>
            <w:r>
              <w:rPr>
                <w:rStyle w:val="IndexLink"/>
                <w:rtl w:val="true"/>
              </w:rPr>
              <w:t>ما هو المراد من الشكّ في الاستصحاب؟</w:t>
            </w:r>
            <w:r>
              <w:rPr>
                <w:rStyle w:val="IndexLink"/>
                <w:rtl w:val="true"/>
              </w:rPr>
              <w:tab/>
            </w:r>
            <w:r>
              <w:rPr>
                <w:rStyle w:val="IndexLink"/>
              </w:rPr>
              <w:t>270</w:t>
            </w:r>
          </w:hyperlink>
        </w:p>
        <w:p>
          <w:pPr>
            <w:pStyle w:val="Contents4"/>
            <w:tabs>
              <w:tab w:val="clear" w:pos="8176"/>
              <w:tab w:val="right" w:pos="9026" w:leader="dot"/>
            </w:tabs>
            <w:rPr/>
          </w:pPr>
          <w:hyperlink w:anchor="__RefHeading___Toc7507252_3381743652">
            <w:r>
              <w:rPr>
                <w:webHidden/>
                <w:rStyle w:val="IndexLink"/>
                <w:rtl w:val="true"/>
              </w:rPr>
              <w:t>خاتمة في شرائط جريان الاستصحاب أو العمل به</w:t>
            </w:r>
            <w:r>
              <w:rPr>
                <w:rStyle w:val="IndexLink"/>
                <w:rtl w:val="true"/>
              </w:rPr>
              <w:tab/>
            </w:r>
            <w:r>
              <w:rPr>
                <w:rStyle w:val="IndexLink"/>
              </w:rPr>
              <w:t>274</w:t>
            </w:r>
          </w:hyperlink>
        </w:p>
        <w:p>
          <w:pPr>
            <w:pStyle w:val="Contents5"/>
            <w:tabs>
              <w:tab w:val="clear" w:pos="7892"/>
              <w:tab w:val="right" w:pos="9026" w:leader="dot"/>
            </w:tabs>
            <w:rPr/>
          </w:pPr>
          <w:hyperlink w:anchor="__RefHeading___Toc7507254_3381743652">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7507256_3381743652">
            <w:r>
              <w:rPr>
                <w:webHidden/>
                <w:rStyle w:val="IndexLink"/>
                <w:rtl w:val="true"/>
              </w:rPr>
              <w:t>الشرط الأوّل</w:t>
            </w:r>
            <w:r>
              <w:rPr>
                <w:rStyle w:val="IndexLink"/>
                <w:rtl w:val="true"/>
              </w:rPr>
              <w:t xml:space="preserve">: </w:t>
            </w:r>
            <w:r>
              <w:rPr>
                <w:rStyle w:val="IndexLink"/>
                <w:rtl w:val="true"/>
              </w:rPr>
              <w:t>بقاء الموضوع أووحدة القضيّتين</w:t>
            </w:r>
            <w:r>
              <w:rPr>
                <w:rStyle w:val="IndexLink"/>
                <w:rtl w:val="true"/>
              </w:rPr>
              <w:tab/>
            </w:r>
            <w:r>
              <w:rPr>
                <w:rStyle w:val="IndexLink"/>
              </w:rPr>
              <w:t>274</w:t>
            </w:r>
          </w:hyperlink>
        </w:p>
        <w:p>
          <w:pPr>
            <w:pStyle w:val="Contents6"/>
            <w:tabs>
              <w:tab w:val="clear" w:pos="7609"/>
              <w:tab w:val="right" w:pos="9026" w:leader="dot"/>
            </w:tabs>
            <w:rPr/>
          </w:pPr>
          <w:hyperlink w:anchor="__RefHeading___Toc7507258_3381743652">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7507260_3381743652">
            <w:r>
              <w:rPr>
                <w:webHidden/>
                <w:rStyle w:val="IndexLink"/>
                <w:rtl w:val="true"/>
              </w:rPr>
              <w:t>المقام الأوّل</w:t>
            </w:r>
            <w:r>
              <w:rPr>
                <w:rStyle w:val="IndexLink"/>
                <w:rtl w:val="true"/>
              </w:rPr>
              <w:t xml:space="preserve">: </w:t>
            </w:r>
            <w:r>
              <w:rPr>
                <w:rStyle w:val="IndexLink"/>
                <w:rtl w:val="true"/>
              </w:rPr>
              <w:t>هل الشرط بقاء الموضوع أووحدة القضّيتين؟</w:t>
            </w:r>
            <w:r>
              <w:rPr>
                <w:rStyle w:val="IndexLink"/>
                <w:rtl w:val="true"/>
              </w:rPr>
              <w:tab/>
            </w:r>
            <w:r>
              <w:rPr>
                <w:rStyle w:val="IndexLink"/>
              </w:rPr>
              <w:t>275</w:t>
            </w:r>
          </w:hyperlink>
        </w:p>
        <w:p>
          <w:pPr>
            <w:pStyle w:val="Contents6"/>
            <w:tabs>
              <w:tab w:val="clear" w:pos="7609"/>
              <w:tab w:val="right" w:pos="9026" w:leader="dot"/>
            </w:tabs>
            <w:rPr/>
          </w:pPr>
          <w:hyperlink w:anchor="__RefHeading___Toc7507262_3381743652">
            <w:r>
              <w:rPr>
                <w:webHidden/>
                <w:rStyle w:val="IndexLink"/>
                <w:rtl w:val="true"/>
              </w:rPr>
              <w:t>المقام الثاني</w:t>
            </w:r>
            <w:r>
              <w:rPr>
                <w:rStyle w:val="IndexLink"/>
                <w:rtl w:val="true"/>
              </w:rPr>
              <w:t xml:space="preserve">: </w:t>
            </w:r>
            <w:r>
              <w:rPr>
                <w:rStyle w:val="IndexLink"/>
                <w:rtl w:val="true"/>
              </w:rPr>
              <w:t>ما هو الدليل على هذا الشرط؟</w:t>
            </w:r>
            <w:r>
              <w:rPr>
                <w:rStyle w:val="IndexLink"/>
                <w:rtl w:val="true"/>
              </w:rPr>
              <w:tab/>
            </w:r>
            <w:r>
              <w:rPr>
                <w:rStyle w:val="IndexLink"/>
              </w:rPr>
              <w:t>276</w:t>
            </w:r>
          </w:hyperlink>
        </w:p>
        <w:p>
          <w:pPr>
            <w:pStyle w:val="Contents6"/>
            <w:tabs>
              <w:tab w:val="clear" w:pos="7609"/>
              <w:tab w:val="right" w:pos="9026" w:leader="dot"/>
            </w:tabs>
            <w:rPr/>
          </w:pPr>
          <w:hyperlink w:anchor="__RefHeading___Toc7507264_3381743652">
            <w:r>
              <w:rPr>
                <w:webHidden/>
                <w:rStyle w:val="IndexLink"/>
                <w:rtl w:val="true"/>
              </w:rPr>
              <w:t>المقام الثالث</w:t>
            </w:r>
            <w:r>
              <w:rPr>
                <w:rStyle w:val="IndexLink"/>
                <w:rtl w:val="true"/>
              </w:rPr>
              <w:t xml:space="preserve">: </w:t>
            </w:r>
            <w:r>
              <w:rPr>
                <w:rStyle w:val="IndexLink"/>
                <w:rtl w:val="true"/>
              </w:rPr>
              <w:t>ما هو الملاك لوحدة القضيتين؟</w:t>
            </w:r>
            <w:r>
              <w:rPr>
                <w:rStyle w:val="IndexLink"/>
                <w:rtl w:val="true"/>
              </w:rPr>
              <w:tab/>
            </w:r>
            <w:r>
              <w:rPr>
                <w:rStyle w:val="IndexLink"/>
              </w:rPr>
              <w:t>277</w:t>
            </w:r>
          </w:hyperlink>
        </w:p>
        <w:p>
          <w:pPr>
            <w:pStyle w:val="Contents6"/>
            <w:tabs>
              <w:tab w:val="clear" w:pos="7609"/>
              <w:tab w:val="right" w:pos="9026" w:leader="dot"/>
            </w:tabs>
            <w:rPr/>
          </w:pPr>
          <w:hyperlink w:anchor="__RefHeading___Toc7507266_3381743652">
            <w:r>
              <w:rPr>
                <w:webHidden/>
                <w:rStyle w:val="IndexLink"/>
                <w:rtl w:val="true"/>
              </w:rPr>
              <w:t>أ</w:t>
            </w:r>
            <w:r>
              <w:rPr>
                <w:rStyle w:val="IndexLink"/>
                <w:rtl w:val="true"/>
              </w:rPr>
              <w:t xml:space="preserve">: </w:t>
            </w:r>
            <w:r>
              <w:rPr>
                <w:rStyle w:val="IndexLink"/>
                <w:rtl w:val="true"/>
              </w:rPr>
              <w:t>الملاك قضاء العقل بأحد الأمرين</w:t>
            </w:r>
            <w:r>
              <w:rPr>
                <w:rStyle w:val="IndexLink"/>
                <w:rtl w:val="true"/>
              </w:rPr>
              <w:tab/>
            </w:r>
            <w:r>
              <w:rPr>
                <w:rStyle w:val="IndexLink"/>
              </w:rPr>
              <w:t>278</w:t>
            </w:r>
          </w:hyperlink>
        </w:p>
        <w:p>
          <w:pPr>
            <w:pStyle w:val="Contents6"/>
            <w:tabs>
              <w:tab w:val="clear" w:pos="7609"/>
              <w:tab w:val="right" w:pos="9026" w:leader="dot"/>
            </w:tabs>
            <w:rPr/>
          </w:pPr>
          <w:hyperlink w:anchor="__RefHeading___Toc7507268_3381743652">
            <w:r>
              <w:rPr>
                <w:webHidden/>
                <w:rStyle w:val="IndexLink"/>
                <w:rtl w:val="true"/>
              </w:rPr>
              <w:t>ب</w:t>
            </w:r>
            <w:r>
              <w:rPr>
                <w:rStyle w:val="IndexLink"/>
                <w:rtl w:val="true"/>
              </w:rPr>
              <w:t xml:space="preserve">: </w:t>
            </w:r>
            <w:r>
              <w:rPr>
                <w:rStyle w:val="IndexLink"/>
                <w:rtl w:val="true"/>
              </w:rPr>
              <w:t>الملاك هو لسان الدليل</w:t>
            </w:r>
            <w:r>
              <w:rPr>
                <w:rStyle w:val="IndexLink"/>
                <w:rtl w:val="true"/>
              </w:rPr>
              <w:tab/>
            </w:r>
            <w:r>
              <w:rPr>
                <w:rStyle w:val="IndexLink"/>
              </w:rPr>
              <w:t>279</w:t>
            </w:r>
          </w:hyperlink>
        </w:p>
        <w:p>
          <w:pPr>
            <w:pStyle w:val="Contents6"/>
            <w:tabs>
              <w:tab w:val="clear" w:pos="7609"/>
              <w:tab w:val="right" w:pos="9026" w:leader="dot"/>
            </w:tabs>
            <w:rPr/>
          </w:pPr>
          <w:hyperlink w:anchor="__RefHeading___Toc7507270_3381743652">
            <w:r>
              <w:rPr>
                <w:webHidden/>
                <w:rStyle w:val="IndexLink"/>
                <w:rtl w:val="true"/>
              </w:rPr>
              <w:t>ج</w:t>
            </w:r>
            <w:r>
              <w:rPr>
                <w:rStyle w:val="IndexLink"/>
                <w:rtl w:val="true"/>
              </w:rPr>
              <w:t xml:space="preserve">: </w:t>
            </w:r>
            <w:r>
              <w:rPr>
                <w:rStyle w:val="IndexLink"/>
                <w:rtl w:val="true"/>
              </w:rPr>
              <w:t>المرجع فهم العرف من الدليل</w:t>
            </w:r>
            <w:r>
              <w:rPr>
                <w:rStyle w:val="IndexLink"/>
                <w:rtl w:val="true"/>
              </w:rPr>
              <w:tab/>
            </w:r>
            <w:r>
              <w:rPr>
                <w:rStyle w:val="IndexLink"/>
              </w:rPr>
              <w:t>280</w:t>
            </w:r>
          </w:hyperlink>
        </w:p>
        <w:p>
          <w:pPr>
            <w:pStyle w:val="Contents5"/>
            <w:tabs>
              <w:tab w:val="clear" w:pos="7892"/>
              <w:tab w:val="right" w:pos="9026" w:leader="dot"/>
            </w:tabs>
            <w:rPr/>
          </w:pPr>
          <w:hyperlink w:anchor="__RefHeading___Toc7507272_3381743652">
            <w:r>
              <w:rPr>
                <w:webHidden/>
                <w:rStyle w:val="IndexLink"/>
                <w:rtl w:val="true"/>
              </w:rPr>
              <w:t>الشرط الثاني</w:t>
            </w:r>
            <w:r>
              <w:rPr>
                <w:rStyle w:val="IndexLink"/>
                <w:rtl w:val="true"/>
              </w:rPr>
              <w:t xml:space="preserve">: </w:t>
            </w:r>
            <w:r>
              <w:rPr>
                <w:rStyle w:val="IndexLink"/>
                <w:rtl w:val="true"/>
              </w:rPr>
              <w:t>وحدة متعلّق الشك واليقين</w:t>
            </w:r>
            <w:r>
              <w:rPr>
                <w:rStyle w:val="IndexLink"/>
                <w:rtl w:val="true"/>
              </w:rPr>
              <w:tab/>
            </w:r>
            <w:r>
              <w:rPr>
                <w:rStyle w:val="IndexLink"/>
              </w:rPr>
              <w:t>282</w:t>
            </w:r>
          </w:hyperlink>
        </w:p>
        <w:p>
          <w:pPr>
            <w:pStyle w:val="Contents5"/>
            <w:tabs>
              <w:tab w:val="clear" w:pos="7892"/>
              <w:tab w:val="right" w:pos="9026" w:leader="dot"/>
            </w:tabs>
            <w:rPr/>
          </w:pPr>
          <w:hyperlink w:anchor="__RefHeading___Toc7507274_3381743652">
            <w:r>
              <w:rPr>
                <w:webHidden/>
                <w:rStyle w:val="IndexLink"/>
                <w:rtl w:val="true"/>
              </w:rPr>
              <w:t>الشرط الثالث</w:t>
            </w:r>
            <w:r>
              <w:rPr>
                <w:rStyle w:val="IndexLink"/>
                <w:rtl w:val="true"/>
              </w:rPr>
              <w:t xml:space="preserve">: </w:t>
            </w:r>
            <w:r>
              <w:rPr>
                <w:rStyle w:val="IndexLink"/>
                <w:rtl w:val="true"/>
              </w:rPr>
              <w:t>بقاء اليقين في ظرف الشك</w:t>
            </w:r>
            <w:r>
              <w:rPr>
                <w:rStyle w:val="IndexLink"/>
                <w:rtl w:val="true"/>
              </w:rPr>
              <w:tab/>
            </w:r>
            <w:r>
              <w:rPr>
                <w:rStyle w:val="IndexLink"/>
              </w:rPr>
              <w:t>284</w:t>
            </w:r>
          </w:hyperlink>
        </w:p>
        <w:p>
          <w:pPr>
            <w:pStyle w:val="Contents6"/>
            <w:tabs>
              <w:tab w:val="clear" w:pos="7609"/>
              <w:tab w:val="right" w:pos="9026" w:leader="dot"/>
            </w:tabs>
            <w:rPr/>
          </w:pPr>
          <w:hyperlink w:anchor="__RefHeading___Toc7507276_3381743652">
            <w:r>
              <w:rPr>
                <w:webHidden/>
                <w:rStyle w:val="IndexLink"/>
                <w:rtl w:val="true"/>
              </w:rPr>
              <w:t>اشارة</w:t>
            </w:r>
            <w:r>
              <w:rPr>
                <w:rStyle w:val="IndexLink"/>
                <w:rtl w:val="true"/>
              </w:rPr>
              <w:tab/>
            </w:r>
            <w:r>
              <w:rPr>
                <w:rStyle w:val="IndexLink"/>
              </w:rPr>
              <w:t>284</w:t>
            </w:r>
          </w:hyperlink>
        </w:p>
        <w:p>
          <w:pPr>
            <w:pStyle w:val="Contents6"/>
            <w:tabs>
              <w:tab w:val="clear" w:pos="7609"/>
              <w:tab w:val="right" w:pos="9026" w:leader="dot"/>
            </w:tabs>
            <w:rPr/>
          </w:pPr>
          <w:hyperlink w:anchor="__RefHeading___Toc7507278_3381743652">
            <w:r>
              <w:rPr>
                <w:webHidden/>
                <w:rStyle w:val="IndexLink"/>
              </w:rPr>
              <w:t>1</w:t>
            </w:r>
            <w:r>
              <w:rPr>
                <w:rStyle w:val="IndexLink"/>
                <w:rtl w:val="true"/>
              </w:rPr>
              <w:t xml:space="preserve">. </w:t>
            </w:r>
            <w:r>
              <w:rPr>
                <w:rStyle w:val="IndexLink"/>
                <w:rtl w:val="true"/>
              </w:rPr>
              <w:t>إمكان الجمع بينهما ثبوتاً في اللحاظ</w:t>
            </w:r>
            <w:r>
              <w:rPr>
                <w:rStyle w:val="IndexLink"/>
                <w:rtl w:val="true"/>
              </w:rPr>
              <w:tab/>
            </w:r>
            <w:r>
              <w:rPr>
                <w:rStyle w:val="IndexLink"/>
              </w:rPr>
              <w:t>284</w:t>
            </w:r>
          </w:hyperlink>
        </w:p>
        <w:p>
          <w:pPr>
            <w:pStyle w:val="Contents6"/>
            <w:tabs>
              <w:tab w:val="clear" w:pos="7609"/>
              <w:tab w:val="right" w:pos="9026" w:leader="dot"/>
            </w:tabs>
            <w:rPr/>
          </w:pPr>
          <w:hyperlink w:anchor="__RefHeading___Toc7507280_3381743652">
            <w:r>
              <w:rPr>
                <w:webHidden/>
                <w:rStyle w:val="IndexLink"/>
                <w:rtl w:val="true"/>
              </w:rPr>
              <w:t>المقام الثاني</w:t>
            </w:r>
            <w:r>
              <w:rPr>
                <w:rStyle w:val="IndexLink"/>
                <w:rtl w:val="true"/>
              </w:rPr>
              <w:t xml:space="preserve">: </w:t>
            </w:r>
            <w:r>
              <w:rPr>
                <w:rStyle w:val="IndexLink"/>
                <w:rtl w:val="true"/>
              </w:rPr>
              <w:t>في تحديد دلالة الرواية</w:t>
            </w:r>
            <w:r>
              <w:rPr>
                <w:rStyle w:val="IndexLink"/>
                <w:rtl w:val="true"/>
              </w:rPr>
              <w:tab/>
            </w:r>
            <w:r>
              <w:rPr>
                <w:rStyle w:val="IndexLink"/>
              </w:rPr>
              <w:t>288</w:t>
            </w:r>
          </w:hyperlink>
        </w:p>
        <w:p>
          <w:pPr>
            <w:pStyle w:val="Contents5"/>
            <w:tabs>
              <w:tab w:val="clear" w:pos="7892"/>
              <w:tab w:val="right" w:pos="9026" w:leader="dot"/>
            </w:tabs>
            <w:rPr/>
          </w:pPr>
          <w:hyperlink w:anchor="__RefHeading___Toc7507282_3381743652">
            <w:r>
              <w:rPr>
                <w:webHidden/>
                <w:rStyle w:val="IndexLink"/>
                <w:rtl w:val="true"/>
              </w:rPr>
              <w:t>الشرط الرابع</w:t>
            </w:r>
            <w:r>
              <w:rPr>
                <w:rStyle w:val="IndexLink"/>
                <w:rtl w:val="true"/>
              </w:rPr>
              <w:t xml:space="preserve">: </w:t>
            </w:r>
            <w:r>
              <w:rPr>
                <w:rStyle w:val="IndexLink"/>
                <w:rtl w:val="true"/>
              </w:rPr>
              <w:t>عدم أمارة في مورده</w:t>
            </w:r>
            <w:r>
              <w:rPr>
                <w:rStyle w:val="IndexLink"/>
                <w:rtl w:val="true"/>
              </w:rPr>
              <w:tab/>
            </w:r>
            <w:r>
              <w:rPr>
                <w:rStyle w:val="IndexLink"/>
              </w:rPr>
              <w:t>289</w:t>
            </w:r>
          </w:hyperlink>
        </w:p>
        <w:p>
          <w:pPr>
            <w:pStyle w:val="Contents6"/>
            <w:tabs>
              <w:tab w:val="clear" w:pos="7609"/>
              <w:tab w:val="right" w:pos="9026" w:leader="dot"/>
            </w:tabs>
            <w:rPr/>
          </w:pPr>
          <w:hyperlink w:anchor="__RefHeading___Toc7507284_3381743652">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7507286_3381743652">
            <w:r>
              <w:rPr>
                <w:webHidden/>
                <w:rStyle w:val="IndexLink"/>
              </w:rPr>
              <w:t>1</w:t>
            </w:r>
            <w:r>
              <w:rPr>
                <w:rStyle w:val="IndexLink"/>
                <w:rtl w:val="true"/>
              </w:rPr>
              <w:t xml:space="preserve">. </w:t>
            </w:r>
            <w:r>
              <w:rPr>
                <w:rStyle w:val="IndexLink"/>
                <w:rtl w:val="true"/>
              </w:rPr>
              <w:t>دليل الأمارة وارد على دليل الاستصحاب</w:t>
            </w:r>
            <w:r>
              <w:rPr>
                <w:rStyle w:val="IndexLink"/>
                <w:rtl w:val="true"/>
              </w:rPr>
              <w:tab/>
            </w:r>
            <w:r>
              <w:rPr>
                <w:rStyle w:val="IndexLink"/>
              </w:rPr>
              <w:t>290</w:t>
            </w:r>
          </w:hyperlink>
        </w:p>
        <w:p>
          <w:pPr>
            <w:pStyle w:val="Contents6"/>
            <w:tabs>
              <w:tab w:val="clear" w:pos="7609"/>
              <w:tab w:val="right" w:pos="9026" w:leader="dot"/>
            </w:tabs>
            <w:rPr/>
          </w:pPr>
          <w:hyperlink w:anchor="__RefHeading___Toc7507288_3381743652">
            <w:r>
              <w:rPr>
                <w:webHidden/>
                <w:rStyle w:val="IndexLink"/>
              </w:rPr>
              <w:t>2</w:t>
            </w:r>
            <w:r>
              <w:rPr>
                <w:rStyle w:val="IndexLink"/>
                <w:rtl w:val="true"/>
              </w:rPr>
              <w:t xml:space="preserve">. </w:t>
            </w:r>
            <w:r>
              <w:rPr>
                <w:rStyle w:val="IndexLink"/>
                <w:rtl w:val="true"/>
              </w:rPr>
              <w:t>دليل الأمارة حاكم على دليل الاستصحاب</w:t>
            </w:r>
            <w:r>
              <w:rPr>
                <w:rStyle w:val="IndexLink"/>
                <w:rtl w:val="true"/>
              </w:rPr>
              <w:tab/>
            </w:r>
            <w:r>
              <w:rPr>
                <w:rStyle w:val="IndexLink"/>
              </w:rPr>
              <w:t>293</w:t>
            </w:r>
          </w:hyperlink>
        </w:p>
        <w:p>
          <w:pPr>
            <w:pStyle w:val="Contents6"/>
            <w:tabs>
              <w:tab w:val="clear" w:pos="7609"/>
              <w:tab w:val="right" w:pos="9026" w:leader="dot"/>
            </w:tabs>
            <w:rPr/>
          </w:pPr>
          <w:hyperlink w:anchor="__RefHeading___Toc7507290_3381743652">
            <w:r>
              <w:rPr>
                <w:webHidden/>
                <w:rStyle w:val="IndexLink"/>
              </w:rPr>
              <w:t>3</w:t>
            </w:r>
            <w:r>
              <w:rPr>
                <w:rStyle w:val="IndexLink"/>
                <w:rtl w:val="true"/>
              </w:rPr>
              <w:t xml:space="preserve">. </w:t>
            </w:r>
            <w:r>
              <w:rPr>
                <w:rStyle w:val="IndexLink"/>
                <w:rtl w:val="true"/>
              </w:rPr>
              <w:t>تقديم دليل الأمارة على الاستصحاب من باب التوفيق العرفي</w:t>
            </w:r>
            <w:r>
              <w:rPr>
                <w:rStyle w:val="IndexLink"/>
                <w:rtl w:val="true"/>
              </w:rPr>
              <w:tab/>
            </w:r>
            <w:r>
              <w:rPr>
                <w:rStyle w:val="IndexLink"/>
              </w:rPr>
              <w:t>295</w:t>
            </w:r>
          </w:hyperlink>
        </w:p>
        <w:p>
          <w:pPr>
            <w:pStyle w:val="Contents6"/>
            <w:tabs>
              <w:tab w:val="clear" w:pos="7609"/>
              <w:tab w:val="right" w:pos="9026" w:leader="dot"/>
            </w:tabs>
            <w:rPr/>
          </w:pPr>
          <w:hyperlink w:anchor="__RefHeading___Toc7507292_3381743652">
            <w:r>
              <w:rPr>
                <w:webHidden/>
                <w:rStyle w:val="IndexLink"/>
              </w:rPr>
              <w:t>4</w:t>
            </w:r>
            <w:r>
              <w:rPr>
                <w:rStyle w:val="IndexLink"/>
                <w:rtl w:val="true"/>
              </w:rPr>
              <w:t xml:space="preserve">. </w:t>
            </w:r>
            <w:r>
              <w:rPr>
                <w:rStyle w:val="IndexLink"/>
                <w:rtl w:val="true"/>
              </w:rPr>
              <w:t>تقديم دليل الأمارة على دليل الاستصحاب من باب التخصيص</w:t>
            </w:r>
            <w:r>
              <w:rPr>
                <w:rStyle w:val="IndexLink"/>
                <w:rtl w:val="true"/>
              </w:rPr>
              <w:tab/>
            </w:r>
            <w:r>
              <w:rPr>
                <w:rStyle w:val="IndexLink"/>
              </w:rPr>
              <w:t>295</w:t>
            </w:r>
          </w:hyperlink>
        </w:p>
        <w:p>
          <w:pPr>
            <w:pStyle w:val="Contents6"/>
            <w:tabs>
              <w:tab w:val="clear" w:pos="7609"/>
              <w:tab w:val="right" w:pos="9026" w:leader="dot"/>
            </w:tabs>
            <w:rPr/>
          </w:pPr>
          <w:hyperlink w:anchor="__RefHeading___Toc7507294_3381743652">
            <w:r>
              <w:rPr>
                <w:webHidden/>
                <w:rStyle w:val="IndexLink"/>
                <w:rtl w:val="true"/>
              </w:rPr>
              <w:t>الأوّل</w:t>
            </w:r>
            <w:r>
              <w:rPr>
                <w:rStyle w:val="IndexLink"/>
                <w:rtl w:val="true"/>
              </w:rPr>
              <w:t xml:space="preserve">: </w:t>
            </w:r>
            <w:r>
              <w:rPr>
                <w:rStyle w:val="IndexLink"/>
                <w:rtl w:val="true"/>
              </w:rPr>
              <w:t>النسبة بين الاستصحاب والأصل العقلي</w:t>
            </w:r>
            <w:r>
              <w:rPr>
                <w:rStyle w:val="IndexLink"/>
                <w:rtl w:val="true"/>
              </w:rPr>
              <w:tab/>
            </w:r>
            <w:r>
              <w:rPr>
                <w:rStyle w:val="IndexLink"/>
              </w:rPr>
              <w:t>296</w:t>
            </w:r>
          </w:hyperlink>
        </w:p>
        <w:p>
          <w:pPr>
            <w:pStyle w:val="Contents6"/>
            <w:tabs>
              <w:tab w:val="clear" w:pos="7609"/>
              <w:tab w:val="right" w:pos="9026" w:leader="dot"/>
            </w:tabs>
            <w:rPr/>
          </w:pPr>
          <w:hyperlink w:anchor="__RefHeading___Toc7507296_3381743652">
            <w:r>
              <w:rPr>
                <w:webHidden/>
                <w:rStyle w:val="IndexLink"/>
                <w:rtl w:val="true"/>
              </w:rPr>
              <w:t>الثاني</w:t>
            </w:r>
            <w:r>
              <w:rPr>
                <w:rStyle w:val="IndexLink"/>
                <w:rtl w:val="true"/>
              </w:rPr>
              <w:t xml:space="preserve">: </w:t>
            </w:r>
            <w:r>
              <w:rPr>
                <w:rStyle w:val="IndexLink"/>
                <w:rtl w:val="true"/>
              </w:rPr>
              <w:t>النسبة بين الاستصحاب والأصل الشرعي</w:t>
            </w:r>
            <w:r>
              <w:rPr>
                <w:rStyle w:val="IndexLink"/>
                <w:rtl w:val="true"/>
              </w:rPr>
              <w:tab/>
            </w:r>
            <w:r>
              <w:rPr>
                <w:rStyle w:val="IndexLink"/>
              </w:rPr>
              <w:t>297</w:t>
            </w:r>
          </w:hyperlink>
        </w:p>
        <w:p>
          <w:pPr>
            <w:pStyle w:val="Contents6"/>
            <w:tabs>
              <w:tab w:val="clear" w:pos="7609"/>
              <w:tab w:val="right" w:pos="9026" w:leader="dot"/>
            </w:tabs>
            <w:rPr/>
          </w:pPr>
          <w:hyperlink w:anchor="__RefHeading___Toc7507298_3381743652">
            <w:r>
              <w:rPr>
                <w:webHidden/>
                <w:rStyle w:val="IndexLink"/>
                <w:rtl w:val="true"/>
              </w:rPr>
              <w:t>تقدّمه عليها من باب الورود</w:t>
            </w:r>
            <w:r>
              <w:rPr>
                <w:rStyle w:val="IndexLink"/>
                <w:rtl w:val="true"/>
              </w:rPr>
              <w:tab/>
            </w:r>
            <w:r>
              <w:rPr>
                <w:rStyle w:val="IndexLink"/>
              </w:rPr>
              <w:t>297</w:t>
            </w:r>
          </w:hyperlink>
        </w:p>
        <w:p>
          <w:pPr>
            <w:pStyle w:val="Contents6"/>
            <w:tabs>
              <w:tab w:val="clear" w:pos="7609"/>
              <w:tab w:val="right" w:pos="9026" w:leader="dot"/>
            </w:tabs>
            <w:rPr/>
          </w:pPr>
          <w:hyperlink w:anchor="__RefHeading___Toc7507300_3381743652">
            <w:r>
              <w:rPr>
                <w:webHidden/>
                <w:rStyle w:val="IndexLink"/>
                <w:rtl w:val="true"/>
              </w:rPr>
              <w:t>تقدّمه عليها من باب الحكومة</w:t>
            </w:r>
            <w:r>
              <w:rPr>
                <w:rStyle w:val="IndexLink"/>
                <w:rtl w:val="true"/>
              </w:rPr>
              <w:tab/>
            </w:r>
            <w:r>
              <w:rPr>
                <w:rStyle w:val="IndexLink"/>
              </w:rPr>
              <w:t>298</w:t>
            </w:r>
          </w:hyperlink>
        </w:p>
        <w:p>
          <w:pPr>
            <w:pStyle w:val="Contents6"/>
            <w:tabs>
              <w:tab w:val="clear" w:pos="7609"/>
              <w:tab w:val="right" w:pos="9026" w:leader="dot"/>
            </w:tabs>
            <w:rPr/>
          </w:pPr>
          <w:hyperlink w:anchor="__RefHeading___Toc7507302_3381743652">
            <w:r>
              <w:rPr>
                <w:webHidden/>
                <w:rStyle w:val="IndexLink"/>
                <w:rtl w:val="true"/>
              </w:rPr>
              <w:t>الاستصحاب أمارة حيث لا أمارة</w:t>
            </w:r>
            <w:r>
              <w:rPr>
                <w:rStyle w:val="IndexLink"/>
                <w:rtl w:val="true"/>
              </w:rPr>
              <w:tab/>
            </w:r>
            <w:r>
              <w:rPr>
                <w:rStyle w:val="IndexLink"/>
              </w:rPr>
              <w:t>299</w:t>
            </w:r>
          </w:hyperlink>
        </w:p>
        <w:p>
          <w:pPr>
            <w:pStyle w:val="Contents6"/>
            <w:tabs>
              <w:tab w:val="clear" w:pos="7609"/>
              <w:tab w:val="right" w:pos="9026" w:leader="dot"/>
            </w:tabs>
            <w:rPr/>
          </w:pPr>
          <w:hyperlink w:anchor="__RefHeading___Toc7507304_3381743652">
            <w:r>
              <w:rPr>
                <w:webHidden/>
                <w:rStyle w:val="IndexLink"/>
                <w:rtl w:val="true"/>
              </w:rPr>
              <w:t>المقام الثالث</w:t>
            </w:r>
            <w:r>
              <w:rPr>
                <w:rStyle w:val="IndexLink"/>
                <w:rtl w:val="true"/>
              </w:rPr>
              <w:t xml:space="preserve">: </w:t>
            </w:r>
            <w:r>
              <w:rPr>
                <w:rStyle w:val="IndexLink"/>
                <w:rtl w:val="true"/>
              </w:rPr>
              <w:t>في تعارض الاستصحابين</w:t>
            </w:r>
            <w:r>
              <w:rPr>
                <w:rStyle w:val="IndexLink"/>
                <w:rtl w:val="true"/>
              </w:rPr>
              <w:tab/>
            </w:r>
            <w:r>
              <w:rPr>
                <w:rStyle w:val="IndexLink"/>
              </w:rPr>
              <w:t>300</w:t>
            </w:r>
          </w:hyperlink>
        </w:p>
        <w:p>
          <w:pPr>
            <w:pStyle w:val="Contents6"/>
            <w:tabs>
              <w:tab w:val="clear" w:pos="7609"/>
              <w:tab w:val="right" w:pos="9026" w:leader="dot"/>
            </w:tabs>
            <w:rPr/>
          </w:pPr>
          <w:hyperlink w:anchor="__RefHeading___Toc7507306_3381743652">
            <w:r>
              <w:rPr>
                <w:webHidden/>
                <w:rStyle w:val="IndexLink"/>
                <w:rtl w:val="true"/>
              </w:rPr>
              <w:t>تقدّم الأصل السببي على المسببي</w:t>
            </w:r>
            <w:r>
              <w:rPr>
                <w:rStyle w:val="IndexLink"/>
                <w:rtl w:val="true"/>
              </w:rPr>
              <w:tab/>
            </w:r>
            <w:r>
              <w:rPr>
                <w:rStyle w:val="IndexLink"/>
              </w:rPr>
              <w:t>302</w:t>
            </w:r>
          </w:hyperlink>
        </w:p>
        <w:p>
          <w:pPr>
            <w:pStyle w:val="Contents6"/>
            <w:tabs>
              <w:tab w:val="clear" w:pos="7609"/>
              <w:tab w:val="right" w:pos="9026" w:leader="dot"/>
            </w:tabs>
            <w:rPr/>
          </w:pPr>
          <w:hyperlink w:anchor="__RefHeading___Toc7507308_3381743652">
            <w:r>
              <w:rPr>
                <w:webHidden/>
                <w:rStyle w:val="IndexLink"/>
                <w:rtl w:val="true"/>
              </w:rPr>
              <w:t>ما هو وجه تقديم السببي على المسببي؟</w:t>
            </w:r>
            <w:r>
              <w:rPr>
                <w:rStyle w:val="IndexLink"/>
                <w:rtl w:val="true"/>
              </w:rPr>
              <w:tab/>
            </w:r>
            <w:r>
              <w:rPr>
                <w:rStyle w:val="IndexLink"/>
              </w:rPr>
              <w:t>305</w:t>
            </w:r>
          </w:hyperlink>
        </w:p>
        <w:p>
          <w:pPr>
            <w:pStyle w:val="Contents6"/>
            <w:tabs>
              <w:tab w:val="clear" w:pos="7609"/>
              <w:tab w:val="right" w:pos="9026" w:leader="dot"/>
            </w:tabs>
            <w:rPr/>
          </w:pPr>
          <w:hyperlink w:anchor="__RefHeading___Toc7507310_3381743652">
            <w:r>
              <w:rPr>
                <w:webHidden/>
                <w:rStyle w:val="IndexLink"/>
                <w:rtl w:val="true"/>
              </w:rPr>
              <w:t>المقام الثاني</w:t>
            </w:r>
            <w:r>
              <w:rPr>
                <w:rStyle w:val="IndexLink"/>
                <w:rtl w:val="true"/>
              </w:rPr>
              <w:t xml:space="preserve">: </w:t>
            </w:r>
            <w:r>
              <w:rPr>
                <w:rStyle w:val="IndexLink"/>
                <w:rtl w:val="true"/>
              </w:rPr>
              <w:t>إذا كان الشكّ مسبباً من أمر ثالث</w:t>
            </w:r>
            <w:r>
              <w:rPr>
                <w:rStyle w:val="IndexLink"/>
                <w:rtl w:val="true"/>
              </w:rPr>
              <w:tab/>
            </w:r>
            <w:r>
              <w:rPr>
                <w:rStyle w:val="IndexLink"/>
              </w:rPr>
              <w:t>306</w:t>
            </w:r>
          </w:hyperlink>
        </w:p>
        <w:p>
          <w:pPr>
            <w:pStyle w:val="Contents4"/>
            <w:tabs>
              <w:tab w:val="clear" w:pos="8176"/>
              <w:tab w:val="right" w:pos="9026" w:leader="dot"/>
            </w:tabs>
            <w:rPr/>
          </w:pPr>
          <w:hyperlink w:anchor="__RefHeading___Toc7507312_3381743652">
            <w:r>
              <w:rPr>
                <w:webHidden/>
                <w:rStyle w:val="IndexLink"/>
                <w:rtl w:val="true"/>
              </w:rPr>
              <w:t>القواعد الأربع</w:t>
            </w:r>
            <w:r>
              <w:rPr>
                <w:rStyle w:val="IndexLink"/>
                <w:rtl w:val="true"/>
              </w:rPr>
              <w:tab/>
            </w:r>
            <w:r>
              <w:rPr>
                <w:rStyle w:val="IndexLink"/>
              </w:rPr>
              <w:t>316</w:t>
            </w:r>
          </w:hyperlink>
        </w:p>
        <w:p>
          <w:pPr>
            <w:pStyle w:val="Contents5"/>
            <w:tabs>
              <w:tab w:val="clear" w:pos="7892"/>
              <w:tab w:val="right" w:pos="9026" w:leader="dot"/>
            </w:tabs>
            <w:rPr/>
          </w:pPr>
          <w:hyperlink w:anchor="__RefHeading___Toc7507314_3381743652">
            <w:r>
              <w:rPr>
                <w:webHidden/>
                <w:rStyle w:val="IndexLink"/>
              </w:rPr>
              <w:t>1</w:t>
            </w:r>
            <w:r>
              <w:rPr>
                <w:rStyle w:val="IndexLink"/>
                <w:rtl w:val="true"/>
              </w:rPr>
              <w:t xml:space="preserve"> </w:t>
            </w:r>
            <w:r>
              <w:rPr>
                <w:rStyle w:val="IndexLink"/>
                <w:rtl w:val="true"/>
              </w:rPr>
              <w:t>قاعدة اليد</w:t>
            </w:r>
            <w:r>
              <w:rPr>
                <w:rStyle w:val="IndexLink"/>
                <w:rtl w:val="true"/>
              </w:rPr>
              <w:tab/>
            </w:r>
            <w:r>
              <w:rPr>
                <w:rStyle w:val="IndexLink"/>
              </w:rPr>
              <w:t>316</w:t>
            </w:r>
          </w:hyperlink>
        </w:p>
        <w:p>
          <w:pPr>
            <w:pStyle w:val="Contents6"/>
            <w:tabs>
              <w:tab w:val="clear" w:pos="7609"/>
              <w:tab w:val="right" w:pos="9026" w:leader="dot"/>
            </w:tabs>
            <w:rPr/>
          </w:pPr>
          <w:hyperlink w:anchor="__RefHeading___Toc7507316_3381743652">
            <w:r>
              <w:rPr>
                <w:webHidden/>
                <w:rStyle w:val="IndexLink"/>
                <w:rtl w:val="true"/>
              </w:rPr>
              <w:t>اشارة</w:t>
            </w:r>
            <w:r>
              <w:rPr>
                <w:rStyle w:val="IndexLink"/>
                <w:rtl w:val="true"/>
              </w:rPr>
              <w:tab/>
            </w:r>
            <w:r>
              <w:rPr>
                <w:rStyle w:val="IndexLink"/>
              </w:rPr>
              <w:t>316</w:t>
            </w:r>
          </w:hyperlink>
        </w:p>
        <w:p>
          <w:pPr>
            <w:pStyle w:val="Contents6"/>
            <w:tabs>
              <w:tab w:val="clear" w:pos="7609"/>
              <w:tab w:val="right" w:pos="9026" w:leader="dot"/>
            </w:tabs>
            <w:rPr/>
          </w:pPr>
          <w:hyperlink w:anchor="__RefHeading___Toc7507318_3381743652">
            <w:r>
              <w:rPr>
                <w:webHidden/>
                <w:rStyle w:val="IndexLink"/>
                <w:rtl w:val="true"/>
              </w:rPr>
              <w:t>المقام الأوّل ما هو المقصود من اليد في القاعدة؟</w:t>
            </w:r>
            <w:r>
              <w:rPr>
                <w:rStyle w:val="IndexLink"/>
                <w:rtl w:val="true"/>
              </w:rPr>
              <w:tab/>
            </w:r>
            <w:r>
              <w:rPr>
                <w:rStyle w:val="IndexLink"/>
              </w:rPr>
              <w:t>318</w:t>
            </w:r>
          </w:hyperlink>
        </w:p>
        <w:p>
          <w:pPr>
            <w:pStyle w:val="Contents6"/>
            <w:tabs>
              <w:tab w:val="clear" w:pos="7609"/>
              <w:tab w:val="right" w:pos="9026" w:leader="dot"/>
            </w:tabs>
            <w:rPr/>
          </w:pPr>
          <w:hyperlink w:anchor="__RefHeading___Toc7507320_3381743652">
            <w:r>
              <w:rPr>
                <w:webHidden/>
                <w:rStyle w:val="IndexLink"/>
                <w:rtl w:val="true"/>
              </w:rPr>
              <w:t>المقام الثاني في اعتبار اليد</w:t>
            </w:r>
            <w:r>
              <w:rPr>
                <w:rStyle w:val="IndexLink"/>
                <w:rtl w:val="true"/>
              </w:rPr>
              <w:tab/>
            </w:r>
            <w:r>
              <w:rPr>
                <w:rStyle w:val="IndexLink"/>
              </w:rPr>
              <w:t>319</w:t>
            </w:r>
          </w:hyperlink>
        </w:p>
        <w:p>
          <w:pPr>
            <w:pStyle w:val="Contents6"/>
            <w:tabs>
              <w:tab w:val="clear" w:pos="7609"/>
              <w:tab w:val="right" w:pos="9026" w:leader="dot"/>
            </w:tabs>
            <w:rPr/>
          </w:pPr>
          <w:hyperlink w:anchor="__RefHeading___Toc7507322_3381743652">
            <w:r>
              <w:rPr>
                <w:webHidden/>
                <w:rStyle w:val="IndexLink"/>
                <w:rtl w:val="true"/>
              </w:rPr>
              <w:t>المقام الثالث في أنّ اليد أمارة</w:t>
            </w:r>
            <w:r>
              <w:rPr>
                <w:rStyle w:val="IndexLink"/>
                <w:rtl w:val="true"/>
              </w:rPr>
              <w:tab/>
            </w:r>
            <w:r>
              <w:rPr>
                <w:rStyle w:val="IndexLink"/>
              </w:rPr>
              <w:t>320</w:t>
            </w:r>
          </w:hyperlink>
        </w:p>
        <w:p>
          <w:pPr>
            <w:pStyle w:val="Contents6"/>
            <w:tabs>
              <w:tab w:val="clear" w:pos="7609"/>
              <w:tab w:val="right" w:pos="9026" w:leader="dot"/>
            </w:tabs>
            <w:rPr/>
          </w:pPr>
          <w:hyperlink w:anchor="__RefHeading___Toc7507324_3381743652">
            <w:r>
              <w:rPr>
                <w:webHidden/>
                <w:rStyle w:val="IndexLink"/>
                <w:rtl w:val="true"/>
              </w:rPr>
              <w:t>الطائفة الأُولى</w:t>
            </w:r>
            <w:r>
              <w:rPr>
                <w:rStyle w:val="IndexLink"/>
                <w:rtl w:val="true"/>
              </w:rPr>
              <w:t xml:space="preserve">: </w:t>
            </w:r>
            <w:r>
              <w:rPr>
                <w:rStyle w:val="IndexLink"/>
                <w:rtl w:val="true"/>
              </w:rPr>
              <w:t>ما هي ظاهرة في اعتبارها فقط</w:t>
            </w:r>
            <w:r>
              <w:rPr>
                <w:rStyle w:val="IndexLink"/>
                <w:rtl w:val="true"/>
              </w:rPr>
              <w:tab/>
            </w:r>
            <w:r>
              <w:rPr>
                <w:rStyle w:val="IndexLink"/>
              </w:rPr>
              <w:t>320</w:t>
            </w:r>
          </w:hyperlink>
        </w:p>
        <w:p>
          <w:pPr>
            <w:pStyle w:val="Contents6"/>
            <w:tabs>
              <w:tab w:val="clear" w:pos="7609"/>
              <w:tab w:val="right" w:pos="9026" w:leader="dot"/>
            </w:tabs>
            <w:rPr/>
          </w:pPr>
          <w:hyperlink w:anchor="__RefHeading___Toc7507326_3381743652">
            <w:r>
              <w:rPr>
                <w:webHidden/>
                <w:rStyle w:val="IndexLink"/>
                <w:rtl w:val="true"/>
              </w:rPr>
              <w:t>الطائفة الثانية</w:t>
            </w:r>
            <w:r>
              <w:rPr>
                <w:rStyle w:val="IndexLink"/>
                <w:rtl w:val="true"/>
              </w:rPr>
              <w:t xml:space="preserve">: </w:t>
            </w:r>
            <w:r>
              <w:rPr>
                <w:rStyle w:val="IndexLink"/>
                <w:rtl w:val="true"/>
              </w:rPr>
              <w:t>ما يدلّ على كونها أمارة للملكية</w:t>
            </w:r>
            <w:r>
              <w:rPr>
                <w:rStyle w:val="IndexLink"/>
                <w:rtl w:val="true"/>
              </w:rPr>
              <w:tab/>
            </w:r>
            <w:r>
              <w:rPr>
                <w:rStyle w:val="IndexLink"/>
              </w:rPr>
              <w:t>321</w:t>
            </w:r>
          </w:hyperlink>
        </w:p>
        <w:p>
          <w:pPr>
            <w:pStyle w:val="Contents6"/>
            <w:tabs>
              <w:tab w:val="clear" w:pos="7609"/>
              <w:tab w:val="right" w:pos="9026" w:leader="dot"/>
            </w:tabs>
            <w:rPr/>
          </w:pPr>
          <w:hyperlink w:anchor="__RefHeading___Toc7507328_3381743652">
            <w:r>
              <w:rPr>
                <w:webHidden/>
                <w:rStyle w:val="IndexLink"/>
                <w:rtl w:val="true"/>
              </w:rPr>
              <w:t>الطائفة الثالثة</w:t>
            </w:r>
            <w:r>
              <w:rPr>
                <w:rStyle w:val="IndexLink"/>
                <w:rtl w:val="true"/>
              </w:rPr>
              <w:t xml:space="preserve">: </w:t>
            </w:r>
            <w:r>
              <w:rPr>
                <w:rStyle w:val="IndexLink"/>
                <w:rtl w:val="true"/>
              </w:rPr>
              <w:t>ما يستشم منه كونها أصلاً</w:t>
            </w:r>
            <w:r>
              <w:rPr>
                <w:rStyle w:val="IndexLink"/>
                <w:rtl w:val="true"/>
              </w:rPr>
              <w:tab/>
            </w:r>
            <w:r>
              <w:rPr>
                <w:rStyle w:val="IndexLink"/>
              </w:rPr>
              <w:t>323</w:t>
            </w:r>
          </w:hyperlink>
        </w:p>
        <w:p>
          <w:pPr>
            <w:pStyle w:val="Contents6"/>
            <w:tabs>
              <w:tab w:val="clear" w:pos="7609"/>
              <w:tab w:val="right" w:pos="9026" w:leader="dot"/>
            </w:tabs>
            <w:rPr/>
          </w:pPr>
          <w:hyperlink w:anchor="__RefHeading___Toc7507330_3381743652">
            <w:r>
              <w:rPr>
                <w:webHidden/>
                <w:rStyle w:val="IndexLink"/>
                <w:rtl w:val="true"/>
              </w:rPr>
              <w:t>المقام الرابع في الاستيلاء على الحقوق</w:t>
            </w:r>
            <w:r>
              <w:rPr>
                <w:rStyle w:val="IndexLink"/>
                <w:rtl w:val="true"/>
              </w:rPr>
              <w:tab/>
            </w:r>
            <w:r>
              <w:rPr>
                <w:rStyle w:val="IndexLink"/>
              </w:rPr>
              <w:t>326</w:t>
            </w:r>
          </w:hyperlink>
        </w:p>
        <w:p>
          <w:pPr>
            <w:pStyle w:val="Contents6"/>
            <w:tabs>
              <w:tab w:val="clear" w:pos="7609"/>
              <w:tab w:val="right" w:pos="9026" w:leader="dot"/>
            </w:tabs>
            <w:rPr/>
          </w:pPr>
          <w:hyperlink w:anchor="__RefHeading___Toc7507332_3381743652">
            <w:r>
              <w:rPr>
                <w:webHidden/>
                <w:rStyle w:val="IndexLink"/>
                <w:rtl w:val="true"/>
              </w:rPr>
              <w:t>المقام الخامس الاستيلاء على المنافع</w:t>
            </w:r>
            <w:r>
              <w:rPr>
                <w:rStyle w:val="IndexLink"/>
                <w:rtl w:val="true"/>
              </w:rPr>
              <w:tab/>
            </w:r>
            <w:r>
              <w:rPr>
                <w:rStyle w:val="IndexLink"/>
              </w:rPr>
              <w:t>327</w:t>
            </w:r>
          </w:hyperlink>
        </w:p>
        <w:p>
          <w:pPr>
            <w:pStyle w:val="Contents6"/>
            <w:tabs>
              <w:tab w:val="clear" w:pos="7609"/>
              <w:tab w:val="right" w:pos="9026" w:leader="dot"/>
            </w:tabs>
            <w:rPr/>
          </w:pPr>
          <w:hyperlink w:anchor="__RefHeading___Toc7507334_3381743652">
            <w:r>
              <w:rPr>
                <w:webHidden/>
                <w:rStyle w:val="IndexLink"/>
                <w:rtl w:val="true"/>
              </w:rPr>
              <w:t>المقام السادس إذا شكّ ذو اليد في مالكيته</w:t>
            </w:r>
            <w:r>
              <w:rPr>
                <w:rStyle w:val="IndexLink"/>
                <w:rtl w:val="true"/>
              </w:rPr>
              <w:tab/>
            </w:r>
            <w:r>
              <w:rPr>
                <w:rStyle w:val="IndexLink"/>
              </w:rPr>
              <w:t>329</w:t>
            </w:r>
          </w:hyperlink>
        </w:p>
        <w:p>
          <w:pPr>
            <w:pStyle w:val="Contents6"/>
            <w:tabs>
              <w:tab w:val="clear" w:pos="7609"/>
              <w:tab w:val="right" w:pos="9026" w:leader="dot"/>
            </w:tabs>
            <w:rPr/>
          </w:pPr>
          <w:hyperlink w:anchor="__RefHeading___Toc7507336_3381743652">
            <w:r>
              <w:rPr>
                <w:webHidden/>
                <w:rStyle w:val="IndexLink"/>
                <w:rtl w:val="true"/>
              </w:rPr>
              <w:t>المقام السابع في حجّية اليد فيما إذا علم عنوانها حدوثاً</w:t>
            </w:r>
            <w:r>
              <w:rPr>
                <w:rStyle w:val="IndexLink"/>
                <w:rtl w:val="true"/>
              </w:rPr>
              <w:tab/>
            </w:r>
            <w:r>
              <w:rPr>
                <w:rStyle w:val="IndexLink"/>
              </w:rPr>
              <w:t>332</w:t>
            </w:r>
          </w:hyperlink>
        </w:p>
        <w:p>
          <w:pPr>
            <w:pStyle w:val="Contents6"/>
            <w:tabs>
              <w:tab w:val="clear" w:pos="7609"/>
              <w:tab w:val="right" w:pos="9026" w:leader="dot"/>
            </w:tabs>
            <w:rPr/>
          </w:pPr>
          <w:hyperlink w:anchor="__RefHeading___Toc7507338_3381743652">
            <w:r>
              <w:rPr>
                <w:webHidden/>
                <w:rStyle w:val="IndexLink"/>
                <w:rtl w:val="true"/>
              </w:rPr>
              <w:t>المقام الثامن مدّعي الملكية في مقابل ذي اليد</w:t>
            </w:r>
            <w:r>
              <w:rPr>
                <w:rStyle w:val="IndexLink"/>
                <w:rtl w:val="true"/>
              </w:rPr>
              <w:tab/>
            </w:r>
            <w:r>
              <w:rPr>
                <w:rStyle w:val="IndexLink"/>
              </w:rPr>
              <w:t>335</w:t>
            </w:r>
          </w:hyperlink>
        </w:p>
        <w:p>
          <w:pPr>
            <w:pStyle w:val="Contents6"/>
            <w:tabs>
              <w:tab w:val="clear" w:pos="7609"/>
              <w:tab w:val="right" w:pos="9026" w:leader="dot"/>
            </w:tabs>
            <w:rPr/>
          </w:pPr>
          <w:hyperlink w:anchor="__RefHeading___Toc7507340_3381743652">
            <w:r>
              <w:rPr>
                <w:webHidden/>
                <w:rStyle w:val="IndexLink"/>
                <w:rtl w:val="true"/>
              </w:rPr>
              <w:t>المقام التاسع في تحليل الحوار الدائر بين الإمام والخليفة</w:t>
            </w:r>
            <w:r>
              <w:rPr>
                <w:rStyle w:val="IndexLink"/>
                <w:rtl w:val="true"/>
              </w:rPr>
              <w:tab/>
            </w:r>
            <w:r>
              <w:rPr>
                <w:rStyle w:val="IndexLink"/>
              </w:rPr>
              <w:t>339</w:t>
            </w:r>
          </w:hyperlink>
        </w:p>
        <w:p>
          <w:pPr>
            <w:pStyle w:val="Contents6"/>
            <w:tabs>
              <w:tab w:val="clear" w:pos="7609"/>
              <w:tab w:val="right" w:pos="9026" w:leader="dot"/>
            </w:tabs>
            <w:rPr/>
          </w:pPr>
          <w:hyperlink w:anchor="__RefHeading___Toc7507342_3381743652">
            <w:r>
              <w:rPr>
                <w:webHidden/>
                <w:rStyle w:val="IndexLink"/>
                <w:rtl w:val="true"/>
              </w:rPr>
              <w:t>المقام العاشر مستثنيات قاعدة اليد</w:t>
            </w:r>
            <w:r>
              <w:rPr>
                <w:rStyle w:val="IndexLink"/>
                <w:rtl w:val="true"/>
              </w:rPr>
              <w:tab/>
            </w:r>
            <w:r>
              <w:rPr>
                <w:rStyle w:val="IndexLink"/>
              </w:rPr>
              <w:t>340</w:t>
            </w:r>
          </w:hyperlink>
        </w:p>
        <w:p>
          <w:pPr>
            <w:pStyle w:val="Contents6"/>
            <w:tabs>
              <w:tab w:val="clear" w:pos="7609"/>
              <w:tab w:val="right" w:pos="9026" w:leader="dot"/>
            </w:tabs>
            <w:rPr/>
          </w:pPr>
          <w:hyperlink w:anchor="__RefHeading___Toc7507344_3381743652">
            <w:r>
              <w:rPr>
                <w:webHidden/>
                <w:rStyle w:val="IndexLink"/>
                <w:rtl w:val="true"/>
              </w:rPr>
              <w:t>خاتمة</w:t>
            </w:r>
            <w:r>
              <w:rPr>
                <w:rStyle w:val="IndexLink"/>
                <w:rtl w:val="true"/>
              </w:rPr>
              <w:tab/>
            </w:r>
            <w:r>
              <w:rPr>
                <w:rStyle w:val="IndexLink"/>
              </w:rPr>
              <w:t>341</w:t>
            </w:r>
          </w:hyperlink>
        </w:p>
        <w:p>
          <w:pPr>
            <w:pStyle w:val="Contents5"/>
            <w:tabs>
              <w:tab w:val="clear" w:pos="7892"/>
              <w:tab w:val="right" w:pos="9026" w:leader="dot"/>
            </w:tabs>
            <w:rPr/>
          </w:pPr>
          <w:hyperlink w:anchor="__RefHeading___Toc7507346_3381743652">
            <w:r>
              <w:rPr>
                <w:webHidden/>
                <w:rStyle w:val="IndexLink"/>
              </w:rPr>
              <w:t>2</w:t>
            </w:r>
            <w:r>
              <w:rPr>
                <w:rStyle w:val="IndexLink"/>
                <w:rtl w:val="true"/>
              </w:rPr>
              <w:t xml:space="preserve"> </w:t>
            </w:r>
            <w:r>
              <w:rPr>
                <w:rStyle w:val="IndexLink"/>
                <w:rtl w:val="true"/>
              </w:rPr>
              <w:t>قاعدة التجاوز والفراغ</w:t>
            </w:r>
            <w:r>
              <w:rPr>
                <w:rStyle w:val="IndexLink"/>
                <w:rtl w:val="true"/>
              </w:rPr>
              <w:tab/>
            </w:r>
            <w:r>
              <w:rPr>
                <w:rStyle w:val="IndexLink"/>
              </w:rPr>
              <w:t>342</w:t>
            </w:r>
          </w:hyperlink>
        </w:p>
        <w:p>
          <w:pPr>
            <w:pStyle w:val="Contents6"/>
            <w:tabs>
              <w:tab w:val="clear" w:pos="7609"/>
              <w:tab w:val="right" w:pos="9026" w:leader="dot"/>
            </w:tabs>
            <w:rPr/>
          </w:pPr>
          <w:hyperlink w:anchor="__RefHeading___Toc7507348_3381743652">
            <w:r>
              <w:rPr>
                <w:webHidden/>
                <w:rStyle w:val="IndexLink"/>
                <w:rtl w:val="true"/>
              </w:rPr>
              <w:t>اشارة</w:t>
            </w:r>
            <w:r>
              <w:rPr>
                <w:rStyle w:val="IndexLink"/>
                <w:rtl w:val="true"/>
              </w:rPr>
              <w:tab/>
            </w:r>
            <w:r>
              <w:rPr>
                <w:rStyle w:val="IndexLink"/>
              </w:rPr>
              <w:t>342</w:t>
            </w:r>
          </w:hyperlink>
        </w:p>
        <w:p>
          <w:pPr>
            <w:pStyle w:val="Contents6"/>
            <w:tabs>
              <w:tab w:val="clear" w:pos="7609"/>
              <w:tab w:val="right" w:pos="9026" w:leader="dot"/>
            </w:tabs>
            <w:rPr/>
          </w:pPr>
          <w:hyperlink w:anchor="__RefHeading___Toc7507350_3381743652">
            <w:r>
              <w:rPr>
                <w:webHidden/>
                <w:rStyle w:val="IndexLink"/>
                <w:rtl w:val="true"/>
              </w:rPr>
              <w:t>الأمر الأوّل الفرق بين قاعدتي التجاوز وأصالة الصحّة</w:t>
            </w:r>
            <w:r>
              <w:rPr>
                <w:rStyle w:val="IndexLink"/>
                <w:rtl w:val="true"/>
              </w:rPr>
              <w:tab/>
            </w:r>
            <w:r>
              <w:rPr>
                <w:rStyle w:val="IndexLink"/>
              </w:rPr>
              <w:t>342</w:t>
            </w:r>
          </w:hyperlink>
        </w:p>
        <w:p>
          <w:pPr>
            <w:pStyle w:val="Contents6"/>
            <w:tabs>
              <w:tab w:val="clear" w:pos="7609"/>
              <w:tab w:val="right" w:pos="9026" w:leader="dot"/>
            </w:tabs>
            <w:rPr/>
          </w:pPr>
          <w:hyperlink w:anchor="__RefHeading___Toc7507352_3381743652">
            <w:r>
              <w:rPr>
                <w:webHidden/>
                <w:rStyle w:val="IndexLink"/>
                <w:rtl w:val="true"/>
              </w:rPr>
              <w:t>الأمر الثاني قاعدة التجاوز قاعدة فقهية</w:t>
            </w:r>
            <w:r>
              <w:rPr>
                <w:rStyle w:val="IndexLink"/>
                <w:rtl w:val="true"/>
              </w:rPr>
              <w:tab/>
            </w:r>
            <w:r>
              <w:rPr>
                <w:rStyle w:val="IndexLink"/>
              </w:rPr>
              <w:t>343</w:t>
            </w:r>
          </w:hyperlink>
        </w:p>
        <w:p>
          <w:pPr>
            <w:pStyle w:val="Contents6"/>
            <w:tabs>
              <w:tab w:val="clear" w:pos="7609"/>
              <w:tab w:val="right" w:pos="9026" w:leader="dot"/>
            </w:tabs>
            <w:rPr/>
          </w:pPr>
          <w:hyperlink w:anchor="__RefHeading___Toc7507354_3381743652">
            <w:r>
              <w:rPr>
                <w:webHidden/>
                <w:rStyle w:val="IndexLink"/>
                <w:rtl w:val="true"/>
              </w:rPr>
              <w:t>الأمر الثالث مدرك القاعدة ومصدرها</w:t>
            </w:r>
            <w:r>
              <w:rPr>
                <w:rStyle w:val="IndexLink"/>
                <w:rtl w:val="true"/>
              </w:rPr>
              <w:tab/>
            </w:r>
            <w:r>
              <w:rPr>
                <w:rStyle w:val="IndexLink"/>
              </w:rPr>
              <w:t>344</w:t>
            </w:r>
          </w:hyperlink>
        </w:p>
        <w:p>
          <w:pPr>
            <w:pStyle w:val="Contents6"/>
            <w:tabs>
              <w:tab w:val="clear" w:pos="7609"/>
              <w:tab w:val="right" w:pos="9026" w:leader="dot"/>
            </w:tabs>
            <w:rPr/>
          </w:pPr>
          <w:hyperlink w:anchor="__RefHeading___Toc7507356_3381743652">
            <w:r>
              <w:rPr>
                <w:webHidden/>
                <w:rStyle w:val="IndexLink"/>
                <w:rtl w:val="true"/>
              </w:rPr>
              <w:t>أ</w:t>
            </w:r>
            <w:r>
              <w:rPr>
                <w:rStyle w:val="IndexLink"/>
                <w:rtl w:val="true"/>
              </w:rPr>
              <w:t xml:space="preserve">: </w:t>
            </w:r>
            <w:r>
              <w:rPr>
                <w:rStyle w:val="IndexLink"/>
                <w:rtl w:val="true"/>
              </w:rPr>
              <w:t>ما ورد في باب الوضوء والغسل</w:t>
            </w:r>
            <w:r>
              <w:rPr>
                <w:rStyle w:val="IndexLink"/>
                <w:rtl w:val="true"/>
              </w:rPr>
              <w:tab/>
            </w:r>
            <w:r>
              <w:rPr>
                <w:rStyle w:val="IndexLink"/>
              </w:rPr>
              <w:t>345</w:t>
            </w:r>
          </w:hyperlink>
        </w:p>
        <w:p>
          <w:pPr>
            <w:pStyle w:val="Contents6"/>
            <w:tabs>
              <w:tab w:val="clear" w:pos="7609"/>
              <w:tab w:val="right" w:pos="9026" w:leader="dot"/>
            </w:tabs>
            <w:rPr/>
          </w:pPr>
          <w:hyperlink w:anchor="__RefHeading___Toc7507358_3381743652">
            <w:r>
              <w:rPr>
                <w:webHidden/>
                <w:rStyle w:val="IndexLink"/>
                <w:rtl w:val="true"/>
              </w:rPr>
              <w:t>ب</w:t>
            </w:r>
            <w:r>
              <w:rPr>
                <w:rStyle w:val="IndexLink"/>
                <w:rtl w:val="true"/>
              </w:rPr>
              <w:t xml:space="preserve">: </w:t>
            </w:r>
            <w:r>
              <w:rPr>
                <w:rStyle w:val="IndexLink"/>
                <w:rtl w:val="true"/>
              </w:rPr>
              <w:t>ما ورد في باب الصلاة</w:t>
            </w:r>
            <w:r>
              <w:rPr>
                <w:rStyle w:val="IndexLink"/>
                <w:rtl w:val="true"/>
              </w:rPr>
              <w:tab/>
            </w:r>
            <w:r>
              <w:rPr>
                <w:rStyle w:val="IndexLink"/>
              </w:rPr>
              <w:t>346</w:t>
            </w:r>
          </w:hyperlink>
        </w:p>
        <w:p>
          <w:pPr>
            <w:pStyle w:val="Contents6"/>
            <w:tabs>
              <w:tab w:val="clear" w:pos="7609"/>
              <w:tab w:val="right" w:pos="9026" w:leader="dot"/>
            </w:tabs>
            <w:rPr/>
          </w:pPr>
          <w:hyperlink w:anchor="__RefHeading___Toc7507360_3381743652">
            <w:r>
              <w:rPr>
                <w:webHidden/>
                <w:rStyle w:val="IndexLink"/>
                <w:rtl w:val="true"/>
              </w:rPr>
              <w:t>الطائفة الأُولى</w:t>
            </w:r>
            <w:r>
              <w:rPr>
                <w:rStyle w:val="IndexLink"/>
                <w:rtl w:val="true"/>
              </w:rPr>
              <w:t xml:space="preserve">: </w:t>
            </w:r>
            <w:r>
              <w:rPr>
                <w:rStyle w:val="IndexLink"/>
                <w:rtl w:val="true"/>
              </w:rPr>
              <w:t>ما ورد في المضي بعد خروج الوقت أو دخول الحائل</w:t>
            </w:r>
            <w:r>
              <w:rPr>
                <w:rStyle w:val="IndexLink"/>
                <w:rtl w:val="true"/>
              </w:rPr>
              <w:tab/>
            </w:r>
            <w:r>
              <w:rPr>
                <w:rStyle w:val="IndexLink"/>
              </w:rPr>
              <w:t>346</w:t>
            </w:r>
          </w:hyperlink>
        </w:p>
        <w:p>
          <w:pPr>
            <w:pStyle w:val="Contents6"/>
            <w:tabs>
              <w:tab w:val="clear" w:pos="7609"/>
              <w:tab w:val="right" w:pos="9026" w:leader="dot"/>
            </w:tabs>
            <w:rPr/>
          </w:pPr>
          <w:hyperlink w:anchor="__RefHeading___Toc7507362_3381743652">
            <w:r>
              <w:rPr>
                <w:webHidden/>
                <w:rStyle w:val="IndexLink"/>
                <w:rtl w:val="true"/>
              </w:rPr>
              <w:t>الطائفة الثانية</w:t>
            </w:r>
            <w:r>
              <w:rPr>
                <w:rStyle w:val="IndexLink"/>
                <w:rtl w:val="true"/>
              </w:rPr>
              <w:t xml:space="preserve">: </w:t>
            </w:r>
            <w:r>
              <w:rPr>
                <w:rStyle w:val="IndexLink"/>
                <w:rtl w:val="true"/>
              </w:rPr>
              <w:t>ما ورد في المضي بعد الفراغ من العمل</w:t>
            </w:r>
            <w:r>
              <w:rPr>
                <w:rStyle w:val="IndexLink"/>
                <w:rtl w:val="true"/>
              </w:rPr>
              <w:tab/>
            </w:r>
            <w:r>
              <w:rPr>
                <w:rStyle w:val="IndexLink"/>
              </w:rPr>
              <w:t>347</w:t>
            </w:r>
          </w:hyperlink>
        </w:p>
        <w:p>
          <w:pPr>
            <w:pStyle w:val="Contents6"/>
            <w:tabs>
              <w:tab w:val="clear" w:pos="7609"/>
              <w:tab w:val="right" w:pos="9026" w:leader="dot"/>
            </w:tabs>
            <w:rPr/>
          </w:pPr>
          <w:hyperlink w:anchor="__RefHeading___Toc7507364_3381743652">
            <w:r>
              <w:rPr>
                <w:webHidden/>
                <w:rStyle w:val="IndexLink"/>
                <w:rtl w:val="true"/>
              </w:rPr>
              <w:t>الطائفة الثالثة</w:t>
            </w:r>
            <w:r>
              <w:rPr>
                <w:rStyle w:val="IndexLink"/>
                <w:rtl w:val="true"/>
              </w:rPr>
              <w:t xml:space="preserve">: </w:t>
            </w:r>
            <w:r>
              <w:rPr>
                <w:rStyle w:val="IndexLink"/>
                <w:rtl w:val="true"/>
              </w:rPr>
              <w:t>ما ورد في المضي في أثناء العمل</w:t>
            </w:r>
            <w:r>
              <w:rPr>
                <w:rStyle w:val="IndexLink"/>
                <w:rtl w:val="true"/>
              </w:rPr>
              <w:tab/>
            </w:r>
            <w:r>
              <w:rPr>
                <w:rStyle w:val="IndexLink"/>
              </w:rPr>
              <w:t>348</w:t>
            </w:r>
          </w:hyperlink>
        </w:p>
        <w:p>
          <w:pPr>
            <w:pStyle w:val="Contents6"/>
            <w:tabs>
              <w:tab w:val="clear" w:pos="7609"/>
              <w:tab w:val="right" w:pos="9026" w:leader="dot"/>
            </w:tabs>
            <w:rPr/>
          </w:pPr>
          <w:hyperlink w:anchor="__RefHeading___Toc7507366_3381743652">
            <w:r>
              <w:rPr>
                <w:webHidden/>
                <w:rStyle w:val="IndexLink"/>
                <w:rtl w:val="true"/>
              </w:rPr>
              <w:t>ج</w:t>
            </w:r>
            <w:r>
              <w:rPr>
                <w:rStyle w:val="IndexLink"/>
                <w:rtl w:val="true"/>
              </w:rPr>
              <w:t xml:space="preserve">: </w:t>
            </w:r>
            <w:r>
              <w:rPr>
                <w:rStyle w:val="IndexLink"/>
                <w:rtl w:val="true"/>
              </w:rPr>
              <w:t>ما ورد في باب الطواف</w:t>
            </w:r>
            <w:r>
              <w:rPr>
                <w:rStyle w:val="IndexLink"/>
                <w:rtl w:val="true"/>
              </w:rPr>
              <w:tab/>
            </w:r>
            <w:r>
              <w:rPr>
                <w:rStyle w:val="IndexLink"/>
              </w:rPr>
              <w:t>350</w:t>
            </w:r>
          </w:hyperlink>
        </w:p>
        <w:p>
          <w:pPr>
            <w:pStyle w:val="Contents6"/>
            <w:tabs>
              <w:tab w:val="clear" w:pos="7609"/>
              <w:tab w:val="right" w:pos="9026" w:leader="dot"/>
            </w:tabs>
            <w:rPr/>
          </w:pPr>
          <w:hyperlink w:anchor="__RefHeading___Toc7507368_3381743652">
            <w:r>
              <w:rPr>
                <w:webHidden/>
                <w:rStyle w:val="IndexLink"/>
                <w:rtl w:val="true"/>
              </w:rPr>
              <w:t>الأمر الرابع في وحدة القاعدتين أو تعدّدهما</w:t>
            </w:r>
            <w:r>
              <w:rPr>
                <w:rStyle w:val="IndexLink"/>
                <w:rtl w:val="true"/>
              </w:rPr>
              <w:tab/>
            </w:r>
            <w:r>
              <w:rPr>
                <w:rStyle w:val="IndexLink"/>
              </w:rPr>
              <w:t>351</w:t>
            </w:r>
          </w:hyperlink>
        </w:p>
        <w:p>
          <w:pPr>
            <w:pStyle w:val="Contents6"/>
            <w:tabs>
              <w:tab w:val="clear" w:pos="7609"/>
              <w:tab w:val="right" w:pos="9026" w:leader="dot"/>
            </w:tabs>
            <w:rPr/>
          </w:pPr>
          <w:hyperlink w:anchor="__RefHeading___Toc7507370_3381743652">
            <w:r>
              <w:rPr>
                <w:webHidden/>
                <w:rStyle w:val="IndexLink"/>
                <w:rtl w:val="true"/>
              </w:rPr>
              <w:t>القول الأوّل</w:t>
            </w:r>
            <w:r>
              <w:rPr>
                <w:rStyle w:val="IndexLink"/>
                <w:rtl w:val="true"/>
              </w:rPr>
              <w:t xml:space="preserve">: </w:t>
            </w:r>
            <w:r>
              <w:rPr>
                <w:rStyle w:val="IndexLink"/>
                <w:rtl w:val="true"/>
              </w:rPr>
              <w:t>وحدة القاعدتين</w:t>
            </w:r>
            <w:r>
              <w:rPr>
                <w:rStyle w:val="IndexLink"/>
                <w:rtl w:val="true"/>
              </w:rPr>
              <w:tab/>
            </w:r>
            <w:r>
              <w:rPr>
                <w:rStyle w:val="IndexLink"/>
              </w:rPr>
              <w:t>352</w:t>
            </w:r>
          </w:hyperlink>
        </w:p>
        <w:p>
          <w:pPr>
            <w:pStyle w:val="Contents6"/>
            <w:tabs>
              <w:tab w:val="clear" w:pos="7609"/>
              <w:tab w:val="right" w:pos="9026" w:leader="dot"/>
            </w:tabs>
            <w:rPr/>
          </w:pPr>
          <w:hyperlink w:anchor="__RefHeading___Toc7507372_3381743652">
            <w:r>
              <w:rPr>
                <w:webHidden/>
                <w:rStyle w:val="IndexLink"/>
                <w:rtl w:val="true"/>
              </w:rPr>
              <w:t>القول الثاني</w:t>
            </w:r>
            <w:r>
              <w:rPr>
                <w:rStyle w:val="IndexLink"/>
                <w:rtl w:val="true"/>
              </w:rPr>
              <w:t xml:space="preserve">: </w:t>
            </w:r>
            <w:r>
              <w:rPr>
                <w:rStyle w:val="IndexLink"/>
                <w:rtl w:val="true"/>
              </w:rPr>
              <w:t>تعدّد القاعدتين</w:t>
            </w:r>
            <w:r>
              <w:rPr>
                <w:rStyle w:val="IndexLink"/>
                <w:rtl w:val="true"/>
              </w:rPr>
              <w:tab/>
            </w:r>
            <w:r>
              <w:rPr>
                <w:rStyle w:val="IndexLink"/>
              </w:rPr>
              <w:t>353</w:t>
            </w:r>
          </w:hyperlink>
        </w:p>
        <w:p>
          <w:pPr>
            <w:pStyle w:val="Contents6"/>
            <w:tabs>
              <w:tab w:val="clear" w:pos="7609"/>
              <w:tab w:val="right" w:pos="9026" w:leader="dot"/>
            </w:tabs>
            <w:rPr/>
          </w:pPr>
          <w:hyperlink w:anchor="__RefHeading___Toc7507374_3381743652">
            <w:r>
              <w:rPr>
                <w:webHidden/>
                <w:rStyle w:val="IndexLink"/>
                <w:rtl w:val="true"/>
              </w:rPr>
              <w:t>الملاك الأوّل للتعدّد</w:t>
            </w:r>
            <w:r>
              <w:rPr>
                <w:rStyle w:val="IndexLink"/>
                <w:rtl w:val="true"/>
              </w:rPr>
              <w:t>:</w:t>
              <w:tab/>
            </w:r>
            <w:r>
              <w:rPr>
                <w:rStyle w:val="IndexLink"/>
              </w:rPr>
              <w:t>353</w:t>
            </w:r>
          </w:hyperlink>
        </w:p>
        <w:p>
          <w:pPr>
            <w:pStyle w:val="Contents6"/>
            <w:tabs>
              <w:tab w:val="clear" w:pos="7609"/>
              <w:tab w:val="right" w:pos="9026" w:leader="dot"/>
            </w:tabs>
            <w:rPr/>
          </w:pPr>
          <w:hyperlink w:anchor="__RefHeading___Toc7507376_3381743652">
            <w:r>
              <w:rPr>
                <w:webHidden/>
                <w:rStyle w:val="IndexLink"/>
                <w:rtl w:val="true"/>
              </w:rPr>
              <w:t>الملاك الثاني للتعدّد</w:t>
            </w:r>
            <w:r>
              <w:rPr>
                <w:rStyle w:val="IndexLink"/>
                <w:rtl w:val="true"/>
              </w:rPr>
              <w:t>:</w:t>
              <w:tab/>
            </w:r>
            <w:r>
              <w:rPr>
                <w:rStyle w:val="IndexLink"/>
              </w:rPr>
              <w:t>358</w:t>
            </w:r>
          </w:hyperlink>
        </w:p>
        <w:p>
          <w:pPr>
            <w:pStyle w:val="Contents6"/>
            <w:tabs>
              <w:tab w:val="clear" w:pos="7609"/>
              <w:tab w:val="right" w:pos="9026" w:leader="dot"/>
            </w:tabs>
            <w:rPr/>
          </w:pPr>
          <w:hyperlink w:anchor="__RefHeading___Toc7507378_3381743652">
            <w:r>
              <w:rPr>
                <w:webHidden/>
                <w:rStyle w:val="IndexLink"/>
                <w:rtl w:val="true"/>
              </w:rPr>
              <w:t>الملاك الثالث للتعدّد</w:t>
            </w:r>
            <w:r>
              <w:rPr>
                <w:rStyle w:val="IndexLink"/>
                <w:rtl w:val="true"/>
              </w:rPr>
              <w:t>:</w:t>
              <w:tab/>
            </w:r>
            <w:r>
              <w:rPr>
                <w:rStyle w:val="IndexLink"/>
              </w:rPr>
              <w:t>359</w:t>
            </w:r>
          </w:hyperlink>
        </w:p>
        <w:p>
          <w:pPr>
            <w:pStyle w:val="Contents6"/>
            <w:tabs>
              <w:tab w:val="clear" w:pos="7609"/>
              <w:tab w:val="right" w:pos="9026" w:leader="dot"/>
            </w:tabs>
            <w:rPr/>
          </w:pPr>
          <w:hyperlink w:anchor="__RefHeading___Toc7507380_3381743652">
            <w:r>
              <w:rPr>
                <w:webHidden/>
                <w:rStyle w:val="IndexLink"/>
                <w:rtl w:val="true"/>
              </w:rPr>
              <w:t>الملاك الرابع للتعدّد</w:t>
            </w:r>
            <w:r>
              <w:rPr>
                <w:rStyle w:val="IndexLink"/>
                <w:rtl w:val="true"/>
              </w:rPr>
              <w:t>:</w:t>
              <w:tab/>
            </w:r>
            <w:r>
              <w:rPr>
                <w:rStyle w:val="IndexLink"/>
              </w:rPr>
              <w:t>359</w:t>
            </w:r>
          </w:hyperlink>
        </w:p>
        <w:p>
          <w:pPr>
            <w:pStyle w:val="Contents6"/>
            <w:tabs>
              <w:tab w:val="clear" w:pos="7609"/>
              <w:tab w:val="right" w:pos="9026" w:leader="dot"/>
            </w:tabs>
            <w:rPr/>
          </w:pPr>
          <w:hyperlink w:anchor="__RefHeading___Toc7507382_3381743652">
            <w:r>
              <w:rPr>
                <w:webHidden/>
                <w:rStyle w:val="IndexLink"/>
                <w:rtl w:val="true"/>
              </w:rPr>
              <w:t>الأمر الخامس في اشتراط الدخول في الغير وعدمه</w:t>
            </w:r>
            <w:r>
              <w:rPr>
                <w:rStyle w:val="IndexLink"/>
                <w:rtl w:val="true"/>
              </w:rPr>
              <w:tab/>
            </w:r>
            <w:r>
              <w:rPr>
                <w:rStyle w:val="IndexLink"/>
              </w:rPr>
              <w:t>360</w:t>
            </w:r>
          </w:hyperlink>
        </w:p>
        <w:p>
          <w:pPr>
            <w:pStyle w:val="Contents6"/>
            <w:tabs>
              <w:tab w:val="clear" w:pos="7609"/>
              <w:tab w:val="right" w:pos="9026" w:leader="dot"/>
            </w:tabs>
            <w:rPr/>
          </w:pPr>
          <w:hyperlink w:anchor="__RefHeading___Toc7507384_3381743652">
            <w:r>
              <w:rPr>
                <w:webHidden/>
                <w:rStyle w:val="IndexLink"/>
                <w:rtl w:val="true"/>
              </w:rPr>
              <w:t>ما هو المراد من الغير؟</w:t>
            </w:r>
            <w:r>
              <w:rPr>
                <w:rStyle w:val="IndexLink"/>
                <w:rtl w:val="true"/>
              </w:rPr>
              <w:tab/>
            </w:r>
            <w:r>
              <w:rPr>
                <w:rStyle w:val="IndexLink"/>
              </w:rPr>
              <w:t>362</w:t>
            </w:r>
          </w:hyperlink>
        </w:p>
        <w:p>
          <w:pPr>
            <w:pStyle w:val="Contents6"/>
            <w:tabs>
              <w:tab w:val="clear" w:pos="7609"/>
              <w:tab w:val="right" w:pos="9026" w:leader="dot"/>
            </w:tabs>
            <w:rPr/>
          </w:pPr>
          <w:hyperlink w:anchor="__RefHeading___Toc7507386_3381743652">
            <w:r>
              <w:rPr>
                <w:webHidden/>
                <w:rStyle w:val="IndexLink"/>
                <w:rtl w:val="true"/>
              </w:rPr>
              <w:t>الأمر السادس ما هو المراد من المحل؟</w:t>
            </w:r>
            <w:r>
              <w:rPr>
                <w:rStyle w:val="IndexLink"/>
                <w:rtl w:val="true"/>
              </w:rPr>
              <w:tab/>
            </w:r>
            <w:r>
              <w:rPr>
                <w:rStyle w:val="IndexLink"/>
              </w:rPr>
              <w:t>366</w:t>
            </w:r>
          </w:hyperlink>
        </w:p>
        <w:p>
          <w:pPr>
            <w:pStyle w:val="Contents6"/>
            <w:tabs>
              <w:tab w:val="clear" w:pos="7609"/>
              <w:tab w:val="right" w:pos="9026" w:leader="dot"/>
            </w:tabs>
            <w:rPr/>
          </w:pPr>
          <w:hyperlink w:anchor="__RefHeading___Toc7507388_3381743652">
            <w:r>
              <w:rPr>
                <w:webHidden/>
                <w:rStyle w:val="IndexLink"/>
                <w:rtl w:val="true"/>
              </w:rPr>
              <w:t>الأمر السابع هل المضي عزيمة أو رخصة؟</w:t>
            </w:r>
            <w:r>
              <w:rPr>
                <w:rStyle w:val="IndexLink"/>
                <w:rtl w:val="true"/>
              </w:rPr>
              <w:tab/>
            </w:r>
            <w:r>
              <w:rPr>
                <w:rStyle w:val="IndexLink"/>
              </w:rPr>
              <w:t>369</w:t>
            </w:r>
          </w:hyperlink>
        </w:p>
        <w:p>
          <w:pPr>
            <w:pStyle w:val="Contents6"/>
            <w:tabs>
              <w:tab w:val="clear" w:pos="7609"/>
              <w:tab w:val="right" w:pos="9026" w:leader="dot"/>
            </w:tabs>
            <w:rPr/>
          </w:pPr>
          <w:hyperlink w:anchor="__RefHeading___Toc7507390_3381743652">
            <w:r>
              <w:rPr>
                <w:webHidden/>
                <w:rStyle w:val="IndexLink"/>
                <w:rtl w:val="true"/>
              </w:rPr>
              <w:t>الأمر الثامن في جريان القاعدة في الأجزاء غير المستقلّة</w:t>
            </w:r>
            <w:r>
              <w:rPr>
                <w:rStyle w:val="IndexLink"/>
                <w:rtl w:val="true"/>
              </w:rPr>
              <w:tab/>
            </w:r>
            <w:r>
              <w:rPr>
                <w:rStyle w:val="IndexLink"/>
              </w:rPr>
              <w:t>370</w:t>
            </w:r>
          </w:hyperlink>
        </w:p>
        <w:p>
          <w:pPr>
            <w:pStyle w:val="Contents6"/>
            <w:tabs>
              <w:tab w:val="clear" w:pos="7609"/>
              <w:tab w:val="right" w:pos="9026" w:leader="dot"/>
            </w:tabs>
            <w:rPr/>
          </w:pPr>
          <w:hyperlink w:anchor="__RefHeading___Toc7507392_3381743652">
            <w:r>
              <w:rPr>
                <w:webHidden/>
                <w:rStyle w:val="IndexLink"/>
                <w:rtl w:val="true"/>
              </w:rPr>
              <w:t>الأمر التاسع جريان القاعدة في الشكّ في صحّة الجزء المأتي به</w:t>
            </w:r>
            <w:r>
              <w:rPr>
                <w:rStyle w:val="IndexLink"/>
                <w:rtl w:val="true"/>
              </w:rPr>
              <w:tab/>
            </w:r>
            <w:r>
              <w:rPr>
                <w:rStyle w:val="IndexLink"/>
              </w:rPr>
              <w:t>371</w:t>
            </w:r>
          </w:hyperlink>
        </w:p>
        <w:p>
          <w:pPr>
            <w:pStyle w:val="Contents6"/>
            <w:tabs>
              <w:tab w:val="clear" w:pos="7609"/>
              <w:tab w:val="right" w:pos="9026" w:leader="dot"/>
            </w:tabs>
            <w:rPr/>
          </w:pPr>
          <w:hyperlink w:anchor="__RefHeading___Toc7507394_3381743652">
            <w:r>
              <w:rPr>
                <w:webHidden/>
                <w:rStyle w:val="IndexLink"/>
                <w:rtl w:val="true"/>
              </w:rPr>
              <w:t>الأمر العاشر في جريان القاعدة في الشروط</w:t>
            </w:r>
            <w:r>
              <w:rPr>
                <w:rStyle w:val="IndexLink"/>
                <w:rtl w:val="true"/>
              </w:rPr>
              <w:tab/>
            </w:r>
            <w:r>
              <w:rPr>
                <w:rStyle w:val="IndexLink"/>
              </w:rPr>
              <w:t>372</w:t>
            </w:r>
          </w:hyperlink>
        </w:p>
        <w:p>
          <w:pPr>
            <w:pStyle w:val="Contents6"/>
            <w:tabs>
              <w:tab w:val="clear" w:pos="7609"/>
              <w:tab w:val="right" w:pos="9026" w:leader="dot"/>
            </w:tabs>
            <w:rPr/>
          </w:pPr>
          <w:hyperlink w:anchor="__RefHeading___Toc7507396_3381743652">
            <w:r>
              <w:rPr>
                <w:webHidden/>
                <w:rStyle w:val="IndexLink"/>
                <w:rtl w:val="true"/>
              </w:rPr>
              <w:t>الشكّ في الطهارة الحدثية</w:t>
            </w:r>
            <w:r>
              <w:rPr>
                <w:rStyle w:val="IndexLink"/>
                <w:rtl w:val="true"/>
              </w:rPr>
              <w:tab/>
            </w:r>
            <w:r>
              <w:rPr>
                <w:rStyle w:val="IndexLink"/>
              </w:rPr>
              <w:t>374</w:t>
            </w:r>
          </w:hyperlink>
        </w:p>
        <w:p>
          <w:pPr>
            <w:pStyle w:val="Contents6"/>
            <w:tabs>
              <w:tab w:val="clear" w:pos="7609"/>
              <w:tab w:val="right" w:pos="9026" w:leader="dot"/>
            </w:tabs>
            <w:rPr/>
          </w:pPr>
          <w:hyperlink w:anchor="__RefHeading___Toc7507398_3381743652">
            <w:r>
              <w:rPr>
                <w:webHidden/>
                <w:rStyle w:val="IndexLink"/>
                <w:rtl w:val="true"/>
              </w:rPr>
              <w:t>الأمر الحادي عشر في خروج الطهارات الثلاث عن حريم القاعدة</w:t>
            </w:r>
            <w:r>
              <w:rPr>
                <w:rStyle w:val="IndexLink"/>
                <w:rtl w:val="true"/>
              </w:rPr>
              <w:tab/>
            </w:r>
            <w:r>
              <w:rPr>
                <w:rStyle w:val="IndexLink"/>
              </w:rPr>
              <w:t>376</w:t>
            </w:r>
          </w:hyperlink>
        </w:p>
        <w:p>
          <w:pPr>
            <w:pStyle w:val="Contents6"/>
            <w:tabs>
              <w:tab w:val="clear" w:pos="7609"/>
              <w:tab w:val="right" w:pos="9026" w:leader="dot"/>
            </w:tabs>
            <w:rPr/>
          </w:pPr>
          <w:hyperlink w:anchor="__RefHeading___Toc7507400_3381743652">
            <w:r>
              <w:rPr>
                <w:webHidden/>
                <w:rStyle w:val="IndexLink"/>
                <w:rtl w:val="true"/>
              </w:rPr>
              <w:t>الأمر الثاني عشر في اختصاص القاعدة بالإخلال عن سهو</w:t>
            </w:r>
            <w:r>
              <w:rPr>
                <w:rStyle w:val="IndexLink"/>
                <w:rtl w:val="true"/>
              </w:rPr>
              <w:tab/>
            </w:r>
            <w:r>
              <w:rPr>
                <w:rStyle w:val="IndexLink"/>
              </w:rPr>
              <w:t>379</w:t>
            </w:r>
          </w:hyperlink>
        </w:p>
        <w:p>
          <w:pPr>
            <w:pStyle w:val="Contents6"/>
            <w:tabs>
              <w:tab w:val="clear" w:pos="7609"/>
              <w:tab w:val="right" w:pos="9026" w:leader="dot"/>
            </w:tabs>
            <w:rPr/>
          </w:pPr>
          <w:hyperlink w:anchor="__RefHeading___Toc7507402_3381743652">
            <w:r>
              <w:rPr>
                <w:webHidden/>
                <w:rStyle w:val="IndexLink"/>
                <w:rtl w:val="true"/>
              </w:rPr>
              <w:t>الأمر الثالث عشر اختصاص القاعدة بالشكّ الحادث بعد العمل</w:t>
            </w:r>
            <w:r>
              <w:rPr>
                <w:rStyle w:val="IndexLink"/>
                <w:rtl w:val="true"/>
              </w:rPr>
              <w:tab/>
            </w:r>
            <w:r>
              <w:rPr>
                <w:rStyle w:val="IndexLink"/>
              </w:rPr>
              <w:t>381</w:t>
            </w:r>
          </w:hyperlink>
        </w:p>
        <w:p>
          <w:pPr>
            <w:pStyle w:val="Contents6"/>
            <w:tabs>
              <w:tab w:val="clear" w:pos="7609"/>
              <w:tab w:val="right" w:pos="9026" w:leader="dot"/>
            </w:tabs>
            <w:rPr/>
          </w:pPr>
          <w:hyperlink w:anchor="__RefHeading___Toc7507404_3381743652">
            <w:r>
              <w:rPr>
                <w:webHidden/>
                <w:rStyle w:val="IndexLink"/>
                <w:rtl w:val="true"/>
              </w:rPr>
              <w:t>الصورة الأُولى‌</w:t>
            </w:r>
            <w:r>
              <w:rPr>
                <w:rStyle w:val="IndexLink"/>
                <w:rtl w:val="true"/>
              </w:rPr>
              <w:tab/>
            </w:r>
            <w:r>
              <w:rPr>
                <w:rStyle w:val="IndexLink"/>
              </w:rPr>
              <w:t>381</w:t>
            </w:r>
          </w:hyperlink>
        </w:p>
        <w:p>
          <w:pPr>
            <w:pStyle w:val="Contents6"/>
            <w:tabs>
              <w:tab w:val="clear" w:pos="7609"/>
              <w:tab w:val="right" w:pos="9026" w:leader="dot"/>
            </w:tabs>
            <w:rPr/>
          </w:pPr>
          <w:hyperlink w:anchor="__RefHeading___Toc7507406_3381743652">
            <w:r>
              <w:rPr>
                <w:webHidden/>
                <w:rStyle w:val="IndexLink"/>
                <w:rtl w:val="true"/>
              </w:rPr>
              <w:t>الصورة الثانية</w:t>
            </w:r>
            <w:r>
              <w:rPr>
                <w:rStyle w:val="IndexLink"/>
                <w:rtl w:val="true"/>
              </w:rPr>
              <w:tab/>
            </w:r>
            <w:r>
              <w:rPr>
                <w:rStyle w:val="IndexLink"/>
              </w:rPr>
              <w:t>382</w:t>
            </w:r>
          </w:hyperlink>
        </w:p>
        <w:p>
          <w:pPr>
            <w:pStyle w:val="Contents6"/>
            <w:tabs>
              <w:tab w:val="clear" w:pos="7609"/>
              <w:tab w:val="right" w:pos="9026" w:leader="dot"/>
            </w:tabs>
            <w:rPr/>
          </w:pPr>
          <w:hyperlink w:anchor="__RefHeading___Toc7507408_3381743652">
            <w:r>
              <w:rPr>
                <w:webHidden/>
                <w:rStyle w:val="IndexLink"/>
                <w:rtl w:val="true"/>
              </w:rPr>
              <w:t>الصورة الثالثة</w:t>
            </w:r>
            <w:r>
              <w:rPr>
                <w:rStyle w:val="IndexLink"/>
                <w:rtl w:val="true"/>
              </w:rPr>
              <w:tab/>
            </w:r>
            <w:r>
              <w:rPr>
                <w:rStyle w:val="IndexLink"/>
              </w:rPr>
              <w:t>383</w:t>
            </w:r>
          </w:hyperlink>
        </w:p>
        <w:p>
          <w:pPr>
            <w:pStyle w:val="Contents6"/>
            <w:tabs>
              <w:tab w:val="clear" w:pos="7609"/>
              <w:tab w:val="right" w:pos="9026" w:leader="dot"/>
            </w:tabs>
            <w:rPr/>
          </w:pPr>
          <w:hyperlink w:anchor="__RefHeading___Toc7507410_3381743652">
            <w:r>
              <w:rPr>
                <w:webHidden/>
                <w:rStyle w:val="IndexLink"/>
                <w:rtl w:val="true"/>
              </w:rPr>
              <w:t>الأمر الرابع عشر في اختصاص القاعدة بالذاكر دون الغافل القطعي</w:t>
            </w:r>
            <w:r>
              <w:rPr>
                <w:rStyle w:val="IndexLink"/>
                <w:rtl w:val="true"/>
              </w:rPr>
              <w:tab/>
            </w:r>
            <w:r>
              <w:rPr>
                <w:rStyle w:val="IndexLink"/>
              </w:rPr>
              <w:t>384</w:t>
            </w:r>
          </w:hyperlink>
        </w:p>
        <w:p>
          <w:pPr>
            <w:pStyle w:val="Contents6"/>
            <w:tabs>
              <w:tab w:val="clear" w:pos="7609"/>
              <w:tab w:val="right" w:pos="9026" w:leader="dot"/>
            </w:tabs>
            <w:rPr/>
          </w:pPr>
          <w:hyperlink w:anchor="__RefHeading___Toc7507412_3381743652">
            <w:r>
              <w:rPr>
                <w:webHidden/>
                <w:rStyle w:val="IndexLink"/>
                <w:rtl w:val="true"/>
              </w:rPr>
              <w:t>الأمر الخامس عشر في كون الشكّ في الانطباق نابعاً من احتمال طروء السهو</w:t>
            </w:r>
            <w:r>
              <w:rPr>
                <w:rStyle w:val="IndexLink"/>
                <w:rtl w:val="true"/>
              </w:rPr>
              <w:tab/>
            </w:r>
            <w:r>
              <w:rPr>
                <w:rStyle w:val="IndexLink"/>
              </w:rPr>
              <w:t>388</w:t>
            </w:r>
          </w:hyperlink>
        </w:p>
        <w:p>
          <w:pPr>
            <w:pStyle w:val="Contents6"/>
            <w:tabs>
              <w:tab w:val="clear" w:pos="7609"/>
              <w:tab w:val="right" w:pos="9026" w:leader="dot"/>
            </w:tabs>
            <w:rPr/>
          </w:pPr>
          <w:hyperlink w:anchor="__RefHeading___Toc7507414_3381743652">
            <w:r>
              <w:rPr>
                <w:webHidden/>
                <w:rStyle w:val="IndexLink"/>
                <w:rtl w:val="true"/>
              </w:rPr>
              <w:t>الأمر السادس عشر في تقدّم القاعدة على الاستصحاب</w:t>
            </w:r>
            <w:r>
              <w:rPr>
                <w:rStyle w:val="IndexLink"/>
                <w:rtl w:val="true"/>
              </w:rPr>
              <w:tab/>
            </w:r>
            <w:r>
              <w:rPr>
                <w:rStyle w:val="IndexLink"/>
              </w:rPr>
              <w:t>391</w:t>
            </w:r>
          </w:hyperlink>
        </w:p>
        <w:p>
          <w:pPr>
            <w:pStyle w:val="Contents5"/>
            <w:tabs>
              <w:tab w:val="clear" w:pos="7892"/>
              <w:tab w:val="right" w:pos="9026" w:leader="dot"/>
            </w:tabs>
            <w:rPr/>
          </w:pPr>
          <w:hyperlink w:anchor="__RefHeading___Toc7507416_3381743652">
            <w:r>
              <w:rPr>
                <w:webHidden/>
                <w:rStyle w:val="IndexLink"/>
              </w:rPr>
              <w:t>3</w:t>
            </w:r>
            <w:r>
              <w:rPr>
                <w:rStyle w:val="IndexLink"/>
                <w:rtl w:val="true"/>
              </w:rPr>
              <w:t xml:space="preserve"> </w:t>
            </w:r>
            <w:r>
              <w:rPr>
                <w:rStyle w:val="IndexLink"/>
                <w:rtl w:val="true"/>
              </w:rPr>
              <w:t>أصالة الصحة في فعل الغير</w:t>
            </w:r>
            <w:r>
              <w:rPr>
                <w:rStyle w:val="IndexLink"/>
                <w:rtl w:val="true"/>
              </w:rPr>
              <w:tab/>
            </w:r>
            <w:r>
              <w:rPr>
                <w:rStyle w:val="IndexLink"/>
              </w:rPr>
              <w:t>394</w:t>
            </w:r>
          </w:hyperlink>
        </w:p>
        <w:p>
          <w:pPr>
            <w:pStyle w:val="Contents6"/>
            <w:tabs>
              <w:tab w:val="clear" w:pos="7609"/>
              <w:tab w:val="right" w:pos="9026" w:leader="dot"/>
            </w:tabs>
            <w:rPr/>
          </w:pPr>
          <w:hyperlink w:anchor="__RefHeading___Toc7507418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7507420_3381743652">
            <w:r>
              <w:rPr>
                <w:webHidden/>
                <w:rStyle w:val="IndexLink"/>
                <w:rtl w:val="true"/>
              </w:rPr>
              <w:t>الأوّل</w:t>
            </w:r>
            <w:r>
              <w:rPr>
                <w:rStyle w:val="IndexLink"/>
                <w:rtl w:val="true"/>
              </w:rPr>
              <w:t xml:space="preserve">: </w:t>
            </w:r>
            <w:r>
              <w:rPr>
                <w:rStyle w:val="IndexLink"/>
                <w:rtl w:val="true"/>
              </w:rPr>
              <w:t>ما هي الصلة بين أصالة الصحّة وقاعدة التجاوز؟</w:t>
            </w:r>
            <w:r>
              <w:rPr>
                <w:rStyle w:val="IndexLink"/>
                <w:rtl w:val="true"/>
              </w:rPr>
              <w:tab/>
            </w:r>
            <w:r>
              <w:rPr>
                <w:rStyle w:val="IndexLink"/>
              </w:rPr>
              <w:t>394</w:t>
            </w:r>
          </w:hyperlink>
        </w:p>
        <w:p>
          <w:pPr>
            <w:pStyle w:val="Contents6"/>
            <w:tabs>
              <w:tab w:val="clear" w:pos="7609"/>
              <w:tab w:val="right" w:pos="9026" w:leader="dot"/>
            </w:tabs>
            <w:rPr/>
          </w:pPr>
          <w:hyperlink w:anchor="__RefHeading___Toc7507422_3381743652">
            <w:r>
              <w:rPr>
                <w:webHidden/>
                <w:rStyle w:val="IndexLink"/>
                <w:rtl w:val="true"/>
              </w:rPr>
              <w:t>الثاني</w:t>
            </w:r>
            <w:r>
              <w:rPr>
                <w:rStyle w:val="IndexLink"/>
                <w:rtl w:val="true"/>
              </w:rPr>
              <w:t xml:space="preserve">: </w:t>
            </w:r>
            <w:r>
              <w:rPr>
                <w:rStyle w:val="IndexLink"/>
                <w:rtl w:val="true"/>
              </w:rPr>
              <w:t>في مفاد أصالة الصحّة</w:t>
            </w:r>
            <w:r>
              <w:rPr>
                <w:rStyle w:val="IndexLink"/>
                <w:rtl w:val="true"/>
              </w:rPr>
              <w:tab/>
            </w:r>
            <w:r>
              <w:rPr>
                <w:rStyle w:val="IndexLink"/>
              </w:rPr>
              <w:t>395</w:t>
            </w:r>
          </w:hyperlink>
        </w:p>
        <w:p>
          <w:pPr>
            <w:pStyle w:val="Contents6"/>
            <w:tabs>
              <w:tab w:val="clear" w:pos="7609"/>
              <w:tab w:val="right" w:pos="9026" w:leader="dot"/>
            </w:tabs>
            <w:rPr/>
          </w:pPr>
          <w:hyperlink w:anchor="__RefHeading___Toc7507424_3381743652">
            <w:r>
              <w:rPr>
                <w:webHidden/>
                <w:rStyle w:val="IndexLink"/>
                <w:rtl w:val="true"/>
              </w:rPr>
              <w:t>الثالث</w:t>
            </w:r>
            <w:r>
              <w:rPr>
                <w:rStyle w:val="IndexLink"/>
                <w:rtl w:val="true"/>
              </w:rPr>
              <w:t xml:space="preserve">: </w:t>
            </w:r>
            <w:r>
              <w:rPr>
                <w:rStyle w:val="IndexLink"/>
                <w:rtl w:val="true"/>
              </w:rPr>
              <w:t>الدليل على أصالة الصحّة بمعنى ترتيب الأثر الشرعيّ‌</w:t>
            </w:r>
            <w:r>
              <w:rPr>
                <w:rStyle w:val="IndexLink"/>
                <w:rtl w:val="true"/>
              </w:rPr>
              <w:tab/>
            </w:r>
            <w:r>
              <w:rPr>
                <w:rStyle w:val="IndexLink"/>
              </w:rPr>
              <w:t>397</w:t>
            </w:r>
          </w:hyperlink>
        </w:p>
        <w:p>
          <w:pPr>
            <w:pStyle w:val="Contents6"/>
            <w:tabs>
              <w:tab w:val="clear" w:pos="7609"/>
              <w:tab w:val="right" w:pos="9026" w:leader="dot"/>
            </w:tabs>
            <w:rPr/>
          </w:pPr>
          <w:hyperlink w:anchor="__RefHeading___Toc7507426_3381743652">
            <w:r>
              <w:rPr>
                <w:webHidden/>
                <w:rStyle w:val="IndexLink"/>
                <w:rtl w:val="true"/>
              </w:rPr>
              <w:t>كلمة أخيرة للمحقّق النراقي</w:t>
            </w:r>
            <w:r>
              <w:rPr>
                <w:rStyle w:val="IndexLink"/>
                <w:rtl w:val="true"/>
              </w:rPr>
              <w:tab/>
            </w:r>
            <w:r>
              <w:rPr>
                <w:rStyle w:val="IndexLink"/>
              </w:rPr>
              <w:t>401</w:t>
            </w:r>
          </w:hyperlink>
        </w:p>
        <w:p>
          <w:pPr>
            <w:pStyle w:val="Contents6"/>
            <w:tabs>
              <w:tab w:val="clear" w:pos="7609"/>
              <w:tab w:val="right" w:pos="9026" w:leader="dot"/>
            </w:tabs>
            <w:rPr/>
          </w:pPr>
          <w:hyperlink w:anchor="__RefHeading___Toc7507428_3381743652">
            <w:r>
              <w:rPr>
                <w:webHidden/>
                <w:rStyle w:val="IndexLink"/>
                <w:rtl w:val="true"/>
              </w:rPr>
              <w:t>الأمر الرابع هل المراد هو الصحّة عند الفاعل أو الحامل؟</w:t>
            </w:r>
            <w:r>
              <w:rPr>
                <w:rStyle w:val="IndexLink"/>
                <w:rtl w:val="true"/>
              </w:rPr>
              <w:tab/>
            </w:r>
            <w:r>
              <w:rPr>
                <w:rStyle w:val="IndexLink"/>
              </w:rPr>
              <w:t>402</w:t>
            </w:r>
          </w:hyperlink>
        </w:p>
        <w:p>
          <w:pPr>
            <w:pStyle w:val="Contents6"/>
            <w:tabs>
              <w:tab w:val="clear" w:pos="7609"/>
              <w:tab w:val="right" w:pos="9026" w:leader="dot"/>
            </w:tabs>
            <w:rPr/>
          </w:pPr>
          <w:hyperlink w:anchor="__RefHeading___Toc7507430_3381743652">
            <w:r>
              <w:rPr>
                <w:webHidden/>
                <w:rStyle w:val="IndexLink"/>
                <w:rtl w:val="true"/>
              </w:rPr>
              <w:t>الأمر الخامس عدم جريان الأصل إلّابعد إحراز الموضوع</w:t>
            </w:r>
            <w:r>
              <w:rPr>
                <w:rStyle w:val="IndexLink"/>
                <w:rtl w:val="true"/>
              </w:rPr>
              <w:tab/>
            </w:r>
            <w:r>
              <w:rPr>
                <w:rStyle w:val="IndexLink"/>
              </w:rPr>
              <w:t>405</w:t>
            </w:r>
          </w:hyperlink>
        </w:p>
        <w:p>
          <w:pPr>
            <w:pStyle w:val="Contents6"/>
            <w:tabs>
              <w:tab w:val="clear" w:pos="7609"/>
              <w:tab w:val="right" w:pos="9026" w:leader="dot"/>
            </w:tabs>
            <w:rPr/>
          </w:pPr>
          <w:hyperlink w:anchor="__RefHeading___Toc7507432_3381743652">
            <w:r>
              <w:rPr>
                <w:webHidden/>
                <w:rStyle w:val="IndexLink"/>
                <w:rtl w:val="true"/>
              </w:rPr>
              <w:t>تفصيل للمحقّق النائيني</w:t>
            </w:r>
            <w:r>
              <w:rPr>
                <w:rStyle w:val="IndexLink"/>
                <w:rtl w:val="true"/>
              </w:rPr>
              <w:tab/>
            </w:r>
            <w:r>
              <w:rPr>
                <w:rStyle w:val="IndexLink"/>
              </w:rPr>
              <w:t>408</w:t>
            </w:r>
          </w:hyperlink>
        </w:p>
        <w:p>
          <w:pPr>
            <w:pStyle w:val="Contents6"/>
            <w:tabs>
              <w:tab w:val="clear" w:pos="7609"/>
              <w:tab w:val="right" w:pos="9026" w:leader="dot"/>
            </w:tabs>
            <w:rPr/>
          </w:pPr>
          <w:hyperlink w:anchor="__RefHeading___Toc7507434_3381743652">
            <w:r>
              <w:rPr>
                <w:webHidden/>
                <w:rStyle w:val="IndexLink"/>
                <w:rtl w:val="true"/>
              </w:rPr>
              <w:t>الأمر السادس الغاية إثبات الأثر المطلوب</w:t>
            </w:r>
            <w:r>
              <w:rPr>
                <w:rStyle w:val="IndexLink"/>
                <w:rtl w:val="true"/>
              </w:rPr>
              <w:tab/>
            </w:r>
            <w:r>
              <w:rPr>
                <w:rStyle w:val="IndexLink"/>
              </w:rPr>
              <w:t>410</w:t>
            </w:r>
          </w:hyperlink>
        </w:p>
        <w:p>
          <w:pPr>
            <w:pStyle w:val="Contents6"/>
            <w:tabs>
              <w:tab w:val="clear" w:pos="7609"/>
              <w:tab w:val="right" w:pos="9026" w:leader="dot"/>
            </w:tabs>
            <w:rPr/>
          </w:pPr>
          <w:hyperlink w:anchor="__RefHeading___Toc7507436_3381743652">
            <w:r>
              <w:rPr>
                <w:webHidden/>
                <w:rStyle w:val="IndexLink"/>
                <w:rtl w:val="true"/>
              </w:rPr>
              <w:t>الأمر السابع شرطية إحراز العمل في جريان الأصل</w:t>
            </w:r>
            <w:r>
              <w:rPr>
                <w:rStyle w:val="IndexLink"/>
                <w:rtl w:val="true"/>
              </w:rPr>
              <w:tab/>
            </w:r>
            <w:r>
              <w:rPr>
                <w:rStyle w:val="IndexLink"/>
              </w:rPr>
              <w:t>412</w:t>
            </w:r>
          </w:hyperlink>
        </w:p>
        <w:p>
          <w:pPr>
            <w:pStyle w:val="Contents6"/>
            <w:tabs>
              <w:tab w:val="clear" w:pos="7609"/>
              <w:tab w:val="right" w:pos="9026" w:leader="dot"/>
            </w:tabs>
            <w:rPr/>
          </w:pPr>
          <w:hyperlink w:anchor="__RefHeading___Toc7507438_3381743652">
            <w:r>
              <w:rPr>
                <w:webHidden/>
                <w:rStyle w:val="IndexLink"/>
                <w:rtl w:val="true"/>
              </w:rPr>
              <w:t>الأمر الثامن أصالة الصحّة أمارة أو أصل</w:t>
            </w:r>
            <w:r>
              <w:rPr>
                <w:rStyle w:val="IndexLink"/>
                <w:rtl w:val="true"/>
              </w:rPr>
              <w:tab/>
            </w:r>
            <w:r>
              <w:rPr>
                <w:rStyle w:val="IndexLink"/>
              </w:rPr>
              <w:t>415</w:t>
            </w:r>
          </w:hyperlink>
        </w:p>
        <w:p>
          <w:pPr>
            <w:pStyle w:val="Contents6"/>
            <w:tabs>
              <w:tab w:val="clear" w:pos="7609"/>
              <w:tab w:val="right" w:pos="9026" w:leader="dot"/>
            </w:tabs>
            <w:rPr/>
          </w:pPr>
          <w:hyperlink w:anchor="__RefHeading___Toc7507440_3381743652">
            <w:r>
              <w:rPr>
                <w:webHidden/>
                <w:rStyle w:val="IndexLink"/>
                <w:rtl w:val="true"/>
              </w:rPr>
              <w:t>الأمر التاسع تقدّم أصالة الصحّة على استصحاب الفساد</w:t>
            </w:r>
            <w:r>
              <w:rPr>
                <w:rStyle w:val="IndexLink"/>
                <w:rtl w:val="true"/>
              </w:rPr>
              <w:tab/>
            </w:r>
            <w:r>
              <w:rPr>
                <w:rStyle w:val="IndexLink"/>
              </w:rPr>
              <w:t>417</w:t>
            </w:r>
          </w:hyperlink>
        </w:p>
        <w:p>
          <w:pPr>
            <w:pStyle w:val="Contents6"/>
            <w:tabs>
              <w:tab w:val="clear" w:pos="7609"/>
              <w:tab w:val="right" w:pos="9026" w:leader="dot"/>
            </w:tabs>
            <w:rPr/>
          </w:pPr>
          <w:hyperlink w:anchor="__RefHeading___Toc7507442_3381743652">
            <w:r>
              <w:rPr>
                <w:webHidden/>
                <w:rStyle w:val="IndexLink"/>
                <w:rtl w:val="true"/>
              </w:rPr>
              <w:t>الأمر العاشر ما خرج عن تحت القاعدة</w:t>
            </w:r>
            <w:r>
              <w:rPr>
                <w:rStyle w:val="IndexLink"/>
                <w:rtl w:val="true"/>
              </w:rPr>
              <w:tab/>
            </w:r>
            <w:r>
              <w:rPr>
                <w:rStyle w:val="IndexLink"/>
              </w:rPr>
              <w:t>418</w:t>
            </w:r>
          </w:hyperlink>
        </w:p>
        <w:p>
          <w:pPr>
            <w:pStyle w:val="Contents5"/>
            <w:tabs>
              <w:tab w:val="clear" w:pos="7892"/>
              <w:tab w:val="right" w:pos="9026" w:leader="dot"/>
            </w:tabs>
            <w:rPr/>
          </w:pPr>
          <w:hyperlink w:anchor="__RefHeading___Toc7507444_3381743652">
            <w:r>
              <w:rPr>
                <w:webHidden/>
                <w:rStyle w:val="IndexLink"/>
              </w:rPr>
              <w:t>4</w:t>
            </w:r>
            <w:r>
              <w:rPr>
                <w:rStyle w:val="IndexLink"/>
                <w:rtl w:val="true"/>
              </w:rPr>
              <w:t xml:space="preserve"> </w:t>
            </w:r>
            <w:r>
              <w:rPr>
                <w:rStyle w:val="IndexLink"/>
                <w:rtl w:val="true"/>
              </w:rPr>
              <w:t>القرعة</w:t>
            </w:r>
            <w:r>
              <w:rPr>
                <w:rStyle w:val="IndexLink"/>
                <w:rtl w:val="true"/>
              </w:rPr>
              <w:tab/>
            </w:r>
            <w:r>
              <w:rPr>
                <w:rStyle w:val="IndexLink"/>
              </w:rPr>
              <w:t>420</w:t>
            </w:r>
          </w:hyperlink>
        </w:p>
        <w:p>
          <w:pPr>
            <w:pStyle w:val="Contents6"/>
            <w:tabs>
              <w:tab w:val="clear" w:pos="7609"/>
              <w:tab w:val="right" w:pos="9026" w:leader="dot"/>
            </w:tabs>
            <w:rPr/>
          </w:pPr>
          <w:hyperlink w:anchor="__RefHeading___Toc7507446_3381743652">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7507448_3381743652">
            <w:r>
              <w:rPr>
                <w:webHidden/>
                <w:rStyle w:val="IndexLink"/>
                <w:rtl w:val="true"/>
              </w:rPr>
              <w:t>الأوّل</w:t>
            </w:r>
            <w:r>
              <w:rPr>
                <w:rStyle w:val="IndexLink"/>
                <w:rtl w:val="true"/>
              </w:rPr>
              <w:t xml:space="preserve">: </w:t>
            </w:r>
            <w:r>
              <w:rPr>
                <w:rStyle w:val="IndexLink"/>
                <w:rtl w:val="true"/>
              </w:rPr>
              <w:t>القرعة قاعدة عقلائية</w:t>
            </w:r>
            <w:r>
              <w:rPr>
                <w:rStyle w:val="IndexLink"/>
                <w:rtl w:val="true"/>
              </w:rPr>
              <w:tab/>
            </w:r>
            <w:r>
              <w:rPr>
                <w:rStyle w:val="IndexLink"/>
              </w:rPr>
              <w:t>420</w:t>
            </w:r>
          </w:hyperlink>
        </w:p>
        <w:p>
          <w:pPr>
            <w:pStyle w:val="Contents6"/>
            <w:tabs>
              <w:tab w:val="clear" w:pos="7609"/>
              <w:tab w:val="right" w:pos="9026" w:leader="dot"/>
            </w:tabs>
            <w:rPr/>
          </w:pPr>
          <w:hyperlink w:anchor="__RefHeading___Toc7507450_3381743652">
            <w:r>
              <w:rPr>
                <w:webHidden/>
                <w:rStyle w:val="IndexLink"/>
                <w:rtl w:val="true"/>
              </w:rPr>
              <w:t>الثاني</w:t>
            </w:r>
            <w:r>
              <w:rPr>
                <w:rStyle w:val="IndexLink"/>
                <w:rtl w:val="true"/>
              </w:rPr>
              <w:t xml:space="preserve">: </w:t>
            </w:r>
            <w:r>
              <w:rPr>
                <w:rStyle w:val="IndexLink"/>
                <w:rtl w:val="true"/>
              </w:rPr>
              <w:t>القرعة في الكتاب العزيز</w:t>
            </w:r>
            <w:r>
              <w:rPr>
                <w:rStyle w:val="IndexLink"/>
                <w:rtl w:val="true"/>
              </w:rPr>
              <w:tab/>
            </w:r>
            <w:r>
              <w:rPr>
                <w:rStyle w:val="IndexLink"/>
              </w:rPr>
              <w:t>421</w:t>
            </w:r>
          </w:hyperlink>
        </w:p>
        <w:p>
          <w:pPr>
            <w:pStyle w:val="Contents6"/>
            <w:tabs>
              <w:tab w:val="clear" w:pos="7609"/>
              <w:tab w:val="right" w:pos="9026" w:leader="dot"/>
            </w:tabs>
            <w:rPr/>
          </w:pPr>
          <w:hyperlink w:anchor="__RefHeading___Toc7507452_3381743652">
            <w:r>
              <w:rPr>
                <w:webHidden/>
                <w:rStyle w:val="IndexLink"/>
                <w:rtl w:val="true"/>
              </w:rPr>
              <w:t>الثالث</w:t>
            </w:r>
            <w:r>
              <w:rPr>
                <w:rStyle w:val="IndexLink"/>
                <w:rtl w:val="true"/>
              </w:rPr>
              <w:t xml:space="preserve">: </w:t>
            </w:r>
            <w:r>
              <w:rPr>
                <w:rStyle w:val="IndexLink"/>
                <w:rtl w:val="true"/>
              </w:rPr>
              <w:t>القرعة في السنّة الشريفة</w:t>
            </w:r>
            <w:r>
              <w:rPr>
                <w:rStyle w:val="IndexLink"/>
                <w:rtl w:val="true"/>
              </w:rPr>
              <w:tab/>
            </w:r>
            <w:r>
              <w:rPr>
                <w:rStyle w:val="IndexLink"/>
              </w:rPr>
              <w:t>424</w:t>
            </w:r>
          </w:hyperlink>
        </w:p>
        <w:p>
          <w:pPr>
            <w:pStyle w:val="Contents6"/>
            <w:tabs>
              <w:tab w:val="clear" w:pos="7609"/>
              <w:tab w:val="right" w:pos="9026" w:leader="dot"/>
            </w:tabs>
            <w:rPr/>
          </w:pPr>
          <w:hyperlink w:anchor="__RefHeading___Toc7507454_3381743652">
            <w:r>
              <w:rPr>
                <w:webHidden/>
                <w:rStyle w:val="IndexLink"/>
                <w:rtl w:val="true"/>
              </w:rPr>
              <w:t>الروايات العامّة في القرعة</w:t>
            </w:r>
            <w:r>
              <w:rPr>
                <w:rStyle w:val="IndexLink"/>
                <w:rtl w:val="true"/>
              </w:rPr>
              <w:tab/>
            </w:r>
            <w:r>
              <w:rPr>
                <w:rStyle w:val="IndexLink"/>
              </w:rPr>
              <w:t>424</w:t>
            </w:r>
          </w:hyperlink>
        </w:p>
        <w:p>
          <w:pPr>
            <w:pStyle w:val="Contents6"/>
            <w:tabs>
              <w:tab w:val="clear" w:pos="7609"/>
              <w:tab w:val="right" w:pos="9026" w:leader="dot"/>
            </w:tabs>
            <w:rPr/>
          </w:pPr>
          <w:hyperlink w:anchor="__RefHeading___Toc7507456_3381743652">
            <w:r>
              <w:rPr>
                <w:webHidden/>
                <w:rStyle w:val="IndexLink"/>
                <w:rtl w:val="true"/>
              </w:rPr>
              <w:t>الروايات الخاصة</w:t>
            </w:r>
            <w:r>
              <w:rPr>
                <w:rStyle w:val="IndexLink"/>
                <w:rtl w:val="true"/>
              </w:rPr>
              <w:tab/>
            </w:r>
            <w:r>
              <w:rPr>
                <w:rStyle w:val="IndexLink"/>
              </w:rPr>
              <w:t>429</w:t>
            </w:r>
          </w:hyperlink>
        </w:p>
        <w:p>
          <w:pPr>
            <w:pStyle w:val="Contents6"/>
            <w:tabs>
              <w:tab w:val="clear" w:pos="7609"/>
              <w:tab w:val="right" w:pos="9026" w:leader="dot"/>
            </w:tabs>
            <w:rPr/>
          </w:pPr>
          <w:hyperlink w:anchor="__RefHeading___Toc7507458_3381743652">
            <w:r>
              <w:rPr>
                <w:webHidden/>
                <w:rStyle w:val="IndexLink"/>
                <w:rtl w:val="true"/>
              </w:rPr>
              <w:t>الطائفة الأُولى</w:t>
            </w:r>
            <w:r>
              <w:rPr>
                <w:rStyle w:val="IndexLink"/>
                <w:rtl w:val="true"/>
              </w:rPr>
              <w:t xml:space="preserve">: </w:t>
            </w:r>
            <w:r>
              <w:rPr>
                <w:rStyle w:val="IndexLink"/>
                <w:rtl w:val="true"/>
              </w:rPr>
              <w:t>القرعة عند تعارض البيّنتين</w:t>
            </w:r>
            <w:r>
              <w:rPr>
                <w:rStyle w:val="IndexLink"/>
                <w:rtl w:val="true"/>
              </w:rPr>
              <w:tab/>
            </w:r>
            <w:r>
              <w:rPr>
                <w:rStyle w:val="IndexLink"/>
              </w:rPr>
              <w:t>430</w:t>
            </w:r>
          </w:hyperlink>
        </w:p>
        <w:p>
          <w:pPr>
            <w:pStyle w:val="Contents6"/>
            <w:tabs>
              <w:tab w:val="clear" w:pos="7609"/>
              <w:tab w:val="right" w:pos="9026" w:leader="dot"/>
            </w:tabs>
            <w:rPr/>
          </w:pPr>
          <w:hyperlink w:anchor="__RefHeading___Toc7507460_3381743652">
            <w:r>
              <w:rPr>
                <w:webHidden/>
                <w:rStyle w:val="IndexLink"/>
                <w:rtl w:val="true"/>
              </w:rPr>
              <w:t>الطائفة الثانية</w:t>
            </w:r>
            <w:r>
              <w:rPr>
                <w:rStyle w:val="IndexLink"/>
                <w:rtl w:val="true"/>
              </w:rPr>
              <w:t xml:space="preserve">: </w:t>
            </w:r>
            <w:r>
              <w:rPr>
                <w:rStyle w:val="IndexLink"/>
                <w:rtl w:val="true"/>
              </w:rPr>
              <w:t>القرعة فيما لو اشتبه الولد</w:t>
            </w:r>
            <w:r>
              <w:rPr>
                <w:rStyle w:val="IndexLink"/>
                <w:rtl w:val="true"/>
              </w:rPr>
              <w:tab/>
            </w:r>
            <w:r>
              <w:rPr>
                <w:rStyle w:val="IndexLink"/>
              </w:rPr>
              <w:t>430</w:t>
            </w:r>
          </w:hyperlink>
        </w:p>
        <w:p>
          <w:pPr>
            <w:pStyle w:val="Contents6"/>
            <w:tabs>
              <w:tab w:val="clear" w:pos="7609"/>
              <w:tab w:val="right" w:pos="9026" w:leader="dot"/>
            </w:tabs>
            <w:rPr/>
          </w:pPr>
          <w:hyperlink w:anchor="__RefHeading___Toc7507462_3381743652">
            <w:r>
              <w:rPr>
                <w:webHidden/>
                <w:rStyle w:val="IndexLink"/>
                <w:rtl w:val="true"/>
              </w:rPr>
              <w:t>الطائفة الثالثة</w:t>
            </w:r>
            <w:r>
              <w:rPr>
                <w:rStyle w:val="IndexLink"/>
                <w:rtl w:val="true"/>
              </w:rPr>
              <w:t xml:space="preserve">: </w:t>
            </w:r>
            <w:r>
              <w:rPr>
                <w:rStyle w:val="IndexLink"/>
                <w:rtl w:val="true"/>
              </w:rPr>
              <w:t>نذر عتق أوّل عبد يملكه</w:t>
            </w:r>
            <w:r>
              <w:rPr>
                <w:rStyle w:val="IndexLink"/>
                <w:rtl w:val="true"/>
              </w:rPr>
              <w:tab/>
            </w:r>
            <w:r>
              <w:rPr>
                <w:rStyle w:val="IndexLink"/>
              </w:rPr>
              <w:t>431</w:t>
            </w:r>
          </w:hyperlink>
        </w:p>
        <w:p>
          <w:pPr>
            <w:pStyle w:val="Contents6"/>
            <w:tabs>
              <w:tab w:val="clear" w:pos="7609"/>
              <w:tab w:val="right" w:pos="9026" w:leader="dot"/>
            </w:tabs>
            <w:rPr/>
          </w:pPr>
          <w:hyperlink w:anchor="__RefHeading___Toc7507464_3381743652">
            <w:r>
              <w:rPr>
                <w:webHidden/>
                <w:rStyle w:val="IndexLink"/>
                <w:rtl w:val="true"/>
              </w:rPr>
              <w:t>الطائفة الرابعة</w:t>
            </w:r>
            <w:r>
              <w:rPr>
                <w:rStyle w:val="IndexLink"/>
                <w:rtl w:val="true"/>
              </w:rPr>
              <w:t xml:space="preserve">: </w:t>
            </w:r>
            <w:r>
              <w:rPr>
                <w:rStyle w:val="IndexLink"/>
                <w:rtl w:val="true"/>
              </w:rPr>
              <w:t>الإيصاء بعتق ثُلث مماليكه</w:t>
            </w:r>
            <w:r>
              <w:rPr>
                <w:rStyle w:val="IndexLink"/>
                <w:rtl w:val="true"/>
              </w:rPr>
              <w:tab/>
            </w:r>
            <w:r>
              <w:rPr>
                <w:rStyle w:val="IndexLink"/>
              </w:rPr>
              <w:t>431</w:t>
            </w:r>
          </w:hyperlink>
        </w:p>
        <w:p>
          <w:pPr>
            <w:pStyle w:val="Contents6"/>
            <w:tabs>
              <w:tab w:val="clear" w:pos="7609"/>
              <w:tab w:val="right" w:pos="9026" w:leader="dot"/>
            </w:tabs>
            <w:rPr/>
          </w:pPr>
          <w:hyperlink w:anchor="__RefHeading___Toc7507466_3381743652">
            <w:r>
              <w:rPr>
                <w:webHidden/>
                <w:rStyle w:val="IndexLink"/>
                <w:rtl w:val="true"/>
              </w:rPr>
              <w:t>الطائفة الخامسة</w:t>
            </w:r>
            <w:r>
              <w:rPr>
                <w:rStyle w:val="IndexLink"/>
                <w:rtl w:val="true"/>
              </w:rPr>
              <w:t xml:space="preserve">: </w:t>
            </w:r>
            <w:r>
              <w:rPr>
                <w:rStyle w:val="IndexLink"/>
                <w:rtl w:val="true"/>
              </w:rPr>
              <w:t>في اشتباه الحرّ بالمملوك</w:t>
            </w:r>
            <w:r>
              <w:rPr>
                <w:rStyle w:val="IndexLink"/>
                <w:rtl w:val="true"/>
              </w:rPr>
              <w:tab/>
            </w:r>
            <w:r>
              <w:rPr>
                <w:rStyle w:val="IndexLink"/>
              </w:rPr>
              <w:t>432</w:t>
            </w:r>
          </w:hyperlink>
        </w:p>
        <w:p>
          <w:pPr>
            <w:pStyle w:val="Contents6"/>
            <w:tabs>
              <w:tab w:val="clear" w:pos="7609"/>
              <w:tab w:val="right" w:pos="9026" w:leader="dot"/>
            </w:tabs>
            <w:rPr/>
          </w:pPr>
          <w:hyperlink w:anchor="__RefHeading___Toc7507468_3381743652">
            <w:r>
              <w:rPr>
                <w:webHidden/>
                <w:rStyle w:val="IndexLink"/>
                <w:rtl w:val="true"/>
              </w:rPr>
              <w:t>الطائفة السادسة</w:t>
            </w:r>
            <w:r>
              <w:rPr>
                <w:rStyle w:val="IndexLink"/>
                <w:rtl w:val="true"/>
              </w:rPr>
              <w:t xml:space="preserve">: </w:t>
            </w:r>
            <w:r>
              <w:rPr>
                <w:rStyle w:val="IndexLink"/>
                <w:rtl w:val="true"/>
              </w:rPr>
              <w:t>في ميراث الخنثى المشكل</w:t>
            </w:r>
            <w:r>
              <w:rPr>
                <w:rStyle w:val="IndexLink"/>
                <w:rtl w:val="true"/>
              </w:rPr>
              <w:tab/>
            </w:r>
            <w:r>
              <w:rPr>
                <w:rStyle w:val="IndexLink"/>
              </w:rPr>
              <w:t>433</w:t>
            </w:r>
          </w:hyperlink>
        </w:p>
        <w:p>
          <w:pPr>
            <w:pStyle w:val="Contents6"/>
            <w:tabs>
              <w:tab w:val="clear" w:pos="7609"/>
              <w:tab w:val="right" w:pos="9026" w:leader="dot"/>
            </w:tabs>
            <w:rPr/>
          </w:pPr>
          <w:hyperlink w:anchor="__RefHeading___Toc7507470_3381743652">
            <w:r>
              <w:rPr>
                <w:webHidden/>
                <w:rStyle w:val="IndexLink"/>
                <w:rtl w:val="true"/>
              </w:rPr>
              <w:t>الروايات المتفرّقة</w:t>
            </w:r>
            <w:r>
              <w:rPr>
                <w:rStyle w:val="IndexLink"/>
                <w:rtl w:val="true"/>
              </w:rPr>
              <w:tab/>
            </w:r>
            <w:r>
              <w:rPr>
                <w:rStyle w:val="IndexLink"/>
              </w:rPr>
              <w:t>433</w:t>
            </w:r>
          </w:hyperlink>
        </w:p>
        <w:p>
          <w:pPr>
            <w:pStyle w:val="Contents6"/>
            <w:tabs>
              <w:tab w:val="clear" w:pos="7609"/>
              <w:tab w:val="right" w:pos="9026" w:leader="dot"/>
            </w:tabs>
            <w:rPr/>
          </w:pPr>
          <w:hyperlink w:anchor="__RefHeading___Toc7507472_3381743652">
            <w:r>
              <w:rPr>
                <w:webHidden/>
                <w:rStyle w:val="IndexLink"/>
                <w:rtl w:val="true"/>
              </w:rPr>
              <w:t>الأمر الرابع في تحديد مفاد أدلّة القرعة</w:t>
            </w:r>
            <w:r>
              <w:rPr>
                <w:rStyle w:val="IndexLink"/>
                <w:rtl w:val="true"/>
              </w:rPr>
              <w:tab/>
            </w:r>
            <w:r>
              <w:rPr>
                <w:rStyle w:val="IndexLink"/>
              </w:rPr>
              <w:t>435</w:t>
            </w:r>
          </w:hyperlink>
        </w:p>
        <w:p>
          <w:pPr>
            <w:pStyle w:val="Contents6"/>
            <w:tabs>
              <w:tab w:val="clear" w:pos="7609"/>
              <w:tab w:val="right" w:pos="9026" w:leader="dot"/>
            </w:tabs>
            <w:rPr/>
          </w:pPr>
          <w:hyperlink w:anchor="__RefHeading___Toc7507474_3381743652">
            <w:r>
              <w:rPr>
                <w:webHidden/>
                <w:rStyle w:val="IndexLink"/>
                <w:rtl w:val="true"/>
              </w:rPr>
              <w:t>الأمر الخامس عدم ورود التخصيص على القرعة</w:t>
            </w:r>
            <w:r>
              <w:rPr>
                <w:rStyle w:val="IndexLink"/>
                <w:rtl w:val="true"/>
              </w:rPr>
              <w:tab/>
            </w:r>
            <w:r>
              <w:rPr>
                <w:rStyle w:val="IndexLink"/>
              </w:rPr>
              <w:t>438</w:t>
            </w:r>
          </w:hyperlink>
        </w:p>
        <w:p>
          <w:pPr>
            <w:pStyle w:val="Contents6"/>
            <w:tabs>
              <w:tab w:val="clear" w:pos="7609"/>
              <w:tab w:val="right" w:pos="9026" w:leader="dot"/>
            </w:tabs>
            <w:rPr/>
          </w:pPr>
          <w:hyperlink w:anchor="__RefHeading___Toc7507476_3381743652">
            <w:r>
              <w:rPr>
                <w:webHidden/>
                <w:rStyle w:val="IndexLink"/>
                <w:rtl w:val="true"/>
              </w:rPr>
              <w:t>الأمر السادس هل القرعة أمارة أو أصل؟</w:t>
            </w:r>
            <w:r>
              <w:rPr>
                <w:rStyle w:val="IndexLink"/>
                <w:rtl w:val="true"/>
              </w:rPr>
              <w:tab/>
            </w:r>
            <w:r>
              <w:rPr>
                <w:rStyle w:val="IndexLink"/>
              </w:rPr>
              <w:t>439</w:t>
            </w:r>
          </w:hyperlink>
        </w:p>
        <w:p>
          <w:pPr>
            <w:pStyle w:val="Contents6"/>
            <w:tabs>
              <w:tab w:val="clear" w:pos="7609"/>
              <w:tab w:val="right" w:pos="9026" w:leader="dot"/>
            </w:tabs>
            <w:rPr/>
          </w:pPr>
          <w:hyperlink w:anchor="__RefHeading___Toc7507478_3381743652">
            <w:r>
              <w:rPr>
                <w:webHidden/>
                <w:rStyle w:val="IndexLink"/>
                <w:rtl w:val="true"/>
              </w:rPr>
              <w:t>الأمر السابع هل الإقراع وظيفة شخص خاص؟</w:t>
            </w:r>
            <w:r>
              <w:rPr>
                <w:rStyle w:val="IndexLink"/>
                <w:rtl w:val="true"/>
              </w:rPr>
              <w:tab/>
            </w:r>
            <w:r>
              <w:rPr>
                <w:rStyle w:val="IndexLink"/>
              </w:rPr>
              <w:t>440</w:t>
            </w:r>
          </w:hyperlink>
        </w:p>
        <w:p>
          <w:pPr>
            <w:pStyle w:val="Contents6"/>
            <w:tabs>
              <w:tab w:val="clear" w:pos="7609"/>
              <w:tab w:val="right" w:pos="9026" w:leader="dot"/>
            </w:tabs>
            <w:rPr/>
          </w:pPr>
          <w:hyperlink w:anchor="__RefHeading___Toc7507480_3381743652">
            <w:r>
              <w:rPr>
                <w:webHidden/>
                <w:rStyle w:val="IndexLink"/>
                <w:rtl w:val="true"/>
              </w:rPr>
              <w:t>الأمر الثامن العمل بالقرعة عزيمة أو رخصة</w:t>
            </w:r>
            <w:r>
              <w:rPr>
                <w:rStyle w:val="IndexLink"/>
                <w:rtl w:val="true"/>
              </w:rPr>
              <w:tab/>
            </w:r>
            <w:r>
              <w:rPr>
                <w:rStyle w:val="IndexLink"/>
              </w:rPr>
              <w:t>444</w:t>
            </w:r>
          </w:hyperlink>
        </w:p>
        <w:p>
          <w:pPr>
            <w:pStyle w:val="Contents2"/>
            <w:tabs>
              <w:tab w:val="clear" w:pos="8743"/>
              <w:tab w:val="right" w:pos="9026" w:leader="dot"/>
            </w:tabs>
            <w:rPr/>
          </w:pPr>
          <w:hyperlink w:anchor="__RefHeading___Toc7507482_3381743652">
            <w:r>
              <w:rPr>
                <w:webHidden/>
                <w:rStyle w:val="IndexLink"/>
                <w:rtl w:val="true"/>
              </w:rPr>
              <w:t>المقصد الثامن في تعارض الأدلة الشرعيّة</w:t>
            </w:r>
            <w:r>
              <w:rPr>
                <w:rStyle w:val="IndexLink"/>
                <w:rtl w:val="true"/>
              </w:rPr>
              <w:tab/>
            </w:r>
            <w:r>
              <w:rPr>
                <w:rStyle w:val="IndexLink"/>
              </w:rPr>
              <w:t>447</w:t>
            </w:r>
          </w:hyperlink>
        </w:p>
        <w:p>
          <w:pPr>
            <w:pStyle w:val="Contents3"/>
            <w:tabs>
              <w:tab w:val="clear" w:pos="8459"/>
              <w:tab w:val="right" w:pos="9026" w:leader="dot"/>
            </w:tabs>
            <w:rPr/>
          </w:pPr>
          <w:hyperlink w:anchor="__RefHeading___Toc7507484_3381743652">
            <w:r>
              <w:rPr>
                <w:webHidden/>
                <w:rStyle w:val="IndexLink"/>
                <w:rtl w:val="true"/>
              </w:rPr>
              <w:t>اشارة</w:t>
            </w:r>
            <w:r>
              <w:rPr>
                <w:rStyle w:val="IndexLink"/>
                <w:rtl w:val="true"/>
              </w:rPr>
              <w:tab/>
            </w:r>
            <w:r>
              <w:rPr>
                <w:rStyle w:val="IndexLink"/>
              </w:rPr>
              <w:t>447</w:t>
            </w:r>
          </w:hyperlink>
        </w:p>
        <w:p>
          <w:pPr>
            <w:pStyle w:val="Contents3"/>
            <w:tabs>
              <w:tab w:val="clear" w:pos="8459"/>
              <w:tab w:val="right" w:pos="9026" w:leader="dot"/>
            </w:tabs>
            <w:rPr/>
          </w:pPr>
          <w:hyperlink w:anchor="__RefHeading___Toc7507486_3381743652">
            <w:r>
              <w:rPr>
                <w:webHidden/>
                <w:rStyle w:val="IndexLink"/>
                <w:rtl w:val="true"/>
              </w:rPr>
              <w:t>الأوّل</w:t>
            </w:r>
            <w:r>
              <w:rPr>
                <w:rStyle w:val="IndexLink"/>
                <w:rtl w:val="true"/>
              </w:rPr>
              <w:t xml:space="preserve">: </w:t>
            </w:r>
            <w:r>
              <w:rPr>
                <w:rStyle w:val="IndexLink"/>
                <w:rtl w:val="true"/>
              </w:rPr>
              <w:t>تعارض الأدلّة من المسائل الأُصولية</w:t>
            </w:r>
            <w:r>
              <w:rPr>
                <w:rStyle w:val="IndexLink"/>
                <w:rtl w:val="true"/>
              </w:rPr>
              <w:tab/>
            </w:r>
            <w:r>
              <w:rPr>
                <w:rStyle w:val="IndexLink"/>
              </w:rPr>
              <w:t>447</w:t>
            </w:r>
          </w:hyperlink>
        </w:p>
        <w:p>
          <w:pPr>
            <w:pStyle w:val="Contents3"/>
            <w:tabs>
              <w:tab w:val="clear" w:pos="8459"/>
              <w:tab w:val="right" w:pos="9026" w:leader="dot"/>
            </w:tabs>
            <w:rPr/>
          </w:pPr>
          <w:hyperlink w:anchor="__RefHeading___Toc7507488_3381743652">
            <w:r>
              <w:rPr>
                <w:webHidden/>
                <w:rStyle w:val="IndexLink"/>
                <w:rtl w:val="true"/>
              </w:rPr>
              <w:t>الثاني</w:t>
            </w:r>
            <w:r>
              <w:rPr>
                <w:rStyle w:val="IndexLink"/>
                <w:rtl w:val="true"/>
              </w:rPr>
              <w:t xml:space="preserve">: </w:t>
            </w:r>
            <w:r>
              <w:rPr>
                <w:rStyle w:val="IndexLink"/>
                <w:rtl w:val="true"/>
              </w:rPr>
              <w:t>التعارض لغة واصطلاحاً</w:t>
            </w:r>
            <w:r>
              <w:rPr>
                <w:rStyle w:val="IndexLink"/>
                <w:rtl w:val="true"/>
              </w:rPr>
              <w:tab/>
            </w:r>
            <w:r>
              <w:rPr>
                <w:rStyle w:val="IndexLink"/>
              </w:rPr>
              <w:t>448</w:t>
            </w:r>
          </w:hyperlink>
        </w:p>
        <w:p>
          <w:pPr>
            <w:pStyle w:val="Contents3"/>
            <w:tabs>
              <w:tab w:val="clear" w:pos="8459"/>
              <w:tab w:val="right" w:pos="9026" w:leader="dot"/>
            </w:tabs>
            <w:rPr/>
          </w:pPr>
          <w:hyperlink w:anchor="__RefHeading___Toc7507490_3381743652">
            <w:r>
              <w:rPr>
                <w:webHidden/>
                <w:rStyle w:val="IndexLink"/>
                <w:rtl w:val="true"/>
              </w:rPr>
              <w:t>الأمر الثالث</w:t>
            </w:r>
            <w:r>
              <w:rPr>
                <w:rStyle w:val="IndexLink"/>
                <w:rtl w:val="true"/>
              </w:rPr>
              <w:t xml:space="preserve">: </w:t>
            </w:r>
            <w:r>
              <w:rPr>
                <w:rStyle w:val="IndexLink"/>
                <w:rtl w:val="true"/>
              </w:rPr>
              <w:t>الفرق بين التعارض والتزاحم</w:t>
            </w:r>
            <w:r>
              <w:rPr>
                <w:rStyle w:val="IndexLink"/>
                <w:rtl w:val="true"/>
              </w:rPr>
              <w:tab/>
            </w:r>
            <w:r>
              <w:rPr>
                <w:rStyle w:val="IndexLink"/>
              </w:rPr>
              <w:t>450</w:t>
            </w:r>
          </w:hyperlink>
        </w:p>
        <w:p>
          <w:pPr>
            <w:pStyle w:val="Contents3"/>
            <w:tabs>
              <w:tab w:val="clear" w:pos="8459"/>
              <w:tab w:val="right" w:pos="9026" w:leader="dot"/>
            </w:tabs>
            <w:rPr/>
          </w:pPr>
          <w:hyperlink w:anchor="__RefHeading___Toc7507492_3381743652">
            <w:r>
              <w:rPr>
                <w:webHidden/>
                <w:rStyle w:val="IndexLink"/>
                <w:rtl w:val="true"/>
              </w:rPr>
              <w:t>الأمر الرابع</w:t>
            </w:r>
            <w:r>
              <w:rPr>
                <w:rStyle w:val="IndexLink"/>
                <w:rtl w:val="true"/>
              </w:rPr>
              <w:t xml:space="preserve">: </w:t>
            </w:r>
            <w:r>
              <w:rPr>
                <w:rStyle w:val="IndexLink"/>
                <w:rtl w:val="true"/>
              </w:rPr>
              <w:t>أقسام التزاحم</w:t>
            </w:r>
            <w:r>
              <w:rPr>
                <w:rStyle w:val="IndexLink"/>
                <w:rtl w:val="true"/>
              </w:rPr>
              <w:tab/>
            </w:r>
            <w:r>
              <w:rPr>
                <w:rStyle w:val="IndexLink"/>
              </w:rPr>
              <w:t>452</w:t>
            </w:r>
          </w:hyperlink>
        </w:p>
        <w:p>
          <w:pPr>
            <w:pStyle w:val="Contents3"/>
            <w:tabs>
              <w:tab w:val="clear" w:pos="8459"/>
              <w:tab w:val="right" w:pos="9026" w:leader="dot"/>
            </w:tabs>
            <w:rPr/>
          </w:pPr>
          <w:hyperlink w:anchor="__RefHeading___Toc7507494_3381743652">
            <w:r>
              <w:rPr>
                <w:webHidden/>
                <w:rStyle w:val="IndexLink"/>
                <w:rtl w:val="true"/>
              </w:rPr>
              <w:t>الخامس</w:t>
            </w:r>
            <w:r>
              <w:rPr>
                <w:rStyle w:val="IndexLink"/>
                <w:rtl w:val="true"/>
              </w:rPr>
              <w:t xml:space="preserve">: </w:t>
            </w:r>
            <w:r>
              <w:rPr>
                <w:rStyle w:val="IndexLink"/>
                <w:rtl w:val="true"/>
              </w:rPr>
              <w:t>أسباب التزاحم</w:t>
            </w:r>
            <w:r>
              <w:rPr>
                <w:rStyle w:val="IndexLink"/>
                <w:rtl w:val="true"/>
              </w:rPr>
              <w:tab/>
            </w:r>
            <w:r>
              <w:rPr>
                <w:rStyle w:val="IndexLink"/>
              </w:rPr>
              <w:t>453</w:t>
            </w:r>
          </w:hyperlink>
        </w:p>
        <w:p>
          <w:pPr>
            <w:pStyle w:val="Contents3"/>
            <w:tabs>
              <w:tab w:val="clear" w:pos="8459"/>
              <w:tab w:val="right" w:pos="9026" w:leader="dot"/>
            </w:tabs>
            <w:rPr/>
          </w:pPr>
          <w:hyperlink w:anchor="__RefHeading___Toc7507496_3381743652">
            <w:r>
              <w:rPr>
                <w:webHidden/>
                <w:rStyle w:val="IndexLink"/>
                <w:rtl w:val="true"/>
              </w:rPr>
              <w:t>السادس</w:t>
            </w:r>
            <w:r>
              <w:rPr>
                <w:rStyle w:val="IndexLink"/>
                <w:rtl w:val="true"/>
              </w:rPr>
              <w:t xml:space="preserve">: </w:t>
            </w:r>
            <w:r>
              <w:rPr>
                <w:rStyle w:val="IndexLink"/>
                <w:rtl w:val="true"/>
              </w:rPr>
              <w:t>في مرجّحات التزاحم</w:t>
            </w:r>
            <w:r>
              <w:rPr>
                <w:rStyle w:val="IndexLink"/>
                <w:rtl w:val="true"/>
              </w:rPr>
              <w:tab/>
            </w:r>
            <w:r>
              <w:rPr>
                <w:rStyle w:val="IndexLink"/>
              </w:rPr>
              <w:t>454</w:t>
            </w:r>
          </w:hyperlink>
        </w:p>
        <w:p>
          <w:pPr>
            <w:pStyle w:val="Contents4"/>
            <w:tabs>
              <w:tab w:val="clear" w:pos="8176"/>
              <w:tab w:val="right" w:pos="9026" w:leader="dot"/>
            </w:tabs>
            <w:rPr/>
          </w:pPr>
          <w:hyperlink w:anchor="__RefHeading___Toc7507498_3381743652">
            <w:r>
              <w:rPr>
                <w:webHidden/>
                <w:rStyle w:val="IndexLink"/>
                <w:rtl w:val="true"/>
              </w:rPr>
              <w:t>اشارة</w:t>
            </w:r>
            <w:r>
              <w:rPr>
                <w:rStyle w:val="IndexLink"/>
                <w:rtl w:val="true"/>
              </w:rPr>
              <w:tab/>
            </w:r>
            <w:r>
              <w:rPr>
                <w:rStyle w:val="IndexLink"/>
              </w:rPr>
              <w:t>454</w:t>
            </w:r>
          </w:hyperlink>
        </w:p>
        <w:p>
          <w:pPr>
            <w:pStyle w:val="Contents4"/>
            <w:tabs>
              <w:tab w:val="clear" w:pos="8176"/>
              <w:tab w:val="right" w:pos="9026" w:leader="dot"/>
            </w:tabs>
            <w:rPr/>
          </w:pPr>
          <w:hyperlink w:anchor="__RefHeading___Toc7507500_3381743652">
            <w:r>
              <w:rPr>
                <w:webHidden/>
                <w:rStyle w:val="IndexLink"/>
              </w:rPr>
              <w:t>1</w:t>
            </w:r>
            <w:r>
              <w:rPr>
                <w:rStyle w:val="IndexLink"/>
                <w:rtl w:val="true"/>
              </w:rPr>
              <w:t xml:space="preserve">. </w:t>
            </w:r>
            <w:r>
              <w:rPr>
                <w:rStyle w:val="IndexLink"/>
                <w:rtl w:val="true"/>
              </w:rPr>
              <w:t>تقديم مالا بدل له على ما له بدل</w:t>
            </w:r>
            <w:r>
              <w:rPr>
                <w:rStyle w:val="IndexLink"/>
                <w:rtl w:val="true"/>
              </w:rPr>
              <w:tab/>
            </w:r>
            <w:r>
              <w:rPr>
                <w:rStyle w:val="IndexLink"/>
              </w:rPr>
              <w:t>455</w:t>
            </w:r>
          </w:hyperlink>
        </w:p>
        <w:p>
          <w:pPr>
            <w:pStyle w:val="Contents4"/>
            <w:tabs>
              <w:tab w:val="clear" w:pos="8176"/>
              <w:tab w:val="right" w:pos="9026" w:leader="dot"/>
            </w:tabs>
            <w:rPr/>
          </w:pPr>
          <w:hyperlink w:anchor="__RefHeading___Toc7507502_3381743652">
            <w:r>
              <w:rPr>
                <w:webHidden/>
                <w:rStyle w:val="IndexLink"/>
              </w:rPr>
              <w:t>2</w:t>
            </w:r>
            <w:r>
              <w:rPr>
                <w:rStyle w:val="IndexLink"/>
                <w:rtl w:val="true"/>
              </w:rPr>
              <w:t xml:space="preserve">. </w:t>
            </w:r>
            <w:r>
              <w:rPr>
                <w:rStyle w:val="IndexLink"/>
                <w:rtl w:val="true"/>
              </w:rPr>
              <w:t>تقديم المضيّق على الموسع</w:t>
            </w:r>
            <w:r>
              <w:rPr>
                <w:rStyle w:val="IndexLink"/>
                <w:rtl w:val="true"/>
              </w:rPr>
              <w:tab/>
            </w:r>
            <w:r>
              <w:rPr>
                <w:rStyle w:val="IndexLink"/>
              </w:rPr>
              <w:t>455</w:t>
            </w:r>
          </w:hyperlink>
        </w:p>
        <w:p>
          <w:pPr>
            <w:pStyle w:val="Contents4"/>
            <w:tabs>
              <w:tab w:val="clear" w:pos="8176"/>
              <w:tab w:val="right" w:pos="9026" w:leader="dot"/>
            </w:tabs>
            <w:rPr/>
          </w:pPr>
          <w:hyperlink w:anchor="__RefHeading___Toc7507504_3381743652">
            <w:r>
              <w:rPr>
                <w:webHidden/>
                <w:rStyle w:val="IndexLink"/>
              </w:rPr>
              <w:t>3</w:t>
            </w:r>
            <w:r>
              <w:rPr>
                <w:rStyle w:val="IndexLink"/>
                <w:rtl w:val="true"/>
              </w:rPr>
              <w:t xml:space="preserve">. </w:t>
            </w:r>
            <w:r>
              <w:rPr>
                <w:rStyle w:val="IndexLink"/>
                <w:rtl w:val="true"/>
              </w:rPr>
              <w:t>تقديم الأهم من المتزاحمين على المهم</w:t>
            </w:r>
            <w:r>
              <w:rPr>
                <w:rStyle w:val="IndexLink"/>
                <w:rtl w:val="true"/>
              </w:rPr>
              <w:tab/>
            </w:r>
            <w:r>
              <w:rPr>
                <w:rStyle w:val="IndexLink"/>
              </w:rPr>
              <w:t>456</w:t>
            </w:r>
          </w:hyperlink>
        </w:p>
        <w:p>
          <w:pPr>
            <w:pStyle w:val="Contents4"/>
            <w:tabs>
              <w:tab w:val="clear" w:pos="8176"/>
              <w:tab w:val="right" w:pos="9026" w:leader="dot"/>
            </w:tabs>
            <w:rPr/>
          </w:pPr>
          <w:hyperlink w:anchor="__RefHeading___Toc7507506_3381743652">
            <w:r>
              <w:rPr>
                <w:webHidden/>
                <w:rStyle w:val="IndexLink"/>
              </w:rPr>
              <w:t>4</w:t>
            </w:r>
            <w:r>
              <w:rPr>
                <w:rStyle w:val="IndexLink"/>
                <w:rtl w:val="true"/>
              </w:rPr>
              <w:t xml:space="preserve">. </w:t>
            </w:r>
            <w:r>
              <w:rPr>
                <w:rStyle w:val="IndexLink"/>
                <w:rtl w:val="true"/>
              </w:rPr>
              <w:t>سبق امتثال أحد الحكمين زماناً</w:t>
            </w:r>
            <w:r>
              <w:rPr>
                <w:rStyle w:val="IndexLink"/>
                <w:rtl w:val="true"/>
              </w:rPr>
              <w:tab/>
            </w:r>
            <w:r>
              <w:rPr>
                <w:rStyle w:val="IndexLink"/>
              </w:rPr>
              <w:t>456</w:t>
            </w:r>
          </w:hyperlink>
        </w:p>
        <w:p>
          <w:pPr>
            <w:pStyle w:val="Contents4"/>
            <w:tabs>
              <w:tab w:val="clear" w:pos="8176"/>
              <w:tab w:val="right" w:pos="9026" w:leader="dot"/>
            </w:tabs>
            <w:rPr/>
          </w:pPr>
          <w:hyperlink w:anchor="__RefHeading___Toc7507508_3381743652">
            <w:r>
              <w:rPr>
                <w:webHidden/>
                <w:rStyle w:val="IndexLink"/>
              </w:rPr>
              <w:t>5</w:t>
            </w:r>
            <w:r>
              <w:rPr>
                <w:rStyle w:val="IndexLink"/>
                <w:rtl w:val="true"/>
              </w:rPr>
              <w:t xml:space="preserve">. </w:t>
            </w:r>
            <w:r>
              <w:rPr>
                <w:rStyle w:val="IndexLink"/>
                <w:rtl w:val="true"/>
              </w:rPr>
              <w:t>تقديم الواجب المطلق على المشروط</w:t>
            </w:r>
            <w:r>
              <w:rPr>
                <w:rStyle w:val="IndexLink"/>
                <w:rtl w:val="true"/>
              </w:rPr>
              <w:tab/>
            </w:r>
            <w:r>
              <w:rPr>
                <w:rStyle w:val="IndexLink"/>
              </w:rPr>
              <w:t>457</w:t>
            </w:r>
          </w:hyperlink>
        </w:p>
        <w:p>
          <w:pPr>
            <w:pStyle w:val="Contents3"/>
            <w:tabs>
              <w:tab w:val="clear" w:pos="8459"/>
              <w:tab w:val="right" w:pos="9026" w:leader="dot"/>
            </w:tabs>
            <w:rPr/>
          </w:pPr>
          <w:hyperlink w:anchor="__RefHeading___Toc7507510_3381743652">
            <w:r>
              <w:rPr>
                <w:webHidden/>
                <w:rStyle w:val="IndexLink"/>
                <w:rtl w:val="true"/>
              </w:rPr>
              <w:t>الأمر السابع</w:t>
            </w:r>
            <w:r>
              <w:rPr>
                <w:rStyle w:val="IndexLink"/>
                <w:rtl w:val="true"/>
              </w:rPr>
              <w:t xml:space="preserve">: </w:t>
            </w:r>
            <w:r>
              <w:rPr>
                <w:rStyle w:val="IndexLink"/>
                <w:rtl w:val="true"/>
              </w:rPr>
              <w:t>في تفسير المصطلحات الأربعة</w:t>
            </w:r>
            <w:r>
              <w:rPr>
                <w:rStyle w:val="IndexLink"/>
                <w:rtl w:val="true"/>
              </w:rPr>
              <w:tab/>
            </w:r>
            <w:r>
              <w:rPr>
                <w:rStyle w:val="IndexLink"/>
              </w:rPr>
              <w:t>459</w:t>
            </w:r>
          </w:hyperlink>
        </w:p>
        <w:p>
          <w:pPr>
            <w:pStyle w:val="Contents4"/>
            <w:tabs>
              <w:tab w:val="clear" w:pos="8176"/>
              <w:tab w:val="right" w:pos="9026" w:leader="dot"/>
            </w:tabs>
            <w:rPr/>
          </w:pPr>
          <w:hyperlink w:anchor="__RefHeading___Toc7507512_3381743652">
            <w:r>
              <w:rPr>
                <w:webHidden/>
                <w:rStyle w:val="IndexLink"/>
                <w:rtl w:val="true"/>
              </w:rPr>
              <w:t>اشارة</w:t>
            </w:r>
            <w:r>
              <w:rPr>
                <w:rStyle w:val="IndexLink"/>
                <w:rtl w:val="true"/>
              </w:rPr>
              <w:tab/>
            </w:r>
            <w:r>
              <w:rPr>
                <w:rStyle w:val="IndexLink"/>
              </w:rPr>
              <w:t>459</w:t>
            </w:r>
          </w:hyperlink>
        </w:p>
        <w:p>
          <w:pPr>
            <w:pStyle w:val="Contents4"/>
            <w:tabs>
              <w:tab w:val="clear" w:pos="8176"/>
              <w:tab w:val="right" w:pos="9026" w:leader="dot"/>
            </w:tabs>
            <w:rPr/>
          </w:pPr>
          <w:hyperlink w:anchor="__RefHeading___Toc7507514_3381743652">
            <w:r>
              <w:rPr>
                <w:webHidden/>
                <w:rStyle w:val="IndexLink"/>
              </w:rPr>
              <w:t>1</w:t>
            </w:r>
            <w:r>
              <w:rPr>
                <w:rStyle w:val="IndexLink"/>
                <w:rtl w:val="true"/>
              </w:rPr>
              <w:t xml:space="preserve">. </w:t>
            </w:r>
            <w:r>
              <w:rPr>
                <w:rStyle w:val="IndexLink"/>
                <w:rtl w:val="true"/>
              </w:rPr>
              <w:t>التخصّص</w:t>
            </w:r>
            <w:r>
              <w:rPr>
                <w:rStyle w:val="IndexLink"/>
                <w:rtl w:val="true"/>
              </w:rPr>
              <w:tab/>
            </w:r>
            <w:r>
              <w:rPr>
                <w:rStyle w:val="IndexLink"/>
              </w:rPr>
              <w:t>459</w:t>
            </w:r>
          </w:hyperlink>
        </w:p>
        <w:p>
          <w:pPr>
            <w:pStyle w:val="Contents4"/>
            <w:tabs>
              <w:tab w:val="clear" w:pos="8176"/>
              <w:tab w:val="right" w:pos="9026" w:leader="dot"/>
            </w:tabs>
            <w:rPr/>
          </w:pPr>
          <w:hyperlink w:anchor="__RefHeading___Toc7507516_3381743652">
            <w:r>
              <w:rPr>
                <w:webHidden/>
                <w:rStyle w:val="IndexLink"/>
              </w:rPr>
              <w:t>2</w:t>
            </w:r>
            <w:r>
              <w:rPr>
                <w:rStyle w:val="IndexLink"/>
                <w:rtl w:val="true"/>
              </w:rPr>
              <w:t xml:space="preserve">. </w:t>
            </w:r>
            <w:r>
              <w:rPr>
                <w:rStyle w:val="IndexLink"/>
                <w:rtl w:val="true"/>
              </w:rPr>
              <w:t>الورود</w:t>
            </w:r>
            <w:r>
              <w:rPr>
                <w:rStyle w:val="IndexLink"/>
                <w:rtl w:val="true"/>
              </w:rPr>
              <w:tab/>
            </w:r>
            <w:r>
              <w:rPr>
                <w:rStyle w:val="IndexLink"/>
              </w:rPr>
              <w:t>460</w:t>
            </w:r>
          </w:hyperlink>
        </w:p>
        <w:p>
          <w:pPr>
            <w:pStyle w:val="Contents4"/>
            <w:tabs>
              <w:tab w:val="clear" w:pos="8176"/>
              <w:tab w:val="right" w:pos="9026" w:leader="dot"/>
            </w:tabs>
            <w:rPr/>
          </w:pPr>
          <w:hyperlink w:anchor="__RefHeading___Toc7507518_3381743652">
            <w:r>
              <w:rPr>
                <w:webHidden/>
                <w:rStyle w:val="IndexLink"/>
              </w:rPr>
              <w:t>3</w:t>
            </w:r>
            <w:r>
              <w:rPr>
                <w:rStyle w:val="IndexLink"/>
                <w:rtl w:val="true"/>
              </w:rPr>
              <w:t xml:space="preserve">. </w:t>
            </w:r>
            <w:r>
              <w:rPr>
                <w:rStyle w:val="IndexLink"/>
                <w:rtl w:val="true"/>
              </w:rPr>
              <w:t>الحكومة</w:t>
            </w:r>
            <w:r>
              <w:rPr>
                <w:rStyle w:val="IndexLink"/>
                <w:rtl w:val="true"/>
              </w:rPr>
              <w:tab/>
            </w:r>
            <w:r>
              <w:rPr>
                <w:rStyle w:val="IndexLink"/>
              </w:rPr>
              <w:t>462</w:t>
            </w:r>
          </w:hyperlink>
        </w:p>
        <w:p>
          <w:pPr>
            <w:pStyle w:val="Contents4"/>
            <w:tabs>
              <w:tab w:val="clear" w:pos="8176"/>
              <w:tab w:val="right" w:pos="9026" w:leader="dot"/>
            </w:tabs>
            <w:rPr/>
          </w:pPr>
          <w:hyperlink w:anchor="__RefHeading___Toc7507520_3381743652">
            <w:r>
              <w:rPr>
                <w:webHidden/>
                <w:rStyle w:val="IndexLink"/>
              </w:rPr>
              <w:t>4</w:t>
            </w:r>
            <w:r>
              <w:rPr>
                <w:rStyle w:val="IndexLink"/>
                <w:rtl w:val="true"/>
              </w:rPr>
              <w:t xml:space="preserve">. </w:t>
            </w:r>
            <w:r>
              <w:rPr>
                <w:rStyle w:val="IndexLink"/>
                <w:rtl w:val="true"/>
              </w:rPr>
              <w:t>التخصيص</w:t>
            </w:r>
            <w:r>
              <w:rPr>
                <w:rStyle w:val="IndexLink"/>
                <w:rtl w:val="true"/>
              </w:rPr>
              <w:tab/>
            </w:r>
            <w:r>
              <w:rPr>
                <w:rStyle w:val="IndexLink"/>
              </w:rPr>
              <w:t>465</w:t>
            </w:r>
          </w:hyperlink>
        </w:p>
        <w:p>
          <w:pPr>
            <w:pStyle w:val="Contents5"/>
            <w:tabs>
              <w:tab w:val="clear" w:pos="7892"/>
              <w:tab w:val="right" w:pos="9026" w:leader="dot"/>
            </w:tabs>
            <w:rPr/>
          </w:pPr>
          <w:hyperlink w:anchor="__RefHeading___Toc7507522_3381743652">
            <w:r>
              <w:rPr>
                <w:webHidden/>
                <w:rStyle w:val="IndexLink"/>
                <w:rtl w:val="true"/>
              </w:rPr>
              <w:t>اشارة</w:t>
            </w:r>
            <w:r>
              <w:rPr>
                <w:rStyle w:val="IndexLink"/>
                <w:rtl w:val="true"/>
              </w:rPr>
              <w:tab/>
            </w:r>
            <w:r>
              <w:rPr>
                <w:rStyle w:val="IndexLink"/>
              </w:rPr>
              <w:t>465</w:t>
            </w:r>
          </w:hyperlink>
        </w:p>
        <w:p>
          <w:pPr>
            <w:pStyle w:val="Contents5"/>
            <w:tabs>
              <w:tab w:val="clear" w:pos="7892"/>
              <w:tab w:val="right" w:pos="9026" w:leader="dot"/>
            </w:tabs>
            <w:rPr/>
          </w:pPr>
          <w:hyperlink w:anchor="__RefHeading___Toc7507524_3381743652">
            <w:r>
              <w:rPr>
                <w:webHidden/>
                <w:rStyle w:val="IndexLink"/>
                <w:rtl w:val="true"/>
              </w:rPr>
              <w:t>وجه تقدّم الخاص على العام</w:t>
            </w:r>
            <w:r>
              <w:rPr>
                <w:rStyle w:val="IndexLink"/>
                <w:rtl w:val="true"/>
              </w:rPr>
              <w:tab/>
            </w:r>
            <w:r>
              <w:rPr>
                <w:rStyle w:val="IndexLink"/>
              </w:rPr>
              <w:t>466</w:t>
            </w:r>
          </w:hyperlink>
        </w:p>
        <w:p>
          <w:pPr>
            <w:pStyle w:val="Contents3"/>
            <w:tabs>
              <w:tab w:val="clear" w:pos="8459"/>
              <w:tab w:val="right" w:pos="9026" w:leader="dot"/>
            </w:tabs>
            <w:rPr/>
          </w:pPr>
          <w:hyperlink w:anchor="__RefHeading___Toc7507526_3381743652">
            <w:r>
              <w:rPr>
                <w:webHidden/>
                <w:rStyle w:val="IndexLink"/>
                <w:rtl w:val="true"/>
              </w:rPr>
              <w:t>الأمر الثامن</w:t>
            </w:r>
            <w:r>
              <w:rPr>
                <w:rStyle w:val="IndexLink"/>
                <w:rtl w:val="true"/>
              </w:rPr>
              <w:t xml:space="preserve">: </w:t>
            </w:r>
            <w:r>
              <w:rPr>
                <w:rStyle w:val="IndexLink"/>
                <w:rtl w:val="true"/>
              </w:rPr>
              <w:t>ما هو السبب لوجود الروايات المتعارضة؟</w:t>
            </w:r>
            <w:r>
              <w:rPr>
                <w:rStyle w:val="IndexLink"/>
                <w:rtl w:val="true"/>
              </w:rPr>
              <w:tab/>
            </w:r>
            <w:r>
              <w:rPr>
                <w:rStyle w:val="IndexLink"/>
              </w:rPr>
              <w:t>468</w:t>
            </w:r>
          </w:hyperlink>
        </w:p>
        <w:p>
          <w:pPr>
            <w:pStyle w:val="Contents4"/>
            <w:tabs>
              <w:tab w:val="clear" w:pos="8176"/>
              <w:tab w:val="right" w:pos="9026" w:leader="dot"/>
            </w:tabs>
            <w:rPr/>
          </w:pPr>
          <w:hyperlink w:anchor="__RefHeading___Toc7507528_3381743652">
            <w:r>
              <w:rPr>
                <w:webHidden/>
                <w:rStyle w:val="IndexLink"/>
                <w:rtl w:val="true"/>
              </w:rPr>
              <w:t>اشارة</w:t>
            </w:r>
            <w:r>
              <w:rPr>
                <w:rStyle w:val="IndexLink"/>
                <w:rtl w:val="true"/>
              </w:rPr>
              <w:tab/>
            </w:r>
            <w:r>
              <w:rPr>
                <w:rStyle w:val="IndexLink"/>
              </w:rPr>
              <w:t>468</w:t>
            </w:r>
          </w:hyperlink>
        </w:p>
        <w:p>
          <w:pPr>
            <w:pStyle w:val="Contents4"/>
            <w:tabs>
              <w:tab w:val="clear" w:pos="8176"/>
              <w:tab w:val="right" w:pos="9026" w:leader="dot"/>
            </w:tabs>
            <w:rPr/>
          </w:pPr>
          <w:hyperlink w:anchor="__RefHeading___Toc7507530_3381743652">
            <w:r>
              <w:rPr>
                <w:webHidden/>
                <w:rStyle w:val="IndexLink"/>
              </w:rPr>
              <w:t>1</w:t>
            </w:r>
            <w:r>
              <w:rPr>
                <w:rStyle w:val="IndexLink"/>
                <w:rtl w:val="true"/>
              </w:rPr>
              <w:t xml:space="preserve">. </w:t>
            </w:r>
            <w:r>
              <w:rPr>
                <w:rStyle w:val="IndexLink"/>
                <w:rtl w:val="true"/>
              </w:rPr>
              <w:t>حدوث التقطيع في الروايات</w:t>
            </w:r>
            <w:r>
              <w:rPr>
                <w:rStyle w:val="IndexLink"/>
                <w:rtl w:val="true"/>
              </w:rPr>
              <w:tab/>
            </w:r>
            <w:r>
              <w:rPr>
                <w:rStyle w:val="IndexLink"/>
              </w:rPr>
              <w:t>469</w:t>
            </w:r>
          </w:hyperlink>
        </w:p>
        <w:p>
          <w:pPr>
            <w:pStyle w:val="Contents4"/>
            <w:tabs>
              <w:tab w:val="clear" w:pos="8176"/>
              <w:tab w:val="right" w:pos="9026" w:leader="dot"/>
            </w:tabs>
            <w:rPr/>
          </w:pPr>
          <w:hyperlink w:anchor="__RefHeading___Toc7507532_3381743652">
            <w:r>
              <w:rPr>
                <w:webHidden/>
                <w:rStyle w:val="IndexLink"/>
              </w:rPr>
              <w:t>2</w:t>
            </w:r>
            <w:r>
              <w:rPr>
                <w:rStyle w:val="IndexLink"/>
                <w:rtl w:val="true"/>
              </w:rPr>
              <w:t xml:space="preserve">. </w:t>
            </w:r>
            <w:r>
              <w:rPr>
                <w:rStyle w:val="IndexLink"/>
                <w:rtl w:val="true"/>
              </w:rPr>
              <w:t>أخذ عرف الراوي بنظر الاعتبار</w:t>
            </w:r>
            <w:r>
              <w:rPr>
                <w:rStyle w:val="IndexLink"/>
                <w:rtl w:val="true"/>
              </w:rPr>
              <w:tab/>
            </w:r>
            <w:r>
              <w:rPr>
                <w:rStyle w:val="IndexLink"/>
              </w:rPr>
              <w:t>470</w:t>
            </w:r>
          </w:hyperlink>
        </w:p>
        <w:p>
          <w:pPr>
            <w:pStyle w:val="Contents4"/>
            <w:tabs>
              <w:tab w:val="clear" w:pos="8176"/>
              <w:tab w:val="right" w:pos="9026" w:leader="dot"/>
            </w:tabs>
            <w:rPr/>
          </w:pPr>
          <w:hyperlink w:anchor="__RefHeading___Toc7507534_3381743652">
            <w:r>
              <w:rPr>
                <w:webHidden/>
                <w:rStyle w:val="IndexLink"/>
              </w:rPr>
              <w:t>3</w:t>
            </w:r>
            <w:r>
              <w:rPr>
                <w:rStyle w:val="IndexLink"/>
                <w:rtl w:val="true"/>
              </w:rPr>
              <w:t xml:space="preserve">. </w:t>
            </w:r>
            <w:r>
              <w:rPr>
                <w:rStyle w:val="IndexLink"/>
                <w:rtl w:val="true"/>
              </w:rPr>
              <w:t>ملاحظة مصلحة الراوي حين الإفتاء</w:t>
            </w:r>
            <w:r>
              <w:rPr>
                <w:rStyle w:val="IndexLink"/>
                <w:rtl w:val="true"/>
              </w:rPr>
              <w:tab/>
            </w:r>
            <w:r>
              <w:rPr>
                <w:rStyle w:val="IndexLink"/>
              </w:rPr>
              <w:t>471</w:t>
            </w:r>
          </w:hyperlink>
        </w:p>
        <w:p>
          <w:pPr>
            <w:pStyle w:val="Contents4"/>
            <w:tabs>
              <w:tab w:val="clear" w:pos="8176"/>
              <w:tab w:val="right" w:pos="9026" w:leader="dot"/>
            </w:tabs>
            <w:rPr/>
          </w:pPr>
          <w:hyperlink w:anchor="__RefHeading___Toc7507536_3381743652">
            <w:r>
              <w:rPr>
                <w:webHidden/>
                <w:rStyle w:val="IndexLink"/>
              </w:rPr>
              <w:t>4</w:t>
            </w:r>
            <w:r>
              <w:rPr>
                <w:rStyle w:val="IndexLink"/>
                <w:rtl w:val="true"/>
              </w:rPr>
              <w:t xml:space="preserve">. </w:t>
            </w:r>
            <w:r>
              <w:rPr>
                <w:rStyle w:val="IndexLink"/>
                <w:rtl w:val="true"/>
              </w:rPr>
              <w:t>الدسّ والتزوير في الروايات</w:t>
            </w:r>
            <w:r>
              <w:rPr>
                <w:rStyle w:val="IndexLink"/>
                <w:rtl w:val="true"/>
              </w:rPr>
              <w:tab/>
            </w:r>
            <w:r>
              <w:rPr>
                <w:rStyle w:val="IndexLink"/>
              </w:rPr>
              <w:t>472</w:t>
            </w:r>
          </w:hyperlink>
        </w:p>
        <w:p>
          <w:pPr>
            <w:pStyle w:val="Contents4"/>
            <w:tabs>
              <w:tab w:val="clear" w:pos="8176"/>
              <w:tab w:val="right" w:pos="9026" w:leader="dot"/>
            </w:tabs>
            <w:rPr/>
          </w:pPr>
          <w:hyperlink w:anchor="__RefHeading___Toc7507538_3381743652">
            <w:r>
              <w:rPr>
                <w:webHidden/>
                <w:rStyle w:val="IndexLink"/>
              </w:rPr>
              <w:t>5</w:t>
            </w:r>
            <w:r>
              <w:rPr>
                <w:rStyle w:val="IndexLink"/>
                <w:rtl w:val="true"/>
              </w:rPr>
              <w:t xml:space="preserve">. </w:t>
            </w:r>
            <w:r>
              <w:rPr>
                <w:rStyle w:val="IndexLink"/>
                <w:rtl w:val="true"/>
              </w:rPr>
              <w:t>النقل بالمعنى</w:t>
            </w:r>
            <w:r>
              <w:rPr>
                <w:rStyle w:val="IndexLink"/>
                <w:rtl w:val="true"/>
              </w:rPr>
              <w:tab/>
            </w:r>
            <w:r>
              <w:rPr>
                <w:rStyle w:val="IndexLink"/>
              </w:rPr>
              <w:t>473</w:t>
            </w:r>
          </w:hyperlink>
        </w:p>
        <w:p>
          <w:pPr>
            <w:pStyle w:val="Contents4"/>
            <w:tabs>
              <w:tab w:val="clear" w:pos="8176"/>
              <w:tab w:val="right" w:pos="9026" w:leader="dot"/>
            </w:tabs>
            <w:rPr/>
          </w:pPr>
          <w:hyperlink w:anchor="__RefHeading___Toc7507540_3381743652">
            <w:r>
              <w:rPr>
                <w:webHidden/>
                <w:rStyle w:val="IndexLink"/>
              </w:rPr>
              <w:t>6</w:t>
            </w:r>
            <w:r>
              <w:rPr>
                <w:rStyle w:val="IndexLink"/>
                <w:rtl w:val="true"/>
              </w:rPr>
              <w:t xml:space="preserve">. </w:t>
            </w:r>
            <w:r>
              <w:rPr>
                <w:rStyle w:val="IndexLink"/>
                <w:rtl w:val="true"/>
              </w:rPr>
              <w:t>عدم إتقان اللغة العربية</w:t>
            </w:r>
            <w:r>
              <w:rPr>
                <w:rStyle w:val="IndexLink"/>
                <w:rtl w:val="true"/>
              </w:rPr>
              <w:tab/>
            </w:r>
            <w:r>
              <w:rPr>
                <w:rStyle w:val="IndexLink"/>
              </w:rPr>
              <w:t>474</w:t>
            </w:r>
          </w:hyperlink>
        </w:p>
        <w:p>
          <w:pPr>
            <w:pStyle w:val="Contents4"/>
            <w:tabs>
              <w:tab w:val="clear" w:pos="8176"/>
              <w:tab w:val="right" w:pos="9026" w:leader="dot"/>
            </w:tabs>
            <w:rPr/>
          </w:pPr>
          <w:hyperlink w:anchor="__RefHeading___Toc7507542_3381743652">
            <w:r>
              <w:rPr>
                <w:webHidden/>
                <w:rStyle w:val="IndexLink"/>
              </w:rPr>
              <w:t>7</w:t>
            </w:r>
            <w:r>
              <w:rPr>
                <w:rStyle w:val="IndexLink"/>
                <w:rtl w:val="true"/>
              </w:rPr>
              <w:t xml:space="preserve">. </w:t>
            </w:r>
            <w:r>
              <w:rPr>
                <w:rStyle w:val="IndexLink"/>
                <w:rtl w:val="true"/>
              </w:rPr>
              <w:t>التقية</w:t>
            </w:r>
            <w:r>
              <w:rPr>
                <w:rStyle w:val="IndexLink"/>
                <w:rtl w:val="true"/>
              </w:rPr>
              <w:tab/>
            </w:r>
            <w:r>
              <w:rPr>
                <w:rStyle w:val="IndexLink"/>
              </w:rPr>
              <w:t>475</w:t>
            </w:r>
          </w:hyperlink>
        </w:p>
        <w:p>
          <w:pPr>
            <w:pStyle w:val="Contents5"/>
            <w:tabs>
              <w:tab w:val="clear" w:pos="7892"/>
              <w:tab w:val="right" w:pos="9026" w:leader="dot"/>
            </w:tabs>
            <w:rPr/>
          </w:pPr>
          <w:hyperlink w:anchor="__RefHeading___Toc7507544_3381743652">
            <w:r>
              <w:rPr>
                <w:webHidden/>
                <w:rStyle w:val="IndexLink"/>
                <w:rtl w:val="true"/>
              </w:rPr>
              <w:t>اشارة</w:t>
            </w:r>
            <w:r>
              <w:rPr>
                <w:rStyle w:val="IndexLink"/>
                <w:rtl w:val="true"/>
              </w:rPr>
              <w:tab/>
            </w:r>
            <w:r>
              <w:rPr>
                <w:rStyle w:val="IndexLink"/>
              </w:rPr>
              <w:t>475</w:t>
            </w:r>
          </w:hyperlink>
        </w:p>
        <w:p>
          <w:pPr>
            <w:pStyle w:val="Contents5"/>
            <w:tabs>
              <w:tab w:val="clear" w:pos="7892"/>
              <w:tab w:val="right" w:pos="9026" w:leader="dot"/>
            </w:tabs>
            <w:rPr/>
          </w:pPr>
          <w:hyperlink w:anchor="__RefHeading___Toc7507546_3381743652">
            <w:r>
              <w:rPr>
                <w:webHidden/>
                <w:rStyle w:val="IndexLink"/>
                <w:rtl w:val="true"/>
              </w:rPr>
              <w:t>الفصل الأوّل في التعارض البدوي غير المستقر</w:t>
            </w:r>
            <w:r>
              <w:rPr>
                <w:rStyle w:val="IndexLink"/>
                <w:rtl w:val="true"/>
              </w:rPr>
              <w:tab/>
            </w:r>
            <w:r>
              <w:rPr>
                <w:rStyle w:val="IndexLink"/>
              </w:rPr>
              <w:t>479</w:t>
            </w:r>
          </w:hyperlink>
        </w:p>
        <w:p>
          <w:pPr>
            <w:pStyle w:val="Contents6"/>
            <w:tabs>
              <w:tab w:val="clear" w:pos="7609"/>
              <w:tab w:val="right" w:pos="9026" w:leader="dot"/>
            </w:tabs>
            <w:rPr/>
          </w:pPr>
          <w:hyperlink w:anchor="__RefHeading___Toc7507548_3381743652">
            <w:r>
              <w:rPr>
                <w:webHidden/>
                <w:rStyle w:val="IndexLink"/>
                <w:rtl w:val="true"/>
              </w:rPr>
              <w:t>اشارة</w:t>
            </w:r>
            <w:r>
              <w:rPr>
                <w:rStyle w:val="IndexLink"/>
                <w:rtl w:val="true"/>
              </w:rPr>
              <w:tab/>
            </w:r>
            <w:r>
              <w:rPr>
                <w:rStyle w:val="IndexLink"/>
              </w:rPr>
              <w:t>479</w:t>
            </w:r>
          </w:hyperlink>
        </w:p>
        <w:p>
          <w:pPr>
            <w:pStyle w:val="Contents6"/>
            <w:tabs>
              <w:tab w:val="clear" w:pos="7609"/>
              <w:tab w:val="right" w:pos="9026" w:leader="dot"/>
            </w:tabs>
            <w:rPr/>
          </w:pPr>
          <w:hyperlink w:anchor="__RefHeading___Toc7507550_3381743652">
            <w:r>
              <w:rPr>
                <w:webHidden/>
                <w:rStyle w:val="IndexLink"/>
                <w:rtl w:val="true"/>
              </w:rPr>
              <w:t>الأوّل</w:t>
            </w:r>
            <w:r>
              <w:rPr>
                <w:rStyle w:val="IndexLink"/>
                <w:rtl w:val="true"/>
              </w:rPr>
              <w:t xml:space="preserve">: </w:t>
            </w:r>
            <w:r>
              <w:rPr>
                <w:rStyle w:val="IndexLink"/>
                <w:rtl w:val="true"/>
              </w:rPr>
              <w:t xml:space="preserve">في قاعدة </w:t>
            </w:r>
            <w:r>
              <w:rPr>
                <w:rStyle w:val="IndexLink"/>
                <w:rtl w:val="true"/>
              </w:rPr>
              <w:t>«</w:t>
            </w:r>
            <w:r>
              <w:rPr>
                <w:rStyle w:val="IndexLink"/>
                <w:rtl w:val="true"/>
              </w:rPr>
              <w:t>الجمع مهما أمكن أولى من الطرح</w:t>
            </w:r>
            <w:r>
              <w:rPr>
                <w:rStyle w:val="IndexLink"/>
                <w:rtl w:val="true"/>
              </w:rPr>
              <w:t>»</w:t>
              <w:tab/>
            </w:r>
            <w:r>
              <w:rPr>
                <w:rStyle w:val="IndexLink"/>
              </w:rPr>
              <w:t>479</w:t>
            </w:r>
          </w:hyperlink>
        </w:p>
        <w:p>
          <w:pPr>
            <w:pStyle w:val="Contents6"/>
            <w:tabs>
              <w:tab w:val="clear" w:pos="7609"/>
              <w:tab w:val="right" w:pos="9026" w:leader="dot"/>
            </w:tabs>
            <w:rPr/>
          </w:pPr>
          <w:hyperlink w:anchor="__RefHeading___Toc7507552_3381743652">
            <w:r>
              <w:rPr>
                <w:webHidden/>
                <w:rStyle w:val="IndexLink"/>
                <w:rtl w:val="true"/>
              </w:rPr>
              <w:t>المبحث الثاني في شرائط الجمع الدلالي</w:t>
            </w:r>
            <w:r>
              <w:rPr>
                <w:rStyle w:val="IndexLink"/>
                <w:rtl w:val="true"/>
              </w:rPr>
              <w:tab/>
            </w:r>
            <w:r>
              <w:rPr>
                <w:rStyle w:val="IndexLink"/>
              </w:rPr>
              <w:t>482</w:t>
            </w:r>
          </w:hyperlink>
        </w:p>
        <w:p>
          <w:pPr>
            <w:pStyle w:val="Contents6"/>
            <w:tabs>
              <w:tab w:val="clear" w:pos="7609"/>
              <w:tab w:val="right" w:pos="9026" w:leader="dot"/>
            </w:tabs>
            <w:rPr/>
          </w:pPr>
          <w:hyperlink w:anchor="__RefHeading___Toc7507554_3381743652">
            <w:r>
              <w:rPr>
                <w:webHidden/>
                <w:rStyle w:val="IndexLink"/>
                <w:rtl w:val="true"/>
              </w:rPr>
              <w:t>المبحث الثالث في تقديم الأظهر على الظاهر</w:t>
            </w:r>
            <w:r>
              <w:rPr>
                <w:rStyle w:val="IndexLink"/>
                <w:rtl w:val="true"/>
              </w:rPr>
              <w:tab/>
            </w:r>
            <w:r>
              <w:rPr>
                <w:rStyle w:val="IndexLink"/>
              </w:rPr>
              <w:t>484</w:t>
            </w:r>
          </w:hyperlink>
        </w:p>
        <w:p>
          <w:pPr>
            <w:pStyle w:val="Contents6"/>
            <w:tabs>
              <w:tab w:val="clear" w:pos="7609"/>
              <w:tab w:val="right" w:pos="9026" w:leader="dot"/>
            </w:tabs>
            <w:rPr/>
          </w:pPr>
          <w:hyperlink w:anchor="__RefHeading___Toc7507556_3381743652">
            <w:r>
              <w:rPr>
                <w:webHidden/>
                <w:rStyle w:val="IndexLink"/>
                <w:rtl w:val="true"/>
              </w:rPr>
              <w:t>أ</w:t>
            </w:r>
            <w:r>
              <w:rPr>
                <w:rStyle w:val="IndexLink"/>
                <w:rtl w:val="true"/>
              </w:rPr>
              <w:t xml:space="preserve">. </w:t>
            </w:r>
            <w:r>
              <w:rPr>
                <w:rStyle w:val="IndexLink"/>
                <w:rtl w:val="true"/>
              </w:rPr>
              <w:t>إذا دار الأمر بين تخصيص العام وتقييد المطلق</w:t>
            </w:r>
            <w:r>
              <w:rPr>
                <w:rStyle w:val="IndexLink"/>
                <w:rtl w:val="true"/>
              </w:rPr>
              <w:tab/>
            </w:r>
            <w:r>
              <w:rPr>
                <w:rStyle w:val="IndexLink"/>
              </w:rPr>
              <w:t>485</w:t>
            </w:r>
          </w:hyperlink>
        </w:p>
        <w:p>
          <w:pPr>
            <w:pStyle w:val="Contents6"/>
            <w:tabs>
              <w:tab w:val="clear" w:pos="7609"/>
              <w:tab w:val="right" w:pos="9026" w:leader="dot"/>
            </w:tabs>
            <w:rPr/>
          </w:pPr>
          <w:hyperlink w:anchor="__RefHeading___Toc7507558_3381743652">
            <w:r>
              <w:rPr>
                <w:webHidden/>
                <w:rStyle w:val="IndexLink"/>
                <w:rtl w:val="true"/>
              </w:rPr>
              <w:t>ب</w:t>
            </w:r>
            <w:r>
              <w:rPr>
                <w:rStyle w:val="IndexLink"/>
                <w:rtl w:val="true"/>
              </w:rPr>
              <w:t xml:space="preserve">. </w:t>
            </w:r>
            <w:r>
              <w:rPr>
                <w:rStyle w:val="IndexLink"/>
                <w:rtl w:val="true"/>
              </w:rPr>
              <w:t>دوران الأمر بين التصرّف في الإطلاق الشمولي أو البدلي</w:t>
            </w:r>
            <w:r>
              <w:rPr>
                <w:rStyle w:val="IndexLink"/>
                <w:rtl w:val="true"/>
              </w:rPr>
              <w:tab/>
            </w:r>
            <w:r>
              <w:rPr>
                <w:rStyle w:val="IndexLink"/>
              </w:rPr>
              <w:t>487</w:t>
            </w:r>
          </w:hyperlink>
        </w:p>
        <w:p>
          <w:pPr>
            <w:pStyle w:val="Contents6"/>
            <w:tabs>
              <w:tab w:val="clear" w:pos="7609"/>
              <w:tab w:val="right" w:pos="9026" w:leader="dot"/>
            </w:tabs>
            <w:rPr/>
          </w:pPr>
          <w:hyperlink w:anchor="__RefHeading___Toc7507560_3381743652">
            <w:r>
              <w:rPr>
                <w:webHidden/>
                <w:rStyle w:val="IndexLink"/>
                <w:rtl w:val="true"/>
              </w:rPr>
              <w:t>ج</w:t>
            </w:r>
            <w:r>
              <w:rPr>
                <w:rStyle w:val="IndexLink"/>
                <w:rtl w:val="true"/>
              </w:rPr>
              <w:t xml:space="preserve">. </w:t>
            </w:r>
            <w:r>
              <w:rPr>
                <w:rStyle w:val="IndexLink"/>
                <w:rtl w:val="true"/>
              </w:rPr>
              <w:t>في دوران الأمر بين التخصيص والنسخ</w:t>
            </w:r>
            <w:r>
              <w:rPr>
                <w:rStyle w:val="IndexLink"/>
                <w:rtl w:val="true"/>
              </w:rPr>
              <w:tab/>
            </w:r>
            <w:r>
              <w:rPr>
                <w:rStyle w:val="IndexLink"/>
              </w:rPr>
              <w:t>490</w:t>
            </w:r>
          </w:hyperlink>
        </w:p>
        <w:p>
          <w:pPr>
            <w:pStyle w:val="Contents6"/>
            <w:tabs>
              <w:tab w:val="clear" w:pos="7609"/>
              <w:tab w:val="right" w:pos="9026" w:leader="dot"/>
            </w:tabs>
            <w:rPr/>
          </w:pPr>
          <w:hyperlink w:anchor="__RefHeading___Toc7507562_3381743652">
            <w:r>
              <w:rPr>
                <w:webHidden/>
                <w:rStyle w:val="IndexLink"/>
                <w:rtl w:val="true"/>
              </w:rPr>
              <w:t>د</w:t>
            </w:r>
            <w:r>
              <w:rPr>
                <w:rStyle w:val="IndexLink"/>
                <w:rtl w:val="true"/>
              </w:rPr>
              <w:t xml:space="preserve">. </w:t>
            </w:r>
            <w:r>
              <w:rPr>
                <w:rStyle w:val="IndexLink"/>
                <w:rtl w:val="true"/>
              </w:rPr>
              <w:t>إذا كان لأحد الدليلين قدر متيقّن</w:t>
            </w:r>
            <w:r>
              <w:rPr>
                <w:rStyle w:val="IndexLink"/>
                <w:rtl w:val="true"/>
              </w:rPr>
              <w:tab/>
            </w:r>
            <w:r>
              <w:rPr>
                <w:rStyle w:val="IndexLink"/>
              </w:rPr>
              <w:t>495</w:t>
            </w:r>
          </w:hyperlink>
        </w:p>
        <w:p>
          <w:pPr>
            <w:pStyle w:val="Contents6"/>
            <w:tabs>
              <w:tab w:val="clear" w:pos="7609"/>
              <w:tab w:val="right" w:pos="9026" w:leader="dot"/>
            </w:tabs>
            <w:rPr/>
          </w:pPr>
          <w:hyperlink w:anchor="__RefHeading___Toc7507564_3381743652">
            <w:r>
              <w:rPr>
                <w:webHidden/>
                <w:rStyle w:val="IndexLink"/>
                <w:rtl w:val="true"/>
              </w:rPr>
              <w:t>ه</w:t>
            </w:r>
            <w:r>
              <w:rPr>
                <w:rStyle w:val="IndexLink"/>
                <w:rtl w:val="true"/>
              </w:rPr>
              <w:t xml:space="preserve">. </w:t>
            </w:r>
            <w:r>
              <w:rPr>
                <w:rStyle w:val="IndexLink"/>
                <w:rtl w:val="true"/>
              </w:rPr>
              <w:t>إذا كان التخصيص في أحد المتعارضين مستهجناً</w:t>
            </w:r>
            <w:r>
              <w:rPr>
                <w:rStyle w:val="IndexLink"/>
                <w:rtl w:val="true"/>
              </w:rPr>
              <w:tab/>
            </w:r>
            <w:r>
              <w:rPr>
                <w:rStyle w:val="IndexLink"/>
              </w:rPr>
              <w:t>496</w:t>
            </w:r>
          </w:hyperlink>
        </w:p>
        <w:p>
          <w:pPr>
            <w:pStyle w:val="Contents6"/>
            <w:tabs>
              <w:tab w:val="clear" w:pos="7609"/>
              <w:tab w:val="right" w:pos="9026" w:leader="dot"/>
            </w:tabs>
            <w:rPr/>
          </w:pPr>
          <w:hyperlink w:anchor="__RefHeading___Toc7507566_3381743652">
            <w:r>
              <w:rPr>
                <w:webHidden/>
                <w:rStyle w:val="IndexLink"/>
                <w:rtl w:val="true"/>
              </w:rPr>
              <w:t>و</w:t>
            </w:r>
            <w:r>
              <w:rPr>
                <w:rStyle w:val="IndexLink"/>
                <w:rtl w:val="true"/>
              </w:rPr>
              <w:t xml:space="preserve">. </w:t>
            </w:r>
            <w:r>
              <w:rPr>
                <w:rStyle w:val="IndexLink"/>
                <w:rtl w:val="true"/>
              </w:rPr>
              <w:t>دوران الأمر بين التقييد وحمل الأمر على الاستحباب</w:t>
            </w:r>
            <w:r>
              <w:rPr>
                <w:rStyle w:val="IndexLink"/>
                <w:rtl w:val="true"/>
              </w:rPr>
              <w:tab/>
            </w:r>
            <w:r>
              <w:rPr>
                <w:rStyle w:val="IndexLink"/>
              </w:rPr>
              <w:t>496</w:t>
            </w:r>
          </w:hyperlink>
        </w:p>
        <w:p>
          <w:pPr>
            <w:pStyle w:val="Contents6"/>
            <w:tabs>
              <w:tab w:val="clear" w:pos="7609"/>
              <w:tab w:val="right" w:pos="9026" w:leader="dot"/>
            </w:tabs>
            <w:rPr/>
          </w:pPr>
          <w:hyperlink w:anchor="__RefHeading___Toc7507568_3381743652">
            <w:r>
              <w:rPr>
                <w:webHidden/>
                <w:rStyle w:val="IndexLink"/>
                <w:rtl w:val="true"/>
              </w:rPr>
              <w:t>المبحث الرابع التعارض في أكثر من دليلين</w:t>
            </w:r>
            <w:r>
              <w:rPr>
                <w:rStyle w:val="IndexLink"/>
                <w:rtl w:val="true"/>
              </w:rPr>
              <w:tab/>
            </w:r>
            <w:r>
              <w:rPr>
                <w:rStyle w:val="IndexLink"/>
              </w:rPr>
              <w:t>497</w:t>
            </w:r>
          </w:hyperlink>
        </w:p>
        <w:p>
          <w:pPr>
            <w:pStyle w:val="Contents6"/>
            <w:tabs>
              <w:tab w:val="clear" w:pos="7609"/>
              <w:tab w:val="right" w:pos="9026" w:leader="dot"/>
            </w:tabs>
            <w:rPr/>
          </w:pPr>
          <w:hyperlink w:anchor="__RefHeading___Toc7507570_3381743652">
            <w:r>
              <w:rPr>
                <w:webHidden/>
                <w:rStyle w:val="IndexLink"/>
                <w:rtl w:val="true"/>
              </w:rPr>
              <w:t>الموضع الأوّل</w:t>
            </w:r>
            <w:r>
              <w:rPr>
                <w:rStyle w:val="IndexLink"/>
                <w:rtl w:val="true"/>
              </w:rPr>
              <w:t xml:space="preserve">: </w:t>
            </w:r>
            <w:r>
              <w:rPr>
                <w:rStyle w:val="IndexLink"/>
                <w:rtl w:val="true"/>
              </w:rPr>
              <w:t>إذا كانت نسبتهما إلى العام متماثلة</w:t>
            </w:r>
            <w:r>
              <w:rPr>
                <w:rStyle w:val="IndexLink"/>
                <w:rtl w:val="true"/>
              </w:rPr>
              <w:tab/>
            </w:r>
            <w:r>
              <w:rPr>
                <w:rStyle w:val="IndexLink"/>
              </w:rPr>
              <w:t>498</w:t>
            </w:r>
          </w:hyperlink>
        </w:p>
        <w:p>
          <w:pPr>
            <w:pStyle w:val="Contents6"/>
            <w:tabs>
              <w:tab w:val="clear" w:pos="7609"/>
              <w:tab w:val="right" w:pos="9026" w:leader="dot"/>
            </w:tabs>
            <w:rPr/>
          </w:pPr>
          <w:hyperlink w:anchor="__RefHeading___Toc7507572_3381743652">
            <w:r>
              <w:rPr>
                <w:webHidden/>
                <w:rStyle w:val="IndexLink"/>
                <w:rtl w:val="true"/>
              </w:rPr>
              <w:t>الموضع الثاني</w:t>
            </w:r>
            <w:r>
              <w:rPr>
                <w:rStyle w:val="IndexLink"/>
                <w:rtl w:val="true"/>
              </w:rPr>
              <w:t xml:space="preserve">: </w:t>
            </w:r>
            <w:r>
              <w:rPr>
                <w:rStyle w:val="IndexLink"/>
                <w:rtl w:val="true"/>
              </w:rPr>
              <w:t>إذا كانت نسبتهما إلى العام مختلفة</w:t>
            </w:r>
            <w:r>
              <w:rPr>
                <w:rStyle w:val="IndexLink"/>
                <w:rtl w:val="true"/>
              </w:rPr>
              <w:tab/>
            </w:r>
            <w:r>
              <w:rPr>
                <w:rStyle w:val="IndexLink"/>
              </w:rPr>
              <w:t>500</w:t>
            </w:r>
          </w:hyperlink>
        </w:p>
        <w:p>
          <w:pPr>
            <w:pStyle w:val="Contents6"/>
            <w:tabs>
              <w:tab w:val="clear" w:pos="7609"/>
              <w:tab w:val="right" w:pos="9026" w:leader="dot"/>
            </w:tabs>
            <w:rPr/>
          </w:pPr>
          <w:hyperlink w:anchor="__RefHeading___Toc7507574_3381743652">
            <w:r>
              <w:rPr>
                <w:webHidden/>
                <w:rStyle w:val="IndexLink"/>
                <w:rtl w:val="true"/>
              </w:rPr>
              <w:t>الموضع الثالث</w:t>
            </w:r>
            <w:r>
              <w:rPr>
                <w:rStyle w:val="IndexLink"/>
                <w:rtl w:val="true"/>
              </w:rPr>
              <w:t xml:space="preserve">: </w:t>
            </w:r>
            <w:r>
              <w:rPr>
                <w:rStyle w:val="IndexLink"/>
                <w:rtl w:val="true"/>
              </w:rPr>
              <w:t>إذا كانت النسبة بين الجميع هي العموم والخصوص من وجه</w:t>
            </w:r>
            <w:r>
              <w:rPr>
                <w:rStyle w:val="IndexLink"/>
                <w:rtl w:val="true"/>
              </w:rPr>
              <w:tab/>
            </w:r>
            <w:r>
              <w:rPr>
                <w:rStyle w:val="IndexLink"/>
              </w:rPr>
              <w:t>501</w:t>
            </w:r>
          </w:hyperlink>
        </w:p>
        <w:p>
          <w:pPr>
            <w:pStyle w:val="Contents5"/>
            <w:tabs>
              <w:tab w:val="clear" w:pos="7892"/>
              <w:tab w:val="right" w:pos="9026" w:leader="dot"/>
            </w:tabs>
            <w:rPr/>
          </w:pPr>
          <w:hyperlink w:anchor="__RefHeading___Toc7507576_3381743652">
            <w:r>
              <w:rPr>
                <w:webHidden/>
                <w:rStyle w:val="IndexLink"/>
                <w:rtl w:val="true"/>
              </w:rPr>
              <w:t>الفصل الثاني في التعارض المستقر</w:t>
            </w:r>
            <w:r>
              <w:rPr>
                <w:rStyle w:val="IndexLink"/>
                <w:rtl w:val="true"/>
              </w:rPr>
              <w:tab/>
            </w:r>
            <w:r>
              <w:rPr>
                <w:rStyle w:val="IndexLink"/>
              </w:rPr>
              <w:t>502</w:t>
            </w:r>
          </w:hyperlink>
        </w:p>
        <w:p>
          <w:pPr>
            <w:pStyle w:val="Contents6"/>
            <w:tabs>
              <w:tab w:val="clear" w:pos="7609"/>
              <w:tab w:val="right" w:pos="9026" w:leader="dot"/>
            </w:tabs>
            <w:rPr/>
          </w:pPr>
          <w:hyperlink w:anchor="__RefHeading___Toc7507578_3381743652">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7507580_3381743652">
            <w:r>
              <w:rPr>
                <w:webHidden/>
                <w:rStyle w:val="IndexLink"/>
                <w:rtl w:val="true"/>
              </w:rPr>
              <w:t>المبحث الأوّل ما هو مقتضى القاعدة الأوّلية في المتعارضين؟</w:t>
            </w:r>
            <w:r>
              <w:rPr>
                <w:rStyle w:val="IndexLink"/>
                <w:rtl w:val="true"/>
              </w:rPr>
              <w:tab/>
            </w:r>
            <w:r>
              <w:rPr>
                <w:rStyle w:val="IndexLink"/>
              </w:rPr>
              <w:t>502</w:t>
            </w:r>
          </w:hyperlink>
        </w:p>
        <w:p>
          <w:pPr>
            <w:pStyle w:val="Contents6"/>
            <w:tabs>
              <w:tab w:val="clear" w:pos="7609"/>
              <w:tab w:val="right" w:pos="9026" w:leader="dot"/>
            </w:tabs>
            <w:rPr/>
          </w:pPr>
          <w:hyperlink w:anchor="__RefHeading___Toc7507582_3381743652">
            <w:r>
              <w:rPr>
                <w:webHidden/>
                <w:rStyle w:val="IndexLink"/>
                <w:rtl w:val="true"/>
              </w:rPr>
              <w:t>المبحث الثاني في حجّية المتعارضين في نفي الثالث</w:t>
            </w:r>
            <w:r>
              <w:rPr>
                <w:rStyle w:val="IndexLink"/>
                <w:rtl w:val="true"/>
              </w:rPr>
              <w:tab/>
            </w:r>
            <w:r>
              <w:rPr>
                <w:rStyle w:val="IndexLink"/>
              </w:rPr>
              <w:t>505</w:t>
            </w:r>
          </w:hyperlink>
        </w:p>
        <w:p>
          <w:pPr>
            <w:pStyle w:val="Contents6"/>
            <w:tabs>
              <w:tab w:val="clear" w:pos="7609"/>
              <w:tab w:val="right" w:pos="9026" w:leader="dot"/>
            </w:tabs>
            <w:rPr/>
          </w:pPr>
          <w:hyperlink w:anchor="__RefHeading___Toc7507584_3381743652">
            <w:r>
              <w:rPr>
                <w:webHidden/>
                <w:rStyle w:val="IndexLink"/>
                <w:rtl w:val="true"/>
              </w:rPr>
              <w:t>المبحث الثالث في بيان مقتضى الأصل على القول بالسببية</w:t>
            </w:r>
            <w:r>
              <w:rPr>
                <w:rStyle w:val="IndexLink"/>
                <w:rtl w:val="true"/>
              </w:rPr>
              <w:tab/>
            </w:r>
            <w:r>
              <w:rPr>
                <w:rStyle w:val="IndexLink"/>
              </w:rPr>
              <w:t>508</w:t>
            </w:r>
          </w:hyperlink>
        </w:p>
        <w:p>
          <w:pPr>
            <w:pStyle w:val="Contents6"/>
            <w:tabs>
              <w:tab w:val="clear" w:pos="7609"/>
              <w:tab w:val="right" w:pos="9026" w:leader="dot"/>
            </w:tabs>
            <w:rPr/>
          </w:pPr>
          <w:hyperlink w:anchor="__RefHeading___Toc7507586_3381743652">
            <w:r>
              <w:rPr>
                <w:webHidden/>
                <w:rStyle w:val="IndexLink"/>
                <w:rtl w:val="true"/>
              </w:rPr>
              <w:t>المبحث الرابع مقتضى القاعدة الثانوية في المتعارضين</w:t>
            </w:r>
            <w:r>
              <w:rPr>
                <w:rStyle w:val="IndexLink"/>
                <w:rtl w:val="true"/>
              </w:rPr>
              <w:tab/>
            </w:r>
            <w:r>
              <w:rPr>
                <w:rStyle w:val="IndexLink"/>
              </w:rPr>
              <w:t>514</w:t>
            </w:r>
          </w:hyperlink>
        </w:p>
        <w:p>
          <w:pPr>
            <w:pStyle w:val="Contents6"/>
            <w:tabs>
              <w:tab w:val="clear" w:pos="7609"/>
              <w:tab w:val="right" w:pos="9026" w:leader="dot"/>
            </w:tabs>
            <w:rPr/>
          </w:pPr>
          <w:hyperlink w:anchor="__RefHeading___Toc7507588_3381743652">
            <w:r>
              <w:rPr>
                <w:webHidden/>
                <w:rStyle w:val="IndexLink"/>
                <w:rtl w:val="true"/>
              </w:rPr>
              <w:t>الطائفة الأُولى</w:t>
            </w:r>
            <w:r>
              <w:rPr>
                <w:rStyle w:val="IndexLink"/>
                <w:rtl w:val="true"/>
              </w:rPr>
              <w:t xml:space="preserve">: </w:t>
            </w:r>
            <w:r>
              <w:rPr>
                <w:rStyle w:val="IndexLink"/>
                <w:rtl w:val="true"/>
              </w:rPr>
              <w:t>ما يدل على التخيير</w:t>
            </w:r>
            <w:r>
              <w:rPr>
                <w:rStyle w:val="IndexLink"/>
                <w:rtl w:val="true"/>
              </w:rPr>
              <w:tab/>
            </w:r>
            <w:r>
              <w:rPr>
                <w:rStyle w:val="IndexLink"/>
              </w:rPr>
              <w:t>515</w:t>
            </w:r>
          </w:hyperlink>
        </w:p>
        <w:p>
          <w:pPr>
            <w:pStyle w:val="Contents6"/>
            <w:tabs>
              <w:tab w:val="clear" w:pos="7609"/>
              <w:tab w:val="right" w:pos="9026" w:leader="dot"/>
            </w:tabs>
            <w:rPr/>
          </w:pPr>
          <w:hyperlink w:anchor="__RefHeading___Toc7507590_3381743652">
            <w:r>
              <w:rPr>
                <w:webHidden/>
                <w:rStyle w:val="IndexLink"/>
                <w:rtl w:val="true"/>
              </w:rPr>
              <w:t>الطائفة الثانية</w:t>
            </w:r>
            <w:r>
              <w:rPr>
                <w:rStyle w:val="IndexLink"/>
                <w:rtl w:val="true"/>
              </w:rPr>
              <w:t xml:space="preserve">: </w:t>
            </w:r>
            <w:r>
              <w:rPr>
                <w:rStyle w:val="IndexLink"/>
                <w:rtl w:val="true"/>
              </w:rPr>
              <w:t>ما يدل على التوقّف</w:t>
            </w:r>
            <w:r>
              <w:rPr>
                <w:rStyle w:val="IndexLink"/>
                <w:rtl w:val="true"/>
              </w:rPr>
              <w:tab/>
            </w:r>
            <w:r>
              <w:rPr>
                <w:rStyle w:val="IndexLink"/>
              </w:rPr>
              <w:t>521</w:t>
            </w:r>
          </w:hyperlink>
        </w:p>
        <w:p>
          <w:pPr>
            <w:pStyle w:val="Contents6"/>
            <w:tabs>
              <w:tab w:val="clear" w:pos="7609"/>
              <w:tab w:val="right" w:pos="9026" w:leader="dot"/>
            </w:tabs>
            <w:rPr/>
          </w:pPr>
          <w:hyperlink w:anchor="__RefHeading___Toc7507592_3381743652">
            <w:r>
              <w:rPr>
                <w:webHidden/>
                <w:rStyle w:val="IndexLink"/>
                <w:rtl w:val="true"/>
              </w:rPr>
              <w:t>الجمع بين الطائفتين</w:t>
            </w:r>
            <w:r>
              <w:rPr>
                <w:rStyle w:val="IndexLink"/>
                <w:rtl w:val="true"/>
              </w:rPr>
              <w:tab/>
            </w:r>
            <w:r>
              <w:rPr>
                <w:rStyle w:val="IndexLink"/>
              </w:rPr>
              <w:t>523</w:t>
            </w:r>
          </w:hyperlink>
        </w:p>
        <w:p>
          <w:pPr>
            <w:pStyle w:val="Contents6"/>
            <w:tabs>
              <w:tab w:val="clear" w:pos="7609"/>
              <w:tab w:val="right" w:pos="9026" w:leader="dot"/>
            </w:tabs>
            <w:rPr/>
          </w:pPr>
          <w:hyperlink w:anchor="__RefHeading___Toc7507594_3381743652">
            <w:r>
              <w:rPr>
                <w:webHidden/>
                <w:rStyle w:val="IndexLink"/>
                <w:rtl w:val="true"/>
              </w:rPr>
              <w:t>الأُولى</w:t>
            </w:r>
            <w:r>
              <w:rPr>
                <w:rStyle w:val="IndexLink"/>
                <w:rtl w:val="true"/>
              </w:rPr>
              <w:t xml:space="preserve">: </w:t>
            </w:r>
            <w:r>
              <w:rPr>
                <w:rStyle w:val="IndexLink"/>
                <w:rtl w:val="true"/>
              </w:rPr>
              <w:t>هل الأخذ بأحد الخبرين لازم؟</w:t>
            </w:r>
            <w:r>
              <w:rPr>
                <w:rStyle w:val="IndexLink"/>
                <w:rtl w:val="true"/>
              </w:rPr>
              <w:tab/>
            </w:r>
            <w:r>
              <w:rPr>
                <w:rStyle w:val="IndexLink"/>
              </w:rPr>
              <w:t>525</w:t>
            </w:r>
          </w:hyperlink>
        </w:p>
        <w:p>
          <w:pPr>
            <w:pStyle w:val="Contents6"/>
            <w:tabs>
              <w:tab w:val="clear" w:pos="7609"/>
              <w:tab w:val="right" w:pos="9026" w:leader="dot"/>
            </w:tabs>
            <w:rPr/>
          </w:pPr>
          <w:hyperlink w:anchor="__RefHeading___Toc7507596_3381743652">
            <w:r>
              <w:rPr>
                <w:webHidden/>
                <w:rStyle w:val="IndexLink"/>
                <w:rtl w:val="true"/>
              </w:rPr>
              <w:t>الثانية</w:t>
            </w:r>
            <w:r>
              <w:rPr>
                <w:rStyle w:val="IndexLink"/>
                <w:rtl w:val="true"/>
              </w:rPr>
              <w:t xml:space="preserve">: </w:t>
            </w:r>
            <w:r>
              <w:rPr>
                <w:rStyle w:val="IndexLink"/>
                <w:rtl w:val="true"/>
              </w:rPr>
              <w:t>هل مصبّ التخيير هو المسألة الأُصولية أو الفقهية</w:t>
            </w:r>
            <w:r>
              <w:rPr>
                <w:rStyle w:val="IndexLink"/>
                <w:rtl w:val="true"/>
              </w:rPr>
              <w:tab/>
            </w:r>
            <w:r>
              <w:rPr>
                <w:rStyle w:val="IndexLink"/>
              </w:rPr>
              <w:t>526</w:t>
            </w:r>
          </w:hyperlink>
        </w:p>
        <w:p>
          <w:pPr>
            <w:pStyle w:val="Contents6"/>
            <w:tabs>
              <w:tab w:val="clear" w:pos="7609"/>
              <w:tab w:val="right" w:pos="9026" w:leader="dot"/>
            </w:tabs>
            <w:rPr/>
          </w:pPr>
          <w:hyperlink w:anchor="__RefHeading___Toc7507598_3381743652">
            <w:r>
              <w:rPr>
                <w:webHidden/>
                <w:rStyle w:val="IndexLink"/>
                <w:rtl w:val="true"/>
              </w:rPr>
              <w:t>الثالثة</w:t>
            </w:r>
            <w:r>
              <w:rPr>
                <w:rStyle w:val="IndexLink"/>
                <w:rtl w:val="true"/>
              </w:rPr>
              <w:t xml:space="preserve">: </w:t>
            </w:r>
            <w:r>
              <w:rPr>
                <w:rStyle w:val="IndexLink"/>
                <w:rtl w:val="true"/>
              </w:rPr>
              <w:t>هل التخيير بدوي أو استمراري؟</w:t>
            </w:r>
            <w:r>
              <w:rPr>
                <w:rStyle w:val="IndexLink"/>
                <w:rtl w:val="true"/>
              </w:rPr>
              <w:tab/>
            </w:r>
            <w:r>
              <w:rPr>
                <w:rStyle w:val="IndexLink"/>
              </w:rPr>
              <w:t>528</w:t>
            </w:r>
          </w:hyperlink>
        </w:p>
        <w:p>
          <w:pPr>
            <w:pStyle w:val="Contents6"/>
            <w:tabs>
              <w:tab w:val="clear" w:pos="7609"/>
              <w:tab w:val="right" w:pos="9026" w:leader="dot"/>
            </w:tabs>
            <w:rPr/>
          </w:pPr>
          <w:hyperlink w:anchor="__RefHeading___Toc7507600_3381743652">
            <w:r>
              <w:rPr>
                <w:webHidden/>
                <w:rStyle w:val="IndexLink"/>
                <w:rtl w:val="true"/>
              </w:rPr>
              <w:t>الطائفة الثالثة</w:t>
            </w:r>
            <w:r>
              <w:rPr>
                <w:rStyle w:val="IndexLink"/>
                <w:rtl w:val="true"/>
              </w:rPr>
              <w:t xml:space="preserve">: </w:t>
            </w:r>
            <w:r>
              <w:rPr>
                <w:rStyle w:val="IndexLink"/>
                <w:rtl w:val="true"/>
              </w:rPr>
              <w:t>الآمرة بالأخذ بذي الترجيح</w:t>
            </w:r>
            <w:r>
              <w:rPr>
                <w:rStyle w:val="IndexLink"/>
                <w:rtl w:val="true"/>
              </w:rPr>
              <w:tab/>
            </w:r>
            <w:r>
              <w:rPr>
                <w:rStyle w:val="IndexLink"/>
              </w:rPr>
              <w:t>529</w:t>
            </w:r>
          </w:hyperlink>
        </w:p>
        <w:p>
          <w:pPr>
            <w:pStyle w:val="Contents6"/>
            <w:tabs>
              <w:tab w:val="clear" w:pos="7609"/>
              <w:tab w:val="right" w:pos="9026" w:leader="dot"/>
            </w:tabs>
            <w:rPr/>
          </w:pPr>
          <w:hyperlink w:anchor="__RefHeading___Toc7507602_3381743652">
            <w:r>
              <w:rPr>
                <w:webHidden/>
                <w:rStyle w:val="IndexLink"/>
                <w:rtl w:val="true"/>
              </w:rPr>
              <w:t>الجهة الأُولى في أقسام المرجّحات</w:t>
            </w:r>
            <w:r>
              <w:rPr>
                <w:rStyle w:val="IndexLink"/>
                <w:rtl w:val="true"/>
              </w:rPr>
              <w:tab/>
            </w:r>
            <w:r>
              <w:rPr>
                <w:rStyle w:val="IndexLink"/>
              </w:rPr>
              <w:t>530</w:t>
            </w:r>
          </w:hyperlink>
        </w:p>
        <w:p>
          <w:pPr>
            <w:pStyle w:val="Contents6"/>
            <w:tabs>
              <w:tab w:val="clear" w:pos="7609"/>
              <w:tab w:val="right" w:pos="9026" w:leader="dot"/>
            </w:tabs>
            <w:rPr/>
          </w:pPr>
          <w:hyperlink w:anchor="__RefHeading___Toc7507604_3381743652">
            <w:r>
              <w:rPr>
                <w:webHidden/>
                <w:rStyle w:val="IndexLink"/>
              </w:rPr>
              <w:t>1</w:t>
            </w:r>
            <w:r>
              <w:rPr>
                <w:rStyle w:val="IndexLink"/>
                <w:rtl w:val="true"/>
              </w:rPr>
              <w:t xml:space="preserve">. </w:t>
            </w:r>
            <w:r>
              <w:rPr>
                <w:rStyle w:val="IndexLink"/>
                <w:rtl w:val="true"/>
              </w:rPr>
              <w:t>الترجيح بصفات الراوي</w:t>
            </w:r>
            <w:r>
              <w:rPr>
                <w:rStyle w:val="IndexLink"/>
                <w:rtl w:val="true"/>
              </w:rPr>
              <w:tab/>
            </w:r>
            <w:r>
              <w:rPr>
                <w:rStyle w:val="IndexLink"/>
              </w:rPr>
              <w:t>531</w:t>
            </w:r>
          </w:hyperlink>
        </w:p>
        <w:p>
          <w:pPr>
            <w:pStyle w:val="Contents6"/>
            <w:tabs>
              <w:tab w:val="clear" w:pos="7609"/>
              <w:tab w:val="right" w:pos="9026" w:leader="dot"/>
            </w:tabs>
            <w:rPr/>
          </w:pPr>
          <w:hyperlink w:anchor="__RefHeading___Toc7507606_3381743652">
            <w:r>
              <w:rPr>
                <w:webHidden/>
                <w:rStyle w:val="IndexLink"/>
                <w:rtl w:val="true"/>
              </w:rPr>
              <w:t>أ</w:t>
            </w:r>
            <w:r>
              <w:rPr>
                <w:rStyle w:val="IndexLink"/>
                <w:rtl w:val="true"/>
              </w:rPr>
              <w:t xml:space="preserve">: </w:t>
            </w:r>
            <w:r>
              <w:rPr>
                <w:rStyle w:val="IndexLink"/>
                <w:rtl w:val="true"/>
              </w:rPr>
              <w:t>رواية عمر بن حنظلة</w:t>
            </w:r>
            <w:r>
              <w:rPr>
                <w:rStyle w:val="IndexLink"/>
                <w:rtl w:val="true"/>
              </w:rPr>
              <w:tab/>
            </w:r>
            <w:r>
              <w:rPr>
                <w:rStyle w:val="IndexLink"/>
              </w:rPr>
              <w:t>531</w:t>
            </w:r>
          </w:hyperlink>
        </w:p>
        <w:p>
          <w:pPr>
            <w:pStyle w:val="Contents6"/>
            <w:tabs>
              <w:tab w:val="clear" w:pos="7609"/>
              <w:tab w:val="right" w:pos="9026" w:leader="dot"/>
            </w:tabs>
            <w:rPr/>
          </w:pPr>
          <w:hyperlink w:anchor="__RefHeading___Toc7507608_3381743652">
            <w:r>
              <w:rPr>
                <w:webHidden/>
                <w:rStyle w:val="IndexLink"/>
                <w:rtl w:val="true"/>
              </w:rPr>
              <w:t>ب</w:t>
            </w:r>
            <w:r>
              <w:rPr>
                <w:rStyle w:val="IndexLink"/>
                <w:rtl w:val="true"/>
              </w:rPr>
              <w:t xml:space="preserve">: </w:t>
            </w:r>
            <w:r>
              <w:rPr>
                <w:rStyle w:val="IndexLink"/>
                <w:rtl w:val="true"/>
              </w:rPr>
              <w:t>رواية داود بن الحصين</w:t>
            </w:r>
            <w:r>
              <w:rPr>
                <w:rStyle w:val="IndexLink"/>
                <w:rtl w:val="true"/>
              </w:rPr>
              <w:tab/>
            </w:r>
            <w:r>
              <w:rPr>
                <w:rStyle w:val="IndexLink"/>
              </w:rPr>
              <w:t>533</w:t>
            </w:r>
          </w:hyperlink>
        </w:p>
        <w:p>
          <w:pPr>
            <w:pStyle w:val="Contents6"/>
            <w:tabs>
              <w:tab w:val="clear" w:pos="7609"/>
              <w:tab w:val="right" w:pos="9026" w:leader="dot"/>
            </w:tabs>
            <w:rPr/>
          </w:pPr>
          <w:hyperlink w:anchor="__RefHeading___Toc7507610_3381743652">
            <w:r>
              <w:rPr>
                <w:webHidden/>
                <w:rStyle w:val="IndexLink"/>
                <w:rtl w:val="true"/>
              </w:rPr>
              <w:t>ج</w:t>
            </w:r>
            <w:r>
              <w:rPr>
                <w:rStyle w:val="IndexLink"/>
                <w:rtl w:val="true"/>
              </w:rPr>
              <w:t xml:space="preserve">: </w:t>
            </w:r>
            <w:r>
              <w:rPr>
                <w:rStyle w:val="IndexLink"/>
                <w:rtl w:val="true"/>
              </w:rPr>
              <w:t>رواية موسى بن أكيل</w:t>
            </w:r>
            <w:r>
              <w:rPr>
                <w:rStyle w:val="IndexLink"/>
                <w:rtl w:val="true"/>
              </w:rPr>
              <w:tab/>
            </w:r>
            <w:r>
              <w:rPr>
                <w:rStyle w:val="IndexLink"/>
              </w:rPr>
              <w:t>534</w:t>
            </w:r>
          </w:hyperlink>
        </w:p>
        <w:p>
          <w:pPr>
            <w:pStyle w:val="Contents6"/>
            <w:tabs>
              <w:tab w:val="clear" w:pos="7609"/>
              <w:tab w:val="right" w:pos="9026" w:leader="dot"/>
            </w:tabs>
            <w:rPr/>
          </w:pPr>
          <w:hyperlink w:anchor="__RefHeading___Toc7507612_3381743652">
            <w:r>
              <w:rPr>
                <w:webHidden/>
                <w:rStyle w:val="IndexLink"/>
              </w:rPr>
              <w:t>2</w:t>
            </w:r>
            <w:r>
              <w:rPr>
                <w:rStyle w:val="IndexLink"/>
                <w:rtl w:val="true"/>
              </w:rPr>
              <w:t xml:space="preserve">. </w:t>
            </w:r>
            <w:r>
              <w:rPr>
                <w:rStyle w:val="IndexLink"/>
                <w:rtl w:val="true"/>
              </w:rPr>
              <w:t>الترجيح بالشهرة العملية</w:t>
            </w:r>
            <w:r>
              <w:rPr>
                <w:rStyle w:val="IndexLink"/>
                <w:rtl w:val="true"/>
              </w:rPr>
              <w:tab/>
            </w:r>
            <w:r>
              <w:rPr>
                <w:rStyle w:val="IndexLink"/>
              </w:rPr>
              <w:t>535</w:t>
            </w:r>
          </w:hyperlink>
        </w:p>
        <w:p>
          <w:pPr>
            <w:pStyle w:val="Contents6"/>
            <w:tabs>
              <w:tab w:val="clear" w:pos="7609"/>
              <w:tab w:val="right" w:pos="9026" w:leader="dot"/>
            </w:tabs>
            <w:rPr/>
          </w:pPr>
          <w:hyperlink w:anchor="__RefHeading___Toc7507614_3381743652">
            <w:r>
              <w:rPr>
                <w:webHidden/>
                <w:rStyle w:val="IndexLink"/>
              </w:rPr>
              <w:t>3</w:t>
            </w:r>
            <w:r>
              <w:rPr>
                <w:rStyle w:val="IndexLink"/>
                <w:rtl w:val="true"/>
              </w:rPr>
              <w:t xml:space="preserve">. </w:t>
            </w:r>
            <w:r>
              <w:rPr>
                <w:rStyle w:val="IndexLink"/>
                <w:rtl w:val="true"/>
              </w:rPr>
              <w:t>الترجيح بالكتاب والسنّة</w:t>
            </w:r>
            <w:r>
              <w:rPr>
                <w:rStyle w:val="IndexLink"/>
                <w:rtl w:val="true"/>
              </w:rPr>
              <w:tab/>
            </w:r>
            <w:r>
              <w:rPr>
                <w:rStyle w:val="IndexLink"/>
              </w:rPr>
              <w:t>536</w:t>
            </w:r>
          </w:hyperlink>
        </w:p>
        <w:p>
          <w:pPr>
            <w:pStyle w:val="Contents6"/>
            <w:tabs>
              <w:tab w:val="clear" w:pos="7609"/>
              <w:tab w:val="right" w:pos="9026" w:leader="dot"/>
            </w:tabs>
            <w:rPr/>
          </w:pPr>
          <w:hyperlink w:anchor="__RefHeading___Toc7507616_3381743652">
            <w:r>
              <w:rPr>
                <w:webHidden/>
                <w:rStyle w:val="IndexLink"/>
              </w:rPr>
              <w:t>4</w:t>
            </w:r>
            <w:r>
              <w:rPr>
                <w:rStyle w:val="IndexLink"/>
                <w:rtl w:val="true"/>
              </w:rPr>
              <w:t xml:space="preserve">. </w:t>
            </w:r>
            <w:r>
              <w:rPr>
                <w:rStyle w:val="IndexLink"/>
                <w:rtl w:val="true"/>
              </w:rPr>
              <w:t>الترجيح بمخالفة العامّة</w:t>
            </w:r>
            <w:r>
              <w:rPr>
                <w:rStyle w:val="IndexLink"/>
                <w:rtl w:val="true"/>
              </w:rPr>
              <w:tab/>
            </w:r>
            <w:r>
              <w:rPr>
                <w:rStyle w:val="IndexLink"/>
              </w:rPr>
              <w:t>540</w:t>
            </w:r>
          </w:hyperlink>
        </w:p>
        <w:p>
          <w:pPr>
            <w:pStyle w:val="Contents6"/>
            <w:tabs>
              <w:tab w:val="clear" w:pos="7609"/>
              <w:tab w:val="right" w:pos="9026" w:leader="dot"/>
            </w:tabs>
            <w:rPr/>
          </w:pPr>
          <w:hyperlink w:anchor="__RefHeading___Toc7507618_3381743652">
            <w:r>
              <w:rPr>
                <w:webHidden/>
                <w:rStyle w:val="IndexLink"/>
              </w:rPr>
              <w:t>5</w:t>
            </w:r>
            <w:r>
              <w:rPr>
                <w:rStyle w:val="IndexLink"/>
                <w:rtl w:val="true"/>
              </w:rPr>
              <w:t xml:space="preserve">. </w:t>
            </w:r>
            <w:r>
              <w:rPr>
                <w:rStyle w:val="IndexLink"/>
                <w:rtl w:val="true"/>
              </w:rPr>
              <w:t>الترجيح بالأحدثية</w:t>
            </w:r>
            <w:r>
              <w:rPr>
                <w:rStyle w:val="IndexLink"/>
                <w:rtl w:val="true"/>
              </w:rPr>
              <w:tab/>
            </w:r>
            <w:r>
              <w:rPr>
                <w:rStyle w:val="IndexLink"/>
              </w:rPr>
              <w:t>542</w:t>
            </w:r>
          </w:hyperlink>
        </w:p>
        <w:p>
          <w:pPr>
            <w:pStyle w:val="Contents6"/>
            <w:tabs>
              <w:tab w:val="clear" w:pos="7609"/>
              <w:tab w:val="right" w:pos="9026" w:leader="dot"/>
            </w:tabs>
            <w:rPr/>
          </w:pPr>
          <w:hyperlink w:anchor="__RefHeading___Toc7507620_3381743652">
            <w:r>
              <w:rPr>
                <w:webHidden/>
                <w:rStyle w:val="IndexLink"/>
                <w:rtl w:val="true"/>
              </w:rPr>
              <w:t>الجهة الثانية في لزوم الأخذ بالمرجِّح وعدمه</w:t>
            </w:r>
            <w:r>
              <w:rPr>
                <w:rStyle w:val="IndexLink"/>
                <w:rtl w:val="true"/>
              </w:rPr>
              <w:tab/>
            </w:r>
            <w:r>
              <w:rPr>
                <w:rStyle w:val="IndexLink"/>
              </w:rPr>
              <w:t>544</w:t>
            </w:r>
          </w:hyperlink>
        </w:p>
        <w:p>
          <w:pPr>
            <w:pStyle w:val="Contents6"/>
            <w:tabs>
              <w:tab w:val="clear" w:pos="7609"/>
              <w:tab w:val="right" w:pos="9026" w:leader="dot"/>
            </w:tabs>
            <w:rPr/>
          </w:pPr>
          <w:hyperlink w:anchor="__RefHeading___Toc7507622_3381743652">
            <w:r>
              <w:rPr>
                <w:webHidden/>
                <w:rStyle w:val="IndexLink"/>
                <w:rtl w:val="true"/>
              </w:rPr>
              <w:t>الجهة الثالثة في التعدّي من المنصوص إلى غيره</w:t>
            </w:r>
            <w:r>
              <w:rPr>
                <w:rStyle w:val="IndexLink"/>
                <w:rtl w:val="true"/>
              </w:rPr>
              <w:tab/>
            </w:r>
            <w:r>
              <w:rPr>
                <w:rStyle w:val="IndexLink"/>
              </w:rPr>
              <w:t>548</w:t>
            </w:r>
          </w:hyperlink>
        </w:p>
        <w:p>
          <w:pPr>
            <w:pStyle w:val="Contents6"/>
            <w:tabs>
              <w:tab w:val="clear" w:pos="7609"/>
              <w:tab w:val="right" w:pos="9026" w:leader="dot"/>
            </w:tabs>
            <w:rPr/>
          </w:pPr>
          <w:hyperlink w:anchor="__RefHeading___Toc7507624_3381743652">
            <w:r>
              <w:rPr>
                <w:webHidden/>
                <w:rStyle w:val="IndexLink"/>
                <w:rtl w:val="true"/>
              </w:rPr>
              <w:t>خاتمة المطاف في التعارض على نحو العموم والخصوص من وجه</w:t>
            </w:r>
            <w:r>
              <w:rPr>
                <w:rStyle w:val="IndexLink"/>
                <w:rtl w:val="true"/>
              </w:rPr>
              <w:tab/>
            </w:r>
            <w:r>
              <w:rPr>
                <w:rStyle w:val="IndexLink"/>
              </w:rPr>
              <w:t>554</w:t>
            </w:r>
          </w:hyperlink>
        </w:p>
        <w:p>
          <w:pPr>
            <w:pStyle w:val="Contents6"/>
            <w:tabs>
              <w:tab w:val="clear" w:pos="7609"/>
              <w:tab w:val="right" w:pos="9026" w:leader="dot"/>
            </w:tabs>
            <w:rPr/>
          </w:pPr>
          <w:hyperlink w:anchor="__RefHeading___Toc7507626_3381743652">
            <w:r>
              <w:rPr>
                <w:webHidden/>
                <w:rStyle w:val="IndexLink"/>
                <w:rtl w:val="true"/>
              </w:rPr>
              <w:t>سؤال وإجابة</w:t>
            </w:r>
            <w:r>
              <w:rPr>
                <w:rStyle w:val="IndexLink"/>
                <w:rtl w:val="true"/>
              </w:rPr>
              <w:tab/>
            </w:r>
            <w:r>
              <w:rPr>
                <w:rStyle w:val="IndexLink"/>
              </w:rPr>
              <w:t>556</w:t>
            </w:r>
          </w:hyperlink>
        </w:p>
        <w:p>
          <w:pPr>
            <w:pStyle w:val="Contents2"/>
            <w:tabs>
              <w:tab w:val="clear" w:pos="8743"/>
              <w:tab w:val="right" w:pos="9026" w:leader="dot"/>
            </w:tabs>
            <w:rPr/>
          </w:pPr>
          <w:hyperlink w:anchor="__RefHeading___Toc7507628_3381743652">
            <w:r>
              <w:rPr>
                <w:webHidden/>
                <w:rStyle w:val="IndexLink"/>
                <w:rtl w:val="true"/>
              </w:rPr>
              <w:t>فهرس المحتويات</w:t>
            </w:r>
            <w:r>
              <w:rPr>
                <w:rStyle w:val="IndexLink"/>
                <w:rtl w:val="true"/>
              </w:rPr>
              <w:tab/>
            </w:r>
            <w:r>
              <w:rPr>
                <w:rStyle w:val="IndexLink"/>
              </w:rPr>
              <w:t>561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67_156984"/>
      <w:bookmarkStart w:id="1" w:name="pg14367_156984"/>
      <w:bookmarkEnd w:id="1"/>
    </w:p>
    <w:p>
      <w:pPr>
        <w:pStyle w:val="Heading2"/>
        <w:numPr>
          <w:ilvl w:val="1"/>
          <w:numId w:val="1"/>
        </w:numPr>
        <w:rPr/>
      </w:pPr>
      <w:bookmarkStart w:id="2" w:name="pg14367_156984"/>
      <w:bookmarkStart w:id="3" w:name="__RefHeading___Toc7506862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لمحاضران جعفر السبحانی؛ تالیف محمد حسین الحاج العالمی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دارالاضواآ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معلومات اصول فقه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عاملی، محمد حسین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506864_338174365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إرشاد العقول</w:t>
      </w:r>
    </w:p>
    <w:p>
      <w:pPr>
        <w:pStyle w:val="BookText"/>
        <w:rPr/>
      </w:pPr>
      <w:r>
        <w:rPr>
          <w:rFonts w:ascii="IRNazanin" w:hAnsi="IRNazanin" w:eastAsia="IRNazanin"/>
          <w:color w:val="111111"/>
          <w:sz w:val="28"/>
          <w:sz w:val="28"/>
          <w:szCs w:val="28"/>
          <w:rtl w:val="true"/>
          <w:lang w:bidi="fa-IR"/>
        </w:rPr>
        <w:t>إلى مباحث الأصول</w:t>
      </w:r>
    </w:p>
    <w:p>
      <w:pPr>
        <w:pStyle w:val="BookText"/>
        <w:rPr/>
      </w:pPr>
      <w:r>
        <w:rPr>
          <w:rFonts w:ascii="Amiri" w:hAnsi="Amiri" w:eastAsia="Amiri" w:cs="Amiri"/>
          <w:color w:val="111111"/>
          <w:sz w:val="28"/>
          <w:sz w:val="28"/>
          <w:szCs w:val="28"/>
          <w:rtl w:val="true"/>
          <w:lang w:bidi="ar-SA"/>
        </w:rPr>
        <w:t>يبحث عن الحجج الشرعيَّة والأصول العملية</w:t>
      </w:r>
    </w:p>
    <w:p>
      <w:pPr>
        <w:pStyle w:val="BookText"/>
        <w:rPr/>
      </w:pPr>
      <w:r>
        <w:rPr>
          <w:rFonts w:ascii="Amiri" w:hAnsi="Amiri" w:eastAsia="Amiri" w:cs="Amiri"/>
          <w:color w:val="111111"/>
          <w:sz w:val="28"/>
          <w:sz w:val="28"/>
          <w:szCs w:val="28"/>
          <w:rtl w:val="true"/>
          <w:lang w:bidi="ar-SA"/>
        </w:rPr>
        <w:t>تقريراً لمحاضرات</w:t>
      </w:r>
    </w:p>
    <w:p>
      <w:pPr>
        <w:pStyle w:val="BookText"/>
        <w:rPr/>
      </w:pPr>
      <w:r>
        <w:rPr>
          <w:rFonts w:ascii="Amiri" w:hAnsi="Amiri" w:eastAsia="Amiri" w:cs="Amiri"/>
          <w:color w:val="111111"/>
          <w:sz w:val="28"/>
          <w:sz w:val="28"/>
          <w:szCs w:val="28"/>
          <w:rtl w:val="true"/>
          <w:lang w:bidi="ar-SA"/>
        </w:rPr>
        <w:t>العلّامة المحقّق</w:t>
      </w:r>
    </w:p>
    <w:p>
      <w:pPr>
        <w:pStyle w:val="BookText"/>
        <w:rPr/>
      </w:pPr>
      <w:r>
        <w:rPr>
          <w:rFonts w:ascii="Amiri" w:hAnsi="Amiri" w:eastAsia="Amiri" w:cs="Amiri"/>
          <w:color w:val="111111"/>
          <w:sz w:val="28"/>
          <w:sz w:val="28"/>
          <w:szCs w:val="28"/>
          <w:rtl w:val="true"/>
          <w:lang w:bidi="ar-SA"/>
        </w:rPr>
        <w:t>آية اللّه جعفر السبحاني دام ظلّه</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محمد حسين الحاج العاملي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IRNazanin" w:hAnsi="IRNazanin" w:eastAsia="IRNazanin"/>
          <w:color w:val="111111"/>
          <w:sz w:val="28"/>
          <w:sz w:val="28"/>
          <w:szCs w:val="28"/>
          <w:rtl w:val="true"/>
          <w:lang w:bidi="fa-IR"/>
        </w:rPr>
        <w:t>دار الاضواء</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14367_156987"/>
    </w:p>
    <w:p>
      <w:pPr>
        <w:pStyle w:val="Heading2"/>
        <w:numPr>
          <w:ilvl w:val="1"/>
          <w:numId w:val="1"/>
        </w:numPr>
        <w:rPr/>
      </w:pPr>
      <w:bookmarkStart w:id="8" w:name="__RefHeading___Toc7506866_3381743652"/>
      <w:bookmarkStart w:id="9" w:name="_Toc3"/>
      <w:bookmarkEnd w:id="7"/>
      <w:bookmarkEnd w:id="8"/>
      <w:r>
        <w:rPr>
          <w:rtl w:val="true"/>
        </w:rPr>
        <w:t>مقدمة المحاضر</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أوضح لعباده سبل معرفته، وسهّل عليهم طاعته ببعث أنبيائه وسفرائه، والصلاة والسلام على خاتم أنبيائه وسيد أصفيائه محمد وعترته الطاهرة، والنجوم الزاهرة والحجج اللّامعة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سرحت النظر في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العقول إلى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لولدنا الروحي العلاّمة الحجة الفاضل الشيخ محمد حسين الحاج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كالجزء الأوّل حاوياً لما ألقيناه، وجامعاً لما أوضحناه، كيف وقد حضر بحوثنا الأُصولية والفقهيّة مدة لايستهان بها، فأشكره لما بذل من جهود مضنية في جمع شتات البحث، وترصيف أطرافه، ببيان رائق من غير إيجاز مخلّ ولا إطناب مملّ، فأسأله سبحانه أن يسدّد خطاه، ويوفِّقَه لما يحبُّه ويرضاه، ويجعله ذخراً للإسلام والمسلمين بفضله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جعفر السبحاني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0" w:name="pg14367_156988"/>
    </w:p>
    <w:p>
      <w:pPr>
        <w:pStyle w:val="Heading2"/>
        <w:numPr>
          <w:ilvl w:val="1"/>
          <w:numId w:val="1"/>
        </w:numPr>
        <w:rPr/>
      </w:pPr>
      <w:bookmarkStart w:id="11" w:name="__RefHeading___Toc7506868_3381743652"/>
      <w:bookmarkStart w:id="12" w:name="_Toc4"/>
      <w:bookmarkEnd w:id="10"/>
      <w:bookmarkEnd w:id="11"/>
      <w:r>
        <w:rPr>
          <w:rtl w:val="true"/>
        </w:rPr>
        <w:t>مقدمة المؤلّف</w:t>
      </w:r>
      <w:r>
        <w:rPr>
          <w:rtl w:val="true"/>
        </w:rPr>
        <w:t>:</w:t>
      </w:r>
      <w:bookmarkEnd w:id="12"/>
    </w:p>
    <w:p>
      <w:pPr>
        <w:pStyle w:val="BookText"/>
        <w:rPr/>
      </w:pPr>
      <w:r>
        <w:rPr>
          <w:rFonts w:ascii="Amiri" w:hAnsi="Amiri" w:eastAsia="Amiri" w:cs="Amiri"/>
          <w:color w:val="111111"/>
          <w:sz w:val="28"/>
          <w:sz w:val="28"/>
          <w:szCs w:val="28"/>
          <w:rtl w:val="true"/>
          <w:lang w:bidi="ar-SA"/>
        </w:rPr>
        <w:t>بسم الله الرحمن الرحيم الحمد للّه‌كلّما وقب ليل ووسق، والحمدللّه كلّما لاح نجم وخفق، والحمد للّه‌غير مفقود الانعام ولا مكافأ الافضال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على أفضل سفرائه وأشرف بريتّه محمّد، الّذي بعثه لإنجاز عدته، وإتمام نبوّته وآله الذين هم موضع سرّه، وملجأ أمره، وعيبة علمه، وموئل حكمه، صلاة تامّة، مادامت السماء ذات أبراج، والأرض ذات فجاج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فلا شكّ في حاجة الفقه إلى الأُصول، لأنّ استنباط الحكم الشرعي من الكتاب والسنّة رهن قواعد كلّية يستند إليها الفقيه، وهذه القواعد لايبحث عنها إلّافي علم الأُصول، ولأجل ذلك بادر علماء الأمصار وفضلاء الأعصار في كلّ دور من الأدوار، إلى تمهيد قواعده وتقييد شوارده، وتبيين ضوابطه، وترتيب فصوله، ليستسهل الأمر على المستنبط في مختلف المجالات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خاض غمار هذا العلم، وسبر أغواره شيخنا الأُستاذ العلاّمة الحجّة آية اللّه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جدّ وأجاد، وصنّف وأفاد، حتى تخرّج على يديه جيل كبير من روّاد العلم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ممّن‌يتردّد على أندية دروسه للانتهال من نمير علمه، حتى حالفني </w:t>
      </w:r>
    </w:p>
    <w:p>
      <w:pPr>
        <w:pStyle w:val="BookText"/>
        <w:rPr/>
      </w:pPr>
      <w:r>
        <w:rPr>
          <w:rFonts w:ascii="Amiri" w:hAnsi="Amiri" w:eastAsia="Amiri" w:cs="Amiri"/>
          <w:color w:val="111111"/>
          <w:sz w:val="28"/>
          <w:sz w:val="28"/>
          <w:szCs w:val="28"/>
          <w:rtl w:val="true"/>
          <w:lang w:bidi="ar-SA"/>
        </w:rPr>
        <w:t xml:space="preserve">التوفيق بتحرير ما أفاده في الدورة الأُصولية الرابعة، فجاء ما أفاده فيما يُسمّى بالأُصول العقليّة متمثّلاً في هذين الجزءين، وقد سمّيته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العقول إلى مباحث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الجزء الثاني يزفّه الطبع إلى الطلاّب الكرام من بغاة الفضيلة والاجتهاد، وقد أشرف شيخنا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حررته وكتبته، فجاء الجزءان كصحيفة كاملة في المباحث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أتقدّم إليه بالشكر الجزيل وابتهل إلى الله سبحانه أن يطيل عمره، ويسدّد خطاه في سبيل نشر العلم والهدى، فانّه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الحاج العاملي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رمضان المبارك من شهور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3" w:name="pg14367_156990"/>
    </w:p>
    <w:p>
      <w:pPr>
        <w:pStyle w:val="Heading2"/>
        <w:numPr>
          <w:ilvl w:val="1"/>
          <w:numId w:val="1"/>
        </w:numPr>
        <w:rPr/>
      </w:pPr>
      <w:bookmarkStart w:id="14" w:name="__RefHeading___Toc7506870_3381743652"/>
      <w:bookmarkStart w:id="15" w:name="_Toc5"/>
      <w:bookmarkEnd w:id="13"/>
      <w:bookmarkEnd w:id="14"/>
      <w:r>
        <w:rPr>
          <w:rtl w:val="true"/>
        </w:rPr>
        <w:t>تتمة المقصد السابع</w:t>
      </w:r>
      <w:bookmarkEnd w:id="15"/>
    </w:p>
    <w:p>
      <w:pPr>
        <w:pStyle w:val="Heading3"/>
        <w:numPr>
          <w:ilvl w:val="2"/>
          <w:numId w:val="1"/>
        </w:numPr>
        <w:rPr/>
      </w:pPr>
      <w:bookmarkStart w:id="16" w:name="__RefHeading___Toc7506872_3381743652"/>
      <w:bookmarkStart w:id="17" w:name="_Toc6"/>
      <w:bookmarkEnd w:id="16"/>
      <w:r>
        <w:rPr>
          <w:rtl w:val="true"/>
        </w:rPr>
        <w:t>الأصل الرابع من الأُصول العملية</w:t>
      </w:r>
      <w:bookmarkEnd w:id="17"/>
    </w:p>
    <w:p>
      <w:pPr>
        <w:pStyle w:val="Heading4"/>
        <w:numPr>
          <w:ilvl w:val="3"/>
          <w:numId w:val="1"/>
        </w:numPr>
        <w:rPr/>
      </w:pPr>
      <w:bookmarkStart w:id="18" w:name="__RefHeading___Toc7506874_3381743652"/>
      <w:bookmarkStart w:id="19" w:name="_Toc7"/>
      <w:bookmarkEnd w:id="18"/>
      <w:r>
        <w:rPr>
          <w:rtl w:val="true"/>
        </w:rPr>
        <w:t>الاستصحاب</w:t>
      </w:r>
      <w:bookmarkEnd w:id="19"/>
    </w:p>
    <w:p>
      <w:pPr>
        <w:pStyle w:val="Heading5"/>
        <w:numPr>
          <w:ilvl w:val="4"/>
          <w:numId w:val="1"/>
        </w:numPr>
        <w:rPr/>
      </w:pPr>
      <w:bookmarkStart w:id="20" w:name="__RefHeading___Toc7506876_3381743652"/>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قد تقدّم أنّ حصر الأصول العملية الكلية في الأربعة حصر استقرائي؛ وقد تقدّم الكلام في الأُصول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والاشتغال، والتخيير؛ وبقي الكلام في الاستصحاب، ومجراه هو وجود الحالة السابقة ولحاظها واعتبارها</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ونذكر أُموراً تمهيدية</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506878_3381743652"/>
      <w:bookmarkStart w:id="23" w:name="_Toc9"/>
      <w:bookmarkEnd w:id="22"/>
      <w:r>
        <w:rPr>
          <w:rtl w:val="true"/>
        </w:rPr>
        <w:t>الأمر الأوّل</w:t>
      </w:r>
      <w:r>
        <w:rPr>
          <w:rtl w:val="true"/>
        </w:rPr>
        <w:t xml:space="preserve">: </w:t>
      </w:r>
      <w:r>
        <w:rPr>
          <w:rtl w:val="true"/>
        </w:rPr>
        <w:t>في تعريف الاستصحاب</w:t>
      </w:r>
      <w:bookmarkEnd w:id="23"/>
    </w:p>
    <w:p>
      <w:pPr>
        <w:pStyle w:val="BookText"/>
        <w:rPr/>
      </w:pPr>
      <w:r>
        <w:rPr>
          <w:rFonts w:ascii="Amiri" w:hAnsi="Amiri" w:eastAsia="Amiri" w:cs="Amiri"/>
          <w:color w:val="111111"/>
          <w:sz w:val="28"/>
          <w:sz w:val="28"/>
          <w:szCs w:val="28"/>
          <w:rtl w:val="true"/>
          <w:lang w:bidi="ar-SA"/>
        </w:rPr>
        <w:t>عرّف الاستصحاب بوجوه مختلفة،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بهاء الدين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في الزمان الثاني تأويلاً على ثبوته في الزمن الأوّل</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في تعريفه إلى ركني الاستصحاب،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والشك،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تأويلاً على ثبوته في الزمن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ثبوته في الزمان الأوّل، لأجل قيام </w:t>
      </w:r>
    </w:p>
    <w:p>
      <w:pPr>
        <w:pStyle w:val="BookText"/>
        <w:rPr/>
      </w:pPr>
      <w:r>
        <w:rPr>
          <w:rFonts w:ascii="Amiri" w:hAnsi="Amiri" w:eastAsia="Amiri" w:cs="Amiri"/>
          <w:color w:val="111111"/>
          <w:sz w:val="28"/>
          <w:sz w:val="28"/>
          <w:szCs w:val="28"/>
          <w:rtl w:val="true"/>
          <w:lang w:bidi="ar-SA"/>
        </w:rPr>
        <w:t xml:space="preserve">الحجّة عليه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وإثباته في الزمان الثاني تأويلاً عليه، يدل على عدم الدليل عليه فيه سوى ثبوته في الزمان الأوّل وهو يلازم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أورد على هذا التعريف بأنّه لم يُشر إلى ركني الاستصحاب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حكم أو وصف يقينيّ الحصول في الآن السابق، مشكوك البقاء في الآن اللاحق</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إبقاء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أسدّ التعاريف وأخصرها</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وأورد عليه المحقّق النائيني، بأنّ لليقين والشك دخلاً في حقيقة الاستصحاب، ولو باعتبار كون اليقين طريقاً إلى المتيقن، كما أنّ للشكّ في البقاء دخلاً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انتقاض اليقين السابق المتعلّق بالحكم أو الموضوع من حيث الأثر والجري العملي بالشك في بقاء متعلّق اليقين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تعريف للشيء بنتيجته، فانّ عدم الانتقاض نتيجة الاستصحاب لا نفسه، فحكم الشارع بحرمة نقضه يُنتج عدمَ الانتقاض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ببقاء حكم أو موضوع ذي حكم شك في بقائه</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 تعريف الاستصحاب يختلف حسب اختلاف المباني في حجية الاستصحاب، فانّ في كيفية حجيته آراء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أمارة عقلائية لكشف حال الشيء في الآن اللاحق، واليقين السابق أمارة ظنية لبقائه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من الشكّ هو تساوي الطرفين حتى ينافي الظن بالبقاء، بل المراد احتمال الخلاف الجامع مع الظن، وبعبارة أُخرى المراد الشك الأُصولي لا الشكّ المنطقي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أصل عملي اعتبر لصيانة الواقع وحفظه، فكما أنّ المولى يحتفظ بمطلوبه بإيجاب الاحتياط في أطراف الشبهة المحصورة تحريمية كانت أو إيجابية، فهكذا يحتفظ به في إيجاب العمل على وفق الحالة السابقة، لأنّ الغالب على ما كان، هو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أصل عملي تعبدي محض كأصالتي الطهارة والحلية وليس ناظراً إلى صيانة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الرأي الأوّل، يدخل الاستصحاب في عِداد الأمارات العقلائية التي تفيد الاطمئنان بمفاده، وليست الأمارة إلّاكون حكم أووصف يقينيّ الحصول في الآن السابق مشكوك البقاء في الآن اللاحق، فعندئذ يصبح تعريفُ المحقّق القمي أحسنَ التعاريف، وإن وصفه الشيخ بأنّه من أزيفها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تعريفه بالإبقاء تعريفاً بعيداً عن حقيقة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وتسمية كون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يقيني الحصول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بالاستصحاب من باب تسمية الشيء بنتيجته فانّه إذا عمل بالأمارة فكأنّه استصحب شيئاً من الماضي إلى الآن اللاحق</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الرأيين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أصلاً شرعياً صيانة للواقع، أو تعبدياً محضاً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فأحسن التعاريف ما ذكره المحقّق الخراساني، ولكن أقربها إلى النص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نقض اليقين السابق المتعلّق بالحكم الشرعي أو بموضوع ذي أثر، بالشك اللاحق نقضاً تشريعياً لا تكوينياً</w:t>
      </w:r>
      <w:r>
        <w:rPr>
          <w:rFonts w:eastAsia="Amiri" w:cs="Amiri" w:ascii="Amiri" w:hAnsi="Amiri"/>
          <w:color w:val="111111"/>
          <w:sz w:val="28"/>
          <w:szCs w:val="28"/>
          <w:rtl w:val="true"/>
          <w:lang w:bidi="ar-SA"/>
        </w:rPr>
        <w:t xml:space="preserve">». </w:t>
      </w:r>
      <w:bookmarkStart w:id="24" w:name="pg14367_156993"/>
    </w:p>
    <w:p>
      <w:pPr>
        <w:pStyle w:val="Heading5"/>
        <w:numPr>
          <w:ilvl w:val="4"/>
          <w:numId w:val="1"/>
        </w:numPr>
        <w:rPr/>
      </w:pPr>
      <w:bookmarkStart w:id="25" w:name="__RefHeading___Toc7506880_3381743652"/>
      <w:bookmarkStart w:id="26" w:name="_Toc10"/>
      <w:bookmarkEnd w:id="24"/>
      <w:bookmarkEnd w:id="25"/>
      <w:r>
        <w:rPr>
          <w:rtl w:val="true"/>
        </w:rPr>
        <w:t>الأمر الثاني</w:t>
      </w:r>
      <w:r>
        <w:rPr>
          <w:rtl w:val="true"/>
        </w:rPr>
        <w:t xml:space="preserve">: </w:t>
      </w:r>
      <w:r>
        <w:rPr>
          <w:rtl w:val="true"/>
        </w:rPr>
        <w:t>الاستصحاب مسألة أُصولية لا قاعدة فقهية</w:t>
      </w:r>
      <w:bookmarkEnd w:id="26"/>
    </w:p>
    <w:p>
      <w:pPr>
        <w:pStyle w:val="BookText"/>
        <w:rPr/>
      </w:pPr>
      <w:r>
        <w:rPr>
          <w:rFonts w:ascii="Amiri" w:hAnsi="Amiri" w:eastAsia="Amiri" w:cs="Amiri"/>
          <w:color w:val="111111"/>
          <w:sz w:val="28"/>
          <w:sz w:val="28"/>
          <w:szCs w:val="28"/>
          <w:rtl w:val="true"/>
          <w:lang w:bidi="ar-SA"/>
        </w:rPr>
        <w:t xml:space="preserve">ذهب الشيخ الأنصاري إلى أنّ الاستصحاب الجاري في الشبهات الحكمية مسألة أُصولية، والجاري في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كعدالة زيد ونجاسة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كأصالة الطهارة وقاعدة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اختصاص تطبيق المسألة الأُصولية على صغرياتها بالمجتهد دون القاعدة الفقهية، فانّ تطبيقها يعمّ المجتهد والمقلّد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والاستصحاب في الشبهات الحكمية رهن شروط كالفحص عن الدليل الاجتهادي وغيره، ولا يقوم به إلّاالمجتهد، دون الشبهات الموضوعية، واختاره المحقّق النائيني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نتيجة المسألة الأُصولية إنّما تنفع المجتهد ولا حظّ للمقلِّد فيها، وإنّ النتيجة في القاعدة الفقهية تنفع المقلِّد</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وما ذكره من التفصيل وإن كان صحيحاً، ولكن الفرق بين المسألة الأُصولية والقاعدة الفقهية أمر آخر، لانتقاض ما ذكراه بكثير من القواعد الفقهية التي لا يقوم بتطبيقها إلّاالمجتهد،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ما يُضمن وما لا يُضمن، وقاعدة الإلزام، وقاعدة الخراج بالضمان، إلى غير ذلك من القواعد التي لا يستفيد منها إلّاالمجتهد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التفريق بين المسألة الأُصولية والقاعدة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قدمناه في صدر الجزء الأوّل وهو أنّ المحمول في المسألة الأُصولية ليس حكماً شرعياً عملياً كقولنا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الواحد حجّة، والظواهر حجّة، والأمر يدل على المرة أو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بخلاف القواعد الفقهية فالمحمول فيها حكم شرعي </w:t>
      </w:r>
    </w:p>
    <w:p>
      <w:pPr>
        <w:pStyle w:val="BookText"/>
        <w:rPr/>
      </w:pPr>
      <w:r>
        <w:rPr>
          <w:rFonts w:ascii="Amiri" w:hAnsi="Amiri" w:eastAsia="Amiri" w:cs="Amiri"/>
          <w:color w:val="111111"/>
          <w:sz w:val="28"/>
          <w:sz w:val="28"/>
          <w:szCs w:val="28"/>
          <w:rtl w:val="true"/>
          <w:lang w:bidi="ar-SA"/>
        </w:rPr>
        <w:t>مأخوذ من نفس الشرع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ودخلت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حكم شرعي منتزع من الأحكام الشرعية الكلية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حكم شرعي كلّي منتنزع من الحكم بالضمان في أبواب البيع والإجارة والمزارعة والمساقاة، والدليل على الضمان في هذه الموارد هو قاعدة الإقدام، أو قاعدة على اليد، فهذه القاعدة الكلية منتزعة من حكم الشرع في كلّ من هذه الموارد بالضمان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أنّ نتيجة المسألة الأُصولية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حكماً شرعياً بل تكون حكماًجزئياً من سنخ المسألة الأُصولية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الثقة، وقول الثقة حجّة، فينتج هذا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القاعدة الفقهية فانّ نتيجتها تكون حكماً شرعياً،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مشكوك الطهارة، وكلّ مشكوك الطهارة طاهر، فينتج هذا طاهر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إعمال المسألة الأُصولية من قبيل الاستنباط، بخلاف القاعدة الفقهية فانّ إعمالها من قبيل التطبيق، والفرق بين الاستنباط والتطبيق واضح، وهو أنّ الأوّل يكشف عن حكم شرعي مجهول لم يكن معلوماً له قبل الإعمال، لا إجمالاً ولا تفصيلاً، بخلاف الثاني فليس فيه كشف عن حكم شرعي مجهول غير معلوم، بل تبديل للعلم الإجمالي إلى التفصيلي، ولنذكر مثالاً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الثقة حجّة مطلقاً، مسألة أُصولية، فإذا طبّق على مورده، يقف الإنسان على حكم شرعي لم يكن معلوماً لا إجمالاً ولا تفصيلاً وهو وجوب السورة في الصلاة، أو حرمة ذبيحة الكافر الكتابي، إذ ليس الحكمان مندرجين في الكبرى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الثقة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إجمالاً ولا تفصيلاً بخلاف القاعدة الفقهية،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فقد كان العلم بطهارة الثوب المشكوك مندرجاً فيه إجمالاً </w:t>
      </w:r>
    </w:p>
    <w:p>
      <w:pPr>
        <w:pStyle w:val="BookText"/>
        <w:rPr/>
      </w:pPr>
      <w:r>
        <w:rPr>
          <w:rFonts w:ascii="Amiri" w:hAnsi="Amiri" w:eastAsia="Amiri" w:cs="Amiri"/>
          <w:color w:val="111111"/>
          <w:sz w:val="28"/>
          <w:sz w:val="28"/>
          <w:szCs w:val="28"/>
          <w:rtl w:val="true"/>
          <w:lang w:bidi="ar-SA"/>
        </w:rPr>
        <w:t>لاتفصيلاً، وليس للتطبيق دور سوى انّه ينحل به العلم الإجمالي إلى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الشرعي المستنبط لم يكن موجوداً في الكبرى الكلية الأُصولية لا إجمالاً ولا تفصيلاً، بخلاف الحكم الشرعي في القاعدة الفقهية، فانّه كان موجوداً إجمالاً في الكبرى الكلية الفقهية غير انّه يبدل بالتطبيق إلى العلم التفصيلي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أُصولية، لأنّ النتيجة بعد التطبيق على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صلاة الجمعة، أو نجاسة الماء المتغيّر الذي زال تغيّره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مندرجة في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الفرق بين المسألة الأُصولية والقاعدة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من المسائل الأُصولية، أمّا إذا قلنا بأنّه من الأمارات العقلائية، فلأنّ مآل البحث إلى حجّية الظن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المحمول حكم غير شرعي ويحصل من تطبيقه على مورده علم جديد بالنسبة إلى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قلنا بأنّه من الأُصول الشرعية لحفظ الواقع، أو للتعبّد، فهو أيضاً من المسائل الأُصولية، لأنّ المحمول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حكماً شرعياً نظير الأحكام الخمسة، وآية ذلك أنّ الإنسان إذا خالف الاستصحاب ولم يعمل بمقتضى الوجوب في الزمان السابق لا يعاقب مرّتين، وهذا يكشف عن أنّ حرمة النقض أشبه بإعطاء الحجية لليقين السابق حتى في زمان الشك، كما أنّه لا يلازم العلم به العلم بالنتيجة لا تفصيلاً ولا إجمالاً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المورد حكماً شرعياً كلياً، وأمّا إذا كان المورد موضوعاً جزئياً </w:t>
      </w:r>
      <w:bookmarkStart w:id="27" w:name="pg14367_156996"/>
    </w:p>
    <w:p>
      <w:pPr>
        <w:pStyle w:val="BookText"/>
        <w:rPr/>
      </w:pPr>
      <w:bookmarkEnd w:id="27"/>
      <w:r>
        <w:rPr>
          <w:rFonts w:ascii="Amiri" w:hAnsi="Amiri" w:eastAsia="Amiri" w:cs="Amiri"/>
          <w:color w:val="111111"/>
          <w:sz w:val="28"/>
          <w:sz w:val="28"/>
          <w:szCs w:val="28"/>
          <w:rtl w:val="true"/>
          <w:lang w:bidi="ar-SA"/>
        </w:rPr>
        <w:t>كطهارة ثوب زيد أو عدالته، فعلى ما ذكره الشيخ من اشتراط كون النتيجة حكماً كلياً يصبح قاعدة فقهية، لأنّ النتيجة حكم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ذكرنا فالشرطان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المحمول حكماً غير شرعي، والنتيجة غير مندرجة في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موجودين، لكن شأن المسألة الأُصولية وقوعها مقدمة لاستنباط الحكم الشرعي الكلي، وبما انّ النتيجة حكم جزئي، فلا يقع في عداد المسائل الأُصولية بل في عداد القواعد الفقهية التي ربما تكون نتيجتها أمراً جزئياً</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7506882_3381743652"/>
      <w:bookmarkStart w:id="29" w:name="_Toc11"/>
      <w:bookmarkEnd w:id="28"/>
      <w:r>
        <w:rPr>
          <w:rtl w:val="true"/>
        </w:rPr>
        <w:t>الأمر الثالث</w:t>
      </w:r>
      <w:r>
        <w:rPr>
          <w:rtl w:val="true"/>
        </w:rPr>
        <w:t xml:space="preserve">: </w:t>
      </w:r>
      <w:r>
        <w:rPr>
          <w:rtl w:val="true"/>
        </w:rPr>
        <w:t>أركان الاستصحاب</w:t>
      </w:r>
      <w:bookmarkEnd w:id="29"/>
    </w:p>
    <w:p>
      <w:pPr>
        <w:pStyle w:val="BookText"/>
        <w:rPr/>
      </w:pPr>
      <w:r>
        <w:rPr>
          <w:rFonts w:ascii="Amiri" w:hAnsi="Amiri" w:eastAsia="Amiri" w:cs="Amiri"/>
          <w:color w:val="111111"/>
          <w:sz w:val="28"/>
          <w:sz w:val="28"/>
          <w:szCs w:val="28"/>
          <w:rtl w:val="true"/>
          <w:lang w:bidi="ar-SA"/>
        </w:rPr>
        <w:t>يشترط في الاستصحاب من حيث اليقين و الشكّ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اليقين والشكّ سواء اجتمعا في النفس معاً، أو كان اليقين متقدماً والشكّ متأخراً،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يجتمع اليقين والشكّ في زمان واحد، مع أنّ الشكّ ينقض اليقين تكويناً، فلا يقين مع الشكّ؟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متعلّق اليقين والشكّ واحداً بالذات، والزمان، وأمّا إذا كان متعلّقهما واحداً بالذات، مختلفاً زماناً فلا مانع من اجتماعهما، كما إذا أذعن بعدالة زيد يوم الجمعة، وشكّ في عدالته يوم السبت، فالمسوغ لاجتماعهما هو اختلاف المتعلّقين زماناً، وإن كانا متحدين ذاتاً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زمان المتيقّن على زمان المشكوك، وهو مورد الروايات لا العكس، كما يأتي في الاستصحاب القهقري</w:t>
      </w:r>
      <w:r>
        <w:rPr>
          <w:rFonts w:eastAsia="Amiri" w:cs="Amiri" w:ascii="Amiri" w:hAnsi="Amiri"/>
          <w:color w:val="111111"/>
          <w:sz w:val="28"/>
          <w:szCs w:val="28"/>
          <w:rtl w:val="true"/>
          <w:lang w:bidi="ar-SA"/>
        </w:rPr>
        <w:t>.</w:t>
      </w:r>
      <w:bookmarkStart w:id="30" w:name="pg14367_156997"/>
    </w:p>
    <w:p>
      <w:pPr>
        <w:pStyle w:val="BookText"/>
        <w:rPr/>
      </w:pPr>
      <w:bookmarkEnd w:id="3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القضية المتيقنة والمشكوكة ذاتاً، كأن تكون العدالة بما هي هي متعلّقاً لليقين والشكّ معاً، وإلّا فلو كان المتعلّق مختلفاً لكان خارجاً عن الاستصحاب وداخلاً تحت قاعدة المقتضي والمانع كما ستوافيك، وبذلك علم أنّه يشترط في الاستصحاب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اليقين والشكّ أو فعليتهما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سبق زمان المتيقّن على زمان المشكوك</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متعلّق الشك واليقين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وكلّ واحد من هذه القيود الثلاثة يميز الاستصحاب عن القواعد الثلاث التي سنبيّنها</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7506884_3381743652"/>
      <w:bookmarkStart w:id="32" w:name="_Toc12"/>
      <w:bookmarkEnd w:id="31"/>
      <w:r>
        <w:rPr>
          <w:rtl w:val="true"/>
        </w:rPr>
        <w:t>الأمر الرابع</w:t>
      </w:r>
      <w:r>
        <w:rPr>
          <w:rtl w:val="true"/>
        </w:rPr>
        <w:t xml:space="preserve">: </w:t>
      </w:r>
      <w:r>
        <w:rPr>
          <w:rtl w:val="true"/>
        </w:rPr>
        <w:t>في القواعد الثلاث</w:t>
      </w:r>
      <w:bookmarkEnd w:id="32"/>
    </w:p>
    <w:p>
      <w:pPr>
        <w:pStyle w:val="Heading6"/>
        <w:numPr>
          <w:ilvl w:val="5"/>
          <w:numId w:val="1"/>
        </w:numPr>
        <w:rPr/>
      </w:pPr>
      <w:bookmarkStart w:id="33" w:name="__RefHeading___Toc7506886_3381743652"/>
      <w:bookmarkStart w:id="34" w:name="_Toc13"/>
      <w:bookmarkEnd w:id="33"/>
      <w:r>
        <w:rPr>
          <w:rtl w:val="true"/>
        </w:rPr>
        <w:t>اشارة</w:t>
      </w:r>
      <w:bookmarkEnd w:id="34"/>
    </w:p>
    <w:p>
      <w:pPr>
        <w:pStyle w:val="BookText"/>
        <w:rPr/>
      </w:pPr>
      <w:r>
        <w:rPr>
          <w:rFonts w:ascii="Amiri" w:hAnsi="Amiri" w:eastAsia="Amiri" w:cs="Amiri"/>
          <w:color w:val="111111"/>
          <w:sz w:val="28"/>
          <w:sz w:val="28"/>
          <w:szCs w:val="28"/>
          <w:rtl w:val="true"/>
          <w:lang w:bidi="ar-SA"/>
        </w:rPr>
        <w:t>قد عرفت حقيقة الاستصحاب وتعريفه، وهناك قواعد أُخرى يجب التعرّف عليها، وبيان الفرق بينها و بين الاستصحاب</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7506888_3381743652"/>
      <w:bookmarkStart w:id="36" w:name="_Toc14"/>
      <w:bookmarkEnd w:id="35"/>
      <w:r>
        <w:rPr>
          <w:rtl w:val="true"/>
        </w:rPr>
        <w:t>أ</w:t>
      </w:r>
      <w:r>
        <w:rPr>
          <w:rtl w:val="true"/>
        </w:rPr>
        <w:t xml:space="preserve">: </w:t>
      </w:r>
      <w:r>
        <w:rPr>
          <w:rtl w:val="true"/>
        </w:rPr>
        <w:t>قاعدة اليقين أو الشكّ الساري</w:t>
      </w:r>
      <w:bookmarkEnd w:id="36"/>
    </w:p>
    <w:p>
      <w:pPr>
        <w:pStyle w:val="BookText"/>
        <w:rPr/>
      </w:pPr>
      <w:r>
        <w:rPr>
          <w:rFonts w:ascii="Amiri" w:hAnsi="Amiri" w:eastAsia="Amiri" w:cs="Amiri"/>
          <w:color w:val="111111"/>
          <w:sz w:val="28"/>
          <w:sz w:val="28"/>
          <w:szCs w:val="28"/>
          <w:rtl w:val="true"/>
          <w:lang w:bidi="ar-SA"/>
        </w:rPr>
        <w:t>إنّ قاعدة اليقين أو الشكّ الساري تقارب قاعدة الاستصحاب، وإنّما يختلفان في أمرين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اليقين والشكّ يتّحدان ذاتاً ويختلفان زماناً في </w:t>
      </w:r>
    </w:p>
    <w:p>
      <w:pPr>
        <w:pStyle w:val="BookText"/>
        <w:rPr/>
      </w:pPr>
      <w:r>
        <w:rPr>
          <w:rFonts w:ascii="Amiri" w:hAnsi="Amiri" w:eastAsia="Amiri" w:cs="Amiri"/>
          <w:color w:val="111111"/>
          <w:sz w:val="28"/>
          <w:sz w:val="28"/>
          <w:szCs w:val="28"/>
          <w:rtl w:val="true"/>
          <w:lang w:bidi="ar-SA"/>
        </w:rPr>
        <w:t>الاستصحاب، بخلاف قاعدة اليقين فيتحدان ذاتاً وزماناً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كان متيقّناً بعدالة زيد يوم الجمعة وشكّ في بقائها يوم السبت، فهذا ينطبق على الاستصحاب؛ وأمّا إذا شكّ في نفس عدالته يوم الجمعة على وجه سرى الشك إلى اليقين فتنطبق عليه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الحدوث في الاستصحاب أمراً متيقّناً، والبقاء مشكوكاً، يكون الشكّ واليقين فعليّين لعدم التزاحم بينهما، وهذا بخلاف قاعدة اليقين حيث إنّ المتعلّقين كانا متّحدين ذاتاً وزماناً يزول اليقين بعد عروض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ويقع الكلام في صحّة الأعمال التي أُتي بها في ظرف اليقين بعد طروء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الاستصحاب شكّ في البقاء بعد الفراغ من ثبوته حدوثاً، وفي قاعدة اليقين شكّ في الحدوث دون نظر إلى البقاء على فرض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اليقين والشكّ من الحالات النفسية التي لا تجتمع في النفس أبداً ولكن المسوِّغ اجتماعهما في المقام هو اختلاف متعلّقي اليقين والشكّ من حيث الزمان في الاستصحاب، واختلاف ظرفي اليقين والشكّ في قاعدة اليقين، فالذي يزيل المشكلة هو وجود المغايرة إمّا في المتعلّق أو في ظرف حدوث اليقين والشكّ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ويترتب على ذلك أنّ اللازم في الاستصحاب تقدم متعلّق اليقين على متعلّق الشك، وأمّا اليقين والشكّ فيمكن أن يحصلا معاً، أو لا يحصلا إلّابالترتب سواء قُدِّم اليقين أو قُدّم الشك، فالمعيار التغاير بين المتيقّن والمشكوك من حيث الزمان، وتقدّم الأوّل على الثاني، وأمّا قاعدة اليقين فبما أنّ حلّ المشكلة كان رهن اختلاف اليقين والشكّ زماناً فلا مناص من تقدّم زمان اليقين على زمان الشكّ وحصولها مترتبين</w:t>
      </w:r>
      <w:r>
        <w:rPr>
          <w:rFonts w:eastAsia="Amiri" w:cs="Amiri" w:ascii="Amiri" w:hAnsi="Amiri"/>
          <w:color w:val="111111"/>
          <w:sz w:val="28"/>
          <w:szCs w:val="28"/>
          <w:rtl w:val="true"/>
          <w:lang w:bidi="ar-SA"/>
        </w:rPr>
        <w:t xml:space="preserve">. </w:t>
      </w:r>
      <w:bookmarkStart w:id="37" w:name="pg14367_156999"/>
    </w:p>
    <w:p>
      <w:pPr>
        <w:pStyle w:val="Heading6"/>
        <w:numPr>
          <w:ilvl w:val="5"/>
          <w:numId w:val="1"/>
        </w:numPr>
        <w:rPr/>
      </w:pPr>
      <w:bookmarkStart w:id="38" w:name="__RefHeading___Toc7506890_3381743652"/>
      <w:bookmarkStart w:id="39" w:name="_Toc15"/>
      <w:bookmarkEnd w:id="37"/>
      <w:bookmarkEnd w:id="38"/>
      <w:r>
        <w:rPr>
          <w:rtl w:val="true"/>
        </w:rPr>
        <w:t>ب</w:t>
      </w:r>
      <w:r>
        <w:rPr>
          <w:rtl w:val="true"/>
        </w:rPr>
        <w:t xml:space="preserve">: </w:t>
      </w:r>
      <w:r>
        <w:rPr>
          <w:rtl w:val="true"/>
        </w:rPr>
        <w:t>قاعدة المقتضي والمانع</w:t>
      </w:r>
      <w:bookmarkEnd w:id="39"/>
    </w:p>
    <w:p>
      <w:pPr>
        <w:pStyle w:val="BookText"/>
        <w:rPr/>
      </w:pPr>
      <w:r>
        <w:rPr>
          <w:rFonts w:ascii="Amiri" w:hAnsi="Amiri" w:eastAsia="Amiri" w:cs="Amiri"/>
          <w:color w:val="111111"/>
          <w:sz w:val="28"/>
          <w:sz w:val="28"/>
          <w:szCs w:val="28"/>
          <w:rtl w:val="true"/>
          <w:lang w:bidi="ar-SA"/>
        </w:rPr>
        <w:t>إذا تعلّق اليقين بشيء والشكّ بشيء آخر يغايره ذاتاً وزماناً، كما إذا أيقن بصب الماء على اليد، وشكّ في وجود المانع عن وصول الماء إلى البشرة، فهذا هو مورد القاعدة المعروفة بقاعدة المقتضي والمانع، فالمقتضي هو صبّ الماء الذي يقتضي غسلَ البشرة، والمانع هو احتمال وجود عائق عن وصول الماء إلى البشرة، كاللون، ففي المقام اختلف متعلقا اليقين والشكّ لا زماناً بل جوهراً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تقف على الفرق الواضح بين الاستصحاب والقاعدتين المذكورتين في ناحية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يتّحد متعلّقا اليقين والشكّ ذاتاً وزماناً، فهو مجرى لقاعدة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يتّحد متعلّقا اليقين والشكّ ذاتاً لا زماناً، فهو مجرى لقاعدة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يختلف متعلّقا اليقين والشكّ ذاتاً، فهو مجرى لقاعدة المقتضي والمانع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حجّية قاعدة المقتضي والمانع إذا شككنا في وجود العائق عن وصول الماء،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المقتضي موجود والمانع مرفوع بالأصل</w:t>
      </w:r>
      <w:r>
        <w:rPr>
          <w:rFonts w:eastAsia="Amiri" w:cs="Amiri" w:ascii="Amiri" w:hAnsi="Amiri"/>
          <w:color w:val="111111"/>
          <w:sz w:val="28"/>
          <w:szCs w:val="28"/>
          <w:rtl w:val="true"/>
          <w:lang w:bidi="ar-SA"/>
        </w:rPr>
        <w:t>.</w:t>
      </w:r>
    </w:p>
    <w:p>
      <w:pPr>
        <w:pStyle w:val="Heading6"/>
        <w:numPr>
          <w:ilvl w:val="5"/>
          <w:numId w:val="1"/>
        </w:numPr>
        <w:rPr/>
      </w:pPr>
      <w:bookmarkStart w:id="40" w:name="__RefHeading___Toc7506892_3381743652"/>
      <w:bookmarkStart w:id="41" w:name="_Toc16"/>
      <w:bookmarkEnd w:id="40"/>
      <w:r>
        <w:rPr>
          <w:rtl w:val="true"/>
        </w:rPr>
        <w:t>ج</w:t>
      </w:r>
      <w:r>
        <w:rPr>
          <w:rtl w:val="true"/>
        </w:rPr>
        <w:t xml:space="preserve">: </w:t>
      </w:r>
      <w:r>
        <w:rPr>
          <w:rtl w:val="true"/>
        </w:rPr>
        <w:t>الاستصحاب القهقري</w:t>
      </w:r>
      <w:bookmarkEnd w:id="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الاستصحاب القهقري نفس الاستصحاب الرائج، غير أنّ الفرق بينهما تقدّم زمان المتيقن على زمان المشكوك في الاستصحاب المتعارف، وأمّا إذا انعكس فصار زمان المتيقن متأخراً زماناً، والمشكوك متقدماً زماناً، فهذا مورد للاستصحاب القهقهري، كما إذا علمنا أنّ الصلاة والصوم كانا حقيقة في لسان الصادقين في الماهيات العبادية، وشككنا في كونهما كذلك في عصر الوصي أو </w:t>
      </w:r>
      <w:bookmarkStart w:id="42" w:name="pg14367_157000"/>
    </w:p>
    <w:p>
      <w:pPr>
        <w:pStyle w:val="BookText"/>
        <w:rPr/>
      </w:pPr>
      <w:bookmarkEnd w:id="42"/>
      <w:r>
        <w:rPr>
          <w:rFonts w:ascii="Amiri" w:hAnsi="Amiri" w:eastAsia="Amiri" w:cs="Amiri"/>
          <w:color w:val="111111"/>
          <w:sz w:val="28"/>
          <w:sz w:val="28"/>
          <w:szCs w:val="28"/>
          <w:rtl w:val="true"/>
          <w:lang w:bidi="ar-SA"/>
        </w:rPr>
        <w:t>النبي، فهل يصحّ لنا إطالة عمر اليقين وجره تعبّداً إلى الزمان السابق حتى يثبت بذلك كونهما حقيقتين في الماهيات العبادية في عصرهما أيضاً، على وجه لو وردا في كلامهما يحمل على هذه المعاني الشرعية لكونهما حقيقة في لسانهما في المعنى الذي صار حقيقته فيه في عصر الصادقين عليهما السلام؟</w:t>
      </w:r>
    </w:p>
    <w:p>
      <w:pPr>
        <w:pStyle w:val="BookText"/>
        <w:rPr/>
      </w:pPr>
      <w:r>
        <w:rPr>
          <w:rFonts w:ascii="Amiri" w:hAnsi="Amiri" w:eastAsia="Amiri" w:cs="Amiri"/>
          <w:color w:val="111111"/>
          <w:sz w:val="28"/>
          <w:sz w:val="28"/>
          <w:szCs w:val="28"/>
          <w:rtl w:val="true"/>
          <w:lang w:bidi="ar-SA"/>
        </w:rPr>
        <w:t>وبما أنّ أدلّة الاستصحاب ظاهرةً فيما إذا كان المقتضي متقدماً زماناً والمشكوك متأخراً زماناً على عكس الاستصحاب القهقري فلا تشمله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يتمسك في إثبات وحدة المعنى في العصرين بوجه آخر غير الاستصحاب القهقهري وهو أصالة عدم النقل وهو من سنخ الاستصحابات الدارجة، فتثبت بها وحدة المعنى في العصرين، وإلّا يلزم النقل وهو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وسيوافيك الكلام في حجّية الأُصول اللفظية ولوازمها عند البحث في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شمول أدلّتها القاعدة المقتضي والمانع، فالمتبادر من الأدلّة وحدة المتعلّقين ذاتاً، على خلاف مورد قاعدة المقتضي والمانع</w:t>
      </w:r>
      <w:r>
        <w:rPr>
          <w:rFonts w:eastAsia="Amiri" w:cs="Amiri" w:ascii="Amiri" w:hAnsi="Amiri"/>
          <w:color w:val="111111"/>
          <w:sz w:val="28"/>
          <w:szCs w:val="28"/>
          <w:rtl w:val="true"/>
          <w:lang w:bidi="ar-SA"/>
        </w:rPr>
        <w:t>.</w:t>
      </w:r>
    </w:p>
    <w:p>
      <w:pPr>
        <w:pStyle w:val="Heading5"/>
        <w:numPr>
          <w:ilvl w:val="4"/>
          <w:numId w:val="1"/>
        </w:numPr>
        <w:rPr/>
      </w:pPr>
      <w:bookmarkStart w:id="43" w:name="__RefHeading___Toc7506894_3381743652"/>
      <w:bookmarkStart w:id="44" w:name="_Toc17"/>
      <w:bookmarkEnd w:id="43"/>
      <w:r>
        <w:rPr>
          <w:rtl w:val="true"/>
        </w:rPr>
        <w:t>الأمر الخامس</w:t>
      </w:r>
      <w:r>
        <w:rPr>
          <w:rtl w:val="true"/>
        </w:rPr>
        <w:t xml:space="preserve">: </w:t>
      </w:r>
      <w:r>
        <w:rPr>
          <w:rtl w:val="true"/>
        </w:rPr>
        <w:t>في تقسيمات الاستصحاب</w:t>
      </w:r>
      <w:bookmarkEnd w:id="44"/>
    </w:p>
    <w:p>
      <w:pPr>
        <w:pStyle w:val="BookText"/>
        <w:rPr/>
      </w:pPr>
      <w:r>
        <w:rPr>
          <w:rFonts w:ascii="Amiri" w:hAnsi="Amiri" w:eastAsia="Amiri" w:cs="Amiri"/>
          <w:color w:val="111111"/>
          <w:sz w:val="28"/>
          <w:sz w:val="28"/>
          <w:szCs w:val="28"/>
          <w:rtl w:val="true"/>
          <w:lang w:bidi="ar-SA"/>
        </w:rPr>
        <w:t>ينقسم الاستصحاب، حسب المستصحب تارة، والدليل الدال على حكمه أُخرى، ومنشأ الشك ثالثة، وإليك بيان الجميع على وجه الإيجاز</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التقسيم باعتبار 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تارة يكون أمراً وجودياً، وأُخرى أمراً عدمياً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التقدير الأوّل قد يكون حكماً شرعياً، وأُخرى موضوعاً لحكم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الحكم الشرعي قد يكون كلياً، وقد يكون جزئياً، وعلى كلا التقديرين قد يكون من الأحكام التكليفية، وأُخرى من الوضعية، وأمثلة الكل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باعتبار الدليل الدال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دليله نقلياً كالكتاب والسنّة، وأُخرى لبيّاً كالإجماع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التقسيم من جهة الشكّ المأخوذ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تارة يكون في مقدار استعداد المستصحب للبقاء، ويسمى بالشكّ في المقتضي كالحيوان المردّد بين طويل العمر وقصيره، وكنجاسة الماء المتغيّر إذا زال تغيّره بنفسه، فمرجع الشكّ إلى استعداد المستصحب للبقاء، ونظيره استصحاب الليل والنهار، فالشكّ في بقاء النهار يرجع إلى الشكّ في قابلية بقائهما في الفترة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استعداده للبقاء أمراً محرزاً لكن يحتمل طروء رافع يرفع المقتضي، كالطهارة فهي قابلة للبقاء ما لم يعرض هناك عارض ورافع كالنوم والبول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كعقد النكاح فالعلقة المنشأة قابلة للبقاء ما لم يطرأ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لحكم المقتضي أو لا، يكون الشكّ من قبيل الشكّ في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الشكّ في الرافع على أقسام، لأنّ الشكّ تارة يتعلّق بأصل وجود الرافع كالحدث بعد الوضوء، وأُخرى برافعية الأمر الموجود، وهو على أقسام لأنّ منشأ الشكّ في رافعية الأمر الموجود أحد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تردّد المستصحب بين ما يكون الموجود رافعاً له، وما لا يكون رافعاً له، كشغل الذمّة المستصحب يوم الجمعة بعد الإتيان بصلاة الظهر، فانّ الشكّ في</w:t>
      </w:r>
    </w:p>
    <w:p>
      <w:pPr>
        <w:pStyle w:val="BookText"/>
        <w:rPr/>
      </w:pPr>
      <w:r>
        <w:rPr>
          <w:rFonts w:ascii="Amiri" w:hAnsi="Amiri" w:eastAsia="Amiri" w:cs="Amiri"/>
          <w:color w:val="111111"/>
          <w:sz w:val="28"/>
          <w:sz w:val="28"/>
          <w:szCs w:val="28"/>
          <w:rtl w:val="true"/>
          <w:lang w:bidi="ar-SA"/>
        </w:rPr>
        <w:t xml:space="preserve">رافعية الأمر الموجود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عدم تعيّن المستصحب وتردّده بين كون الواجب هوالظهر أو الجمعة، فعلى الأوّل ارتفع الاشتغال بالذمّة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بحكم الموجود، كالمذي الخارج عن الإنسان، فهل هو رافع شرعاً للطهارة مثل البول، أو لا؟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الجهل بمصداقيته لرافع معلوم المفهوم كالبول، كالبلل المردّد بين البول والوذي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الجهل بمصداقيته لرافع مجهول المفهوم كالتيمّم على الحجر، المجهول كونه مصداقاً للصعيد المجهول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الخلاف في حجّية الاستصحاب في هذه الموارد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التقسيمات الرئيسيّة ذكرناها تمهيداً</w:t>
      </w:r>
      <w:r>
        <w:rPr>
          <w:rFonts w:eastAsia="Amiri" w:cs="Amiri" w:ascii="Amiri" w:hAnsi="Amiri"/>
          <w:color w:val="111111"/>
          <w:sz w:val="28"/>
          <w:szCs w:val="28"/>
          <w:rtl w:val="true"/>
          <w:lang w:bidi="ar-SA"/>
        </w:rPr>
        <w:t xml:space="preserve">. </w:t>
      </w:r>
      <w:bookmarkStart w:id="45" w:name="pg14367_157003"/>
    </w:p>
    <w:p>
      <w:pPr>
        <w:pStyle w:val="Heading4"/>
        <w:numPr>
          <w:ilvl w:val="3"/>
          <w:numId w:val="1"/>
        </w:numPr>
        <w:rPr/>
      </w:pPr>
      <w:bookmarkStart w:id="46" w:name="__RefHeading___Toc7506896_3381743652"/>
      <w:bookmarkStart w:id="47" w:name="_Toc18"/>
      <w:bookmarkEnd w:id="45"/>
      <w:bookmarkEnd w:id="46"/>
      <w:r>
        <w:rPr>
          <w:rtl w:val="true"/>
        </w:rPr>
        <w:t>حجّية الاستصحاب</w:t>
      </w:r>
      <w:bookmarkEnd w:id="47"/>
    </w:p>
    <w:p>
      <w:pPr>
        <w:pStyle w:val="Heading5"/>
        <w:numPr>
          <w:ilvl w:val="4"/>
          <w:numId w:val="1"/>
        </w:numPr>
        <w:rPr/>
      </w:pPr>
      <w:bookmarkStart w:id="48" w:name="__RefHeading___Toc7506898_3381743652"/>
      <w:bookmarkStart w:id="49" w:name="_Toc19"/>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استدلّ على حجّية‌الاستصحاب بوجوه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7506900_3381743652"/>
      <w:bookmarkStart w:id="51" w:name="_Toc20"/>
      <w:bookmarkEnd w:id="50"/>
      <w:r>
        <w:rPr>
          <w:rtl w:val="true"/>
        </w:rPr>
        <w:t>الأوّل</w:t>
      </w:r>
      <w:r>
        <w:rPr>
          <w:rtl w:val="true"/>
        </w:rPr>
        <w:t xml:space="preserve">: </w:t>
      </w:r>
      <w:r>
        <w:rPr>
          <w:rtl w:val="true"/>
        </w:rPr>
        <w:t>بناء العقلاء</w:t>
      </w:r>
      <w:bookmarkEnd w:id="51"/>
    </w:p>
    <w:p>
      <w:pPr>
        <w:pStyle w:val="BookText"/>
        <w:rPr/>
      </w:pPr>
      <w:r>
        <w:rPr>
          <w:rFonts w:ascii="Amiri" w:hAnsi="Amiri" w:eastAsia="Amiri" w:cs="Amiri"/>
          <w:color w:val="111111"/>
          <w:sz w:val="28"/>
          <w:sz w:val="28"/>
          <w:szCs w:val="28"/>
          <w:rtl w:val="true"/>
          <w:lang w:bidi="ar-SA"/>
        </w:rPr>
        <w:t>استقرّ بناء العقلاء على العمل على وفق الحالة السابقة، وحيث لم يردع عنه الشارع كان ماضياً، والاستدلال مبني على ثبوت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بناء العقلاء على العمل على طبق الحالة السابقة تعبّداً، أولأجل الدواعي الأُخر، كما سيوافيك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الردع من جانب الشارع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ثابت، إذ لا يبعد أن يكون عملهم عليه لأجل وجود الاطمئنان، أو الظن ببقاء الحالة السابقة، أو لغفلتهم عن الشك إن كان موجوداً في خزانة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جواز العمل بحصول الاطمئنان أو الظن ببقاء الحالة السابقة، لا مطلقاً، كما هو المطلوب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العمل به عند الشكّ مع الالتفات، لأنّ بناء العقلاء على الجري على الحالة السابقة، إنّما هو في صورة الغفلة عن الشكّ، والمجتهد </w:t>
      </w:r>
    </w:p>
    <w:p>
      <w:pPr>
        <w:pStyle w:val="BookText"/>
        <w:rPr/>
      </w:pPr>
      <w:r>
        <w:rPr>
          <w:rFonts w:ascii="Amiri" w:hAnsi="Amiri" w:eastAsia="Amiri" w:cs="Amiri"/>
          <w:color w:val="111111"/>
          <w:sz w:val="28"/>
          <w:sz w:val="28"/>
          <w:szCs w:val="28"/>
          <w:rtl w:val="true"/>
          <w:lang w:bidi="ar-SA"/>
        </w:rPr>
        <w:t>المستصحِب ملتفت إلى شكّه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ثبت كونه أصلاً تعبدياً عندهم وانّهم يعملون به لحفظ النظام، كان دليلاً على حجّية الاستصحاب، ولكنّه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مشكلة أُخرى وهي أنّهم إنّما يعملون به في الأُمور الحقيرة لا الخطيرة بل يتوقّفون حتى يحصل لهم الاطمئنان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المحقّق الخراساني بأنّه يكفي في الردع ما دلّ في الكتاب والسنّة على النهي عن اتّباع غير العلم، أو ما دلّ على البراءة والاحتياط في مورد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هنا ينافي ما تقدّم منه في باب حجّية الخبر الواحد حيث قال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ما دلّ من الكتاب والسنّة على النهي عن اتباع غير العلم لا يكون رادعاً لبناء العقلاء على العمل بخبر الواحد لاستلزامه الدور، ولكنّه سلّم في المقام بأنّها صالحة لردع بناء العقلاء على العمل بالاستصحاب مع أنّ بناء العقلاء على الأخذ بالحالة السابقة لو لم يكن أقوى من بنائهم على العمل بالخبر الواحد فلا أقلّمن التساوي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الفارق بين قول الثقة والأخذ بالحالة السابقة، فإنّ الأوّل عند العرف مساوق للعلم بمعنى الاطمئنان، وهذا بخلاف الأخذ بالحالة السابقة، إذ لا يفيد إلّاالظن دون الاطمئنان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فلا ينتقل العرف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إلى قول الثقة المفيد للعلم العرفي، بخلاف الاستصحاب فبما أنّه مفيد </w:t>
      </w:r>
      <w:bookmarkStart w:id="52" w:name="pg14367_157005"/>
    </w:p>
    <w:p>
      <w:pPr>
        <w:pStyle w:val="BookText"/>
        <w:rPr/>
      </w:pPr>
      <w:bookmarkEnd w:id="52"/>
      <w:r>
        <w:rPr>
          <w:rFonts w:ascii="Amiri" w:hAnsi="Amiri" w:eastAsia="Amiri" w:cs="Amiri"/>
          <w:color w:val="111111"/>
          <w:sz w:val="28"/>
          <w:sz w:val="28"/>
          <w:szCs w:val="28"/>
          <w:rtl w:val="true"/>
          <w:lang w:bidi="ar-SA"/>
        </w:rPr>
        <w:t>للظن الضعيف ينتقل إليه من هذه الآية ونظائرها إلى أنّها بصدد الرد على العمل بهذا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يجاب بأنّ الآيات الناهية عن العمل بالظن أو العمل بغير العلم ناظرة إلى ما كان عليه العرب في العصر الجاهلي، حيث كان ديدنهم العمل، وفق الخرص والتخيّل، ولذلك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 ما تَهْوَى الْأَنْفُسُ</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 إِنْ هُمْ إِلاّ يَخْرُصُونَ</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الآية الأُولى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تَهْوَى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الظن، كما أنّه في الآية الثانية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بالخرص، كلّ ذلك شاهد على أنّ الآيات الناهية بصدد نفي ما كان عليه العرب في العصر الجاهلي من العمل بموازين موهومة، فكانوا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الملائكة بنات اللّه، أو انّ عيسى ابن اللّه، إلى غير ذلك وأين هذا من بناء العقلاء على الأخذ بالحالة السابقة الذي يدور عليه نظام الحياة في غالب الأُمور؟ فبناء العقلاء خارج عن مدلول الآيات تخصصاً وموضوعاً</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7506902_3381743652"/>
      <w:bookmarkStart w:id="54" w:name="_Toc21"/>
      <w:bookmarkEnd w:id="53"/>
      <w:r>
        <w:rPr>
          <w:rtl w:val="true"/>
        </w:rPr>
        <w:t>الثاني</w:t>
      </w:r>
      <w:r>
        <w:rPr>
          <w:rtl w:val="true"/>
        </w:rPr>
        <w:t xml:space="preserve">: </w:t>
      </w:r>
      <w:r>
        <w:rPr>
          <w:rtl w:val="true"/>
        </w:rPr>
        <w:t>الاستقراء</w:t>
      </w:r>
      <w:bookmarkEnd w:id="54"/>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تتبّعنا موارد الشكّ في بقاء الحكم السابق المشكوك من جهة الرافع فلم نجد مورداً إلّاوقد حكم فيه الشارع بالبقاء، إلّامع أمارة توجب الظن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تتجاوز عن موارد ثلاثة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بنجاسة البلل الخارج قبل الاستبراء، فانّ الحكم بها ليس لعدم اعتبار الحالة السابقة، وإلّا لوجب الحكم بالطهارة لقاعدة الطهارة، بل لغلبة بقاء </w:t>
      </w:r>
      <w:bookmarkStart w:id="55" w:name="pg14367_157006"/>
    </w:p>
    <w:p>
      <w:pPr>
        <w:pStyle w:val="BookText"/>
        <w:rPr/>
      </w:pPr>
      <w:bookmarkEnd w:id="55"/>
      <w:r>
        <w:rPr>
          <w:rFonts w:ascii="Amiri" w:hAnsi="Amiri" w:eastAsia="Amiri" w:cs="Amiri"/>
          <w:color w:val="111111"/>
          <w:sz w:val="28"/>
          <w:sz w:val="28"/>
          <w:szCs w:val="28"/>
          <w:rtl w:val="true"/>
          <w:lang w:bidi="ar-SA"/>
        </w:rPr>
        <w:t>جزء حتى البول أو المني في المخرج فرجّح الظاهر على الأصل، وهو 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غسالة الحمام عند بعض، فانّ مقتضى الاستصحاب أو قاعدة الطهارة، طهارة الماء، إلّاأنّ الظاهر هو انفعال هذه المياه القليلة بالنجاسة، فقدّم الظاهر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فعل المسلم في الصحّة، حيث يقدّم على أصالة الفساد التي هي مفاد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الاحتجاج بالاستقراء على حجّية قاعدة يتوقف على تتبع الأحكام الشرعية من الطهارة إلى الديات حتى يعلم بعلم قطعي أنّه يحكم بالأخذ وفق الحالة السابقة في مورد الشك، وتحصيل هذا العلم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والاستدلال على الاستقراء بما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يستظهر بيوم أو يومين أو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استقراء ناقصاً، فكيف استقراء كاملاً؟</w:t>
      </w:r>
    </w:p>
    <w:p>
      <w:pPr>
        <w:pStyle w:val="BookText"/>
        <w:rPr/>
      </w:pPr>
      <w:r>
        <w:rPr>
          <w:rFonts w:ascii="Amiri" w:hAnsi="Amiri" w:eastAsia="Amiri" w:cs="Amiri"/>
          <w:color w:val="111111"/>
          <w:sz w:val="28"/>
          <w:sz w:val="28"/>
          <w:szCs w:val="28"/>
          <w:rtl w:val="true"/>
          <w:lang w:bidi="ar-SA"/>
        </w:rPr>
        <w:t>نعم حَكَم الشارع في مسألة استظهار الحائض قبل تجاوز العشرة، أو يوم الشكّ على وفق الاستصحاب وهما موردان لا يفيان بالمقصود</w:t>
      </w:r>
      <w:r>
        <w:rPr>
          <w:rFonts w:eastAsia="Amiri" w:cs="Amiri" w:ascii="Amiri" w:hAnsi="Amiri"/>
          <w:color w:val="111111"/>
          <w:sz w:val="28"/>
          <w:szCs w:val="28"/>
          <w:rtl w:val="true"/>
          <w:lang w:bidi="ar-SA"/>
        </w:rPr>
        <w:t>.</w:t>
      </w:r>
    </w:p>
    <w:p>
      <w:pPr>
        <w:pStyle w:val="Heading5"/>
        <w:numPr>
          <w:ilvl w:val="4"/>
          <w:numId w:val="1"/>
        </w:numPr>
        <w:rPr/>
      </w:pPr>
      <w:bookmarkStart w:id="56" w:name="__RefHeading___Toc7506904_3381743652"/>
      <w:bookmarkStart w:id="57" w:name="_Toc22"/>
      <w:bookmarkEnd w:id="56"/>
      <w:r>
        <w:rPr>
          <w:rtl w:val="true"/>
        </w:rPr>
        <w:t>الثالث</w:t>
      </w:r>
      <w:r>
        <w:rPr>
          <w:rtl w:val="true"/>
        </w:rPr>
        <w:t xml:space="preserve">: </w:t>
      </w:r>
      <w:r>
        <w:rPr>
          <w:rtl w:val="true"/>
        </w:rPr>
        <w:t>الاستصحاب مفيد للظن</w:t>
      </w:r>
      <w:bookmarkEnd w:id="5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الثبوت السابق مفيد للظن به في اللاحق، وإليه استند شارح المختصر الحاجبي،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استصحاب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الفلاني قدكان ولم يظن عدمه، وكلّ ما كان كذلك فهو مظنون البقاء</w:t>
      </w:r>
      <w:r>
        <w:rPr>
          <w:rFonts w:eastAsia="Amiri" w:cs="Amiri" w:ascii="Amiri" w:hAnsi="Amiri"/>
          <w:color w:val="111111"/>
          <w:sz w:val="28"/>
          <w:szCs w:val="28"/>
          <w:rtl w:val="true"/>
          <w:lang w:bidi="ar-SA"/>
        </w:rPr>
        <w:t xml:space="preserve">. </w:t>
      </w:r>
      <w:bookmarkStart w:id="58" w:name="pg14367_157007"/>
    </w:p>
    <w:p>
      <w:pPr>
        <w:pStyle w:val="BookText"/>
        <w:rPr/>
      </w:pPr>
      <w:bookmarkEnd w:id="58"/>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ثبوت الكبرى أوّلاً، لمنع إفادته للظن في كلّ مورد، وبعدم الدليل على حجّية هذا الظن ثانياً</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7506906_3381743652"/>
      <w:bookmarkStart w:id="60" w:name="_Toc23"/>
      <w:bookmarkEnd w:id="59"/>
      <w:r>
        <w:rPr>
          <w:rtl w:val="true"/>
        </w:rPr>
        <w:t>الرابع</w:t>
      </w:r>
      <w:r>
        <w:rPr>
          <w:rtl w:val="true"/>
        </w:rPr>
        <w:t xml:space="preserve">: </w:t>
      </w:r>
      <w:r>
        <w:rPr>
          <w:rtl w:val="true"/>
        </w:rPr>
        <w:t>الإجماع المنقول</w:t>
      </w:r>
      <w:bookmarkEnd w:id="60"/>
    </w:p>
    <w:p>
      <w:pPr>
        <w:pStyle w:val="BookText"/>
        <w:rPr/>
      </w:pPr>
      <w:r>
        <w:rPr>
          <w:rFonts w:ascii="Amiri" w:hAnsi="Amiri" w:eastAsia="Amiri" w:cs="Amiri"/>
          <w:color w:val="111111"/>
          <w:sz w:val="28"/>
          <w:sz w:val="28"/>
          <w:szCs w:val="28"/>
          <w:rtl w:val="true"/>
          <w:lang w:bidi="ar-SA"/>
        </w:rPr>
        <w:t>استدل صاحب المبادئ على حجية الاستصحاب بالإجماع،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حجّة لإجماع الفقهاء على أنّه متى حصل حكم وقع الشكّ في أنّه طرأ ما يزيله أو لا وجب الحكم ببقائه على ما كان أوّلاً، ولولا القول بأنّ الاستصحاب حجّة لكان ترجيحاً لأحد طرفي الممكن من غير مرجّح</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إجماع العلماء على الحجية، وعلى فرض ثبوته لعلهم اعتمدوا على أحد هذه الوجوه المذكورة من سيرة العقلاء، أو الاستقراء، أو كونه مفيداً للظن، ومعه لا يبقى اعتمادعليه، لأنّ مدارك حكمهم عندنا ضعيفة</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7506908_3381743652"/>
      <w:bookmarkStart w:id="62" w:name="_Toc24"/>
      <w:bookmarkEnd w:id="61"/>
      <w:r>
        <w:rPr>
          <w:rtl w:val="true"/>
        </w:rPr>
        <w:t>الخامس</w:t>
      </w:r>
      <w:r>
        <w:rPr>
          <w:rtl w:val="true"/>
        </w:rPr>
        <w:t xml:space="preserve">: </w:t>
      </w:r>
      <w:r>
        <w:rPr>
          <w:rtl w:val="true"/>
        </w:rPr>
        <w:t>الأخبار المستفيضة</w:t>
      </w:r>
      <w:bookmarkEnd w:id="62"/>
    </w:p>
    <w:p>
      <w:pPr>
        <w:pStyle w:val="Heading6"/>
        <w:numPr>
          <w:ilvl w:val="5"/>
          <w:numId w:val="1"/>
        </w:numPr>
        <w:rPr/>
      </w:pPr>
      <w:bookmarkStart w:id="63" w:name="__RefHeading___Toc7506910_3381743652"/>
      <w:bookmarkStart w:id="64" w:name="_Toc25"/>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تضافرت الأخبار على عدم جواز نقض اليقين بالشك، وهي أوضح الوجوه في المقام، وقد استمرّ الاستدلال بها من عصر الشيخ الجليل حسين بن عبد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الشيخ بهاء الدين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واستدل بها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الطهماسبي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وإليك الروايات</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506912_3381743652"/>
      <w:bookmarkStart w:id="66" w:name="_Toc26"/>
      <w:bookmarkEnd w:id="65"/>
      <w:r>
        <w:rPr/>
        <w:t>1</w:t>
      </w:r>
      <w:r>
        <w:rPr>
          <w:rtl w:val="true"/>
        </w:rPr>
        <w:t xml:space="preserve">. </w:t>
      </w:r>
      <w:r>
        <w:rPr>
          <w:rtl w:val="true"/>
        </w:rPr>
        <w:t>مضمرة زرارة الأُولى</w:t>
      </w:r>
      <w:bookmarkEnd w:id="6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التهذيب باسناده عن الحسين بن سعيد، عن حمّاد، عن </w:t>
      </w:r>
    </w:p>
    <w:p>
      <w:pPr>
        <w:pStyle w:val="BookText"/>
        <w:rPr/>
      </w:pPr>
      <w:r>
        <w:rPr>
          <w:rFonts w:ascii="Amiri" w:hAnsi="Amiri" w:eastAsia="Amiri" w:cs="Amiri"/>
          <w:color w:val="111111"/>
          <w:sz w:val="28"/>
          <w:sz w:val="28"/>
          <w:szCs w:val="28"/>
          <w:rtl w:val="true"/>
          <w:lang w:bidi="ar-SA"/>
        </w:rPr>
        <w:t>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ينام وهو على وضوءٍ أتوجب الخفقة والخفقتان عليه الوضوء؟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قد تنام العينُ ولا ينام القلب والأُذن، فإذا نامت العين والأُذن والقلبُ وجب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الى جنبه شيء و لم يعلم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أنّه قد نام، حتى يجيء من ذلك أمر بيّن، وإلّا فانّه على يقين من وضوئه، 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والاستدلال يتوقف على صحّة السند، والدلالة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السند، فقد أخذ الشيخ الطوسي الحديث عن كتاب الحسين بن سعيد الأهوازي الثقة، وهو يروي عن حمّاد، أي‌حمّاد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بغريق الجحفة، صاحب الرواية التعليميّة في الصلاة لا عن حمّاد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رواية الحسين بن سعيد عنه، وهويروي عن حريز بن عبد اللّه السجستاني الثقة، عن زرارة، عن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سند الشيخ إلى سعيد، فهوصحيح في المشيخة والفهرست، فقد ذكر في الأُولى إلى كتبه أسانيد مختلفة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يرويها عن مشايخه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الغضائري، وابن عبدون، عن أحمد بن محمد بن الحسن بن الوليد، عن أبيه محمد بن الحسن بن الوليد، عن الحسين بن الحسن بن أبان، عن الحسين بن سعيد</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وكلّهم ثقات على الأظهر، والطريق صحيح</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الإضمار فلا يضر بالاستدلال لجلالة زرارة، فهو لا يصدر إلّاعن </w:t>
      </w:r>
      <w:bookmarkStart w:id="67" w:name="pg14367_157009"/>
    </w:p>
    <w:p>
      <w:pPr>
        <w:pStyle w:val="BookText"/>
        <w:rPr/>
      </w:pPr>
      <w:bookmarkEnd w:id="67"/>
      <w:r>
        <w:rPr>
          <w:rFonts w:ascii="Amiri" w:hAnsi="Amiri" w:eastAsia="Amiri" w:cs="Amiri"/>
          <w:color w:val="111111"/>
          <w:sz w:val="28"/>
          <w:sz w:val="28"/>
          <w:szCs w:val="28"/>
          <w:rtl w:val="true"/>
          <w:lang w:bidi="ar-SA"/>
        </w:rPr>
        <w:t>أحاديث الأئمّة المعصومين، ومشاركة هذه الرواية مع سائر الروايات في التعبير، ومع ذلك فقد رواه المحدّث الاسترآبادي وصاحب الحدائق والفصول عن الإمام الباقر عليه السلام، ولعلّهما وقفاً على مالم نقف عليه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وأمّا الدلالة فيتوقف البحث فيها على عدّة أُمور</w:t>
      </w:r>
      <w:r>
        <w:rPr>
          <w:rFonts w:eastAsia="Amiri" w:cs="Amiri" w:ascii="Amiri" w:hAnsi="Amiri"/>
          <w:color w:val="111111"/>
          <w:sz w:val="28"/>
          <w:szCs w:val="28"/>
          <w:rtl w:val="true"/>
          <w:lang w:bidi="ar-SA"/>
        </w:rPr>
        <w:t>:</w:t>
      </w:r>
    </w:p>
    <w:p>
      <w:pPr>
        <w:pStyle w:val="Heading6"/>
        <w:numPr>
          <w:ilvl w:val="5"/>
          <w:numId w:val="1"/>
        </w:numPr>
        <w:rPr/>
      </w:pPr>
      <w:bookmarkStart w:id="68" w:name="__RefHeading___Toc7506914_3381743652"/>
      <w:bookmarkStart w:id="69" w:name="_Toc27"/>
      <w:bookmarkEnd w:id="68"/>
      <w:r>
        <w:rPr>
          <w:rtl w:val="true"/>
        </w:rPr>
        <w:t>أ</w:t>
      </w:r>
      <w:r>
        <w:rPr>
          <w:rtl w:val="true"/>
        </w:rPr>
        <w:t xml:space="preserve">: </w:t>
      </w:r>
      <w:r>
        <w:rPr>
          <w:rtl w:val="true"/>
        </w:rPr>
        <w:t>ما هو محور السؤال؟</w:t>
      </w:r>
      <w:bookmarkEnd w:id="69"/>
    </w:p>
    <w:p>
      <w:pPr>
        <w:pStyle w:val="BookText"/>
        <w:rPr/>
      </w:pPr>
      <w:r>
        <w:rPr>
          <w:rFonts w:ascii="Amiri" w:hAnsi="Amiri" w:eastAsia="Amiri" w:cs="Amiri"/>
          <w:color w:val="111111"/>
          <w:sz w:val="28"/>
          <w:sz w:val="28"/>
          <w:szCs w:val="28"/>
          <w:rtl w:val="true"/>
          <w:lang w:bidi="ar-SA"/>
        </w:rPr>
        <w:t>لا شكّ 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حرّك في جنبه شيء، ولم يعلم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سؤال عن شبهة موضوعية، والشكّ في تحقّق النوم وعدمه بعد الوقوف على الحدّ الناقض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السؤال الأوّل،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أتوجب الخفقة والخفقتان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السؤال عن مفهوم النوم، لا عن مفهومه الإجمالي بل عن مفهومه الدقيق، فحاول التعرّف عليه حتى يطبقه على مورد الشبهة، فتكون الشبهة عندئذ، شبهة مفهوميّة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عارفاً بمفهوم النوم، إجمالاً وتفصيلاً، وكان السؤال عمّا هو الموضوع للناقضية، فهل هو مطلق تعطيل حاسّة من الحواس كالعين؟ أو المرتبة الوسطى منه، لتحصيل العين والسمع أو المرتبة العليا منه؟ فأجاب الإمام بأنّ الموضوع هو المرتبة العليا،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تعطّلت الحواس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السؤال عن ناقضية الخفقة، مع العلم بعدم دخولها في النوم، ولكن يحتمل أن تكون ناقضة برأسها</w:t>
      </w:r>
      <w:r>
        <w:rPr>
          <w:rFonts w:eastAsia="Amiri" w:cs="Amiri" w:ascii="Amiri" w:hAnsi="Amiri"/>
          <w:color w:val="111111"/>
          <w:sz w:val="28"/>
          <w:szCs w:val="28"/>
          <w:rtl w:val="true"/>
          <w:lang w:bidi="ar-SA"/>
        </w:rPr>
        <w:t xml:space="preserve">. </w:t>
      </w:r>
      <w:bookmarkStart w:id="70" w:name="pg14367_157010"/>
    </w:p>
    <w:p>
      <w:pPr>
        <w:pStyle w:val="BookText"/>
        <w:rPr/>
      </w:pPr>
      <w:bookmarkEnd w:id="70"/>
      <w:r>
        <w:rPr>
          <w:rFonts w:ascii="Amiri" w:hAnsi="Amiri" w:eastAsia="Amiri" w:cs="Amiri"/>
          <w:color w:val="111111"/>
          <w:sz w:val="28"/>
          <w:sz w:val="28"/>
          <w:szCs w:val="28"/>
          <w:rtl w:val="true"/>
          <w:lang w:bidi="ar-SA"/>
        </w:rPr>
        <w:t>والثالث غير مراد قطعاً، لأنّ النواقض محدودة و من البعيد أن لا يعرف زرارة نواقض الوضوء، مع أنّ جواب الإمام لا يوافق هذا الاحتمال، فدار الأمر بين الأوّل حيث تكون الشبهة عندئذٍ مفهومية‌تستعقب شبهة حكمية، والثاني فتكون الشبهة شبهة حكمية محضة، ولعلّه المتعيّن حيث إنّ الإمام بشرحه مفهوم النوم، عيّن الناقض، وانّه عبارة فيما إذا نامت فيه الحواس الثلاثة</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506916_3381743652"/>
      <w:bookmarkStart w:id="72" w:name="_Toc28"/>
      <w:bookmarkEnd w:id="71"/>
      <w:r>
        <w:rPr>
          <w:rtl w:val="true"/>
        </w:rPr>
        <w:t>ب</w:t>
      </w:r>
      <w:r>
        <w:rPr>
          <w:rtl w:val="true"/>
        </w:rPr>
        <w:t xml:space="preserve">: </w:t>
      </w:r>
      <w:r>
        <w:rPr>
          <w:rtl w:val="true"/>
        </w:rPr>
        <w:t>ما هو الجزاء لقوله</w:t>
      </w:r>
      <w:r>
        <w:rPr>
          <w:rtl w:val="true"/>
        </w:rPr>
        <w:t xml:space="preserve">: </w:t>
      </w:r>
      <w:r>
        <w:rPr>
          <w:rtl w:val="true"/>
        </w:rPr>
        <w:t>وإلّا فإنّه على يقين؟</w:t>
      </w:r>
      <w:bookmarkEnd w:id="72"/>
    </w:p>
    <w:p>
      <w:pPr>
        <w:pStyle w:val="BookText"/>
        <w:rPr/>
      </w:pP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شرطية،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يجئ من ذلك بأمر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فيحتاج إلى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الجزاء؟ هنا احتمالات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الجزاء محذوفاً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أي‌فلا يجب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فهو أوضح الوجوه حيث حذف الجزاء وأُقيمت العلّة المركبة من صغرى وكبرى مكانه،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 من وضوئه و 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نظائر في التنزيل مثل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يَسْرِقْ فَقَدْ سَرَقَ أَخٌ لَهُ مِنْ قَبْلُ</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الجزاء مقدّراً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التكرار لسبق نظيره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أي‌لا يجب الوضوء حتى يستيقن</w:t>
      </w:r>
      <w:r>
        <w:rPr>
          <w:rFonts w:eastAsia="Amiri" w:cs="Amiri" w:ascii="Amiri" w:hAnsi="Amiri"/>
          <w:color w:val="111111"/>
          <w:sz w:val="28"/>
          <w:szCs w:val="28"/>
          <w:rtl w:val="true"/>
          <w:lang w:bidi="ar-SA"/>
        </w:rPr>
        <w:t xml:space="preserve">. </w:t>
      </w:r>
      <w:bookmarkStart w:id="73" w:name="pg14367_157011"/>
    </w:p>
    <w:p>
      <w:pPr>
        <w:pStyle w:val="BookText"/>
        <w:rPr/>
      </w:pPr>
      <w:bookmarkEnd w:id="73"/>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نكتة التكرار هو التركيز على عدم الوجوب، مضافاً إلى أنّه إنّما يستهجن لو كان الجزاء مذكوراً لا محذوفاً مقدّراً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الثاني أي 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على 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فهولا يخلو إمّا أن يكون باقياً على ظاهره من الإخبار عن كونه على يقين من وضوئه، أو غير باقٍ بل يكون مؤوّلاً إلى الإنشاء،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 لا يصلح أن يقع جزاء، لعدم الصلة عندئذٍ بين الشرط والجزاء، وعدم ترتّبه على الشرط؛ والثاني بعيد عن ظاهر الكلام حيث أطلق الجملة الخبرية وأُريد بها الإنشاء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الاحتمال الثالث بأن يكون الجزاء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توطئة للجزاء فهو أبعد، إذ لا يدخل حرف العطف على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الجزاء عند الأُدباء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يدرسون الظاهر وإلّا فالجزاء محذوف</w:t>
      </w:r>
      <w:r>
        <w:rPr>
          <w:rFonts w:eastAsia="Amiri" w:cs="Amiri" w:ascii="Amiri" w:hAnsi="Amiri"/>
          <w:color w:val="111111"/>
          <w:sz w:val="28"/>
          <w:szCs w:val="28"/>
          <w:rtl w:val="true"/>
          <w:lang w:bidi="ar-SA"/>
        </w:rPr>
        <w:t>.</w:t>
      </w:r>
    </w:p>
    <w:p>
      <w:pPr>
        <w:pStyle w:val="Heading6"/>
        <w:numPr>
          <w:ilvl w:val="5"/>
          <w:numId w:val="1"/>
        </w:numPr>
        <w:rPr/>
      </w:pPr>
      <w:bookmarkStart w:id="74" w:name="__RefHeading___Toc7506918_3381743652"/>
      <w:bookmarkStart w:id="75" w:name="_Toc29"/>
      <w:bookmarkEnd w:id="74"/>
      <w:r>
        <w:rPr>
          <w:rtl w:val="true"/>
        </w:rPr>
        <w:t>ج</w:t>
      </w:r>
      <w:r>
        <w:rPr>
          <w:rtl w:val="true"/>
        </w:rPr>
        <w:t xml:space="preserve">: </w:t>
      </w:r>
      <w:r>
        <w:rPr>
          <w:rtl w:val="true"/>
        </w:rPr>
        <w:t>دلالة الرواية على حرمة النقض في جميع الأبواب</w:t>
      </w:r>
      <w:bookmarkEnd w:id="75"/>
    </w:p>
    <w:p>
      <w:pPr>
        <w:pStyle w:val="BookText"/>
        <w:rPr/>
      </w:pPr>
      <w:r>
        <w:rPr>
          <w:rFonts w:ascii="Amiri" w:hAnsi="Amiri" w:eastAsia="Amiri" w:cs="Amiri"/>
          <w:color w:val="111111"/>
          <w:sz w:val="28"/>
          <w:sz w:val="28"/>
          <w:szCs w:val="28"/>
          <w:rtl w:val="true"/>
          <w:lang w:bidi="ar-SA"/>
        </w:rPr>
        <w:t>إذا قلنا بكون الجزاء محذوفاً تكون الجملة الواقعة بعده تعليلاً مركباً من صغرى وكبرى،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انّه على يقين من وضوئه،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اليقين أبداً بالشك</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فدلالة التعليل على حرمة نقض اليقين في باب الوضوء لا غبار عليه، إنّما الكلام في دلالته على حرمته مطلقاً في جميع الأبواب</w:t>
      </w:r>
      <w:r>
        <w:rPr>
          <w:rFonts w:eastAsia="Amiri" w:cs="Amiri" w:ascii="Amiri" w:hAnsi="Amiri"/>
          <w:color w:val="111111"/>
          <w:sz w:val="28"/>
          <w:szCs w:val="28"/>
          <w:rtl w:val="true"/>
          <w:lang w:bidi="ar-SA"/>
        </w:rPr>
        <w:t xml:space="preserve">. </w:t>
      </w:r>
      <w:bookmarkStart w:id="76" w:name="pg14367_157012"/>
    </w:p>
    <w:p>
      <w:pPr>
        <w:pStyle w:val="BookText"/>
        <w:rPr/>
      </w:pPr>
      <w:bookmarkEnd w:id="76"/>
      <w:r>
        <w:rPr>
          <w:rFonts w:ascii="Amiri" w:hAnsi="Amiri" w:eastAsia="Amiri" w:cs="Amiri"/>
          <w:color w:val="111111"/>
          <w:sz w:val="28"/>
          <w:sz w:val="28"/>
          <w:szCs w:val="28"/>
          <w:rtl w:val="true"/>
          <w:lang w:bidi="ar-SA"/>
        </w:rPr>
        <w:t>فربما يحتمل اختصاص التعليل بباب الوضوء حيث إنّ اليقين في الصغرى تعلّق بالوضوء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فانّه على يقين 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وعندئذٍ يكون الحدّ الوسط في الكبرى هو أيضاً اليقين بالوضوء، أي‌ولا تنقض اليقين بالوضوء أبداً بالشكّ، فلا يعمّ الحديث عامة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الكبرى للعهد لا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 المحقّق الخراساني بأنّ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وضوئه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الصغرى ليس من متعلّقات اليقين حتى يكون اليقين مقيداً به، بل هو ظرف مستقر متعلّق بلفظ مقدّر، أي‌هو من طرف وضوئه على يقين فيكون الحدّ الأوسط في الصغرى كالكبرى هو نفس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عن الذوق العربي إذ المتبادر من العبارة تعلّق الظرف باليقين، والأولى أن يجاب بأنّ العرف يساعد على إلغاء التقيّد به، وذلك للوجوه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التعليل بأمر ارتكازي غير مختص بباب دون باب،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أمر مبرم مستحكم لا ينقض بالأمر الرخو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يناسب عدم اختصاصه بباب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الكبرى في غير باب الوضوء أيضاً،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الجزاءمحذوف تكون الجملتان أظهر في العموم والشمول، بخلاف 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الجزاء هو الصغرى، أو الجزاء هو الكبرى، فإنّ استفادة الشمول يكون أمراً مشكلاً كما لا يخفى</w:t>
      </w:r>
      <w:r>
        <w:rPr>
          <w:rFonts w:eastAsia="Amiri" w:cs="Amiri" w:ascii="Amiri" w:hAnsi="Amiri"/>
          <w:color w:val="111111"/>
          <w:sz w:val="28"/>
          <w:szCs w:val="28"/>
          <w:rtl w:val="true"/>
          <w:lang w:bidi="ar-SA"/>
        </w:rPr>
        <w:t>.</w:t>
      </w:r>
    </w:p>
    <w:p>
      <w:pPr>
        <w:pStyle w:val="Heading6"/>
        <w:numPr>
          <w:ilvl w:val="5"/>
          <w:numId w:val="1"/>
        </w:numPr>
        <w:rPr/>
      </w:pPr>
      <w:bookmarkStart w:id="77" w:name="__RefHeading___Toc7506920_3381743652"/>
      <w:bookmarkStart w:id="78" w:name="_Toc30"/>
      <w:bookmarkEnd w:id="77"/>
      <w:r>
        <w:rPr/>
        <w:t>2</w:t>
      </w:r>
      <w:r>
        <w:rPr>
          <w:rtl w:val="true"/>
        </w:rPr>
        <w:t xml:space="preserve">. </w:t>
      </w:r>
      <w:r>
        <w:rPr>
          <w:rtl w:val="true"/>
        </w:rPr>
        <w:t>الصحيحة الثانية لزرارة</w:t>
      </w:r>
      <w:bookmarkEnd w:id="7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الباب الثمانين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غَسْلِ المنيّ إذا </w:t>
      </w:r>
    </w:p>
    <w:p>
      <w:pPr>
        <w:pStyle w:val="BookText"/>
        <w:rPr/>
      </w:pPr>
      <w:r>
        <w:rPr>
          <w:rFonts w:ascii="Amiri" w:hAnsi="Amiri" w:eastAsia="Amiri" w:cs="Amiri"/>
          <w:color w:val="111111"/>
          <w:sz w:val="28"/>
          <w:sz w:val="28"/>
          <w:szCs w:val="28"/>
          <w:rtl w:val="true"/>
          <w:lang w:bidi="ar-SA"/>
        </w:rPr>
        <w:t>أصاب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علي بن إبراهيم، عن أبيه،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عن الحسين بن سعيد،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فلا غبار على الرواية سنداً، أضف إليه ما ذكرناه في المضمرة السابقة في حقّ زرارة، والرواية مشتملة على ستة أسئلة، وسبعة أجوبة، فإنّ للسؤال السادس شقين في كلام الإمام بهما صارت الأجوبة سبعة، وإليك الأسئلة والأجوبة واللفظ للتهذيب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أصاب ثوبي دم رعاف أو غيره، أو شيء من مني، فعلّمتُ أثره إلى أن أصيب له من الماء، فأصبتُ وحضرت الصلاة ونسيت أنّ بثوبي شيئاً وصلّيتُ، ثمّ إنّي ذكرت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تعيدُ الصلاة وتغسله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وعلمتُ أنّه قد أصابه فطلبته فلم أقدر عليه فلما صلّيت وجدته؟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تغسله وتعيد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ظننت أنّه قد أصابه ولم أتيقّن ذلك فنظرتُ فلم أر شيئاً ثمّ صليتُ فرأيت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ثمّشككت فليس ينبغي لك أن تنقض اليقين بالشكّ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علمتُ أنّه قد أصابه ولم أدر أين هو فأغسله؟</w:t>
      </w:r>
      <w:bookmarkStart w:id="79" w:name="pg14367_157014"/>
    </w:p>
    <w:p>
      <w:pPr>
        <w:pStyle w:val="BookText"/>
        <w:rPr/>
      </w:pPr>
      <w:bookmarkEnd w:id="7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ولكنّك إنّما تريد أن تُذْهِبَ الشكَ الذي وقع في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فأجاب الإمام بأنّ له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لاتنقض الصلاة وتعيد إذا شككت في موضع منه ثمّ رأيته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 ثمّ رأيته رطباً قطعت الصلاة وغسلته ثمّبنيت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إنّ الكلام في مقامات</w:t>
      </w:r>
      <w:r>
        <w:rPr>
          <w:rFonts w:eastAsia="Amiri" w:cs="Amiri" w:ascii="Amiri" w:hAnsi="Amiri"/>
          <w:color w:val="111111"/>
          <w:sz w:val="28"/>
          <w:szCs w:val="28"/>
          <w:rtl w:val="true"/>
          <w:lang w:bidi="ar-SA"/>
        </w:rPr>
        <w:t>:</w:t>
      </w:r>
    </w:p>
    <w:p>
      <w:pPr>
        <w:pStyle w:val="Heading6"/>
        <w:numPr>
          <w:ilvl w:val="5"/>
          <w:numId w:val="1"/>
        </w:numPr>
        <w:rPr/>
      </w:pPr>
      <w:bookmarkStart w:id="80" w:name="__RefHeading___Toc7506922_3381743652"/>
      <w:bookmarkStart w:id="81" w:name="_Toc31"/>
      <w:bookmarkEnd w:id="80"/>
      <w:r>
        <w:rPr>
          <w:rtl w:val="true"/>
        </w:rPr>
        <w:t>الأوّل</w:t>
      </w:r>
      <w:r>
        <w:rPr>
          <w:rtl w:val="true"/>
        </w:rPr>
        <w:t xml:space="preserve">: </w:t>
      </w:r>
      <w:r>
        <w:rPr>
          <w:rtl w:val="true"/>
        </w:rPr>
        <w:t>في سند الحديث</w:t>
      </w:r>
      <w:bookmarkEnd w:id="81"/>
    </w:p>
    <w:p>
      <w:pPr>
        <w:pStyle w:val="BookText"/>
        <w:rPr/>
      </w:pPr>
      <w:r>
        <w:rPr>
          <w:rFonts w:ascii="Amiri" w:hAnsi="Amiri" w:eastAsia="Amiri" w:cs="Amiri"/>
          <w:color w:val="111111"/>
          <w:sz w:val="28"/>
          <w:sz w:val="28"/>
          <w:szCs w:val="28"/>
          <w:rtl w:val="true"/>
          <w:lang w:bidi="ar-SA"/>
        </w:rPr>
        <w:t>إنّ سند الرواية صحيح، فقد رواه الشيخ بسنده الماضي، عن الحسين بن سعيد الأهوازي، عن حمّاد، عن حريز، عن زرارة،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أيضاً كسابقتها مضمرة، ولكن لا يضر الإضمار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انّ الصدوق نقله مسنداً</w:t>
      </w:r>
      <w:r>
        <w:rPr>
          <w:rFonts w:eastAsia="Amiri" w:cs="Amiri" w:ascii="Amiri" w:hAnsi="Amiri"/>
          <w:color w:val="111111"/>
          <w:sz w:val="28"/>
          <w:szCs w:val="28"/>
          <w:rtl w:val="true"/>
          <w:lang w:bidi="ar-SA"/>
        </w:rPr>
        <w:t>.</w:t>
      </w:r>
    </w:p>
    <w:p>
      <w:pPr>
        <w:pStyle w:val="Heading6"/>
        <w:numPr>
          <w:ilvl w:val="5"/>
          <w:numId w:val="1"/>
        </w:numPr>
        <w:rPr/>
      </w:pPr>
      <w:bookmarkStart w:id="82" w:name="__RefHeading___Toc7506924_3381743652"/>
      <w:bookmarkStart w:id="83" w:name="_Toc32"/>
      <w:bookmarkEnd w:id="82"/>
      <w:r>
        <w:rPr>
          <w:rtl w:val="true"/>
        </w:rPr>
        <w:t>الثاني</w:t>
      </w:r>
      <w:r>
        <w:rPr>
          <w:rtl w:val="true"/>
        </w:rPr>
        <w:t xml:space="preserve">: </w:t>
      </w:r>
      <w:r>
        <w:rPr>
          <w:rtl w:val="true"/>
        </w:rPr>
        <w:t>في توضيح الأسئلة الواردة فيها</w:t>
      </w:r>
      <w:bookmarkEnd w:id="8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الرواية مشتملة على أسئلة وأجوبة ستة غير انّ للسؤال السادس شقّين </w:t>
      </w:r>
      <w:r>
        <w:rPr>
          <w:rFonts w:eastAsia="Amiri" w:cs="Amiri" w:ascii="Amiri" w:hAnsi="Amiri"/>
          <w:color w:val="111111"/>
          <w:sz w:val="28"/>
          <w:szCs w:val="28"/>
          <w:rtl w:val="true"/>
          <w:lang w:bidi="ar-SA"/>
        </w:rPr>
        <w:t xml:space="preserve">- </w:t>
      </w:r>
      <w:bookmarkStart w:id="84" w:name="pg14367_157015"/>
    </w:p>
    <w:p>
      <w:pPr>
        <w:pStyle w:val="BookText"/>
        <w:rPr/>
      </w:pPr>
      <w:bookmarkEnd w:id="84"/>
      <w:r>
        <w:rPr>
          <w:rFonts w:ascii="Amiri" w:hAnsi="Amiri" w:eastAsia="Amiri" w:cs="Amiri"/>
          <w:color w:val="111111"/>
          <w:sz w:val="28"/>
          <w:sz w:val="28"/>
          <w:szCs w:val="28"/>
          <w:rtl w:val="true"/>
          <w:lang w:bidi="ar-SA"/>
        </w:rPr>
        <w:t xml:space="preserve">كما يظهر من جواب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بين الأسئلة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 الأسئلة يركز على وجود العلم التفصيلي بإصابة النجس الثوبَ مع العلم بمحله مشخصاً، لكنّه صلّى فيه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منها يركز على العلم الإجمالي بإصابة النجس الثوبَمع عدم العلم بمحله مشخصاً، فقد حكم الإمام بالإعادة في كلتا الصورتين، وانّ النسيان ليس بعذر مع سبق العلم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منها ناظر إلى الظن بوجود النجاسة دون العلم حيث ظن ونظر ولم ير شيئاً، ثمّ صلّى فرأى فيه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السؤال احتمالان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 منها ناظر إلى كيفية تحصيل البراءة اليقينية إذا علم بإصابة النجس الثوب ولم يعرف مكانه مشخصاً، فأجاب الإمام بأنّه تغسل الناحية التي قد أصابها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والخامس ناظر إلى وجوب الفحص عن إصابة النجاسة وعدمه، فأجاب الإمام بعدمه، مع أنّ مقتضى القاعدة هو وجوب الفحص لسهولة تحصيل العلم بالواقع، لكن الجواب حاك عن وجود السهولة في باب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السؤال السادس بكلا شقيه فسيوافيك الكلام فيه</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7506926_3381743652"/>
      <w:bookmarkStart w:id="86" w:name="_Toc33"/>
      <w:bookmarkEnd w:id="85"/>
      <w:r>
        <w:rPr>
          <w:rtl w:val="true"/>
        </w:rPr>
        <w:t>الثالث</w:t>
      </w:r>
      <w:r>
        <w:rPr>
          <w:rtl w:val="true"/>
        </w:rPr>
        <w:t xml:space="preserve">: </w:t>
      </w:r>
      <w:r>
        <w:rPr>
          <w:rtl w:val="true"/>
        </w:rPr>
        <w:t>في إيضاح السؤال الثالث</w:t>
      </w:r>
      <w:bookmarkEnd w:id="86"/>
    </w:p>
    <w:p>
      <w:pPr>
        <w:pStyle w:val="BookText"/>
        <w:rPr/>
      </w:pPr>
      <w:r>
        <w:rPr>
          <w:rFonts w:ascii="Amiri" w:hAnsi="Amiri" w:eastAsia="Amiri" w:cs="Amiri"/>
          <w:color w:val="111111"/>
          <w:sz w:val="28"/>
          <w:sz w:val="28"/>
          <w:szCs w:val="28"/>
          <w:rtl w:val="true"/>
          <w:lang w:bidi="ar-SA"/>
        </w:rPr>
        <w:t>جاء في السؤال الثالث قول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انّه قد أصابه ولم أتيقّن ذلك فنظرت فلم أرَشيئاً، ثمّ صلّيت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فسر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ظن الإصابة دون أن يتيقّن، وبعد الفراغ عن الصلاة رأى فيه</w:t>
      </w:r>
      <w:bookmarkStart w:id="87" w:name="pg14367_157016"/>
    </w:p>
    <w:p>
      <w:pPr>
        <w:pStyle w:val="BookText"/>
        <w:rPr/>
      </w:pPr>
      <w:bookmarkEnd w:id="87"/>
      <w:r>
        <w:rPr>
          <w:rFonts w:ascii="Amiri" w:hAnsi="Amiri" w:eastAsia="Amiri" w:cs="Amiri"/>
          <w:color w:val="111111"/>
          <w:sz w:val="28"/>
          <w:sz w:val="28"/>
          <w:szCs w:val="28"/>
          <w:rtl w:val="true"/>
          <w:lang w:bidi="ar-SA"/>
        </w:rPr>
        <w:t>النجاسة التي ظن بها قبل الصلاة، وهذا هو أحد الاحتمالين عند الشيخ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مورد السؤال إن رأى بعد الصلاة نجاسة يعلم أنّها هي التي خفيت عليه قبل الصلاة، فالمراد من اليقين هو اليقين قبل ظن الإصابة، ومن الشك هو الشكّحين إرادة الدخول في الصلاة، فيكون ظرف الاستصحاب هو قبل الدخول في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 يكون مورد السؤال رؤيةَ النجاسة بعد الصلاة مع احتمال وقوعها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مع العلم بوجودها قبل الصلاة كما في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أنّه ليس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تنقض اليقين بالطهارة بمجرّد احتمال وجود النجاسة حال الصلاة، فالعلم بطهارة الثوب قبل الصلاة، لا يُنقض بالشك إلى الفراغ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يثبت بالأصل، تأخّرها عن الصلاة، فيكون ظرف الاستصحاب هو بعد الصلاة، بخلافه على الاحتمال الأوّل فانّ ظرفه هو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مخالف لقول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فصلّيت فيه فرأيت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رأيت النجاسة التي ظننت إصابتها للثوب قبل الدخول في الصلاة</w:t>
      </w:r>
      <w:r>
        <w:rPr>
          <w:rFonts w:eastAsia="Amiri" w:cs="Amiri" w:ascii="Amiri" w:hAnsi="Amiri"/>
          <w:color w:val="111111"/>
          <w:sz w:val="28"/>
          <w:szCs w:val="28"/>
          <w:rtl w:val="true"/>
          <w:lang w:bidi="ar-SA"/>
        </w:rPr>
        <w:t>.</w:t>
      </w:r>
    </w:p>
    <w:p>
      <w:pPr>
        <w:pStyle w:val="Heading6"/>
        <w:numPr>
          <w:ilvl w:val="5"/>
          <w:numId w:val="1"/>
        </w:numPr>
        <w:rPr/>
      </w:pPr>
      <w:bookmarkStart w:id="88" w:name="__RefHeading___Toc7506928_3381743652"/>
      <w:bookmarkStart w:id="89" w:name="_Toc34"/>
      <w:bookmarkEnd w:id="88"/>
      <w:r>
        <w:rPr>
          <w:rtl w:val="true"/>
        </w:rPr>
        <w:t>الرابع</w:t>
      </w:r>
      <w:r>
        <w:rPr>
          <w:rtl w:val="true"/>
        </w:rPr>
        <w:t xml:space="preserve">: </w:t>
      </w:r>
      <w:r>
        <w:rPr>
          <w:rtl w:val="true"/>
        </w:rPr>
        <w:t>في كيفية الاستدلال بالفقرة الثالثة</w:t>
      </w:r>
      <w:bookmarkEnd w:id="89"/>
    </w:p>
    <w:p>
      <w:pPr>
        <w:pStyle w:val="BookText"/>
        <w:rPr/>
      </w:pPr>
      <w:r>
        <w:rPr>
          <w:rFonts w:ascii="Amiri" w:hAnsi="Amiri" w:eastAsia="Amiri" w:cs="Amiri"/>
          <w:color w:val="111111"/>
          <w:sz w:val="28"/>
          <w:sz w:val="28"/>
          <w:szCs w:val="28"/>
          <w:rtl w:val="true"/>
          <w:lang w:bidi="ar-SA"/>
        </w:rPr>
        <w:t>إذا كان المراد هو ما اخترناه، فالمراد انّه كان قبل ظن الإصابة على يقين من طهارة ثوبه، فإذا شكّ حين الدخول في الصلاة فليس له أن ينقض اليقين بالطهارة، بالشك في الإصابة حين الدخول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إشكال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جواز نقض اليقين بالشكّ حين الدخول، صالح لتجويز الدخول في الصلاة المشروطة بالطهارة، حيث إنّ الامتناع عن الدخول فيها نقض لآثار تلك الطهارة المحرزة قبل الدخول، ولا يصلح علة </w:t>
      </w:r>
      <w:bookmarkStart w:id="90" w:name="pg14367_157017"/>
    </w:p>
    <w:p>
      <w:pPr>
        <w:pStyle w:val="BookText"/>
        <w:rPr/>
      </w:pPr>
      <w:bookmarkEnd w:id="90"/>
      <w:r>
        <w:rPr>
          <w:rFonts w:ascii="Amiri" w:hAnsi="Amiri" w:eastAsia="Amiri" w:cs="Amiri"/>
          <w:color w:val="111111"/>
          <w:sz w:val="28"/>
          <w:sz w:val="28"/>
          <w:szCs w:val="28"/>
          <w:rtl w:val="true"/>
          <w:lang w:bidi="ar-SA"/>
        </w:rPr>
        <w:t>لعدم الإعادة إذ ظرف الإعادة إنّما هو بعد الصلاة، ولو حكم بها يكون من قبيل نقض اليقين بالطهارة، باليقين بالنجاسة حيث إنّ المفروض أنّه رأى بعد الصلاة نفس النجاسة التي خفيت عليه حين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ينبغي لك أن تنقض اليقين بالشك أبداً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راجع إلى إحدى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ما قبل الدخول في الصلاة، وهناك يقين بالطهارة وشكّ في طروء النجاسة، فأركان الاستصحاب موجودة، لكنّه يصلح أن يكون علّة لجوازالدخول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موضوع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الفراغ من الصلاة، فهناك تبدّل اليقين بالطهارة إلى اليقين بالنجاسة، فلا يصحّ تعليل عدم الإعادة باستلزامه نقض اليقين بالشكّ، لأنّ المفروض تبدّل يقينه إلى يقين آخر فأركان الاستصحاب مختلّة</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506930_3381743652"/>
      <w:bookmarkStart w:id="92" w:name="_Toc35"/>
      <w:bookmarkEnd w:id="91"/>
      <w:r>
        <w:rPr>
          <w:rtl w:val="true"/>
        </w:rPr>
        <w:t>وقد أُجيب عن الإشكال بوجوه</w:t>
      </w:r>
      <w:r>
        <w:rPr>
          <w:rtl w:val="true"/>
        </w:rPr>
        <w:t>:</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نقله الشيخ الأعظم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الإعادة بملاحظة اقتضاء الأمر الظاهري للاجزاء، فتكون الصحيحة من حيث تعليلها دليلاً على القاعدة وكاشفة عنها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لا تعلّل الصحة بالقاعدة وهو انّ ثوب المصلّي حين الدخول كان محكوماً بالطهارة وكان المصلي مأموراً بالصلاة معها، وامتثال الأمر الظاهري مجز عن امتثال الأمر الواقعي، بل تعلل بأنّه لو أعاد الصلاة لكان هذا نقضاً لليقين بالشكّ مع أنّه لو حكم بالإعادة لزم نقض اليقين بالطهارة باليقين بالنجاسة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الثوب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لزوم إيقاع الصلاة في الطاهر الواقعي، فلو تبيّن الخلاف وانّ الثوب كان نجساً، تبيّن فقدُ الصلاة، الشرط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بعد ضمِّ قاعدة الطهارة أو الاستصحاب إلى الدليل المذكور، تتسِّع دائرةُ الشرطِ ويكون المأخوذ في صحّة الصلاة، هو إحراز الطهارة من حين الدخول إلى الفراغ عنها، كان الثوب طاهراً في الواقع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فلو صلّى الرجل في ثوب كان محكوماً بالطهارة بحكم الأصل أو القاعدة، فقد صلّى في ثوب جامع لشرط الصحة، وبذلك يعلم أنّ ظرف الاستصحاب إنّما هو حالة الدخول في الصلاة لا الفراغ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هذا فنرجع إلى فقه الرواية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عليه السلام فرّق بين الصورتين الأُوليين والصورة الثالثة، فحكم بالبطلان في صورة نسيان النجاسة والصحة في صورة الجهل بها، مع اشتراك الصور في شيء واحد، وهو إيقاع الصلاة في ثوب نجس، ولذلك تعجب زرارة عن التفريق، فصار الإمام بصدد الجواب بوجود الفرق بين الأُوليين والثالثة، وذلك بعدم الاستصحاب المحرز فيهما، لسبق العلم بالنجاسة وإن عرض له النسيان، ومعه لا موضوع للاستصحاب، بخلاف الصورة الثالثة فانّ الأصل المحرِز كاف في إحراز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الطهارة الواقعية، فلو وجبت الإعادة يلزم عدم حجّية الاستصحاب وجواز نقض اليقين بالطهارة بالشكّ فيها والمفروض عدم جوازه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لازم الأخذ باليقين السابق هو كون الصلاة مشتملة على الشرط اللازم، ومعه لا وجه للإعادة، والحكم بها يعد دليلاً على عدم الاعتبار</w:t>
      </w:r>
      <w:r>
        <w:rPr>
          <w:rFonts w:eastAsia="Amiri" w:cs="Amiri" w:ascii="Amiri" w:hAnsi="Amiri"/>
          <w:color w:val="111111"/>
          <w:sz w:val="28"/>
          <w:szCs w:val="28"/>
          <w:rtl w:val="true"/>
          <w:lang w:bidi="ar-SA"/>
        </w:rPr>
        <w:t xml:space="preserve">. </w:t>
      </w:r>
      <w:bookmarkStart w:id="93" w:name="pg14367_157019"/>
    </w:p>
    <w:p>
      <w:pPr>
        <w:pStyle w:val="BookText"/>
        <w:rPr/>
      </w:pPr>
      <w:bookmarkEnd w:id="93"/>
      <w:r>
        <w:rPr>
          <w:rFonts w:ascii="Amiri" w:hAnsi="Amiri" w:eastAsia="Amiri" w:cs="Amiri"/>
          <w:color w:val="111111"/>
          <w:sz w:val="28"/>
          <w:sz w:val="28"/>
          <w:szCs w:val="28"/>
          <w:rtl w:val="true"/>
          <w:lang w:bidi="ar-SA"/>
        </w:rPr>
        <w:t>ثمّ إنّ صاحب الكفاية بعد الإشارة إلى هذا الجواب بوجه موجز أعقبه بذكر إشكالين وجوابين بما لا حاجة إليهما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صحة الصلاة وعدم وجوب الإعادة رهن أمرين حاصلين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الثوب محكوماً بالطهارة شرعاً، بفضل الاستصحاب الجاري حين الدخول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امتثال الأمر الظاهري المتعلّق بإقامة الصلاة فيه مقتضياً للإجزاء وسقوط الأمر الواقعي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يصحّ تعليل صحّة الصلاة بالأمر الأوّل، وحده، وبالثاني كذلك، وبهما مجموعاً كما في تعليل حدوث العالم، فتارة يعلّل بأنّه متغيّر، وأُخرى بأنّ كلّ متغيّر حادث، وأُخرى يؤتى بكليها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عليه السلام اقتصر في المقام بالأمر الأوّل وانّ المصلي كان حين الدخول محرزاً لها، والصلاة جامعة للشرط، وكان مأموراً بإقامة الصلاة معه، ولو ضُمَّ إليه الأمر الثاني وهو أنّ امتثال الأمر الظاهري موجب للإجزاء، يكون التعليل كاملاً مركباً من صغرى وكبرى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ولعلّهذا مراد من قال بدلالة الرواية على إجراء الأمر الظاهري</w:t>
      </w:r>
      <w:r>
        <w:rPr>
          <w:rFonts w:eastAsia="Amiri" w:cs="Amiri" w:ascii="Amiri" w:hAnsi="Amiri"/>
          <w:color w:val="111111"/>
          <w:sz w:val="28"/>
          <w:szCs w:val="28"/>
          <w:rtl w:val="true"/>
          <w:lang w:bidi="ar-SA"/>
        </w:rPr>
        <w:t>.</w:t>
      </w:r>
    </w:p>
    <w:p>
      <w:pPr>
        <w:pStyle w:val="Heading6"/>
        <w:numPr>
          <w:ilvl w:val="5"/>
          <w:numId w:val="1"/>
        </w:numPr>
        <w:rPr/>
      </w:pPr>
      <w:bookmarkStart w:id="94" w:name="__RefHeading___Toc7506932_3381743652"/>
      <w:bookmarkStart w:id="95" w:name="_Toc36"/>
      <w:bookmarkEnd w:id="94"/>
      <w:r>
        <w:rPr>
          <w:rtl w:val="true"/>
        </w:rPr>
        <w:t>الخامس</w:t>
      </w:r>
      <w:r>
        <w:rPr>
          <w:rtl w:val="true"/>
        </w:rPr>
        <w:t xml:space="preserve">: </w:t>
      </w:r>
      <w:r>
        <w:rPr>
          <w:rtl w:val="true"/>
        </w:rPr>
        <w:t>دراسة الفقرة السادسة بكلا شقيها</w:t>
      </w:r>
      <w:bookmarkEnd w:id="95"/>
    </w:p>
    <w:p>
      <w:pPr>
        <w:pStyle w:val="BookText"/>
        <w:rPr/>
      </w:pPr>
      <w:r>
        <w:rPr>
          <w:rFonts w:ascii="Amiri" w:hAnsi="Amiri" w:eastAsia="Amiri" w:cs="Amiri"/>
          <w:color w:val="111111"/>
          <w:sz w:val="28"/>
          <w:sz w:val="28"/>
          <w:szCs w:val="28"/>
          <w:rtl w:val="true"/>
          <w:lang w:bidi="ar-SA"/>
        </w:rPr>
        <w:t>إنّ زرارة تابع الأسئلة الخمسة المتقدمة بسؤال سادس،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رأيته في ثوبي وأنا في الصلاة؟</w:t>
      </w:r>
    </w:p>
    <w:p>
      <w:pPr>
        <w:pStyle w:val="BookText"/>
        <w:rPr/>
      </w:pPr>
      <w:r>
        <w:rPr>
          <w:rFonts w:ascii="Amiri" w:hAnsi="Amiri" w:eastAsia="Amiri" w:cs="Amiri"/>
          <w:color w:val="111111"/>
          <w:sz w:val="28"/>
          <w:sz w:val="28"/>
          <w:szCs w:val="28"/>
          <w:rtl w:val="true"/>
          <w:lang w:bidi="ar-SA"/>
        </w:rPr>
        <w:t>فأجاب الإمام بأنّ له صورتين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تنقض الصلاة وتعيد إذا شككت في موضع منه ثم رأيته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موضعين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المقصود من الشقّ الأوّل؟</w:t>
      </w:r>
    </w:p>
    <w:p>
      <w:pPr>
        <w:pStyle w:val="BookText"/>
        <w:rPr/>
      </w:pPr>
      <w:r>
        <w:rPr>
          <w:rFonts w:ascii="Amiri" w:hAnsi="Amiri" w:eastAsia="Amiri" w:cs="Amiri"/>
          <w:color w:val="111111"/>
          <w:sz w:val="28"/>
          <w:sz w:val="28"/>
          <w:szCs w:val="28"/>
          <w:rtl w:val="true"/>
          <w:lang w:bidi="ar-SA"/>
        </w:rPr>
        <w:t>هل المراد منه السؤال عمّا سبق العلم الإجمالي بالنجاسة، بأن علم طروء النجاسة على ثوبه إجمالاً، ثمّ عرض النسيان؟ أو السؤال عن الشكّ البدوي، وانّه شكّ قبل الدخول في الصلاة ولم ير شيئاً، ثمّ رآه في أثناء الصلاة؟ الظاهر هو الأوّل، بالقرائن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تعبيره في الشقّ الثاني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 الفرق بين الشقين هو وجود الشكّ في الأوّل دون الثاني، لا سبق العلم الإجمالي في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أنّ الحكم بالإعادة لأجل رؤية النجاسة في أثناء الصلاة دون العلم الإجمالي المتقدّم، ولو كان هناك علم إجمالي متقدّم لكان البطلان مستنداً إليه كما في السؤال الثاني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 أكن رأيت موضعه، وعلمت أنّه أصابه فطلبته فلم أقدر عليه فلمّا صلّيت وجدته؟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السؤال السادس ترتب على السؤال الخامس، وكان السؤال في الخامس عن الشبهة البدوية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عليّ إن شككتُ في أنّه أصابه شيء أن أنظر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خطر بباله أنّه لو كان الوضع كذلك فلو شكّ قبل الدخول، ولم يجد شيئاً ودخل في الصلاة فرآه في أثنائها فما هو واجبه؟ فأجاب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w:t>
      </w:r>
      <w:bookmarkStart w:id="96" w:name="pg14367_157021"/>
    </w:p>
    <w:p>
      <w:pPr>
        <w:pStyle w:val="BookText"/>
        <w:rPr/>
      </w:pPr>
      <w:bookmarkEnd w:id="96"/>
      <w:r>
        <w:rPr>
          <w:rFonts w:ascii="Amiri" w:hAnsi="Amiri" w:eastAsia="Amiri" w:cs="Amiri"/>
          <w:color w:val="111111"/>
          <w:sz w:val="28"/>
          <w:sz w:val="28"/>
          <w:szCs w:val="28"/>
          <w:rtl w:val="true"/>
          <w:lang w:bidi="ar-SA"/>
        </w:rPr>
        <w:t>بأنّ المرئي، هو المشكوك الذي احتمله قبل الدخول فيها ولا يحتمل أنّه شيء أُوقع عليه في الأثناء، فيعيد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يقتضي حمل الفقرة الأُولى من الجواب على الشكّ البدئي حين الدخول في الصلاة ثمّ تبدّله إلى العلم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الفرق بين هذا الشق ومورد السؤال الثالث؟</w:t>
      </w:r>
    </w:p>
    <w:p>
      <w:pPr>
        <w:pStyle w:val="BookText"/>
        <w:rPr/>
      </w:pPr>
      <w:r>
        <w:rPr>
          <w:rFonts w:ascii="Amiri" w:hAnsi="Amiri" w:eastAsia="Amiri" w:cs="Amiri"/>
          <w:color w:val="111111"/>
          <w:sz w:val="28"/>
          <w:sz w:val="28"/>
          <w:szCs w:val="28"/>
          <w:rtl w:val="true"/>
          <w:lang w:bidi="ar-SA"/>
        </w:rPr>
        <w:t>إنّ الشقّ‌الأوّل من السؤال السادس يشارك مورد السؤال الثالث في أمرٍ ويفارقه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يشاركه في الدخول في الصلاة مع الشكّ في كون الثوب نجساً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ويفارقه في أنّ الشكّ تبدّل إلى اليقين بعد الفراغ في مورد السؤال الثالث، وفي الأثناء في هذا 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يتوجّه إشكال على الجواب بوجوب الإعادة في هذا الشقّ وعدمه في مورد السؤال الثالث مع اشتراكهما في وقوع الصلاة في النجس إمّا كلاً أو بعضاً مع أنّ الثاني أولى بالصحة</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7506934_3381743652"/>
      <w:bookmarkStart w:id="98" w:name="_Toc37"/>
      <w:bookmarkEnd w:id="97"/>
      <w:r>
        <w:rPr>
          <w:rtl w:val="true"/>
        </w:rPr>
        <w:t>الجواب عن الإشكال</w:t>
      </w:r>
      <w:bookmarkEnd w:id="98"/>
    </w:p>
    <w:p>
      <w:pPr>
        <w:pStyle w:val="BookText"/>
        <w:rPr/>
      </w:pPr>
      <w:r>
        <w:rPr>
          <w:rFonts w:ascii="Amiri" w:hAnsi="Amiri" w:eastAsia="Amiri" w:cs="Amiri"/>
          <w:color w:val="111111"/>
          <w:sz w:val="28"/>
          <w:sz w:val="28"/>
          <w:szCs w:val="28"/>
          <w:rtl w:val="true"/>
          <w:lang w:bidi="ar-SA"/>
        </w:rPr>
        <w:t>إنّ بين الصورتين وراء اختلافهما في وقوع جميع الصلاة أو بعضها في النجس، فرقاً آخر، وهو أنّ من المحتمل أن يكون المانع عن صحة الصلاة هو النجاسة المعلوم حالها، وهو موجود في الصورة الأُولى دون هذا الشقّ</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ادّعاء الأولوية ممنوعة، إذ من الممكن أن تكون النجاسة المكشوفة حال الصلاة، المقترنة معها من أوّلها إلى زمان الوقوف عليها، مانعة، دون </w:t>
      </w:r>
      <w:bookmarkStart w:id="99" w:name="pg14367_157022"/>
    </w:p>
    <w:p>
      <w:pPr>
        <w:pStyle w:val="BookText"/>
        <w:rPr/>
      </w:pPr>
      <w:bookmarkEnd w:id="99"/>
      <w:r>
        <w:rPr>
          <w:rFonts w:ascii="Amiri" w:hAnsi="Amiri" w:eastAsia="Amiri" w:cs="Amiri"/>
          <w:color w:val="111111"/>
          <w:sz w:val="28"/>
          <w:sz w:val="28"/>
          <w:szCs w:val="28"/>
          <w:rtl w:val="true"/>
          <w:lang w:bidi="ar-SA"/>
        </w:rPr>
        <w:t>ما إذا لم تنكشف إلّابعد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الشقّ الثاني من السؤال السادس،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دخل في الصلاة، متيقناً بطهارة ثوبه فإذا رأى الدم الرطب في ثوبه،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قطعت الصلاة وغسلته، ثمّبنيت على الصلاة، لأنّك لا تدري لعلّه شيء أُوقع عليك، فليس ينبغي لك أن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فظرف الاستصحاب في هذا الشق إنّما هو حالة عروض الشك، لا قبله فتستصحب طهارة ثوبه إلى زمان الرؤية فلم يثبت كون الصلاة مقرونة بالمانع، فلا وجه للبطلان والإعادة، فله أن يقطع الصلاة ويغسل الثوب على وجه لا يكون العمل ماحياً لصورتها ويبني على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اقتران جزء صغير من الصلاة بها ولعلّه لصغرها معفو عنه، واللّه العالم</w:t>
      </w:r>
      <w:r>
        <w:rPr>
          <w:rFonts w:eastAsia="Amiri" w:cs="Amiri" w:ascii="Amiri" w:hAnsi="Amiri"/>
          <w:color w:val="111111"/>
          <w:sz w:val="28"/>
          <w:szCs w:val="28"/>
          <w:rtl w:val="true"/>
          <w:lang w:bidi="ar-SA"/>
        </w:rPr>
        <w:t>.</w:t>
      </w:r>
    </w:p>
    <w:p>
      <w:pPr>
        <w:pStyle w:val="Heading6"/>
        <w:numPr>
          <w:ilvl w:val="5"/>
          <w:numId w:val="1"/>
        </w:numPr>
        <w:rPr/>
      </w:pPr>
      <w:bookmarkStart w:id="100" w:name="__RefHeading___Toc7506936_3381743652"/>
      <w:bookmarkStart w:id="101" w:name="_Toc38"/>
      <w:bookmarkEnd w:id="100"/>
      <w:r>
        <w:rPr>
          <w:rtl w:val="true"/>
        </w:rPr>
        <w:t>السادس</w:t>
      </w:r>
      <w:r>
        <w:rPr>
          <w:rtl w:val="true"/>
        </w:rPr>
        <w:t xml:space="preserve">: </w:t>
      </w:r>
      <w:r>
        <w:rPr>
          <w:rtl w:val="true"/>
        </w:rPr>
        <w:t>الرواية تهدف إلى الاستصحاب</w:t>
      </w:r>
      <w:bookmarkEnd w:id="101"/>
    </w:p>
    <w:p>
      <w:pPr>
        <w:pStyle w:val="BookText"/>
        <w:rPr/>
      </w:pPr>
      <w:r>
        <w:rPr>
          <w:rFonts w:ascii="Amiri" w:hAnsi="Amiri" w:eastAsia="Amiri" w:cs="Amiri"/>
          <w:color w:val="111111"/>
          <w:sz w:val="28"/>
          <w:sz w:val="28"/>
          <w:szCs w:val="28"/>
          <w:rtl w:val="true"/>
          <w:lang w:bidi="ar-SA"/>
        </w:rPr>
        <w:t>قد عرفت الفرق بين الاستصحاب وقاعدة اليقين، وأنّ اليقين محفوظ في ظرفه حين الشكّ في الاستصحاب دونه في قاعدة اليقين، فانّ الشكّ يسري إليه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الاستصحاب في ظرف الشكّ يقيناً فعلياً وشكاً كذلك، بخلاف قاعدة اليقين إذ ليس في ظرف الشكّ أي‌يقين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هذا فلابدّ لنا من دراسة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السؤال الثالث والشقّ الثاني من السؤال السادس، فهل ينطبق على الاستصحاب أو على قاعدة اليقين؟ </w:t>
      </w:r>
    </w:p>
    <w:p>
      <w:pPr>
        <w:pStyle w:val="BookText"/>
        <w:rPr/>
      </w:pPr>
      <w:r>
        <w:rPr>
          <w:rFonts w:ascii="Amiri" w:hAnsi="Amiri" w:eastAsia="Amiri" w:cs="Amiri"/>
          <w:color w:val="111111"/>
          <w:sz w:val="28"/>
          <w:sz w:val="28"/>
          <w:szCs w:val="28"/>
          <w:rtl w:val="true"/>
          <w:lang w:bidi="ar-SA"/>
        </w:rPr>
        <w:t>واعلم أنّ الكبرى الكلية وردت في الصحيحة في 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السؤال الثالث، 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الشقّ الثاني من السؤال السادس،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الوارد في جواب السؤال الثالث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ثمّ شككت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الحاصل قبل ظن الإصابة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الحاصل بعده، وبعد الفحص وعدم الرؤية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من اليقين هو الوجه الأوّل لانطبق على الاستصحاب، وأمّا لو كان المراد اليقين الحاصل بعد الفحص، فينطبق على قاعدة اليقين لزواله بعد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الوجه الأوّل، لما قلنا من أنّ ظرف الاستصحاب إنّما هو قبل الدخول في الصلاة، لما مرّ عند بيان كون الاستصحاب سبباً لعدم الإعادة، من أنّ المصلّي في تلك الحالة مخاطب بعدم نقض اليقين بالشك، وليس هذا اليقين، إلّااليقين قبل ظن الإصابة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عدم حدوث اليقين بعد الفحص غاية الأمر عدم رؤية شيء بعد الفحص، لا الإذعان بالعدم كما هو واضح</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الوارد في الشقّ الثاني من السؤال السادس،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تشك ثمّ رأيته رطباً قطعت الصلاة وغسلته، ثمّ بنيت على الصلاة لأنّك لا تدري لعلّه شيء أُوقع عليك، فليس ينبغي أن تنقض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شكّ أنّه ليس فيه إلّايقين واحد، لافتراض أنّه لم يشكّ إلى زمان رؤية الدم في ثوبه أثناء الصلاة، لكنّه يحتمل طروءه قُبَيل الصلاة، أو أثناءها، فيستصحب اليقين السابق، لأنّه كان </w:t>
      </w:r>
      <w:bookmarkStart w:id="102" w:name="pg14367_157024"/>
    </w:p>
    <w:p>
      <w:pPr>
        <w:pStyle w:val="BookText"/>
        <w:rPr/>
      </w:pPr>
      <w:bookmarkEnd w:id="102"/>
      <w:r>
        <w:rPr>
          <w:rFonts w:ascii="Amiri" w:hAnsi="Amiri" w:eastAsia="Amiri" w:cs="Amiri"/>
          <w:color w:val="111111"/>
          <w:sz w:val="28"/>
          <w:sz w:val="28"/>
          <w:szCs w:val="28"/>
          <w:rtl w:val="true"/>
          <w:lang w:bidi="ar-SA"/>
        </w:rPr>
        <w:t>متيقِّناً بطهارة ثوبه في زمان، لكنّه يشكّ انتقاضه قبيل الدخول في الصلاة، والأصل بقاؤه فينطبق على الاستصحاب</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7506938_3381743652"/>
      <w:bookmarkStart w:id="104" w:name="_Toc39"/>
      <w:bookmarkEnd w:id="103"/>
      <w:r>
        <w:rPr/>
        <w:t>3</w:t>
      </w:r>
      <w:r>
        <w:rPr>
          <w:rtl w:val="true"/>
        </w:rPr>
        <w:t xml:space="preserve">. </w:t>
      </w:r>
      <w:r>
        <w:rPr>
          <w:rtl w:val="true"/>
        </w:rPr>
        <w:t>الصحيحة الثالثة لزرارة</w:t>
      </w:r>
      <w:bookmarkEnd w:id="104"/>
    </w:p>
    <w:p>
      <w:pPr>
        <w:pStyle w:val="BookText"/>
        <w:rPr/>
      </w:pPr>
      <w:r>
        <w:rPr>
          <w:rFonts w:ascii="Amiri" w:hAnsi="Amiri" w:eastAsia="Amiri" w:cs="Amiri"/>
          <w:color w:val="111111"/>
          <w:sz w:val="28"/>
          <w:sz w:val="28"/>
          <w:szCs w:val="28"/>
          <w:rtl w:val="true"/>
          <w:lang w:bidi="ar-SA"/>
        </w:rPr>
        <w:t>روى الكليني، عن علي بن إبراهيم، عن أبيه إبراهيم بن هاشم، عن حمّاد ابن عيسى، عن حريز، عن زرارة قلتُله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يدرِ في أربعٍ هو أم في ثنتين، وقد أحرز الثنتين؟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بركعتين، وأربع سجدات وهو قائم بفاتحة الكتاب ويتشهد ولا شيء عليه؛ وإذا لم يدر في ثلاث هو أو في أربع، وقد أحرز الثلاث، قام فأضاف إليها أُخرى ولا شيء عليه، ولا ينقض اليقين بالشك، ولا يُدخل الشكَّ على اليقين، ولا يُخْلِطْ أحدهما بالآخر، ولكنّه يَنقُض الشكّ باليقين ويُتمُّ على اليقين، فيَبني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وتحقيق المقام يتوقف على البحث في أُمور</w:t>
      </w:r>
      <w:r>
        <w:rPr>
          <w:rFonts w:eastAsia="Amiri" w:cs="Amiri" w:ascii="Amiri" w:hAnsi="Amiri"/>
          <w:color w:val="111111"/>
          <w:sz w:val="28"/>
          <w:szCs w:val="28"/>
          <w:rtl w:val="true"/>
          <w:lang w:bidi="ar-SA"/>
        </w:rPr>
        <w:t>:</w:t>
      </w:r>
    </w:p>
    <w:p>
      <w:pPr>
        <w:pStyle w:val="Heading6"/>
        <w:numPr>
          <w:ilvl w:val="5"/>
          <w:numId w:val="1"/>
        </w:numPr>
        <w:rPr/>
      </w:pPr>
      <w:bookmarkStart w:id="105" w:name="__RefHeading___Toc7506940_3381743652"/>
      <w:bookmarkStart w:id="106" w:name="_Toc40"/>
      <w:bookmarkEnd w:id="105"/>
      <w:r>
        <w:rPr/>
        <w:t>1</w:t>
      </w:r>
      <w:r>
        <w:rPr>
          <w:rtl w:val="true"/>
        </w:rPr>
        <w:t xml:space="preserve">. </w:t>
      </w:r>
      <w:r>
        <w:rPr>
          <w:rtl w:val="true"/>
        </w:rPr>
        <w:t>صحّة السند</w:t>
      </w:r>
      <w:bookmarkEnd w:id="10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رواها الكليني تارة بالسند المذكور، عن حمّاد بن عيسى؛ وأُخرى بسند 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عن الفضل بن شاذان، عن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محله أنّ المراد من محمد بن إسماعيل الذي يروي عنه الكليني ويروي هو عن الفضل، هو محمد بن إسماعيل النيسابوري الثقة، فالرواية على كلا السندين صحيحة</w:t>
      </w:r>
      <w:r>
        <w:rPr>
          <w:rFonts w:eastAsia="Amiri" w:cs="Amiri" w:ascii="Amiri" w:hAnsi="Amiri"/>
          <w:color w:val="111111"/>
          <w:sz w:val="28"/>
          <w:szCs w:val="28"/>
          <w:rtl w:val="true"/>
          <w:lang w:bidi="ar-SA"/>
        </w:rPr>
        <w:t xml:space="preserve">. </w:t>
      </w:r>
      <w:bookmarkStart w:id="107" w:name="pg14367_157025"/>
    </w:p>
    <w:p>
      <w:pPr>
        <w:pStyle w:val="Heading6"/>
        <w:numPr>
          <w:ilvl w:val="5"/>
          <w:numId w:val="1"/>
        </w:numPr>
        <w:rPr/>
      </w:pPr>
      <w:bookmarkStart w:id="108" w:name="__RefHeading___Toc7506942_3381743652"/>
      <w:bookmarkStart w:id="109" w:name="_Toc41"/>
      <w:bookmarkEnd w:id="107"/>
      <w:bookmarkEnd w:id="108"/>
      <w:r>
        <w:rPr/>
        <w:t>2</w:t>
      </w:r>
      <w:r>
        <w:rPr>
          <w:rtl w:val="true"/>
        </w:rPr>
        <w:t xml:space="preserve">. </w:t>
      </w:r>
      <w:r>
        <w:rPr>
          <w:rtl w:val="true"/>
        </w:rPr>
        <w:t>كيفية الاستدلال</w:t>
      </w:r>
      <w:bookmarkEnd w:id="109"/>
    </w:p>
    <w:p>
      <w:pPr>
        <w:pStyle w:val="BookText"/>
        <w:rPr/>
      </w:pPr>
      <w:r>
        <w:rPr>
          <w:rFonts w:ascii="Amiri" w:hAnsi="Amiri" w:eastAsia="Amiri" w:cs="Amiri"/>
          <w:color w:val="111111"/>
          <w:sz w:val="28"/>
          <w:sz w:val="28"/>
          <w:szCs w:val="28"/>
          <w:rtl w:val="true"/>
          <w:lang w:bidi="ar-SA"/>
        </w:rPr>
        <w:t>الاستدلال مركّز على بيان متعلّق اليقين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الفقرة الثانية، فقد استظهر غير واحد أنّ المتعلّق عبارة عن عدم الإتيان بالأكثر، أو اليقين بالأقلّ، الملازم لليقين بعدم إتيان الأكثر، فعندئذٍ ينطبق على الاستصحاب، وتكون الكبرى المذكورة دليلاً لقوله المتقدّم عليه،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وأضاف إليها 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قائلاً يقول لماذا؟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ينقضُ اليقين بعدم الإتيان بالشكّ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على الاستدلال بوجوه أربعة</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7506944_3381743652"/>
      <w:bookmarkStart w:id="111" w:name="_Toc42"/>
      <w:bookmarkEnd w:id="110"/>
      <w:r>
        <w:rPr>
          <w:rtl w:val="true"/>
        </w:rPr>
        <w:t>الأوّل</w:t>
      </w:r>
      <w:r>
        <w:rPr>
          <w:rtl w:val="true"/>
        </w:rPr>
        <w:t xml:space="preserve">: </w:t>
      </w:r>
      <w:r>
        <w:rPr>
          <w:rtl w:val="true"/>
        </w:rPr>
        <w:t>الحمل على الاستصحاب لا يوافق المذهب</w:t>
      </w:r>
      <w:bookmarkEnd w:id="111"/>
    </w:p>
    <w:p>
      <w:pPr>
        <w:pStyle w:val="BookText"/>
        <w:rPr/>
      </w:pPr>
      <w:r>
        <w:rPr>
          <w:rFonts w:ascii="Amiri" w:hAnsi="Amiri" w:eastAsia="Amiri" w:cs="Amiri"/>
          <w:color w:val="111111"/>
          <w:sz w:val="28"/>
          <w:sz w:val="28"/>
          <w:szCs w:val="28"/>
          <w:rtl w:val="true"/>
          <w:lang w:bidi="ar-SA"/>
        </w:rPr>
        <w:t>إنّ مقتضى الاستصحاب عندئذٍ الإتيان بالمشكوك موصولاً، مع أنّ المذهب المتفق عليه هو الإتيان به مفصولاً، فتكون الرواية معرضاً عنها، ويؤيد الاتصال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مقتضاهما هو الاتصال، فانّ الأوّل يدل على أنّ المضاف من جزء المضاف إليه، ومقتضى الجزئية الإتيان به موصولاً كما أنّ كلمة النقض حاك عن الاتصال،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لا تنقض المتيقّن بالمشكوك، تكون النتيجة ضمه إلى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الإشكال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أجاب به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أصل الإتيان بالمشكوك هو مقتضى</w:t>
      </w:r>
    </w:p>
    <w:p>
      <w:pPr>
        <w:pStyle w:val="BookText"/>
        <w:rPr/>
      </w:pPr>
      <w:r>
        <w:rPr>
          <w:rFonts w:ascii="Amiri" w:hAnsi="Amiri" w:eastAsia="Amiri" w:cs="Amiri"/>
          <w:color w:val="111111"/>
          <w:sz w:val="28"/>
          <w:sz w:val="28"/>
          <w:szCs w:val="28"/>
          <w:rtl w:val="true"/>
          <w:lang w:bidi="ar-SA"/>
        </w:rPr>
        <w:t>الاستصحاب، غاية الأمر إتيانه موصولاً، لا ينافي الاستصحاب بل ينافي إطلاق النقض، وقد قام الدليل على أنّ المشكوك لأنّه أن يؤتى بها مفصولاً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المحقّق النائيني،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الاتصال مقتضى إطلاق الاستصحاب وليس مقتضى مدلوله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الموجب لتوهّم عدم انطباق الرواية على الاستصحاب ليس إلّاتخيّل أنّ الاستصحاب في مورد الرواية يقتضي الإتيان بالركعة الموصولة، وذلك ينافي ما عليه المذهب، ولكن هذا خطأ، فانّ اتصال الركعة المشكوكة ببقية الركعات إنّما يقتضيه إطلاق الاستصحاب، لا انّ مدلول الاستصحاب ذلك، بل مدلول الاستصحاب إنّما هو البناء العملي على عدم الإتيان بالركعة المشكوكة، وأمّا الوظيفة بعد ذلك هو الإتيان بها موصولة فهو ممّا لا يقتضيه عدم نقض اليقين بالشك</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والفرق بين الجوابين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الاستصحاب على الأوّل لا يمس كرامة المذهب، وإنّما ينافيه لفظ النقض، بخلاف الثاني فانّه يمس كرامته، لكن المنافي إطلاقه، لا أصل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كلا الجوابين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من الأُصول التنزيلية، أي‌تنزيل الشاك في الإتيان، بمنزل المتيقّن بعدمه، والتنزيل التشريعي رهن ترتّب أثر عليه وإلّا يكون لغواً، وليس الأثر إلّاما يقوم به المتيقّن وهو الإتيان به موصولاً، فيكون الحكم بالإتيان مفصولاً مخالفاً لمدلوله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توجيهه بالنحو الثاني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لتنزيل الشاك منزلة المتيقن أثرين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بعدم الإتيان بالمشكوك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بالإتيان به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فنأخذ بالأثر الأوّل ونرفع اليد عن الأثر الثاني بحكم ضرورة المذهب، وعلى كلّ تقدير فالإتيان موصولاً كنفس الإتيان من آثار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أجاب به الشيخ الأنصاري،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يتوهم ورود الرواية تقيّة، لأنّ مقتضى الاستصحاب هو الإتيان بالمشكوك موصولاً، ولكن التقية في تطبيق الكبرى على المورد لا في نفس الكبرى، وكم لها من نظير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 عليه السلام لمنصور الدوانيقي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الإمام إن صمتَ صُمنا وإن أفطرتَ أفطرنا</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فالحكم بوصفه الكلي صحيح، وليس فيه التقية، وإنّما التقية في تطبيقه على الحاكم السائد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 السلام في صحيحة البزنطي، في الرجل يُستَكره على اليمين فيحلف بالطلاق والعتاق وصدقة مايملك، أيلزمه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وما لم يُطيقوا، وما أخطأوا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فانّ الحلف بالطلاق، وماعطف عليه باطل في كلتا الحالتين اختياراً واضطراراً، والإمام استدل على البطلان بحديث الرفع، إذ لم يكن في وسعه، القول ببطلان الحِلْف مطلقاً فتطرق إلى بيان الحكم عن طريق قاعدة مسلمة، وتطبيقها على المورد تقية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الإشكال الأوّل مع أجوبته الثلاثة، وإليك الكلام في سائر الإشكالات المتوجهة إلى تطبيق الحديث على الاستصحاب</w:t>
      </w:r>
      <w:r>
        <w:rPr>
          <w:rFonts w:eastAsia="Amiri" w:cs="Amiri" w:ascii="Amiri" w:hAnsi="Amiri"/>
          <w:color w:val="111111"/>
          <w:sz w:val="28"/>
          <w:szCs w:val="28"/>
          <w:rtl w:val="true"/>
          <w:lang w:bidi="ar-SA"/>
        </w:rPr>
        <w:t xml:space="preserve">. </w:t>
      </w:r>
      <w:bookmarkStart w:id="112" w:name="pg14367_157028"/>
    </w:p>
    <w:p>
      <w:pPr>
        <w:pStyle w:val="Heading6"/>
        <w:numPr>
          <w:ilvl w:val="5"/>
          <w:numId w:val="1"/>
        </w:numPr>
        <w:rPr/>
      </w:pPr>
      <w:bookmarkStart w:id="113" w:name="__RefHeading___Toc7506946_3381743652"/>
      <w:bookmarkStart w:id="114" w:name="_Toc43"/>
      <w:bookmarkEnd w:id="112"/>
      <w:bookmarkEnd w:id="113"/>
      <w:r>
        <w:rPr>
          <w:rtl w:val="true"/>
        </w:rPr>
        <w:t>الثاني</w:t>
      </w:r>
      <w:r>
        <w:rPr>
          <w:rtl w:val="true"/>
        </w:rPr>
        <w:t xml:space="preserve">: </w:t>
      </w:r>
      <w:r>
        <w:rPr>
          <w:rtl w:val="true"/>
        </w:rPr>
        <w:t>الحمل على الاستصحاب يستلزم التفكيك</w:t>
      </w:r>
      <w:bookmarkEnd w:id="114"/>
    </w:p>
    <w:p>
      <w:pPr>
        <w:pStyle w:val="BookText"/>
        <w:rPr/>
      </w:pPr>
      <w:r>
        <w:rPr>
          <w:rFonts w:ascii="Amiri" w:hAnsi="Amiri" w:eastAsia="Amiri" w:cs="Amiri"/>
          <w:color w:val="111111"/>
          <w:sz w:val="28"/>
          <w:sz w:val="28"/>
          <w:szCs w:val="28"/>
          <w:rtl w:val="true"/>
          <w:lang w:bidi="ar-SA"/>
        </w:rPr>
        <w:t>إنّ لازم 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 لزوم التفكيك في الفقرات الست أو السبع حيث انّه يحمل اليقين والشك في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 الشكّ باليقين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 معانيهما،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النفسانية، و لكنّهما في سائر الفقرات تُحمل على الركعات المتيقّنة والمشكوكة،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يدخل الشكّ في اليقين، ولا يُخلِطُ أحدهما بالآخر، ويُتمّ على اليقين، فيبني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أي‌الركعة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التفكيك، يوجب القدح في ظهور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الإمام بصدد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البناء على عدم الإتيان بالركعة المشكوكة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بها مفصولة لا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أوجب ذلك استعمال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في الحالة النفسانية، وأُخرى في الركعات المتيقّنة والمشكوكة</w:t>
      </w:r>
      <w:r>
        <w:rPr>
          <w:rFonts w:eastAsia="Amiri" w:cs="Amiri" w:ascii="Amiri" w:hAnsi="Amiri"/>
          <w:color w:val="111111"/>
          <w:sz w:val="28"/>
          <w:szCs w:val="28"/>
          <w:rtl w:val="true"/>
          <w:lang w:bidi="ar-SA"/>
        </w:rPr>
        <w:t>.</w:t>
      </w:r>
    </w:p>
    <w:p>
      <w:pPr>
        <w:pStyle w:val="Heading6"/>
        <w:numPr>
          <w:ilvl w:val="5"/>
          <w:numId w:val="1"/>
        </w:numPr>
        <w:rPr/>
      </w:pPr>
      <w:bookmarkStart w:id="115" w:name="__RefHeading___Toc7506948_3381743652"/>
      <w:bookmarkStart w:id="116" w:name="_Toc44"/>
      <w:bookmarkEnd w:id="115"/>
      <w:r>
        <w:rPr>
          <w:rtl w:val="true"/>
        </w:rPr>
        <w:t>الثالث</w:t>
      </w:r>
      <w:r>
        <w:rPr>
          <w:rtl w:val="true"/>
        </w:rPr>
        <w:t xml:space="preserve">: </w:t>
      </w:r>
      <w:r>
        <w:rPr>
          <w:rtl w:val="true"/>
        </w:rPr>
        <w:t>الصحيحة مختصة بباب المشكوك</w:t>
      </w:r>
      <w:bookmarkEnd w:id="116"/>
    </w:p>
    <w:p>
      <w:pPr>
        <w:pStyle w:val="BookText"/>
        <w:rPr/>
      </w:pPr>
      <w:r>
        <w:rPr>
          <w:rFonts w:ascii="Amiri" w:hAnsi="Amiri" w:eastAsia="Amiri" w:cs="Amiri"/>
          <w:color w:val="111111"/>
          <w:sz w:val="28"/>
          <w:sz w:val="28"/>
          <w:szCs w:val="28"/>
          <w:rtl w:val="true"/>
          <w:lang w:bidi="ar-SA"/>
        </w:rPr>
        <w:t>إنّ الصحيحة لو تمّت دلالتها على حجّية الاستصحاب، تختص بباب شكوك الصلاة وأين مفادها من إثبات قاعدة كلية في عامّة الأبواب؟</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يقال بتوجّه الإشكال إذا قرئت الأفعال بصيغة المعلوم الظاهرة في </w:t>
      </w:r>
      <w:bookmarkStart w:id="117" w:name="pg14367_157029"/>
    </w:p>
    <w:p>
      <w:pPr>
        <w:pStyle w:val="BookText"/>
        <w:rPr/>
      </w:pPr>
      <w:bookmarkEnd w:id="117"/>
      <w:r>
        <w:rPr>
          <w:rFonts w:ascii="Amiri" w:hAnsi="Amiri" w:eastAsia="Amiri" w:cs="Amiri"/>
          <w:color w:val="111111"/>
          <w:sz w:val="28"/>
          <w:sz w:val="28"/>
          <w:szCs w:val="28"/>
          <w:rtl w:val="true"/>
          <w:lang w:bidi="ar-SA"/>
        </w:rPr>
        <w:t>كون الموضوع هو اليقين المتعلّق بالركعة، لا فيما إذا قرئت بصيغة المجهول الظاهرة في أنّ الموضوع هو ذات تعلّق اليقين والشكّوأنّ ذكر المتعلّق لأجل بيان حكم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يجاب بأنّ المتبادر من الرواية أنّ الحكم ثابت لنفس اليقين، لا للمتيقّن، وذلك لأنّ اليقين لاستحكامه وإبرامه، لا ينقض بمثل الشكّ الذي هو شيء رخو غير 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ورود الكبرى المذكورة في غير واحد من الروايات التي هي صريحة في بيان الاستصحاب</w:t>
      </w:r>
      <w:r>
        <w:rPr>
          <w:rFonts w:eastAsia="Amiri" w:cs="Amiri" w:ascii="Amiri" w:hAnsi="Amiri"/>
          <w:color w:val="111111"/>
          <w:sz w:val="28"/>
          <w:szCs w:val="28"/>
          <w:rtl w:val="true"/>
          <w:lang w:bidi="ar-SA"/>
        </w:rPr>
        <w:t>.</w:t>
      </w:r>
    </w:p>
    <w:p>
      <w:pPr>
        <w:pStyle w:val="Heading6"/>
        <w:numPr>
          <w:ilvl w:val="5"/>
          <w:numId w:val="1"/>
        </w:numPr>
        <w:rPr/>
      </w:pPr>
      <w:bookmarkStart w:id="118" w:name="__RefHeading___Toc7506950_3381743652"/>
      <w:bookmarkStart w:id="119" w:name="_Toc45"/>
      <w:bookmarkEnd w:id="118"/>
      <w:r>
        <w:rPr>
          <w:rtl w:val="true"/>
        </w:rPr>
        <w:t>الرابع</w:t>
      </w:r>
      <w:r>
        <w:rPr>
          <w:rtl w:val="true"/>
        </w:rPr>
        <w:t xml:space="preserve">: </w:t>
      </w:r>
      <w:r>
        <w:rPr>
          <w:rtl w:val="true"/>
        </w:rPr>
        <w:t>الاستصحاب مثبت</w:t>
      </w:r>
      <w:bookmarkEnd w:id="119"/>
    </w:p>
    <w:p>
      <w:pPr>
        <w:pStyle w:val="BookText"/>
        <w:rPr/>
      </w:pPr>
      <w:r>
        <w:rPr>
          <w:rFonts w:ascii="Amiri" w:hAnsi="Amiri" w:eastAsia="Amiri" w:cs="Amiri"/>
          <w:color w:val="111111"/>
          <w:sz w:val="28"/>
          <w:sz w:val="28"/>
          <w:szCs w:val="28"/>
          <w:rtl w:val="true"/>
          <w:lang w:bidi="ar-SA"/>
        </w:rPr>
        <w:t>وهذا آخر الإشكالات على هذا التفسير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عدم الإتيان بالركعة الرابعة لا يُثبت كون ما يأتي به ركعة رابعة حتى يترتب عليها أثرها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التشهد والتسليم، إذ يشترط في وجوب الإتيان بهما إحراز وقوعهما في 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بين المستصحب، وهو عدم الإتيان بالرابعة، وأثرها الشرعي، أعني لزوم الإتيان بالتشهد والتسليم، واسطة، وهي كون ما يأتيه بحكم الاستصحاب هو الركعة الرابعة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خفاء الواسطة عند العرف وإنّما تتوجّه إليه الأذهان الدقيقة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لوجوب الإتيان بالتشهد والتسليم ليس هو الركعة الرابعة، بل الموضوع الإتيان بهما بعد الفراغ عن الركعات، والمفروض أنّه محرز بالوجدان</w:t>
      </w:r>
      <w:r>
        <w:rPr>
          <w:rFonts w:eastAsia="Amiri" w:cs="Amiri" w:ascii="Amiri" w:hAnsi="Amiri"/>
          <w:color w:val="111111"/>
          <w:sz w:val="28"/>
          <w:szCs w:val="28"/>
          <w:rtl w:val="true"/>
          <w:lang w:bidi="ar-SA"/>
        </w:rPr>
        <w:t xml:space="preserve">. </w:t>
      </w:r>
      <w:bookmarkStart w:id="120" w:name="pg14367_157030"/>
    </w:p>
    <w:p>
      <w:pPr>
        <w:pStyle w:val="Heading6"/>
        <w:numPr>
          <w:ilvl w:val="5"/>
          <w:numId w:val="1"/>
        </w:numPr>
        <w:rPr/>
      </w:pPr>
      <w:bookmarkStart w:id="121" w:name="__RefHeading___Toc7506952_3381743652"/>
      <w:bookmarkStart w:id="122" w:name="_Toc46"/>
      <w:bookmarkEnd w:id="120"/>
      <w:bookmarkEnd w:id="121"/>
      <w:r>
        <w:rPr>
          <w:rtl w:val="true"/>
        </w:rPr>
        <w:t>التفسير الثاني للرواية</w:t>
      </w:r>
      <w:bookmarkEnd w:id="122"/>
    </w:p>
    <w:p>
      <w:pPr>
        <w:pStyle w:val="BookText"/>
        <w:rPr/>
      </w:pPr>
      <w:r>
        <w:rPr>
          <w:rFonts w:ascii="Amiri" w:hAnsi="Amiri" w:eastAsia="Amiri" w:cs="Amiri"/>
          <w:color w:val="111111"/>
          <w:sz w:val="28"/>
          <w:sz w:val="28"/>
          <w:szCs w:val="28"/>
          <w:rtl w:val="true"/>
          <w:lang w:bidi="ar-SA"/>
        </w:rPr>
        <w:t xml:space="preserve">قدعرفت أنّ استفادة دلالة الرواية على حجّية الاستصحاب مبنيّة على كون متعلّق اليقين والشك هوعدم الإتيان بالركعة الرابعة، وهناك احتمال آخر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المراد من اليقين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رهن العمل في باب الشكوك بالطريقة المروية عن أئمّة أهل البيت عليهم السلام، لا على الطريقة التي عليها أهل السنّة، والذي يشهد بذلك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عمّار بن موسى الساباطي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أُعلّمك شيئاً إذا فعلتَه ثمّ ذكرتَ أنّك أتممت أو انقضت لم يكن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فابن على الأكثر، فإذا فرغتَ وسلّمت، فقم فصلّ ما ظننت أنّك نقصت، فإن كنتَقد أتممتَ لم يكن عليك في هذه شيء، وإن ذكرتَ أنّك كنتَ نقضتَ كان ما صلّيتَ تمام ما نقصت</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إلى غير ذلك من الروايات الحاثّة على أنّ البناء على الأكثر والإتيان بالمشكوك مفصولاً هو المحصِّل لليقين بالبراءة، وعلى ذلك فالمراد من عدم نقض اليقين، والبناء على اليقين، هو الأخذ باليقين والاحتياط بالبناء على الأكثر، دون الأقل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لحمل الأولى على باب الشكوك في الركعات، بل هو قاعدة تعمّ جميع أبواب الفقه،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شكّ المكلّف في شيء فعليه </w:t>
      </w:r>
      <w:bookmarkStart w:id="123" w:name="pg14367_157031"/>
    </w:p>
    <w:p>
      <w:pPr>
        <w:pStyle w:val="BookText"/>
        <w:rPr/>
      </w:pPr>
      <w:bookmarkEnd w:id="123"/>
      <w:r>
        <w:rPr>
          <w:rFonts w:ascii="Amiri" w:hAnsi="Amiri" w:eastAsia="Amiri" w:cs="Amiri"/>
          <w:color w:val="111111"/>
          <w:sz w:val="28"/>
          <w:sz w:val="28"/>
          <w:szCs w:val="28"/>
          <w:rtl w:val="true"/>
          <w:lang w:bidi="ar-SA"/>
        </w:rPr>
        <w:t>البناء على اليقين، غاية الأمر خرج عنه باب الشكوك حيث يبنى فيها على الأكثر، نعم ذكره صاحب الوسائل في باب الشكوك، وذكره في ذلك الباب لا يُضفي عليها الظهورَ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الموثقة الثانية فلا وجه للاستشهاد بها في تفسير الصحيحة لعدم الصلة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تلك الكبرى في غير واحد من الروايات الظاهرة في الاستصحاب يمنع عن حملها على غيرها أي على اليقين بالبراءة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يقين بالبراءة في كلا المذهبين، فانّ في طريقة أهل السنّة مظنّة زيادة الركوع، وفي طريقنا، مظنّة زيادة التشهد والسلام والتكبيرة، وغيرها، كقيام الركعتين جالساً مكان الركعة الواحدة، حيث لا يجوز في حال الاختيار إبدالها بهما، نعم المحذور في طريقتنا أقلّمن طريقتهم، إذ أين زيادة التشهد والسلام والتكبيرة، من زيادة الركعة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فالطريقة المألوفة عندنا أقلّ محذوراً</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7506954_3381743652"/>
      <w:bookmarkStart w:id="125" w:name="_Toc47"/>
      <w:bookmarkEnd w:id="124"/>
      <w:r>
        <w:rPr/>
        <w:t>4</w:t>
      </w:r>
      <w:r>
        <w:rPr>
          <w:rtl w:val="true"/>
        </w:rPr>
        <w:t xml:space="preserve">. </w:t>
      </w:r>
      <w:r>
        <w:rPr>
          <w:rtl w:val="true"/>
        </w:rPr>
        <w:t>موثّقة إسحاق بن عمّار</w:t>
      </w:r>
      <w:bookmarkEnd w:id="125"/>
    </w:p>
    <w:p>
      <w:pPr>
        <w:pStyle w:val="BookText"/>
        <w:rPr/>
      </w:pPr>
      <w:r>
        <w:rPr>
          <w:rFonts w:ascii="Amiri" w:hAnsi="Amiri" w:eastAsia="Amiri" w:cs="Amiri"/>
          <w:color w:val="111111"/>
          <w:sz w:val="28"/>
          <w:sz w:val="28"/>
          <w:szCs w:val="28"/>
          <w:rtl w:val="true"/>
          <w:lang w:bidi="ar-SA"/>
        </w:rPr>
        <w:t>روى إسحاق بن عمّار، عن أبي الحسن الأوّل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الصدوق إلى إسحاق بن عمّار صحيح في المشيخة، لكنّه نقل الرواية بصورة الإرسال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إسحاق بن عمار، وهو ظاهر في الإرسال لا أنّه أخذه من كتابه وذكر سنده إليه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ففي الرواية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ناظرة إلى ما عليه العامّة من البناء على الأقل، والإتيان بالركعة</w:t>
      </w:r>
      <w:bookmarkStart w:id="126" w:name="pg14367_157032"/>
    </w:p>
    <w:p>
      <w:pPr>
        <w:pStyle w:val="BookText"/>
        <w:rPr/>
      </w:pPr>
      <w:bookmarkEnd w:id="126"/>
      <w:r>
        <w:rPr>
          <w:rFonts w:ascii="Amiri" w:hAnsi="Amiri" w:eastAsia="Amiri" w:cs="Amiri"/>
          <w:color w:val="111111"/>
          <w:sz w:val="28"/>
          <w:sz w:val="28"/>
          <w:szCs w:val="28"/>
          <w:rtl w:val="true"/>
          <w:lang w:bidi="ar-SA"/>
        </w:rPr>
        <w:t>المشكوكة موصولة، وعلى هذا وردت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أنّ الرواية واردة في باب شكوك الصلاة، وذكرها في الوسائل في باب الشكوك لا يضفي عليها الظهور في هذا المورد، بل هي رواية عامة سارية في جميع الأبواب غير أنّه خرج عنها باب الشكوك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ناظرة إلى لزوم تحصيل اليقين بالبراءة بالبناء على الأكثر، والإتيان بالركعة المشكوكة مفصولة بناء على أنّه أكثر تحصيلاً لليقين بها، وهوخيرة الشيخ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أوردناه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الرواية البناء على اليقين الموجود بالفعل، وعلى ما ذكره فليس اليقين موجوداً بالفعل بل يجب عليه أن يكتسبه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ناظرة إلى الاستصحاب كما قوّيناه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ناظرة إلى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الثالث لظهورها في فعلية اليقين والشك، وهذا متحقّق في الاستصحاب دون قاعدة اليقين، لعدم فعلية اليقين هناك، وما هذا لأنّ متعلّقهما في الأوّل متعدّد فيبقيان بحالهما، بخلاف الثانية فانّ الشكّ يتعلّق بنفس ما تعلّق به اليقين فيزول</w:t>
      </w:r>
      <w:r>
        <w:rPr>
          <w:rFonts w:eastAsia="Amiri" w:cs="Amiri" w:ascii="Amiri" w:hAnsi="Amiri"/>
          <w:color w:val="111111"/>
          <w:sz w:val="28"/>
          <w:szCs w:val="28"/>
          <w:rtl w:val="true"/>
          <w:lang w:bidi="ar-SA"/>
        </w:rPr>
        <w:t>.</w:t>
      </w:r>
    </w:p>
    <w:p>
      <w:pPr>
        <w:pStyle w:val="Heading6"/>
        <w:numPr>
          <w:ilvl w:val="5"/>
          <w:numId w:val="1"/>
        </w:numPr>
        <w:rPr/>
      </w:pPr>
      <w:bookmarkStart w:id="127" w:name="__RefHeading___Toc7506956_3381743652"/>
      <w:bookmarkStart w:id="128" w:name="_Toc48"/>
      <w:bookmarkEnd w:id="127"/>
      <w:r>
        <w:rPr/>
        <w:t>5</w:t>
      </w:r>
      <w:r>
        <w:rPr>
          <w:rtl w:val="true"/>
        </w:rPr>
        <w:t xml:space="preserve">. </w:t>
      </w:r>
      <w:r>
        <w:rPr>
          <w:rtl w:val="true"/>
        </w:rPr>
        <w:t>حديث الأربعمائة</w:t>
      </w:r>
      <w:bookmarkEnd w:id="12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 الأربعمائة من الأحاديث المعروفة الذي علّم به أمير المؤمنين عليه السلام أصحابه في مجلس واحد أربعمائة باب ممّا يصلح للمسلم في دينه ودنياه، وقد نقله </w:t>
      </w:r>
    </w:p>
    <w:p>
      <w:pPr>
        <w:pStyle w:val="BookText"/>
        <w:rPr/>
      </w:pPr>
      <w:r>
        <w:rPr>
          <w:rFonts w:ascii="Amiri" w:hAnsi="Amiri" w:eastAsia="Amiri" w:cs="Amiri"/>
          <w:color w:val="111111"/>
          <w:sz w:val="28"/>
          <w:sz w:val="28"/>
          <w:szCs w:val="28"/>
          <w:rtl w:val="true"/>
          <w:lang w:bidi="ar-SA"/>
        </w:rPr>
        <w:t xml:space="preserve">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المائة فما فوقه،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اليقطيني، عن القاسم بن يحيى، عن جدّه الحسن بن راشد، عن أبي بصير ومحمد بن مسلم، عن أبي عبد اللّه عليه السلام، وجاء في هذا الحديث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احسبوا كلامَكم مِنْ أعمالكم، ليقلَّ كلامكم إلّافي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أنفقوا ممّا رزقكُم اللّه عزّوجل فانّ المنفِق بمنزلة المجاهد في سبيل اللّه، فمن أيقن بالخلف جادّ، وسخت</w:t>
      </w:r>
      <w:r>
        <w:rPr>
          <w:rStyle w:val="FootnoteAnchor"/>
          <w:rtl w:val="true"/>
        </w:rPr>
        <w:footnoteReference w:id="28"/>
      </w:r>
      <w:r>
        <w:rPr>
          <w:rFonts w:ascii="Amiri" w:hAnsi="Amiri" w:eastAsia="Amiri" w:cs="Amiri"/>
          <w:color w:val="111111"/>
          <w:sz w:val="28"/>
          <w:sz w:val="28"/>
          <w:szCs w:val="28"/>
          <w:rtl w:val="true"/>
          <w:lang w:bidi="ar-SA"/>
        </w:rPr>
        <w:t>نفسه بالنفقة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أمّا رجال السند فكلّهم ثقات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تكلّم ابن الوليد أُستاذ الصدوق في محمّد بن عيسى بن عبيد اليقطيني فاستثناه من رجال نوادر الحكمة، لمحمد بن أحمد بن يحيى الأشعري، ولكن ردّ عليه من جاء بعده، نقل النجاشي عن شيخه أبي العباس بن نوح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أصاب شيخنا أبو جعفر محمد بن الحسن بن الوليد في ذلك كلّه وتبعه أبو جعفر بن بابويه رحمه الله في ذلك إلّا في محمد بن عيسى بن عبيد، فلا أدري ما را 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تكلّم ابن الغضائري في القاسم بن يحيى،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يحيى بن الحسن بن راشد مولى المنصور، روى عن جدّه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في ذلك العلاّمة فذكره في الخلاصة، وابن داود في رجاله</w:t>
      </w:r>
      <w:r>
        <w:rPr>
          <w:rFonts w:eastAsia="Amiri" w:cs="Amiri" w:ascii="Amiri" w:hAnsi="Amiri"/>
          <w:color w:val="111111"/>
          <w:sz w:val="28"/>
          <w:szCs w:val="28"/>
          <w:rtl w:val="true"/>
          <w:lang w:bidi="ar-SA"/>
        </w:rPr>
        <w:t xml:space="preserve">. </w:t>
      </w:r>
      <w:bookmarkStart w:id="129" w:name="pg14367_157034"/>
    </w:p>
    <w:p>
      <w:pPr>
        <w:pStyle w:val="BookText"/>
        <w:rPr/>
      </w:pPr>
      <w:bookmarkEnd w:id="129"/>
      <w:r>
        <w:rPr>
          <w:rFonts w:ascii="Amiri" w:hAnsi="Amiri" w:eastAsia="Amiri" w:cs="Amiri"/>
          <w:color w:val="111111"/>
          <w:sz w:val="28"/>
          <w:sz w:val="28"/>
          <w:szCs w:val="28"/>
          <w:rtl w:val="true"/>
          <w:lang w:bidi="ar-SA"/>
        </w:rPr>
        <w:t>نعم سعى الوحيد البهبهاني في إصلاح حاله،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الخلاصة مأخوذ من الغضائري ولا وثوق به، ورواية الأجلة مثل أحمد بن محمد بن عيسى عنه تشير إلى الاعتماد عليه</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وعلى كلّ حال فالحديث تعلو هامته آثار الصدق، فمن لغير علي عليه السلام مثل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السند، وأمّا الدلالة فقد فسرت الرواية بوجهين</w:t>
      </w:r>
      <w:r>
        <w:rPr>
          <w:rFonts w:eastAsia="Amiri" w:cs="Amiri" w:ascii="Amiri" w:hAnsi="Amiri"/>
          <w:color w:val="111111"/>
          <w:sz w:val="28"/>
          <w:szCs w:val="28"/>
          <w:rtl w:val="true"/>
          <w:lang w:bidi="ar-SA"/>
        </w:rPr>
        <w:t>:</w:t>
      </w:r>
    </w:p>
    <w:p>
      <w:pPr>
        <w:pStyle w:val="Heading6"/>
        <w:numPr>
          <w:ilvl w:val="5"/>
          <w:numId w:val="1"/>
        </w:numPr>
        <w:rPr/>
      </w:pPr>
      <w:bookmarkStart w:id="130" w:name="__RefHeading___Toc7506958_3381743652"/>
      <w:bookmarkStart w:id="131" w:name="_Toc49"/>
      <w:bookmarkEnd w:id="130"/>
      <w:r>
        <w:rPr>
          <w:rtl w:val="true"/>
        </w:rPr>
        <w:t>الأوّل</w:t>
      </w:r>
      <w:r>
        <w:rPr>
          <w:rtl w:val="true"/>
        </w:rPr>
        <w:t xml:space="preserve">: </w:t>
      </w:r>
      <w:r>
        <w:rPr>
          <w:rtl w:val="true"/>
        </w:rPr>
        <w:t>أنها ناظرة إلى قاعدة اليقين</w:t>
      </w:r>
      <w:bookmarkEnd w:id="131"/>
    </w:p>
    <w:p>
      <w:pPr>
        <w:pStyle w:val="BookText"/>
        <w:rPr/>
      </w:pPr>
      <w:r>
        <w:rPr>
          <w:rFonts w:ascii="Amiri" w:hAnsi="Amiri" w:eastAsia="Amiri" w:cs="Amiri"/>
          <w:color w:val="111111"/>
          <w:sz w:val="28"/>
          <w:sz w:val="28"/>
          <w:szCs w:val="28"/>
          <w:rtl w:val="true"/>
          <w:lang w:bidi="ar-SA"/>
        </w:rPr>
        <w:t>إنّ الرواية ناظرة إلى قاعدة اليقين، ويدّل عليه بوجوه ثلاثة</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506960_3381743652"/>
      <w:bookmarkStart w:id="133" w:name="_Toc50"/>
      <w:bookmarkEnd w:id="132"/>
      <w:r>
        <w:rPr>
          <w:rtl w:val="true"/>
        </w:rPr>
        <w:t>أ</w:t>
      </w:r>
      <w:r>
        <w:rPr>
          <w:rtl w:val="true"/>
        </w:rPr>
        <w:t xml:space="preserve">: </w:t>
      </w:r>
      <w:r>
        <w:rPr>
          <w:rtl w:val="true"/>
        </w:rPr>
        <w:t>تقدّم اليقين على الشكّ‌</w:t>
      </w:r>
      <w:bookmarkEnd w:id="133"/>
    </w:p>
    <w:p>
      <w:pPr>
        <w:pStyle w:val="BookText"/>
        <w:rPr/>
      </w:pPr>
      <w:r>
        <w:rPr>
          <w:rFonts w:ascii="Amiri" w:hAnsi="Amiri" w:eastAsia="Amiri" w:cs="Amiri"/>
          <w:color w:val="111111"/>
          <w:sz w:val="28"/>
          <w:sz w:val="28"/>
          <w:szCs w:val="28"/>
          <w:rtl w:val="true"/>
          <w:lang w:bidi="ar-SA"/>
        </w:rPr>
        <w:t xml:space="preserve">إنّ الرواية ظاهرة في تقدّم اليقين على الشكّ، بشهادة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وهويناسب قاعدة اليقين، إذ فيها يتقدّم اليقين على الشكّ زماناً، بخلاف الاستصحاب فلا يشترط فيه التقدّم، بل يصحّ العكس، وربما يحصلان معاً</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7506962_3381743652"/>
      <w:bookmarkStart w:id="135" w:name="_Toc51"/>
      <w:bookmarkEnd w:id="134"/>
      <w:r>
        <w:rPr>
          <w:rtl w:val="true"/>
        </w:rPr>
        <w:t>ب</w:t>
      </w:r>
      <w:r>
        <w:rPr>
          <w:rtl w:val="true"/>
        </w:rPr>
        <w:t xml:space="preserve">: </w:t>
      </w:r>
      <w:r>
        <w:rPr>
          <w:rtl w:val="true"/>
        </w:rPr>
        <w:t>وحدة متعلّق اليقين والشكّ‌</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الرواية ظاهرة في وحدة متعلّق اليقين والشكّ من جميع الجهات ذاتاً وزماناً، وهذا ينطبق على القاعدة دون الاستصحاب لاختلافها زماناً</w:t>
      </w:r>
      <w:r>
        <w:rPr>
          <w:rFonts w:eastAsia="Amiri" w:cs="Amiri" w:ascii="Amiri" w:hAnsi="Amiri"/>
          <w:color w:val="111111"/>
          <w:sz w:val="28"/>
          <w:szCs w:val="28"/>
          <w:rtl w:val="true"/>
          <w:lang w:bidi="ar-SA"/>
        </w:rPr>
        <w:t xml:space="preserve">. </w:t>
      </w:r>
      <w:bookmarkStart w:id="136" w:name="pg14367_157035"/>
    </w:p>
    <w:p>
      <w:pPr>
        <w:pStyle w:val="Heading6"/>
        <w:numPr>
          <w:ilvl w:val="5"/>
          <w:numId w:val="1"/>
        </w:numPr>
        <w:rPr/>
      </w:pPr>
      <w:bookmarkStart w:id="137" w:name="__RefHeading___Toc7506964_3381743652"/>
      <w:bookmarkStart w:id="138" w:name="_Toc52"/>
      <w:bookmarkEnd w:id="136"/>
      <w:bookmarkEnd w:id="137"/>
      <w:r>
        <w:rPr>
          <w:rtl w:val="true"/>
        </w:rPr>
        <w:t>ج</w:t>
      </w:r>
      <w:r>
        <w:rPr>
          <w:rtl w:val="true"/>
        </w:rPr>
        <w:t xml:space="preserve">: </w:t>
      </w:r>
      <w:r>
        <w:rPr>
          <w:rtl w:val="true"/>
        </w:rPr>
        <w:t>زوال اليقين</w:t>
      </w:r>
      <w:bookmarkEnd w:id="138"/>
    </w:p>
    <w:p>
      <w:p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زوال اليقين و هو ينطبق على قاعدة اليقين لزوال اليقين فيه دون الاستصحاب، ولا يخفى ضعف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يتقدّم على الشكّ غالباً في الاستصحاب، ودائماً في قاعدة اليقين، فلعلّ القيد في الرواية قيد غالبي لا احترازي، إذ قلّما يتقدّم الشكّ على اليقين أو يحصلان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القيد أن يكون احترازياً فيخرج الاستصحاب عن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صحيح، لولا وجود المشابهة بين هذه الرواية والروايات السابقة الصريحة في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الرواية ظاهرة في وحدة متعلّق اليقين والشكّ، وهو متحقّق في الاستصحاب والقاعدة معاً، لأنّ متعلّقهما واحد ذاتاً وجوهراً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يختلفان زماناً، وليس في الرواية ما يدل على وحدتهما زماناً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مجرّد ادّعاء لا يدعمه الدليل، إذ ليس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زوال اليقين من رأس بل يحتمل أن يكون زواله بقاءً لا حدوثاً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زائل في قاعدة اليقين حدوثاً، وفي الاستصحاب بقاءً، وليس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الزوال حدوثاً، بل يحتمل زواله بقاء</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الوجه الأوّل وقد عرفت ضعف ما أيّد به</w:t>
      </w:r>
      <w:r>
        <w:rPr>
          <w:rFonts w:eastAsia="Amiri" w:cs="Amiri" w:ascii="Amiri" w:hAnsi="Amiri"/>
          <w:color w:val="111111"/>
          <w:sz w:val="28"/>
          <w:szCs w:val="28"/>
          <w:rtl w:val="true"/>
          <w:lang w:bidi="ar-SA"/>
        </w:rPr>
        <w:t xml:space="preserve">. </w:t>
      </w:r>
      <w:bookmarkStart w:id="139" w:name="pg14367_157036"/>
    </w:p>
    <w:p>
      <w:pPr>
        <w:pStyle w:val="Heading6"/>
        <w:numPr>
          <w:ilvl w:val="5"/>
          <w:numId w:val="1"/>
        </w:numPr>
        <w:rPr/>
      </w:pPr>
      <w:bookmarkStart w:id="140" w:name="__RefHeading___Toc7506966_3381743652"/>
      <w:bookmarkStart w:id="141" w:name="_Toc53"/>
      <w:bookmarkEnd w:id="139"/>
      <w:bookmarkEnd w:id="140"/>
      <w:r>
        <w:rPr>
          <w:rtl w:val="true"/>
        </w:rPr>
        <w:t>الثاني</w:t>
      </w:r>
      <w:r>
        <w:rPr>
          <w:rtl w:val="true"/>
        </w:rPr>
        <w:t xml:space="preserve">: </w:t>
      </w:r>
      <w:r>
        <w:rPr>
          <w:rtl w:val="true"/>
        </w:rPr>
        <w:t>ناظرة إلى الاستصحاب</w:t>
      </w:r>
      <w:bookmarkEnd w:id="141"/>
    </w:p>
    <w:p>
      <w:pPr>
        <w:pStyle w:val="BookText"/>
        <w:rPr/>
      </w:pPr>
      <w:r>
        <w:rPr>
          <w:rFonts w:ascii="Amiri" w:hAnsi="Amiri" w:eastAsia="Amiri" w:cs="Amiri"/>
          <w:color w:val="111111"/>
          <w:sz w:val="28"/>
          <w:sz w:val="28"/>
          <w:szCs w:val="28"/>
          <w:rtl w:val="true"/>
          <w:lang w:bidi="ar-SA"/>
        </w:rPr>
        <w:t xml:space="preserve">ربما يقال بأنّ الرواية ناظرة إلى الاستصحاب من خلال التمسّك بذيل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ظاهر في فعلية اليقين وتحقّقه في ظرف الشكّ، وهذا ينطبق على الاستصحاب دون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المضيّ على اليقين كما يقال أن يكون بملاك وجوده بعد الشك، كذلك يمكن أن يكون المضي بملاك وجوده قبل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المضي على اليقين يشير إلى وجود يقين إمّا بعد الشك، كما في الاستصحاب؛ أو قبل الشك، كما في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الوجوه الاستحسانية لا تُثبت للرواية ظهوراً، 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ظاهرة في الاستصحاب، بقرينة الصحاح السابقة فانّ التشابه في اللفظ و التعبير كاشف عن وحدة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أنّ الهدف في قاعدة اليقين هو إضفاء الصحة على الأعمال السابقة، كما أنّ الهدف من الاستصحاب إضفاؤها على الأعمال اللاحقة، والرواية ظاهرة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بصدد بيان حجّية كلتا القاعدتين، بمعنى إذا شكّ فليمض على يقينه سواء شكّ في الحدوث فيرتب عليه أثر الحدوث، أو شكّ في البقاء فيرتب عليه أثر البقاء</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بعيد عن الأذهان العرفية، ولعلّ ظهورها في إحدى القاعدتين،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أظهر</w:t>
      </w:r>
      <w:r>
        <w:rPr>
          <w:rFonts w:eastAsia="Amiri" w:cs="Amiri" w:ascii="Amiri" w:hAnsi="Amiri"/>
          <w:color w:val="111111"/>
          <w:sz w:val="28"/>
          <w:szCs w:val="28"/>
          <w:rtl w:val="true"/>
          <w:lang w:bidi="ar-SA"/>
        </w:rPr>
        <w:t xml:space="preserve">. </w:t>
      </w:r>
      <w:bookmarkStart w:id="142" w:name="pg14367_157037"/>
    </w:p>
    <w:p>
      <w:pPr>
        <w:pStyle w:val="Heading6"/>
        <w:numPr>
          <w:ilvl w:val="5"/>
          <w:numId w:val="1"/>
        </w:numPr>
        <w:rPr/>
      </w:pPr>
      <w:bookmarkStart w:id="143" w:name="__RefHeading___Toc7506968_3381743652"/>
      <w:bookmarkStart w:id="144" w:name="_Toc54"/>
      <w:bookmarkEnd w:id="142"/>
      <w:bookmarkEnd w:id="143"/>
      <w:r>
        <w:rPr/>
        <w:t>6</w:t>
      </w:r>
      <w:r>
        <w:rPr>
          <w:rtl w:val="true"/>
        </w:rPr>
        <w:t xml:space="preserve">. </w:t>
      </w:r>
      <w:r>
        <w:rPr>
          <w:rtl w:val="true"/>
        </w:rPr>
        <w:t>مكاتبة القاساني</w:t>
      </w:r>
      <w:bookmarkEnd w:id="144"/>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إلى محمد بن الحسن الصفّار، عن علي بن محمد القاساني،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وأنا بالمدينة أسأله عن اليوم الذي يشكّ فيه من رمضان هل يصام أم لا؟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 صم للرؤية وأفطر للرؤية</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الاستدلال يتوقف على صحّة السند ووضوح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فسند الشيخ إلى الصفّار، صحيح، وأمّا الصفّار فهو من مشايخ الحديث والرواية، فهو ثقة بلا كلام، إنّما الكلام في علي بن محمد القاساني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شيرة القاساني كان فقيهاً، مكثراً في الحديث، فاضلاً، غمز عليه أحمد بن محمد بن عيسى وذكر أنّه سمع منه مذاهب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كتبه ما يدل على ذلك، له كتاب التأديب وهو كتاب الصلاة وهو يوافق كتاب ابن خانبه و فيه زيادات في الحجّ، وكتاب الجامع في الفقه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محبوب، و سعد بن عبد اللّه القمي، وإبراهيم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نقل هؤلاء المشايخ عنه، وإعراض النجاشي</w:t>
      </w:r>
      <w:r>
        <w:rPr>
          <w:rStyle w:val="FootnoteAnchor"/>
          <w:rtl w:val="true"/>
        </w:rPr>
        <w:footnoteReference w:id="33"/>
      </w:r>
      <w:r>
        <w:rPr>
          <w:rFonts w:ascii="Amiri" w:hAnsi="Amiri" w:eastAsia="Amiri" w:cs="Amiri"/>
          <w:color w:val="111111"/>
          <w:sz w:val="28"/>
          <w:sz w:val="28"/>
          <w:szCs w:val="28"/>
          <w:rtl w:val="true"/>
          <w:lang w:bidi="ar-SA"/>
        </w:rPr>
        <w:t>عن غمز أحمد بن محمد بن عيسى، دليل على وثاقته؛ نعم ضعّفه الشيخ في رجاله حيث عدّه من أصحاب الهادي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القاساني ضعيف، اصبهاني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السبب في </w:t>
      </w:r>
    </w:p>
    <w:p>
      <w:pPr>
        <w:pStyle w:val="BookText"/>
        <w:rPr/>
      </w:pPr>
      <w:r>
        <w:rPr>
          <w:rFonts w:ascii="Amiri" w:hAnsi="Amiri" w:eastAsia="Amiri" w:cs="Amiri"/>
          <w:color w:val="111111"/>
          <w:sz w:val="28"/>
          <w:sz w:val="28"/>
          <w:szCs w:val="28"/>
          <w:rtl w:val="true"/>
          <w:lang w:bidi="ar-SA"/>
        </w:rPr>
        <w:t>تضعيفه غمز ابن عيسى، ولعلّ هذا المقدار يكفي في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فللرواية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أوضح ما في الباب، فانّ تحديد كلّ من الصوم والإفطار على رؤية هلال رمضان وشوال لا يستقيم إلّابإرادة عدم جعل اليقين السابق مدخولاً بالشكّ أي‌مزاحماً به</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وعلى ما ذكره يكون المراد من اليقين هو اليقين بشهر شعبان، أو اليقين بشهر رمضان، فهذان اليقينان لا ينقضان بالشكّ في شهر رمضان في الأوّل أو شهر شوال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لأجل أنّ دخول شيء من شيء يوجب انتقاض وحدته وتفرّق أجزائه فيكني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المحقّق الخراساني من أنّ المراد من اليقين،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بدخول شهر رمضان وخروجه، لا اليقين بشهر شعبان، وأين هذا من الاستصحاب؟</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يستفاد من الروايات أنّ لشهر رمضان خصوصية بها يمتاز عن سائر العبادات، فانّ الصلاة تقبل الظن والشك، ولكن صوم رمضان لا يقبلهما، بل يبتدئ باليقين ويختتم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اعتبر أن يكون الدخول في شهر رمضان والخروج منه عن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يعتمد على ما ورد في شهر رمضان من الروايات المؤيدة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الهلال</w:t>
      </w:r>
    </w:p>
    <w:p>
      <w:pPr>
        <w:pStyle w:val="BookText"/>
        <w:rPr/>
      </w:pPr>
      <w:r>
        <w:rPr>
          <w:rFonts w:ascii="Amiri" w:hAnsi="Amiri" w:eastAsia="Amiri" w:cs="Amiri"/>
          <w:color w:val="111111"/>
          <w:sz w:val="28"/>
          <w:sz w:val="28"/>
          <w:szCs w:val="28"/>
          <w:rtl w:val="true"/>
          <w:lang w:bidi="ar-SA"/>
        </w:rPr>
        <w:t>فصوموا، وإذا رأيتموه فأفطروا، وليس بالرأي ولا بالتظنّي ولكن بالرؤية</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صيام شهر رمضان بالرؤية وليس بالظن</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إسحاق بن عمّار، عن أبي عبد اللّه عليه السلام عن كتاب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لرؤيته وأفطر لرؤيته، وإيّاك والشكّ والظن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خفي عليكم فأتموا الشهر الأوّل بثلاثين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اليقين بشهر رمضان لا اليقين بشهر شعبان حتى ينطبق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لجعل هذه الروايات قرينة على تفسير هذه الرواية، إذ ليست مجملة حتى نستعين بها في رفع إجمالها، وذِكر صاحب الوسائل الجميعَ في باب واحد لا يضفي عليه الظهور، ولو أراد الإمام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تحصيل اليقين حتى يصام، وانّ الشكّ لا يكفي، يلزم أن تكون العبارة غير وافية بمقصدها، بخلاف ما لو حمل على الاستصحاب فيكون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 الشك، فعليك البقاء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القاعدتين، أي‌قاعدة استصحاب الشهر السابق، وقاعدة لزوم تحصيل اليقين، بكون اليوم من شهر رمضان، أو من شوال، لأنّ الأوّل، دليل الثاني، فلا غرو في أن تتكفّل هذه الرواية ليبيان سبب مفاد القاعدة الثانية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يورد على الاستصحاب في المقام بأنّه مثبت، لأنّ وجوب الإمساك، أو </w:t>
      </w:r>
      <w:bookmarkStart w:id="145" w:name="pg14367_157040"/>
    </w:p>
    <w:p>
      <w:pPr>
        <w:pStyle w:val="BookText"/>
        <w:rPr/>
      </w:pPr>
      <w:bookmarkEnd w:id="145"/>
      <w:r>
        <w:rPr>
          <w:rFonts w:ascii="Amiri" w:hAnsi="Amiri" w:eastAsia="Amiri" w:cs="Amiri"/>
          <w:color w:val="111111"/>
          <w:sz w:val="28"/>
          <w:sz w:val="28"/>
          <w:szCs w:val="28"/>
          <w:rtl w:val="true"/>
          <w:lang w:bidi="ar-SA"/>
        </w:rPr>
        <w:t>الإفطار مترتبان على كون ذلك اليوم من شهر رمضان أو كونه من شوال، على مفاد كان الناقصة، فيترتب على نفي ذاك الموضوع بالنفي الناقص، عدم ذينك الأثرين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النفي الناقص ليس له حالةً سابقة، إذ لم يكن اليوم متحقّقاً في طرف وموصوفاً بأنّه من غير رمضان حتى يستصحب، والنفي التام وإن كانت له حالة سابقة، لكنّه لا يجدي في وصف اليوم بأنّه ليس من رمضان، أو من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المثبت هو الاستصحاب العدمي، وأمّا الوجودي فليس بمثبت أي‌استصحاب بقاء شعبان، فيترتب عليه الإفطار به أو استصحاب بقاء رمضان فيترتب عليه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جريان الاستصحاب في الزمان والزمانيات مع أنّها متدرجات ومقتضيات غير قارة الذات، فسيأتيك بيانه في التنبيهات</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7506970_3381743652"/>
      <w:bookmarkStart w:id="147" w:name="_Toc55"/>
      <w:bookmarkEnd w:id="146"/>
      <w:r>
        <w:rPr/>
        <w:t>7</w:t>
      </w:r>
      <w:r>
        <w:rPr>
          <w:rtl w:val="true"/>
        </w:rPr>
        <w:t xml:space="preserve">. </w:t>
      </w:r>
      <w:r>
        <w:rPr>
          <w:rtl w:val="true"/>
        </w:rPr>
        <w:t>صحيحة عبد اللّه بن سنان</w:t>
      </w:r>
      <w:bookmarkEnd w:id="147"/>
    </w:p>
    <w:p>
      <w:pPr>
        <w:pStyle w:val="BookText"/>
        <w:rPr/>
      </w:pPr>
      <w:r>
        <w:rPr>
          <w:rFonts w:ascii="Amiri" w:hAnsi="Amiri" w:eastAsia="Amiri" w:cs="Amiri"/>
          <w:color w:val="111111"/>
          <w:sz w:val="28"/>
          <w:sz w:val="28"/>
          <w:szCs w:val="28"/>
          <w:rtl w:val="true"/>
          <w:lang w:bidi="ar-SA"/>
        </w:rPr>
        <w:t>روى الشيخ باسناده، عن سعد، عن أحمد بن محمد، عن الحسن 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أبي أبا عبد اللّه عليه السلام وأنا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أُعيرُ الذمّيّ ثوبي، وأنا أعلم أنّه يشرب الخمر، ويأكل لحم الخنزير، فيردّه عليّ فأغسلَه قبل أن أُصلّي فيه؟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 ولا تَغسله من أجل ذلك، فانّك أعرته إيّاه وهو طاهر، ولم تستيقن أنّه نجّسه، فلا بأس أن تصل فيه حتى تستيقن أنّه نجّسه</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سند الشيخ إلى سعد بن عبد اللّه القمي صحيح في التهذيب، والرواة كلّهم ثقات، والرواية صحيحة سنداً</w:t>
      </w:r>
      <w:r>
        <w:rPr>
          <w:rFonts w:eastAsia="Amiri" w:cs="Amiri" w:ascii="Amiri" w:hAnsi="Amiri"/>
          <w:color w:val="111111"/>
          <w:sz w:val="28"/>
          <w:szCs w:val="28"/>
          <w:rtl w:val="true"/>
          <w:lang w:bidi="ar-SA"/>
        </w:rPr>
        <w:t xml:space="preserve">. </w:t>
      </w:r>
      <w:bookmarkStart w:id="148" w:name="pg14367_157041"/>
    </w:p>
    <w:p>
      <w:pPr>
        <w:pStyle w:val="BookText"/>
        <w:rPr/>
      </w:pPr>
      <w:bookmarkEnd w:id="148"/>
      <w:r>
        <w:rPr>
          <w:rFonts w:ascii="Amiri" w:hAnsi="Amiri" w:eastAsia="Amiri" w:cs="Amiri"/>
          <w:color w:val="111111"/>
          <w:sz w:val="28"/>
          <w:sz w:val="28"/>
          <w:szCs w:val="28"/>
          <w:rtl w:val="true"/>
          <w:lang w:bidi="ar-SA"/>
        </w:rPr>
        <w:t>وأمّا الدلالة حيث إنّ الإمام لم يعلّل طهارته بعدم العلم بالنجاسة حتى تنطبق على قاعدة الطهارة الّتي يكفي فيه الشك في النجاسة، بل علّلها بأنّك دفعته إيّاه، وهو طاهر ولم تستيقن الخلاف فعليك الأخذ باليقين السابق حتى تستيقن أنّه 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خاصة بباب الطهارة، وإلغاء الخصوصية يحتاج إلى دليل، وهذه هي مهمات روايات الباب، وهناك روايات ثلاث قد حاول بعض المتأخرين أن يفسرها بالاستصحاب، وإليك الروايات</w:t>
      </w:r>
      <w:r>
        <w:rPr>
          <w:rFonts w:eastAsia="Amiri" w:cs="Amiri" w:ascii="Amiri" w:hAnsi="Amiri"/>
          <w:color w:val="111111"/>
          <w:sz w:val="28"/>
          <w:szCs w:val="28"/>
          <w:rtl w:val="true"/>
          <w:lang w:bidi="ar-SA"/>
        </w:rPr>
        <w:t>.</w:t>
      </w:r>
    </w:p>
    <w:p>
      <w:pPr>
        <w:pStyle w:val="Heading6"/>
        <w:numPr>
          <w:ilvl w:val="5"/>
          <w:numId w:val="1"/>
        </w:numPr>
        <w:rPr/>
      </w:pPr>
      <w:bookmarkStart w:id="149" w:name="__RefHeading___Toc7506972_3381743652"/>
      <w:bookmarkStart w:id="150" w:name="_Toc56"/>
      <w:bookmarkEnd w:id="149"/>
      <w:r>
        <w:rPr/>
        <w:t>8</w:t>
      </w:r>
      <w:r>
        <w:rPr>
          <w:rtl w:val="true"/>
        </w:rPr>
        <w:t xml:space="preserve">. </w:t>
      </w:r>
      <w:r>
        <w:rPr>
          <w:rtl w:val="true"/>
        </w:rPr>
        <w:t>موثّقة عمّار</w:t>
      </w:r>
      <w:bookmarkEnd w:id="150"/>
    </w:p>
    <w:p>
      <w:p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أحمد بن يحيى، عن أحمد بن الحسن، عن عمرو بن سعيد، عن مصدق بن صدقة، عن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نظيف حتى تعلم أنّه قذر، فإذا علمت فقد قذر، وما لم تعلم فليس عليك</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وسند الشيخ إلى محمّد بن أحمد بن يحيى صاحب نوادر الحكمة صحيح، والرواة كلّهم ثقات، وإن كان غير واحد منهم من الفطحية، والمراد من أحمد بن الحسن، هو أحمد بن الحسن بن علي بن محمد بن فضال، بقرينة روايته عن عمرو بن سعيد،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فطحياً وكان ثقة في الحديث</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7506974_3381743652"/>
      <w:bookmarkStart w:id="152" w:name="_Toc57"/>
      <w:bookmarkEnd w:id="151"/>
      <w:r>
        <w:rPr/>
        <w:t>9</w:t>
      </w:r>
      <w:r>
        <w:rPr>
          <w:rtl w:val="true"/>
        </w:rPr>
        <w:t xml:space="preserve">. </w:t>
      </w:r>
      <w:r>
        <w:rPr>
          <w:rtl w:val="true"/>
        </w:rPr>
        <w:t>معتبرة حمّاد بن عثمان</w:t>
      </w:r>
      <w:bookmarkEnd w:id="15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الشيخ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سعد بن عبد اللّه، عن محمد بن الحسين بن أبي الخطاب، عن أبي داود المنشد، عن جعفر بن محمد، عن يونس، </w:t>
      </w:r>
      <w:bookmarkStart w:id="153" w:name="pg14367_157042"/>
    </w:p>
    <w:p>
      <w:pPr>
        <w:pStyle w:val="BookText"/>
        <w:rPr/>
      </w:pPr>
      <w:bookmarkEnd w:id="153"/>
      <w:r>
        <w:rPr>
          <w:rFonts w:ascii="Amiri" w:hAnsi="Amiri" w:eastAsia="Amiri" w:cs="Amiri"/>
          <w:color w:val="111111"/>
          <w:sz w:val="28"/>
          <w:sz w:val="28"/>
          <w:szCs w:val="28"/>
          <w:rtl w:val="true"/>
          <w:lang w:bidi="ar-SA"/>
        </w:rPr>
        <w:t>عن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تعلم أنّه قذر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وأبو داود المُنْشِد هو سليمان بن سفيان المسترق الذي توفّي عام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أرَّخه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وأمّاجعفر بن محمد، فلعل المراد منه جعفر بن محمد الأشعري كما في حاشية التهذيب</w:t>
      </w:r>
      <w:r>
        <w:rPr>
          <w:rStyle w:val="FootnoteAnchor"/>
          <w:rtl w:val="true"/>
        </w:rPr>
        <w:footnoteReference w:id="41"/>
      </w:r>
      <w:r>
        <w:rPr>
          <w:rFonts w:ascii="Amiri" w:hAnsi="Amiri" w:eastAsia="Amiri" w:cs="Amiri"/>
          <w:color w:val="111111"/>
          <w:sz w:val="28"/>
          <w:sz w:val="28"/>
          <w:szCs w:val="28"/>
          <w:rtl w:val="true"/>
          <w:lang w:bidi="ar-SA"/>
        </w:rPr>
        <w:t>والسند لا غبار عليه، غير جعفر بن محمد، وهو من رجال نوادر الحكمة ولم يُستثن، ولعلّه آية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يكون حماد بن عثمان مصحّف حمّاد بن عيسى، لقلّة رواية الأوّل عن الإمام الصادق عليه السلام بخلاف الثاني</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506976_3381743652"/>
      <w:bookmarkStart w:id="155" w:name="_Toc58"/>
      <w:bookmarkEnd w:id="154"/>
      <w:r>
        <w:rPr/>
        <w:t>10</w:t>
      </w:r>
      <w:r>
        <w:rPr>
          <w:rtl w:val="true"/>
        </w:rPr>
        <w:t xml:space="preserve">. </w:t>
      </w:r>
      <w:r>
        <w:rPr>
          <w:rtl w:val="true"/>
        </w:rPr>
        <w:t>موثّقة مسعدة بن صدقة</w:t>
      </w:r>
      <w:bookmarkEnd w:id="155"/>
    </w:p>
    <w:p>
      <w:pPr>
        <w:pStyle w:val="BookText"/>
        <w:rPr/>
      </w:pPr>
      <w:r>
        <w:rPr>
          <w:rFonts w:ascii="Amiri" w:hAnsi="Amiri" w:eastAsia="Amiri" w:cs="Amiri"/>
          <w:color w:val="111111"/>
          <w:sz w:val="28"/>
          <w:sz w:val="28"/>
          <w:szCs w:val="28"/>
          <w:rtl w:val="true"/>
          <w:lang w:bidi="ar-SA"/>
        </w:rPr>
        <w:t>روى الكليني، عن 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وهارون بن مسلم بن سعدان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مسعدة بن صدقة العبدي، وهو عامي أو زيدي بتري، لم يوثّق، والقرائن تدل ّ‌على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ربّما حاول بعضهم أن يستدلّ بها على الاستصحاب، وقد فسّرت بوجوه 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انّها بصدد إفادة قاعدتي الطهارة والحلية الظاهرتين، وهذا هو المشهور</w:t>
      </w:r>
      <w:r>
        <w:rPr>
          <w:rFonts w:eastAsia="Amiri" w:cs="Amiri" w:ascii="Amiri" w:hAnsi="Amiri"/>
          <w:color w:val="111111"/>
          <w:sz w:val="28"/>
          <w:szCs w:val="28"/>
          <w:rtl w:val="true"/>
          <w:lang w:bidi="ar-SA"/>
        </w:rPr>
        <w:t>.</w:t>
      </w:r>
      <w:bookmarkStart w:id="156" w:name="pg14367_157043"/>
    </w:p>
    <w:p>
      <w:pPr>
        <w:pStyle w:val="BookText"/>
        <w:rPr/>
      </w:pPr>
      <w:bookmarkEnd w:id="156"/>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الصدر بصدد إفادتهما، والذيل بصدد إفادة الاستصحاب، اختاره صاحب الفصول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الصدر ورد لبيان الحكم الواقعي للأشياء،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والحلّية بما هي هي، والذيل لبيان استصحاب الحكم الواقعي، وهو خيرة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الحديث بصدد بيان القواعد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بالطهارة والحلية الواقعيتين، والظاهريتين واستصحابهما، وهو خيرة المحقّق الخراساني في تعليقته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المعاني الثلاثة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506978_3381743652"/>
      <w:bookmarkStart w:id="158" w:name="_Toc59"/>
      <w:bookmarkEnd w:id="157"/>
      <w:r>
        <w:rPr>
          <w:rtl w:val="true"/>
        </w:rPr>
        <w:t>النظرية الأُولى</w:t>
      </w:r>
      <w:r>
        <w:rPr>
          <w:rtl w:val="true"/>
        </w:rPr>
        <w:t xml:space="preserve">: </w:t>
      </w:r>
      <w:r>
        <w:rPr>
          <w:rtl w:val="true"/>
        </w:rPr>
        <w:t>جعل الطهارة الظاهرية و</w:t>
      </w:r>
      <w:r>
        <w:rPr>
          <w:rtl w:val="true"/>
        </w:rPr>
        <w:t>...</w:t>
      </w:r>
      <w:bookmarkEnd w:id="158"/>
    </w:p>
    <w:p>
      <w:pPr>
        <w:pStyle w:val="BookText"/>
        <w:rPr/>
      </w:pPr>
      <w:r>
        <w:rPr>
          <w:rFonts w:ascii="Amiri" w:hAnsi="Amiri" w:eastAsia="Amiri" w:cs="Amiri"/>
          <w:color w:val="111111"/>
          <w:sz w:val="28"/>
          <w:sz w:val="28"/>
          <w:szCs w:val="28"/>
          <w:rtl w:val="true"/>
          <w:lang w:bidi="ar-SA"/>
        </w:rPr>
        <w:t>إنّ الحديثين بصدد جعل الطهارة والحلية الظاهريتين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الطهارة والحلية على المشكوكة طهارته أو حليته، وعلى هذا يكون المراد من الشيء في الحديثين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المشكوك، ولا مناص لاستفادة ذلك إلّابجعل الغاية قيداً للموضوع فقط، وكأنّه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حتى تعلم أنّه قذر، نظيف؛ أو كلّ شيء حتى تعلم أنّه حرام، حلال، و هذا هو المعنى المتبادر من الحديثين، ويؤيده ذيل الحديث حيث أكّد على الاجتناب عند العلم دون غيره،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علمت فقد قذر، و ما لم تعلم 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مفادهما جعل الطهارة أو الحلية الظاهريتين اللّتان يعبّر عنهما بقاعدتي الطهارة والحلّية</w:t>
      </w:r>
      <w:r>
        <w:rPr>
          <w:rFonts w:eastAsia="Amiri" w:cs="Amiri" w:ascii="Amiri" w:hAnsi="Amiri"/>
          <w:color w:val="111111"/>
          <w:sz w:val="28"/>
          <w:szCs w:val="28"/>
          <w:rtl w:val="true"/>
          <w:lang w:bidi="ar-SA"/>
        </w:rPr>
        <w:t>.</w:t>
      </w:r>
    </w:p>
    <w:p>
      <w:pPr>
        <w:pStyle w:val="Heading6"/>
        <w:numPr>
          <w:ilvl w:val="5"/>
          <w:numId w:val="1"/>
        </w:numPr>
        <w:rPr/>
      </w:pPr>
      <w:bookmarkStart w:id="159" w:name="__RefHeading___Toc7506980_3381743652"/>
      <w:bookmarkStart w:id="160" w:name="_Toc60"/>
      <w:bookmarkEnd w:id="159"/>
      <w:r>
        <w:rPr>
          <w:rtl w:val="true"/>
        </w:rPr>
        <w:t>النظرية الثانية</w:t>
      </w:r>
      <w:r>
        <w:rPr>
          <w:rtl w:val="true"/>
        </w:rPr>
        <w:t xml:space="preserve">: </w:t>
      </w:r>
      <w:r>
        <w:rPr>
          <w:rtl w:val="true"/>
        </w:rPr>
        <w:t>جعل الطهارة الظاهرية واستصحابها</w:t>
      </w:r>
      <w:bookmarkEnd w:id="16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اختارها صاحب الفصول، ونسبت إلى المحقّق النراقي أيضاً، وحاصلها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الصدر بصدد بيان قاعدتي الطهارة والحلية، والذيل بصدد بيان استصحابها،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تدل على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الأوّلي للأشياء ظاهراً هي الطهارة إلّامع العلم بالنجاسة، وهذا لا تعلّق له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الحكم مستمر إلى زمن العلم بالنجاسة، وهذا من موارد الاستصحاب وجزئياته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عبارة عن جرّ الحكم الواقعي الثابت للموضوع بما هوهو، إلى ظرف الشكّ حتى يحصل اليقين بخلافه، لا جرّ الحكم الظاهري الثابت للموضوع بما هو مشكوك الحكم، كما في المقام، مثلاً إذا توضّأ الإنسان لصلاة الفجر يكون متوضئ واقعاً، ثمّ شكّ بعد فترة في بقاء الطهارة، يُحكم عليه بجرّ الطهارة الواقعية إلى ظرف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الصدر لبيان حكم مشكوك الطهارة والحلية، تكون الطهارة أو الحلية المجعولتان طهارة أو حلّية ظاهريّة، فلا يكون استمرارها استصحاباً وكأنّه زعم أنّ كلّ استمرار استصحاب وغفل عن أنّ الاستصحاب عبارة عن إطالة الحكم الواقعي الذي تعلّق به اليقين، إلى ظرف الشك</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قاعدتي الطهارة والحلية كافيتان لإثبات الحكم الظاهري في الآنات المتلاحقة إلى أن يعلم خلافه ولا يحتاج إلى الاستصحاب أبداً، وذلك لأنّ كلّ شيء يكفي صرف الشك في الحكم عليه بالطهارة والحلية لغنيّ عن لحاظ السابقة وجرّها إلى الحالة اللاحقة، وهذه ضابطة كلية في الفقه، لأنّ قاعدتي الطهارة والحلية أقل مؤونة، والاستصحاب أكثر مؤونة لاحتياجه وراء الشك، إلى لحاظ الحالة السابقة وجرّها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يعلم تقدّم قاعدة الاشتغال على استصحاب الاشتغال، فإذا شكّ قُبيلَ الغروب أنّه صلّى الظهر أو لا، فصِرْفُ الشكّ كافٍ في حكم العقل بالاشتغال، لأنّ الاشتغال اليقيني يستدعي الفراغ اليقيني، ولا حاجة إلى استصحاب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متمّمات القاعدة يكون معناه محكوماً بالطهارة، وإذا كان راجعاً إلى الاستصحاب يكون معناه انّه مستمرّ في طهارته، وإطلاق اللفظ وإرادة المعنيين منه يحتاج إلى قرينة،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يقدّر هناك كلام بأن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الطهارة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لو كان بصدد بيان قاعدتي الطهارة والحلية تكون الغاية قيداً للموضوع، ويكون معناه،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بصدد بيان الاستصحاب يكون قيداً للمحمول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يمكن أن تكون كلمة واحدة قيداً للموضوع، وقيداً للمحمول فانّ مقتضى الأوّل تقدّم الغاية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تأخّرها عنه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باستمرار الطهارة أو الحلية المستفادتين من القاعدتين يتوقف على تماميتهما من حيث المغيّى والغاية، فلو جعلت الغاية متمّمة للقاعدة لما صحّ جعلها غاية للاستصحاب، ولو جعلت غاية للاستصحاب تكون القاعدة بلا غاية، وبالتالي يكون الاستصحاب أيضاً بلا موضوع</w:t>
      </w:r>
      <w:r>
        <w:rPr>
          <w:rFonts w:eastAsia="Amiri" w:cs="Amiri" w:ascii="Amiri" w:hAnsi="Amiri"/>
          <w:color w:val="111111"/>
          <w:sz w:val="28"/>
          <w:szCs w:val="28"/>
          <w:rtl w:val="true"/>
          <w:lang w:bidi="ar-SA"/>
        </w:rPr>
        <w:t xml:space="preserve">. </w:t>
      </w:r>
      <w:bookmarkStart w:id="161" w:name="pg14367_157046"/>
    </w:p>
    <w:p>
      <w:pPr>
        <w:pStyle w:val="Heading6"/>
        <w:numPr>
          <w:ilvl w:val="5"/>
          <w:numId w:val="1"/>
        </w:numPr>
        <w:rPr/>
      </w:pPr>
      <w:bookmarkStart w:id="162" w:name="__RefHeading___Toc7506982_3381743652"/>
      <w:bookmarkStart w:id="163" w:name="_Toc61"/>
      <w:bookmarkEnd w:id="161"/>
      <w:bookmarkEnd w:id="162"/>
      <w:r>
        <w:rPr>
          <w:rtl w:val="true"/>
        </w:rPr>
        <w:t>النظرية الثالثة</w:t>
      </w:r>
      <w:bookmarkEnd w:id="163"/>
    </w:p>
    <w:p>
      <w:pPr>
        <w:pStyle w:val="BookText"/>
        <w:rPr/>
      </w:pPr>
      <w:r>
        <w:rPr>
          <w:rFonts w:ascii="Amiri" w:hAnsi="Amiri" w:eastAsia="Amiri" w:cs="Amiri"/>
          <w:color w:val="111111"/>
          <w:sz w:val="28"/>
          <w:sz w:val="28"/>
          <w:szCs w:val="28"/>
          <w:rtl w:val="true"/>
          <w:lang w:bidi="ar-SA"/>
        </w:rPr>
        <w:t xml:space="preserve">هذه النظرية هي التي أكّد عليها المحقّق الخراساني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فانّه لمّا وقف على الإشكالات الواردة على نظرية صاحب الفصول، عدل عنها إلى نظرية ثالثة وحاصلها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الصدر لبيان جعل الطهارة والحلية الواقعيتين لذات الأشياء، والذيل لبيان الاستصحاب، وبما انّ ما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خال عن التعقيد نشرح مراده في ضمن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الموضوع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العناوين الأوّلية التي يصدق عليه عنوان الشيء، و كأنّ القائل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صدق عليه عنوان الشيء كالجماد والنبات والحيوان، فهو بهذا العنوان الأوّلي طاهر أو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الموضوع، الشيء المشكوك الحكم من حيث الطهارة والحلية، وعلى هذا ليست الغاية مأخوذة في ناحية الموضوع أصلاً، ولو قال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وسكت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ينطق بشيء كان الكلام تامّاً، وكان ظاهراً في جعلهما على ذوات الأشياء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الصدر ظاهراً في جعل الطهارة الواقعية للشيء بما هوهو فغايتها هو ملاقاة الشيء بالنجس، أو طروء عنوان يوجب كونه حراماً، كانقلاب الخل، خمراً أو غليان العصير العنبي كما هو كذلك في صحيح محمّد بن إسماعيل بن بزيع،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ماء البئر واسع لا يفسده شيء إلّاأن يتغيّر ريحه أو طعمه فينزح حتى يذهب ريحه ويطيب 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جعلت الغاية نفس</w:t>
      </w:r>
    </w:p>
    <w:p>
      <w:pPr>
        <w:pStyle w:val="BookText"/>
        <w:rPr/>
      </w:pPr>
      <w:r>
        <w:rPr>
          <w:rFonts w:ascii="Amiri" w:hAnsi="Amiri" w:eastAsia="Amiri" w:cs="Amiri"/>
          <w:color w:val="111111"/>
          <w:sz w:val="28"/>
          <w:sz w:val="28"/>
          <w:szCs w:val="28"/>
          <w:rtl w:val="true"/>
          <w:lang w:bidi="ar-SA"/>
        </w:rPr>
        <w:t>التغيّر</w:t>
      </w:r>
      <w:r>
        <w:rPr>
          <w:rStyle w:val="FootnoteAnchor"/>
          <w:rtl w:val="true"/>
        </w:rPr>
        <w:footnoteReference w:id="43"/>
      </w:r>
      <w:r>
        <w:rPr>
          <w:rFonts w:ascii="Amiri" w:hAnsi="Amiri" w:eastAsia="Amiri" w:cs="Amiri"/>
          <w:color w:val="111111"/>
          <w:sz w:val="28"/>
          <w:sz w:val="28"/>
          <w:szCs w:val="28"/>
          <w:rtl w:val="true"/>
          <w:lang w:bidi="ar-SA"/>
        </w:rPr>
        <w:t>لا العلم، ولو أراد الإمام أن يصرّح بالغاية في الحديثين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طاهر إلى أن يلاقي نجساً، أو كلّ شيء حلال إلى أن ينطبق عليه أحد العناوين المحرّمة، ولو قال كذلك، لا يعد مثل هذا الاستمرار استصحاباً، إذ ليس كلّ استمرار استصحاباً، بل الاستمرار في ظرف الشكّ، والمفروض كون الموضوع الشيء بما هوهو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الغاية الواردة في الحديث، لا تصلح أن تكون غاية للطهارة الواقعية لما عرفت من أنّ غايتها الملاقاة بالنجس، لا العلم به، فيجب أن تكون الغاية الواردة فيه ناظرة إلى تأسيس حكم ظاهري مبني على أنّه لو شكّ في حصول غاية الطهارة الواقعية وعدمها كالملاقاة وعدمها، فالأصل هو بقاء الطهارة الواقعية، وعندئذٍ يكون الذيل ناظراً لبيان استمرار حكم الطهارة الواقعية في ظرف الشكّ في حصول غايتها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ويكون الذيل ناظراً لبيان 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يتوجه إلى هذه النظرية ما سبق من الإشكالات الأربعة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الذيل لبيان جرّ الحكم الواقعي لا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ثبوت الحكم في جميع آنات الشكّ رهن الاستصحاب فقط، لا رهن القاعدة إذ المجعول هو الاستصحاب لا قاعدة الطهارة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القضية الأُولى، ولا صلة له بالقضية الثانية ليلزم استعمال اللفظ الواحد في معنيين</w:t>
      </w:r>
      <w:r>
        <w:rPr>
          <w:rFonts w:eastAsia="Amiri" w:cs="Amiri" w:ascii="Amiri" w:hAnsi="Amiri"/>
          <w:color w:val="111111"/>
          <w:sz w:val="28"/>
          <w:szCs w:val="28"/>
          <w:rtl w:val="true"/>
          <w:lang w:bidi="ar-SA"/>
        </w:rPr>
        <w:t xml:space="preserve">. </w:t>
      </w:r>
      <w:bookmarkStart w:id="164" w:name="pg14367_157048"/>
    </w:p>
    <w:p>
      <w:pPr>
        <w:pStyle w:val="BookText"/>
        <w:rPr/>
      </w:pPr>
      <w:bookmarkEnd w:id="164"/>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ليست من قيود الموضوع وحدوده، بل غاية لاستمرار الحكم الواقعي في ظرف الشكّ في طروء الملاقاة أو عروض ما يحرّم، فلا يلزم كون الشيء متقدماً ومتأخراً</w:t>
      </w:r>
      <w:r>
        <w:rPr>
          <w:rFonts w:eastAsia="Amiri" w:cs="Amiri" w:ascii="Amiri" w:hAnsi="Amiri"/>
          <w:color w:val="111111"/>
          <w:sz w:val="28"/>
          <w:szCs w:val="28"/>
          <w:rtl w:val="true"/>
          <w:lang w:bidi="ar-SA"/>
        </w:rPr>
        <w:t>.</w:t>
      </w:r>
    </w:p>
    <w:p>
      <w:pPr>
        <w:pStyle w:val="Heading6"/>
        <w:numPr>
          <w:ilvl w:val="5"/>
          <w:numId w:val="1"/>
        </w:numPr>
        <w:rPr/>
      </w:pPr>
      <w:bookmarkStart w:id="165" w:name="__RefHeading___Toc7506984_3381743652"/>
      <w:bookmarkStart w:id="166" w:name="_Toc62"/>
      <w:bookmarkEnd w:id="165"/>
      <w:r>
        <w:rPr>
          <w:rtl w:val="true"/>
        </w:rPr>
        <w:t>يلاحظ عليه بأُمور</w:t>
      </w:r>
      <w:r>
        <w:rPr>
          <w:rtl w:val="true"/>
        </w:rPr>
        <w:t>:</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ظهور الحديثين في جعل الطهارة أو الحلية الواقعيتين، إنّما يتم فيما إذا كان العنوان الأوّلي موضوعاً للحكم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كلّه طاهر حتى يعلم أنّه قذر</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فالموضوع طبيعة الماء، ويناسبها جعل الطهارة الواقعية، لا فيما إذا أخذ العنوان المبهم كلفظ الشيء الفاقد لذلك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أن يقال انّ الموضوع هو الشيء بما هو مشكوك الطهارة والنجاسة، أو مشكوك الحلية والحرمة بشهادة أنّ الغاية الواردة فيها هو العلم بالنجاسة لا نفسها، وهو مناسب لحمل الصدر، على جعل الحكم الظاهري للشيء المشكوك لا للشيء بما هوهو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تفكيك القضية الثانية عن الأُولى، وانّها ليست غاية لها بل بصدد إفادة جعل حكم ظاهري في ظرف الشك في طروء ما يوجب النجاسة أو الحرمة، مخالف للظاهر، فانّ المتبادر انّها غاية للصدر، وبما انّ الغاية هو العلم بالنجاسة نستكشف أنّ الصدر بصدد بيان أصل الحكم الظاهري لمشكوك الطهارة أو مشكوك الحلية، فانّ حمل الصدر على أنّه بصدد بيان الطهارة الواقعية، مبنيّ على التفكيك، وأمّا مع ملاحظته مع الذيل يكون الصدر، ظاهراً في غيرها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كلّ ما أفاده، لكن استفادة الحكم الظاهري أي‌استمرار الطهارة الواقعية في ظرف الشكّ في طروء ما ينجس أو يحرم يتوقف على تقدير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وهذه الطهارة مستمرة حتى تعلم أنّه قذر، أو هذه الحلية </w:t>
      </w:r>
      <w:bookmarkStart w:id="167" w:name="pg14367_157049"/>
    </w:p>
    <w:p>
      <w:pPr>
        <w:pStyle w:val="BookText"/>
        <w:rPr/>
      </w:pPr>
      <w:bookmarkEnd w:id="167"/>
      <w:r>
        <w:rPr>
          <w:rFonts w:ascii="Amiri" w:hAnsi="Amiri" w:eastAsia="Amiri" w:cs="Amiri"/>
          <w:color w:val="111111"/>
          <w:sz w:val="28"/>
          <w:sz w:val="28"/>
          <w:szCs w:val="28"/>
          <w:rtl w:val="true"/>
          <w:lang w:bidi="ar-SA"/>
        </w:rPr>
        <w:t>مستمرة إلى أن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المفروض في كلامه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متمّمات القضية الأُولى ولا صلة له بالجملة الثانية ومن المعلوم أنّ الجملة الثانية بوحدتها لا تقيد استمرار الطهارة إلّابتقدير جملة، نظير ما ذكرناه وهو خلاف الظاهر</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7506986_3381743652"/>
      <w:bookmarkStart w:id="169" w:name="_Toc63"/>
      <w:bookmarkEnd w:id="168"/>
      <w:r>
        <w:rPr>
          <w:rtl w:val="true"/>
        </w:rPr>
        <w:t>النظرية الرابعة</w:t>
      </w:r>
      <w:bookmarkEnd w:id="169"/>
    </w:p>
    <w:p>
      <w:pPr>
        <w:pStyle w:val="BookText"/>
        <w:rPr/>
      </w:pPr>
      <w:r>
        <w:rPr>
          <w:rFonts w:ascii="Amiri" w:hAnsi="Amiri" w:eastAsia="Amiri" w:cs="Amiri"/>
          <w:color w:val="111111"/>
          <w:sz w:val="28"/>
          <w:sz w:val="28"/>
          <w:szCs w:val="28"/>
          <w:rtl w:val="true"/>
          <w:lang w:bidi="ar-SA"/>
        </w:rPr>
        <w:t>وحاصل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استفادة القواعد الثلاث من الحديثين،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الصدر بصدد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الواقعية للأشياء بعناوينها الأوّلية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الطهارة الظاهرية لها عند طروء ما ينجسه أو يحرّمه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الذيل فهو بصدد بيان استمرار الطهارة الواقعية إلى العلم بطروء ما ينجسه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اختاره صاحب الكفاية في تعليقته على الفرائد</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أمّا استفادة جعل الطهارة الواقعية واستمرارها دون الطهارة الظاهرية فقد تقدّم برهانه في كلامه المنقول عن الكفاية، إنّما تختص هذه باستفادة الطهارة الظاهرية وراء الطهارة الواقعية، فاللازم بيان كيفية استفادتها فنقول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قطع النظر عن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بعمومه على طهارة الأشياء بعناوينها الواقعية كالماء والتراب وغيرهما ليكون دليلاً </w:t>
      </w:r>
    </w:p>
    <w:p>
      <w:pPr>
        <w:pStyle w:val="BookText"/>
        <w:rPr/>
      </w:pPr>
      <w:r>
        <w:rPr>
          <w:rFonts w:ascii="Amiri" w:hAnsi="Amiri" w:eastAsia="Amiri" w:cs="Amiri"/>
          <w:color w:val="111111"/>
          <w:sz w:val="28"/>
          <w:sz w:val="28"/>
          <w:szCs w:val="28"/>
          <w:rtl w:val="true"/>
          <w:lang w:bidi="ar-SA"/>
        </w:rPr>
        <w:t>اجتهادياً على طهارة الأشياء، ويدل بإطلاقه بحسب حالات الشيء التي منها حالة كونه مشتبه الطهارة والنجاسة بالشبهة الحكمية أو الموضوعية على قاعدة الطهارة فيما اشتبهت طهارته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استفادة الطهارة الواقعية والظاهرية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متعسر، لأنّ الموضوع في الأوّل، هو الشيء بما هوهو، وفي الثاني هو الموضوع بما هو مشكوك الحكم، فيلزم أن يكون الشيء عارياً من القيد، وجامعاً معه موضوعاً للحكم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الطهارتين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الواقعية على الأشياء بما هي هي، والطهارة الظاهرية في ظرف الشك في طروء ما ينجّسه، يغني عن جعل الاستصحاب، أي‌استصحاب الطهارة الواقعية، لما عرفت من أنّ نفس الشكّ كاف في الحكم بالطهارة من دون حاجة إلى جرّ الحكم الواقعي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معنى الإطلاق، كون ما وقع تحت دائرة الطلب، تمام الموضوع للحكم، وانّ الشيء بما هوهو من دون مدخلية أي‌قيد، محكوم بالطهارة، وأمّاتفسير الإطلاق بأنّ الشيء بما هوهو موضوع للطهارة الواقعية و انّها بعنوان مشتبه الحكم والموضوع، موضوع للطهارة الظاهرية، غير تام لما ذكرنا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رفض القيود لا الجمع بين القيود، وثبوت الحكم في تلك الأحوال، ليس دليلاً على أنّه محكوم بالطهارة بهذا العنوان، وإلّا لزم تكثّر الأحكام حسب تكثر الأحوال، وهي كثيرة لا تحصى</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أدلّة الاستصحاب، بقي الكلام في مفادها من حيث دلالتها على حجّية الاستصحاب مطلقاً، أو في بعض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مسّت الحاجة إلى التعرّض لبعض التفاصيل في حجية الاستصحاب</w:t>
      </w:r>
      <w:r>
        <w:rPr>
          <w:rFonts w:eastAsia="Amiri" w:cs="Amiri" w:ascii="Amiri" w:hAnsi="Amiri"/>
          <w:color w:val="111111"/>
          <w:sz w:val="28"/>
          <w:szCs w:val="28"/>
          <w:rtl w:val="true"/>
          <w:lang w:bidi="ar-SA"/>
        </w:rPr>
        <w:t xml:space="preserve">. </w:t>
      </w:r>
      <w:bookmarkStart w:id="170" w:name="pg14367_157051"/>
    </w:p>
    <w:p>
      <w:pPr>
        <w:pStyle w:val="Heading4"/>
        <w:numPr>
          <w:ilvl w:val="3"/>
          <w:numId w:val="1"/>
        </w:numPr>
        <w:rPr/>
      </w:pPr>
      <w:bookmarkStart w:id="171" w:name="__RefHeading___Toc7506988_3381743652"/>
      <w:bookmarkStart w:id="172" w:name="_Toc64"/>
      <w:bookmarkEnd w:id="170"/>
      <w:bookmarkEnd w:id="171"/>
      <w:r>
        <w:rPr>
          <w:rtl w:val="true"/>
        </w:rPr>
        <w:t>تفاصيل في حجّية الاستصحاب</w:t>
      </w:r>
      <w:bookmarkEnd w:id="172"/>
    </w:p>
    <w:p>
      <w:pPr>
        <w:pStyle w:val="Heading5"/>
        <w:numPr>
          <w:ilvl w:val="4"/>
          <w:numId w:val="1"/>
        </w:numPr>
        <w:rPr/>
      </w:pPr>
      <w:bookmarkStart w:id="173" w:name="__RefHeading___Toc7506990_3381743652"/>
      <w:bookmarkStart w:id="174" w:name="_Toc65"/>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قد ذكر الشيخ أحد عشر قولاً في حجّية الاستصحاب، وأطنب الكلام في بيان أدلّة الأقوال، ونحن نذكر ما هو المهم من التفاصيل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الشكّ في الرافع والشكّ في المقتضي والقول بحجّية الاستصحاب في الأوّل دون الثاني، وهو خيرة الشيخ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التفصيل، لكنّه حجّة في قسم خاص من الشكّ في الرافع، وهو الشكّ في وجود الرافع لا في رافعية الأمر الموجود، فلو شكّ المتطهر في أصل النوم أو البول يجري الاستصحاب، دون ما إذا شكّ في رافعيّة الأمر الموجود، كالبلل المردّد بين البول والمذي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حجّة، إلّاإذا كان منشأ الشك هو إجمال الغاية، فليس الاستصحاب حجّة، كما إذا دار مفهوم المغرب أو الليل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بين استتار القرص أو مع ذهاب الحمرة المشرقية، فلا يجوز استصحاب النهار عند الشكّ في رافعية الاستتار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التكليفية والوضعية، وكونه حجّة في إحداهما دون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الحكم الشرعي المستنبط من دليل شرعي فيستصحب دون المستنبط من حكم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الأحكام الشرعية الكلية فلا يجري الاستصحاب فيها و بين الحكم الجزئي، والموضوع الخارجي كوجوب النفقة على زيد، أو بقاء حياة زيد فيجري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خيرة المحقّق النراقي وتبعه 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بذلك صار الاستصحاب عندهما قاعدة فقهية تعالج الشبهات الموضوعية نظير قاعدة الطهارة والفراغ</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منها في المقام التفاصيل الأربعة الأُولى ونحيل البحث في التفصيل الخامس والسادس إلى التنبيهات</w:t>
      </w:r>
      <w:r>
        <w:rPr>
          <w:rFonts w:eastAsia="Amiri" w:cs="Amiri" w:ascii="Amiri" w:hAnsi="Amiri"/>
          <w:color w:val="111111"/>
          <w:sz w:val="28"/>
          <w:szCs w:val="28"/>
          <w:rtl w:val="true"/>
          <w:lang w:bidi="ar-SA"/>
        </w:rPr>
        <w:t xml:space="preserve">. </w:t>
      </w:r>
      <w:bookmarkStart w:id="175" w:name="pg14367_157053"/>
    </w:p>
    <w:p>
      <w:pPr>
        <w:pStyle w:val="Heading5"/>
        <w:numPr>
          <w:ilvl w:val="4"/>
          <w:numId w:val="1"/>
        </w:numPr>
        <w:rPr/>
      </w:pPr>
      <w:bookmarkStart w:id="176" w:name="__RefHeading___Toc7506992_3381743652"/>
      <w:bookmarkStart w:id="177" w:name="_Toc66"/>
      <w:bookmarkEnd w:id="175"/>
      <w:bookmarkEnd w:id="176"/>
      <w:r>
        <w:rPr>
          <w:rtl w:val="true"/>
        </w:rPr>
        <w:t>التفصيل الأوّل التفصيل بين الشكّ في المقتضي والرافع</w:t>
      </w:r>
      <w:bookmarkEnd w:id="177"/>
    </w:p>
    <w:p>
      <w:pPr>
        <w:pStyle w:val="BookText"/>
        <w:rPr/>
      </w:pPr>
      <w:r>
        <w:rPr>
          <w:rFonts w:ascii="Amiri" w:hAnsi="Amiri" w:eastAsia="Amiri" w:cs="Amiri"/>
          <w:color w:val="111111"/>
          <w:sz w:val="28"/>
          <w:sz w:val="28"/>
          <w:szCs w:val="28"/>
          <w:rtl w:val="true"/>
          <w:lang w:bidi="ar-SA"/>
        </w:rPr>
        <w:t>ذهب الشيخ إلى حجّية الاستصحاب عند الشكّ في الرافع دون الشكّ في المقتضي، وأمّا ما هو مراده من الشكّ فيهما فيظهر ممّا ذكره الشيخ عند تقسيم الاستصحاب باعتبار الشكّ المأخوذ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بقاء المستصحب قد يكون من جهة المقتضي، و المراد به الشكّ من حيث استعداده وقابليته في ذاته للبقاء، كالشكّ في بقاء الليل والنهار، وخيار الغبن بعد الزمان الأوّل وقد يكون من جهة طروء الرافع مع القطع باستعداده للبقاء</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أخذ هذا التقسيم عن طريق النظر إلى الكون، فإنّ عالم الكون مليء بالموجودات وهي على قسمين، فتارة يُحرز اقتضاء بقاء الموجود ويُشكّ في حدوث الرافع، كالمصباح المشتعل المليء بالزيت فنشكّ في إصباحه لأجل هبوب الرياح عليه، فالمقتضي موجود والشكّ في رافع أثر المقتضي، بخلاف ما إذا شككنا في إصباحه لأجل وجود الزيت فيه، أو لا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ونظير ذلك ما إذا شككنا في بقاء حياة الفيل في حديقة الحيوانات أو الغابات والأحراش لأجل طروء مرض عليه، فالمقتضي موجود والشكّ في الرافع، بخلاف ما إذا تردّد الحيوان بين كونه فيلاً أو بقّاً بعد مضي زمن لا يعيش فيه البقُّ، </w:t>
      </w:r>
    </w:p>
    <w:p>
      <w:pPr>
        <w:pStyle w:val="BookText"/>
        <w:rPr/>
      </w:pPr>
      <w:r>
        <w:rPr>
          <w:rFonts w:ascii="Amiri" w:hAnsi="Amiri" w:eastAsia="Amiri" w:cs="Amiri"/>
          <w:color w:val="111111"/>
          <w:sz w:val="28"/>
          <w:sz w:val="28"/>
          <w:szCs w:val="28"/>
          <w:rtl w:val="true"/>
          <w:lang w:bidi="ar-SA"/>
        </w:rPr>
        <w:t>فالشكّ في قابلية الموجود للبقاء، لتردّده بين الفيل والبق، إلى غير ذلك من الأمثلة التكوينيّة، وعلى غرار ذلك الأحكام التشريعية، فتارة يحرز اقتضاء بقائها إلى أن يرفعها رافع كالملكيّة والطهارة والزوجية في الأُمور الجزئية فهي باقية إلى أن ترفَع بالرافع كالبيع في الملكية، والحدث في الطهارة أو الطلاق في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اقتضاء البقاء مشكوكاً غير محرز كالخيار المجعول للمغبون بعد علمه بالغبن، وتمكّنه من إعمال خياره، والمسامحة فيه فنشكّ في بقائه لا لأجل وجود رافع بل للشكّ في قابلية بقائه، لأنّ ملاك الخيار هو الضرر، والضرر مدفوع لجعل الخيار له في الزمان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ملاك لبقائه في الزمان الثاني والثالث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 الشرعية، ولو أردنا أن نذكر ضابطة لكلا القسمين،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حكم أو موضوع لو ترك لبقي إلى أن يرفعه الرافع، فلو شكّ في وجود الرافع فهو من قبيل الشكّ في الرافع، وكلّ حكم أو موضوع لو ترك لانتهى بنفسه، وإن لم يكن هناك رافع، فلو شكّ فيه فهو من قبيل الشكّ في المقتضي، إذا عرفت ذلك فقد ذهب الشيخ إلى عدم الحجّية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بمادة النقض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النقض حقيقة في رفع الهيئة الاتصالية، فيقال نقضت الحبل،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تَكُونُوا كَالَّتِي نَقَضَتْ غَزْلَها مِنْ بَعْدِ قُوَّةٍ أَنْكاثاً</w:t>
      </w:r>
      <w:r>
        <w:rPr>
          <w:rFonts w:eastAsia="Amiri" w:cs="Amiri" w:ascii="Amiri" w:hAnsi="Amiri"/>
          <w:color w:val="111111"/>
          <w:sz w:val="28"/>
          <w:szCs w:val="28"/>
          <w:rtl w:val="true"/>
          <w:lang w:bidi="ar-SA"/>
        </w:rPr>
        <w:t>) .</w:t>
      </w:r>
      <w:r>
        <w:rPr>
          <w:rStyle w:val="FootnoteAnchor"/>
          <w:rtl w:val="true"/>
        </w:rPr>
        <w:footnoteReference w:id="4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هو المعنى الحقيقي فهو غير متوفر في مورد اليقين والشكّ، ويكون ممّا يتعذر فيه المعنى الحقيقي، فلابدّ أن يقوم مقامه المعنى المجازي، وله معنيان مجازيّان أحدهما أقرب إلى الحقيقة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الهيئة الاتصالية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أبعد عنها أي‌مطلق رفع اليد عن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الأقرب فهو حمله على ما أحرز فيه المقتضي للبقاء وشكّ في تحقّق الرافع كالوضوء إذا شكّ في حدوث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الأبعد فهو رفع اليد عن مطلق الشيء وإن شكّ في أصل اقتضائه للبقاءه مع غض النظر عن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المعنى الأوّل أقرب إلى الحقيقة فيتعيّن هو دون المعنى الثاني الذي هو أبعد، 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تعذّرت الحقيقة فأقرب المجازات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من جانب الهيئة، وهو أنّ النهي عن نقض اليقين بالشك تكليف بالمحال لانتقاض اليقين بحدوث الشكّ فلا تصل النوبة إلى النقض، لانتقاضه قبلاً، وإن لم يرده المكلف، فعلى ذلك لابدّ أن نقول بأنّ اليقين في الروايات بمعنى المتيقّن أي‌لا تنقض المتيقّن بالشك، سواء كان المتيقّن هو الحكم الشرعي، كما إذا كان المستصحب حكماً كذلك، أو موضوعاً ذا حكم شرعي كما إذا كان المستصحب من الموضوعات الخارجية ذات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المنهي عنه هو نقض المتيقن بما أنه أثر شرعي أو له أثر شرعي فالأقرب إلى المعنى الحقيقي هو المتيقّن الذي أحرز وجود المقتضي فيه وشكّ في الرافع، لا ما إذا كان أصل الاقتضاء مشكوكاً مع غض النظر عن الرافع، وبذلك يكون النقض بمادته وهيئته قرينة على تحريم نقض ما يكون ذا اقتضاء، كالطهارة وحياة زيد</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دليل على أنّ النقض حقيقة في رفع الهيئة الاتصالية الحسية، بل هوحقيقة في رفع الأمر المبرم والمستحكم، سواء أكان أمراً </w:t>
      </w:r>
    </w:p>
    <w:p>
      <w:pPr>
        <w:pStyle w:val="BookText"/>
        <w:rPr/>
      </w:pPr>
      <w:r>
        <w:rPr>
          <w:rFonts w:ascii="Amiri" w:hAnsi="Amiri" w:eastAsia="Amiri" w:cs="Amiri"/>
          <w:color w:val="111111"/>
          <w:sz w:val="28"/>
          <w:sz w:val="28"/>
          <w:szCs w:val="28"/>
          <w:rtl w:val="true"/>
          <w:lang w:bidi="ar-SA"/>
        </w:rPr>
        <w:t>حسيّاً كالغزل، أم قلبيّاً كاليمين والميثاق و العهد، بشهادة أنّه سبحانه نسب النقض إلى هذه الأُمور الثلاثة التي تفقِد الهيئة الاتصالية ولكن فيها الإبرام والاستحكام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تَنْقُضُوا الْأَيْمانَ بَعْدَ تَوْكِيدِها</w:t>
      </w:r>
      <w:r>
        <w:rPr>
          <w:rFonts w:eastAsia="Amiri" w:cs="Amiri" w:ascii="Amiri" w:hAnsi="Amiri"/>
          <w:color w:val="111111"/>
          <w:sz w:val="28"/>
          <w:szCs w:val="28"/>
          <w:rtl w:val="true"/>
          <w:lang w:bidi="ar-SA"/>
        </w:rPr>
        <w:t>) .</w:t>
      </w:r>
      <w:r>
        <w:rPr>
          <w:rStyle w:val="FootnoteAnchor"/>
          <w:rtl w:val="true"/>
        </w:rPr>
        <w:footnoteReference w:id="51"/>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يَنْقُضُونَ عَهْدَ اللّهِ مِنْ بَعْدِ مِيثاقِهِ</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نَقْضِهِمْ مِيثاقَهُمْ وَ كُفْرِهِمْ بِآياتِ اللّهِ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اليقين أمر فيه إبرام واستحكام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كالأُمور الثلاثة السالفة الذكر تصح نسبة النقض إليه بلا تجوّز، ولا حاجة إلى تفسير اليقين بالمتيقن، ويكون المقصود، حرمة نقض مطلق اليقين سواء تعلّق بما أحرز فيه المقتضي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فاليقين والمتيقن في امتناع التكليف بعدم نقضها سواء، أمّا اليقين فكما مرّ، وأمّا المتيقن فهو لا يخلو إمّا أن يكون حكماً شرعياً أو موضوعاً خارجياً؛ أمّا الحكم الشرعي فرفعه بيد اللّه سبحانه، وأمّا الموضوع الخارجي كحياة زيد فهو على عاتق العلل التكوينية، ولا صلة لها بالمكلف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أُريد من حرمة نقض المتيقّن حرمة نقض آثار المتيقّن كالصلاة مع الوضوء المستصحب فهو أمر داخل تحت الاختيار ولكنّه لا يختص بآثار المتيقّن، بل يعمّ حرمة آثار اليقين أيضاً، فهي أيضاً أمر اختياري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الهدف إبقاء اليقين بما له من الآثار فتنحصر حجّية الاستصحاب باليقين الموضوعي، دون الطريقي، إذ ليس لليقين أثر شرعي إلّافي اليقين الموضوعي،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أُصدِّق إذا علمتُ بحياة زيد، فالأثر </w:t>
      </w:r>
    </w:p>
    <w:p>
      <w:pPr>
        <w:pStyle w:val="BookText"/>
        <w:rPr/>
      </w:pPr>
      <w:r>
        <w:rPr>
          <w:rFonts w:ascii="Amiri" w:hAnsi="Amiri" w:eastAsia="Amiri" w:cs="Amiri"/>
          <w:color w:val="111111"/>
          <w:sz w:val="28"/>
          <w:sz w:val="28"/>
          <w:szCs w:val="28"/>
          <w:rtl w:val="true"/>
          <w:lang w:bidi="ar-SA"/>
        </w:rPr>
        <w:t>مترتب على اليقين بالحياة، لا على نفس الحياة، فليس لليقين الطريقي أثر حتى يكون حرمة النقض بلحاظ إبقاء أثر اليقين؟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اليقين في الروايات هو اليقين الطريقي بمعنى أنّ اليقين غير ملتفت إليه، وإنّما الملتفت هو المتيقّن بماله من الآثار، فيكون المراد من إبقاء اليقين إبقاء المتيقّن بما له من الآثار، ولكن حرمة النقض متعلّق باليقين وإن كان اليقين طريقاً إلى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المراد الجدي غير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الإشكالات التي وجّهها المحقّق الخراساني إلى الشيخ الأنصاري، وهناك إشكالات أُخرى نذكرها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التفصيل مبني على أنّ التعبير المنحصر في حجّية الاستصحاب هو نقض اليقين، ولكنّه غير تام، وقد عبّر عنها بجمل خالية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ذيل الصحيحة الثالثة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ويتمّ على اليقين، فيبني على اليقين، ولا يعتدّ بالشكّ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ثمّ شكّ، فليمض على يقينه، فإنّ الشكّ لا ينقض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والموضوع هو المضيّ على اليقين، لا نقض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القاساني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 الشكّ، 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الاستصحاب في هذا الحديث من قبيل الشكّ في المقتضي للشكّ في اقتضاء شهر شعبان في بقائه إلى يوم الشكّ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عبد اللّه 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أعرته إيّاه وهو طاهر ولم تستيقن أنّه </w:t>
      </w:r>
    </w:p>
    <w:p>
      <w:pPr>
        <w:pStyle w:val="BookText"/>
        <w:rPr/>
      </w:pPr>
      <w:r>
        <w:rPr>
          <w:rFonts w:ascii="Amiri" w:hAnsi="Amiri" w:eastAsia="Amiri" w:cs="Amiri"/>
          <w:color w:val="111111"/>
          <w:sz w:val="28"/>
          <w:sz w:val="28"/>
          <w:szCs w:val="28"/>
          <w:rtl w:val="true"/>
          <w:lang w:bidi="ar-SA"/>
        </w:rPr>
        <w:t>نجّسه، فلا بأس أن تصلّي فيه حتى تستيقن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قورنت هذه التعابير في أكثر هذه الروايات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صدر الروايات، أو في ذيلها، لكنّه لا يكون دليلاً على تقييد المطلق، لأنّه ليست قرينة واضحة لصرف المطلقات عن إطلاقها وإرجاعها إلى المقيدات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ظهر أنّه ليس لاختصاص حجّية الاستصحاب بالشكّ في الرافع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أيّد مقالة الشيخ، المحقّق الهمداني في تعليقته على فرائد الشيخ، وقال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إضافة النقض إلى اليقين في الاستصحاب ليس باعتبار وجوده السابق، بل باعتبار تحقّقه في زمان الشكّ بنحو من المسامحة والاعتبار، إذ لا ترفع اليد عن اليقين السابق وإن قلنا بعدم حجّية الاستصحاب، بل غاية الأمر ترفع اليد عن حكمه في زمان الشكّ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قلنا بعدم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في تصحيح إضافة النقض إليه بالنسبة إلى زمان الشكّ من اعتبار وجود تقديري لليقين بحيث يصدق عليه بهذه الملاحظة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الأخذ بالحالة السابقة عمل باليقين، ورفع اليد عنه، نقض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تقدير اليقين مع قيام مقتضيه هيّن عرفاً، بل لوجوده التقديري حينئذٍ وجود حقيقي يطلق عليه لفظ اليقين، ألا ترى أنّ العرف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بيقيني، أمّا تقدير اليقين في موارد الشكّ في المقتضي فبعيد لا يساعد عليه استعمال العرف أصلاً</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التعبد بلحاظ اليقين الفعلي الاعتباري، </w:t>
      </w:r>
    </w:p>
    <w:p>
      <w:pPr>
        <w:pStyle w:val="BookText"/>
        <w:rPr/>
      </w:pPr>
      <w:r>
        <w:rPr>
          <w:rFonts w:ascii="Amiri" w:hAnsi="Amiri" w:eastAsia="Amiri" w:cs="Amiri"/>
          <w:color w:val="111111"/>
          <w:sz w:val="28"/>
          <w:sz w:val="28"/>
          <w:szCs w:val="28"/>
          <w:rtl w:val="true"/>
          <w:lang w:bidi="ar-SA"/>
        </w:rPr>
        <w:t>ينافي ما في صحيحة‌زرارة الأُولى، فانّ التعبد فيها بملاك اليقين السابق الحقيقي،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فانّه على يقين من وضوئه ولا ينقض اليقين بالشكّ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في الكبرى إشارة إلى اليقين الماضي في الصغرى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التأكيد على تعدّد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حقيقي باق في ظرفه، واعتباريّ أُمر بحفظه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 ما عليه المشايخ من لزوم وحدة القضية المتيقّنة مع المشكوكة بإلغاء قيد الزمان والنظر إلى المتيقّن بما هوهو من غير تقسيمه إلى السابق واللاحق، والإصرار على تعدّد اليقين بجعل القضيتين متباينتين، وهو يمنع عن جريان الاستصحاب وصدق مفهوم النقض</w:t>
      </w:r>
      <w:r>
        <w:rPr>
          <w:rFonts w:eastAsia="Amiri" w:cs="Amiri" w:ascii="Amiri" w:hAnsi="Amiri"/>
          <w:color w:val="111111"/>
          <w:sz w:val="28"/>
          <w:szCs w:val="28"/>
          <w:rtl w:val="true"/>
          <w:lang w:bidi="ar-SA"/>
        </w:rPr>
        <w:t xml:space="preserve">. </w:t>
      </w:r>
      <w:bookmarkStart w:id="178" w:name="pg14367_157060"/>
    </w:p>
    <w:p>
      <w:pPr>
        <w:pStyle w:val="Heading5"/>
        <w:numPr>
          <w:ilvl w:val="4"/>
          <w:numId w:val="1"/>
        </w:numPr>
        <w:rPr/>
      </w:pPr>
      <w:bookmarkStart w:id="179" w:name="__RefHeading___Toc7506994_3381743652"/>
      <w:bookmarkStart w:id="180" w:name="_Toc67"/>
      <w:bookmarkEnd w:id="178"/>
      <w:bookmarkEnd w:id="179"/>
      <w:r>
        <w:rPr>
          <w:rtl w:val="true"/>
        </w:rPr>
        <w:t>التفصيل الثاني التفصيل بين الشكّ في الرافع والرافعية</w:t>
      </w:r>
      <w:bookmarkEnd w:id="180"/>
    </w:p>
    <w:p>
      <w:pPr>
        <w:pStyle w:val="BookText"/>
        <w:rPr/>
      </w:pPr>
      <w:r>
        <w:rPr>
          <w:rFonts w:ascii="Amiri" w:hAnsi="Amiri" w:eastAsia="Amiri" w:cs="Amiri"/>
          <w:color w:val="111111"/>
          <w:sz w:val="28"/>
          <w:sz w:val="28"/>
          <w:szCs w:val="28"/>
          <w:rtl w:val="true"/>
          <w:lang w:bidi="ar-SA"/>
        </w:rPr>
        <w:t>ذهب المحقّق السبزواري إلى أنّ الاستصحاب حجّة فيما إذا تعلّق الشكّ بأصل الوافع كما إذا شكّ في أنّه نام أو لا، لا فيما إذا تعلّق بوصف الأمر الموجود، كالشكّ في أنّ البلل الموجود بول حتى يكون رافعاً له، أو مذي حتى لا يكون كذلك، ومثله إذا شكّ في أنّ الرعاف ناقض للوضوء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عن نقض اليقين بالشكّ إنّما يعقل في الشكّ في الرافع دون غيره، لأنّه لو نقض الحكم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الأمر الذي شكّ في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النقض بالشكّ، بل إنّما يحصل باليقين بوجود ما شكّ من كونه رافعاً، أو باليقين بوجود ما يشكّ في استمرار الحكم معه لا بالشك</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الاستصحاب محدَّداً، بحدِّ مطلق اليقين بوجود الشيء، بل اليقين الذي يزيل الشكّ في البقاء، ويبدّله إلى اليقين بعدم البقاء، وهذا الشرط غير موجود، ولم يتبدّل اليقين السابق، المتعلِّق بالطهارة إلى اليقين بالحدث، بل صار حدوث اليقين الثاني مبدأ الشكّ في بقاء الحالة السابقة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ومنشأ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الخلط بين كون الغاية مطلق حدوث اليقين، أو اليقين المزيل للشكّ في البقاء، وما هو الحادث هو الأوّل، وما هو الغاية لعدم جريان </w:t>
      </w:r>
    </w:p>
    <w:p>
      <w:pPr>
        <w:pStyle w:val="BookText"/>
        <w:rPr/>
      </w:pPr>
      <w:r>
        <w:rPr>
          <w:rFonts w:ascii="Amiri" w:hAnsi="Amiri" w:eastAsia="Amiri" w:cs="Amiri"/>
          <w:color w:val="111111"/>
          <w:sz w:val="28"/>
          <w:sz w:val="28"/>
          <w:szCs w:val="28"/>
          <w:rtl w:val="true"/>
          <w:lang w:bidi="ar-SA"/>
        </w:rPr>
        <w:t>الاستصحاب هو الثاني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هي اليقين الآخر المتعلّق بضدّ ما تعلّق به اليقين الأوّل كما إذا تعلّق اليقين بالرافع القطعي، دون الرافع المشكوك كالبلل في الشبهة الموضوعية أو دم الرعاف في الشبهة الحكمية، فقد تعلّق اليقين الأوّل بالطهارة، والثاني بوجود البلل أو دم الرعاف، ولم يثبت كون البلل أو دم الرعاف ضدّاً للطهارة، بل يحتمل الضدية</w:t>
      </w:r>
      <w:r>
        <w:rPr>
          <w:rFonts w:eastAsia="Amiri" w:cs="Amiri" w:ascii="Amiri" w:hAnsi="Amiri"/>
          <w:color w:val="111111"/>
          <w:sz w:val="28"/>
          <w:szCs w:val="28"/>
          <w:rtl w:val="true"/>
          <w:lang w:bidi="ar-SA"/>
        </w:rPr>
        <w:t xml:space="preserve">. </w:t>
      </w:r>
      <w:bookmarkStart w:id="181" w:name="pg14367_157062"/>
    </w:p>
    <w:p>
      <w:pPr>
        <w:pStyle w:val="Heading5"/>
        <w:numPr>
          <w:ilvl w:val="4"/>
          <w:numId w:val="1"/>
        </w:numPr>
        <w:rPr/>
      </w:pPr>
      <w:bookmarkStart w:id="182" w:name="__RefHeading___Toc7506996_3381743652"/>
      <w:bookmarkStart w:id="183" w:name="_Toc68"/>
      <w:bookmarkEnd w:id="181"/>
      <w:bookmarkEnd w:id="182"/>
      <w:r>
        <w:rPr>
          <w:rtl w:val="true"/>
        </w:rPr>
        <w:t>التفصيل الثالث عدم الحجّية إذا كان منشأ الشكّ إجمال الغاية</w:t>
      </w:r>
      <w:bookmarkEnd w:id="183"/>
    </w:p>
    <w:p>
      <w:pPr>
        <w:pStyle w:val="BookText"/>
        <w:rPr/>
      </w:pPr>
      <w:r>
        <w:rPr>
          <w:rFonts w:ascii="Amiri" w:hAnsi="Amiri" w:eastAsia="Amiri" w:cs="Amiri"/>
          <w:color w:val="111111"/>
          <w:sz w:val="28"/>
          <w:sz w:val="28"/>
          <w:szCs w:val="28"/>
          <w:rtl w:val="true"/>
          <w:lang w:bidi="ar-SA"/>
        </w:rPr>
        <w:t>ذهب المحقّق الخوانساري إلى كون الاستصحاب حجّة مطلقاً إلّافي قسم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منشأ الشكّ إجمال مفهوم لفظ جُعل غاية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هويفصل في الشكّ في الرافعية بين كون منشأ الشكّ، خلط الأُمور الخارجية كما إذا دار أمر البلل بين البول والمذي، فالاستصحاب حجّة، و ما إذا كان منشؤه إجمال مفهوم لفظ جعل غاية للحكم، كما إذا وجبت الصلاة إلى المغرب أداءً ولكن تردّد مفهومه بين كونه هو استتار القرص أو ذهاب الحمرة المشرقية ففي مثله لا يجوز استصحاب بقاء النهار ولا يترتب عليه الأثر الشرعي و هو كون إقامة الصلاة فيه أداءً، أو وجوب 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الشيخ الأنصاري عبارة المحقّق الخوانساري، فلاحظ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تقدير فالتفصيل عندي وجيه وذلك</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الاستصحاب عند العقلاء والذي أمضاه الشارع بنفس المعنى الموجود عندهم عبارة عن جرّ الحالة السابقة وامتداد عمر اليقين، عند الشكّ إذا كان منشؤه الإبهام السائد على الخارج، كما إذا شكّ في بقاء حياة زيد، أو طهارة زيد، فمنشؤه في الجميع، هو كون الخارج مستوراً على المستصحِب، والغاية من الاستصحاب رفع الإبهام عن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الخارج أمراً معلوماً له، كما في مثال النهار، فإنّ الإنسان يرى بعينه استتار القرص و بقاء الحمرة المشرقية، وليس هنا أي شك يرتبط بالخارج وإنّما طرأ الشك عليه في بقاء النهار لأجل الجهل بما وضع له لفظ المغرب، فهل الموضوع له استتار القرص، أو هو مع زوال الحمرة؟ فالإبهام في ناحية الموضوع له صار سبباً للشكّ في بقاء النهار لا الإبهام السائد على الخارج، ففي مثله لا يكون الاستصحاب حجّة، عند العقلاء وتكون الروايات منصرفة عنها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نظير ذلك إذا علمنا بأنّ زيداً كان عالماً ولكن طرأ عليه النسيان فشكّ في كونه مصداقاً له أو لا، والشكّ في كونه عالماً أو ليس بعالم ليس نابعاً من إبهام الخارج، بل نابع من الجهل بالموضوع له، وأنّ المشتق موضوع للمتلبس، أو للأعم منه و من انقضى عنه المبدأ، ومثل هذا النوع من الشكّ غير الناجم من الإبهام السائد على الخارج، خارج عن مدلول أدلّة الاستصحاب</w:t>
      </w:r>
      <w:r>
        <w:rPr>
          <w:rFonts w:eastAsia="Amiri" w:cs="Amiri" w:ascii="Amiri" w:hAnsi="Amiri"/>
          <w:color w:val="111111"/>
          <w:sz w:val="28"/>
          <w:szCs w:val="28"/>
          <w:rtl w:val="true"/>
          <w:lang w:bidi="ar-SA"/>
        </w:rPr>
        <w:t xml:space="preserve">. </w:t>
      </w:r>
      <w:bookmarkStart w:id="184" w:name="pg14367_157064"/>
    </w:p>
    <w:p>
      <w:pPr>
        <w:pStyle w:val="Heading5"/>
        <w:numPr>
          <w:ilvl w:val="4"/>
          <w:numId w:val="1"/>
        </w:numPr>
        <w:rPr/>
      </w:pPr>
      <w:bookmarkStart w:id="185" w:name="__RefHeading___Toc7506998_3381743652"/>
      <w:bookmarkStart w:id="186" w:name="_Toc69"/>
      <w:bookmarkEnd w:id="184"/>
      <w:bookmarkEnd w:id="185"/>
      <w:r>
        <w:rPr>
          <w:rtl w:val="true"/>
        </w:rPr>
        <w:t>التفصيل الرابع بين الأحكام التكليفية والوضعية</w:t>
      </w:r>
      <w:bookmarkEnd w:id="186"/>
    </w:p>
    <w:p>
      <w:pPr>
        <w:pStyle w:val="Heading6"/>
        <w:numPr>
          <w:ilvl w:val="5"/>
          <w:numId w:val="1"/>
        </w:numPr>
        <w:rPr/>
      </w:pPr>
      <w:bookmarkStart w:id="187" w:name="__RefHeading___Toc7507000_3381743652"/>
      <w:bookmarkStart w:id="188" w:name="_Toc70"/>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وقبل الخوض في المقصود، نقدّم أُموراً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7507002_3381743652"/>
      <w:bookmarkStart w:id="190" w:name="_Toc71"/>
      <w:bookmarkEnd w:id="189"/>
      <w:r>
        <w:rPr/>
        <w:t>1</w:t>
      </w:r>
      <w:r>
        <w:rPr>
          <w:rtl w:val="true"/>
        </w:rPr>
        <w:t xml:space="preserve">. </w:t>
      </w:r>
      <w:r>
        <w:rPr>
          <w:rtl w:val="true"/>
        </w:rPr>
        <w:t>الحكم لغة واصطلاحاً</w:t>
      </w:r>
      <w:bookmarkEnd w:id="190"/>
    </w:p>
    <w:p>
      <w:pPr>
        <w:pStyle w:val="BookText"/>
        <w:rPr/>
      </w:pPr>
      <w:r>
        <w:rPr>
          <w:rFonts w:ascii="Amiri" w:hAnsi="Amiri" w:eastAsia="Amiri" w:cs="Amiri"/>
          <w:color w:val="111111"/>
          <w:sz w:val="28"/>
          <w:sz w:val="28"/>
          <w:szCs w:val="28"/>
          <w:rtl w:val="true"/>
          <w:lang w:bidi="ar-SA"/>
        </w:rPr>
        <w:t>الحكم في اللغة بمعنى المنع،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أبني حنيفة حكِّموا سفهاءَكم إنّي أخاف عليكم أن أُغْضِبا</w:t>
      </w:r>
    </w:p>
    <w:p>
      <w:pPr>
        <w:pStyle w:val="BookText"/>
        <w:rPr/>
      </w:pPr>
      <w:r>
        <w:rPr>
          <w:rFonts w:ascii="Amiri" w:hAnsi="Amiri" w:eastAsia="Amiri" w:cs="Amiri"/>
          <w:color w:val="111111"/>
          <w:sz w:val="28"/>
          <w:sz w:val="28"/>
          <w:szCs w:val="28"/>
          <w:rtl w:val="true"/>
          <w:lang w:bidi="ar-SA"/>
        </w:rPr>
        <w:t>أي امنعوا سفهاءَكم من التعرّض لعشيرتي، وبهذه المناسبة استعملت في المعاني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حَكَمَة الفرس، لأنّها تمنعه من مخالفة راكبه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الحكمة لأنّها تمنع الإنسان عن الضلال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الحكيم لأنّه بإعمال القواعد يمنع عن تطرّق الفساد إلى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إطلاقه على الحكم الشرعي، فلأنّه يمنع المكلّف من التجاوز عن الحدّ المقرر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يطلق الحكم في اللغة ويراد منه الفصل، وبهذه المناسبة يطلق على القاضي الحاكم، لأنّه يفصل الخصومات والمنازعات، ويطلق على التشريع، </w:t>
      </w:r>
      <w:bookmarkStart w:id="191" w:name="pg14367_157065"/>
    </w:p>
    <w:p>
      <w:pPr>
        <w:pStyle w:val="BookText"/>
        <w:rPr/>
      </w:pPr>
      <w:bookmarkEnd w:id="191"/>
      <w:r>
        <w:rPr>
          <w:rFonts w:ascii="Amiri" w:hAnsi="Amiri" w:eastAsia="Amiri" w:cs="Amiri"/>
          <w:color w:val="111111"/>
          <w:sz w:val="28"/>
          <w:sz w:val="28"/>
          <w:szCs w:val="28"/>
          <w:rtl w:val="true"/>
          <w:lang w:bidi="ar-SA"/>
        </w:rPr>
        <w:t>الحكم، لأنّه يفصل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اصطلاحاً، فهو ينقسم إلى تكليفي ووضعي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يشتمل على إنشاء البعث أو الزجر أو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البعث تارة يكون مع المنع من الترك، وأُخرى لا معه، كما أنّ الزجر أيضاً كذلك، وبذلك تنحصر الأحكام التكليفية في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الاستحباب، الحرمة، الكراهة،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التكليفي عبارة عمّا يحدِّد فعل المكلّف من حيث الاقتضاء فإمّا فيه اقتضاء الفعل بقسميه، أو اقتضاء الترك بقسميه أيضاً، أو اقتضاء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الإباحة الشرعية عبارة عن الفعل الذي فيه اقتضاء المساواة، وأمّا إذاكان الفعل متجلّياً بصورة اللا اقتضاء، فالإباحة فيه عقلية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لا يشتمل على بعث ولا زجر ولا اقتضاء المساواة، بل جعل حكم، له صلة بفعل المكلّف بلا و اسطة كالملكية والزوجية أو مع الواسطة مثل طهارة الماء ونجاسة الدم</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7507004_3381743652"/>
      <w:bookmarkStart w:id="193" w:name="_Toc72"/>
      <w:bookmarkEnd w:id="192"/>
      <w:r>
        <w:rPr/>
        <w:t>2</w:t>
      </w:r>
      <w:r>
        <w:rPr>
          <w:rtl w:val="true"/>
        </w:rPr>
        <w:t xml:space="preserve">. </w:t>
      </w:r>
      <w:r>
        <w:rPr>
          <w:rtl w:val="true"/>
        </w:rPr>
        <w:t>تقسيم المفاهيم إلى مراتب أربع</w:t>
      </w:r>
      <w:bookmarkEnd w:id="193"/>
    </w:p>
    <w:p>
      <w:pPr>
        <w:pStyle w:val="BookText"/>
        <w:rPr/>
      </w:pPr>
      <w:r>
        <w:rPr>
          <w:rFonts w:ascii="Amiri" w:hAnsi="Amiri" w:eastAsia="Amiri" w:cs="Amiri"/>
          <w:color w:val="111111"/>
          <w:sz w:val="28"/>
          <w:sz w:val="28"/>
          <w:szCs w:val="28"/>
          <w:rtl w:val="true"/>
          <w:lang w:bidi="ar-SA"/>
        </w:rPr>
        <w:t>تنقسم الماهيات إلى أربعة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ماهية إذا وجد في الخارج وجد لا في موضوع، كالإنسان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ماهية إذا وجد في الخارج وجد في موضوع، كالبياض </w:t>
      </w:r>
    </w:p>
    <w:p>
      <w:pPr>
        <w:pStyle w:val="BookText"/>
        <w:rPr/>
      </w:pPr>
      <w:r>
        <w:rPr>
          <w:rFonts w:ascii="IRNazanin" w:hAnsi="IRNazanin" w:eastAsia="IRNazanin"/>
          <w:color w:val="111111"/>
          <w:sz w:val="28"/>
          <w:sz w:val="28"/>
          <w:szCs w:val="28"/>
          <w:rtl w:val="true"/>
          <w:lang w:bidi="fa-IR"/>
        </w:rPr>
        <w:t>والسواد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الانتزاعيات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ماهية ليس لها مصداق في الخارج، ولكن الخارج مشتمل على خصوصية وجودية تؤهّل الذهن لانتزاع ذلك المفهوم من تلك الخصوصية، وهذا كالفوقية والتحتية، إذ ليس لهما مصداق في الخارج، كالجوهر والعرض، ولكن الخصوصية الوجودية للفوق والتحت تصحّح انتقال الذهن من مشاهدتها إلى انتزاع ذينك المفهومين، وهذا ما يقال في لغة الفلسفة بأنّ الانتزاعيات لها حظ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انّ الحظ لمنشأ الانتزاع لا للمفهوم الانتزاعي وإنّما هو مفهوم يصنعه الذهن بعد الإحاطة بما في الخارج والاطّلاع على الخصوصية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المفاهيم التي يصنعها الذهن لأغراض وهمية أو عقلائية، ولا يقوم الذهن بصنعها إلّابعد التشبيه والمحاكاة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الوهمي كتصوير إنسان له مائة رأس، أو غول له ناب؛ وأمّا العقلائي كالرئيس، وهي مأخوذة من الرأس، وله مصداق تكويني وهو رأس الإنسان الذي يدير البدن، ومصداق اعتباري وهو تنزيل من يدير دفة المؤسسة منزلة الرأس من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والزوجية فلها مصداق تكويني كالغصنين النابتين على أساس واحد، ومصداق اعتباري، وهو تنزيل الزوجين منزلة ذينك الغصنين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سائر المفاهيم الاعتبارية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كلّ مفهوم اعتباري، ذو منشأ واقعي، بمعنى أنّ الواقع يكون سبباً لانتقال الذهن إلى صنع مفاهيم لأجل غايات اجتماعية</w:t>
      </w:r>
      <w:r>
        <w:rPr>
          <w:rFonts w:eastAsia="Amiri" w:cs="Amiri" w:ascii="Amiri" w:hAnsi="Amiri"/>
          <w:color w:val="111111"/>
          <w:sz w:val="28"/>
          <w:szCs w:val="28"/>
          <w:rtl w:val="true"/>
          <w:lang w:bidi="ar-SA"/>
        </w:rPr>
        <w:t xml:space="preserve">. </w:t>
      </w:r>
      <w:bookmarkStart w:id="194" w:name="pg14367_157067"/>
    </w:p>
    <w:p>
      <w:pPr>
        <w:pStyle w:val="BookText"/>
        <w:rPr/>
      </w:pPr>
      <w:bookmarkEnd w:id="194"/>
      <w:r>
        <w:rPr>
          <w:rFonts w:ascii="Amiri" w:hAnsi="Amiri" w:eastAsia="Amiri" w:cs="Amiri"/>
          <w:color w:val="111111"/>
          <w:sz w:val="28"/>
          <w:sz w:val="28"/>
          <w:szCs w:val="28"/>
          <w:rtl w:val="true"/>
          <w:lang w:bidi="ar-SA"/>
        </w:rPr>
        <w:t>ومن ذلك يعلم أنّ الشرطية والجزئية والمانعية والقاطعية للصلاة أُمور اعتبارية تنزل ما هو الجزء أو الشرط أو المانع أو القاطع للصلاة منزلة الجزء والشرط والمانع والقاطع التكوينيين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الخارج نموذج لصنع الذهن مثله لغايات اجتماعية وسياسية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7507006_3381743652"/>
      <w:bookmarkStart w:id="196" w:name="_Toc73"/>
      <w:bookmarkEnd w:id="195"/>
      <w:r>
        <w:rPr/>
        <w:t>3</w:t>
      </w:r>
      <w:r>
        <w:rPr>
          <w:rtl w:val="true"/>
        </w:rPr>
        <w:t xml:space="preserve">. </w:t>
      </w:r>
      <w:r>
        <w:rPr>
          <w:rtl w:val="true"/>
        </w:rPr>
        <w:t>ذكر الأقوال في مجعولية الأحكام الوضعية</w:t>
      </w:r>
      <w:bookmarkEnd w:id="196"/>
    </w:p>
    <w:p>
      <w:pPr>
        <w:pStyle w:val="BookText"/>
        <w:rPr/>
      </w:pPr>
      <w:r>
        <w:rPr>
          <w:rFonts w:ascii="Amiri" w:hAnsi="Amiri" w:eastAsia="Amiri" w:cs="Amiri"/>
          <w:color w:val="111111"/>
          <w:sz w:val="28"/>
          <w:sz w:val="28"/>
          <w:szCs w:val="28"/>
          <w:rtl w:val="true"/>
          <w:lang w:bidi="ar-SA"/>
        </w:rPr>
        <w:t>هل الحكم الوضعي يناله الجعل؟</w:t>
      </w:r>
    </w:p>
    <w:p>
      <w:pPr>
        <w:pStyle w:val="BookText"/>
        <w:rPr/>
      </w:pPr>
      <w:r>
        <w:rPr>
          <w:rFonts w:ascii="Amiri" w:hAnsi="Amiri" w:eastAsia="Amiri" w:cs="Amiri"/>
          <w:color w:val="111111"/>
          <w:sz w:val="28"/>
          <w:sz w:val="28"/>
          <w:szCs w:val="28"/>
          <w:rtl w:val="true"/>
          <w:lang w:bidi="ar-SA"/>
        </w:rPr>
        <w:t>لا شكّ انّ الحكم التكليفي ممّا تناله يد الجعل، كالأمر بالصلاة والزكاة والنهي عن الكذب والغيبة، ففي الأوّلين إنشاء البعث إلى الفعل وفي الأخيرين إنشاء الزجر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الأحكام الوضعية، فهل هي منتزعة من الأحكام التكليفية فلا تنالها يد الجعل إلّاتبعاً، أو انّها أيضاً مجعولة مستقلة مثل التكليفية، أو انّ قسماً منها لا تناله يد الجعل التشريعي لا تبعاً ولا أصالة وقسماً منها منتزعة تنالها يد الجعل تبعاً وقسماً منها مجعولة بالأصالة؟</w:t>
      </w:r>
    </w:p>
    <w:p>
      <w:pPr>
        <w:pStyle w:val="BookText"/>
        <w:rPr/>
      </w:pPr>
      <w:r>
        <w:rPr>
          <w:rFonts w:ascii="Amiri" w:hAnsi="Amiri" w:eastAsia="Amiri" w:cs="Amiri"/>
          <w:color w:val="111111"/>
          <w:sz w:val="28"/>
          <w:sz w:val="28"/>
          <w:szCs w:val="28"/>
          <w:rtl w:val="true"/>
          <w:lang w:bidi="ar-SA"/>
        </w:rPr>
        <w:t>والأوّل مختار الشيخ، والثاني لشارح الوافية، والثالث للمحقّق الخراساني، وإليك دراسة الأقوال واحداً تلو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أفاد الشيخ في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الوضعي مرجعه إلى الخطاب الشرعي وانّ كون الشيء سبباً لواجب، هو الحكم بوجوب ذلك الواجب عند حصول ذلك الشيء، فمعنى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إتلاف الصبي سبب لضمانه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يجب عليه غرامة المثل أو القيمة إذا اجتمع فيه شرائط التكليف من البلوغ والعقل واليسار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خاطب الشارع البالغ العاقل الموسر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اغرم ما أتلفته في حال صغرك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انتزع من هذا الخطاب معنى يعبّر عنه بسببية الإتلاف للضمان، ويقال انّه ضامن بمعنى انّه يجب عليه الغرامة عند اجتماع شرائط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غير السبب فانّ شرطية الطهارة للصلاة، ليست مجعولة بجعل مغائر لإنشاء وجوب الصلاة الواقعية حال الطهارة، وكذا مانعية النجاسة ليست إلّامنتزعة من المنع عن الصلاة في النجس، وكذا الجزئية منتزعة من الأمر بالمركب</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هذه الموارد،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والشرطية والمانعية، كلام تام، ولكنّه استقراء ناقص، ولا يكون دليلاً على أنّ الحكم الوضعي في عامّة الموارد منتزع من التكليفي، كيف؟ وربما يكون الحكم الوضعي مجعولاً بالأصالة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موكّلتي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ناظر إلى إنشاء الزوجية، والثاني لإنشاء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انّهما متلازمان معاً وانّ انشاء أحدهما يلازم إنشاء الآخر، كما هوالظاهر من كلامه المنقول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بتعدد الجعل مع أنّ جعل أحدهما يغني عن الآخر، أمر لغو، فهنا جعل واحد هو الأصيل والآخر أمر منتزع، فالمجعول إمّا سببية الدلوك لوجوب الصلاة، فوجوب الصلاة أمر منتزع، أو وجوب الصلاة لدى الدلوك، فالسببية أمر منتزع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انّ هنا جعلاً واحداً، وهو متعلّق بالحكم الوضعي مطلقاً، </w:t>
      </w:r>
      <w:bookmarkStart w:id="197" w:name="pg14367_157069"/>
    </w:p>
    <w:p>
      <w:pPr>
        <w:pStyle w:val="BookText"/>
        <w:rPr/>
      </w:pPr>
      <w:bookmarkEnd w:id="197"/>
      <w:r>
        <w:rPr>
          <w:rFonts w:ascii="Amiri" w:hAnsi="Amiri" w:eastAsia="Amiri" w:cs="Amiri"/>
          <w:color w:val="111111"/>
          <w:sz w:val="28"/>
          <w:sz w:val="28"/>
          <w:szCs w:val="28"/>
          <w:rtl w:val="true"/>
          <w:lang w:bidi="ar-SA"/>
        </w:rPr>
        <w:t>والتكليفي منتزع، فهو ليس بصحيح على إطلاقه، إذ ربّما يكون الكلام ظاهراً في جعل الحكم التكليفي دون الوضعي،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 إِلى غَسَقِ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فالآية ظاهرة في جعل الوجوب للصلاة لدى دلوك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انّ الجعل ربما يتعلّق بالوضع ويكون التكليف تابعاً له، فهو صحيح كما مثلنا في إنشاء الزوجية والحريّة</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7507008_3381743652"/>
      <w:bookmarkStart w:id="199" w:name="_Toc74"/>
      <w:bookmarkEnd w:id="198"/>
      <w:r>
        <w:rPr>
          <w:rtl w:val="true"/>
        </w:rPr>
        <w:t>وأمّا القول الثالث</w:t>
      </w:r>
      <w:r>
        <w:rPr>
          <w:rtl w:val="true"/>
        </w:rPr>
        <w:t xml:space="preserve">: </w:t>
      </w:r>
      <w:r>
        <w:rPr>
          <w:rtl w:val="true"/>
        </w:rPr>
        <w:t>فقد قسّم الوضعي إلى أقسام ثلاثة</w:t>
      </w:r>
      <w:r>
        <w:rPr>
          <w:rtl w:val="true"/>
        </w:rPr>
        <w:t>:</w:t>
      </w:r>
      <w:bookmarkEnd w:id="199"/>
    </w:p>
    <w:p>
      <w:pPr>
        <w:pStyle w:val="Heading6"/>
        <w:numPr>
          <w:ilvl w:val="5"/>
          <w:numId w:val="1"/>
        </w:numPr>
        <w:rPr/>
      </w:pPr>
      <w:bookmarkStart w:id="200" w:name="__RefHeading___Toc7507010_3381743652"/>
      <w:bookmarkStart w:id="201" w:name="_Toc75"/>
      <w:bookmarkEnd w:id="200"/>
      <w:r>
        <w:rPr>
          <w:rtl w:val="true"/>
        </w:rPr>
        <w:t>القسم الأول</w:t>
      </w:r>
      <w:r>
        <w:rPr>
          <w:rtl w:val="true"/>
        </w:rPr>
        <w:t xml:space="preserve">: </w:t>
      </w:r>
      <w:r>
        <w:rPr>
          <w:rtl w:val="true"/>
        </w:rPr>
        <w:t>مالا تناله يد الجعل التشريعي لا تبعاً التكليفي</w:t>
      </w:r>
      <w:r>
        <w:rPr>
          <w:rtl w:val="true"/>
        </w:rPr>
        <w:t xml:space="preserve">) </w:t>
      </w:r>
      <w:r>
        <w:rPr>
          <w:rtl w:val="true"/>
        </w:rPr>
        <w:t>ولا استقلالاً</w:t>
      </w:r>
      <w:r>
        <w:rPr>
          <w:rtl w:val="true"/>
        </w:rPr>
        <w:t>:</w:t>
      </w:r>
      <w:bookmarkEnd w:id="201"/>
    </w:p>
    <w:p>
      <w:pPr>
        <w:pStyle w:val="BookText"/>
        <w:rPr/>
      </w:pPr>
      <w:r>
        <w:rPr>
          <w:rFonts w:ascii="Amiri" w:hAnsi="Amiri" w:eastAsia="Amiri" w:cs="Amiri"/>
          <w:color w:val="111111"/>
          <w:sz w:val="28"/>
          <w:sz w:val="28"/>
          <w:szCs w:val="28"/>
          <w:rtl w:val="true"/>
          <w:lang w:bidi="ar-SA"/>
        </w:rPr>
        <w:t>وحاصل كلامه في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الوضعي، لا منتزع من الحكم التكليفي ولا مجعول بالاستقلال، وهكذا كالسببية والشرطية والمانعية والرافعية لما هو سبب التكليف وشرطه أو مانعه ورافعه، حيث إنّه لا يكاد يعقل انتزاع هذه العناوين لها من التكليف المتأخر عنها ذاتاً، حدوثاً وارتفاعاً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اتصافها بها ليس إلّالأجل ما عليها من الخصوصية المستدعية لذلك تكويناً، للزوم أن يكون في العلة بأجزائها ربط خاص، به كان مؤثراً في معلولها لا في غيره ولا غيرها فيه، وإلّا لزم أن يكون كل شيء مؤثراً في كلّ شيء وتلك الخصوصية لا تكاد توجد فيها بمجرد إنشاء مفاهيم العناوين مثل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دلوك الشمس سبب لوجوب الصلاة إنشاءً لا اخباراً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بقاء الدلوك على ما هو عليه قبل إنشاء السببية له، من كونه واجداً لخصوصية مقتضية لوجوبها أو فاقداً لها، وانّ الصلاة لا تكاد تكون واجبة عند الدلوك مالم يكن هناك ما يدعو إلى وجوبها ومعه تكون واجبة لا محالة وإن لم ينشأ السببية للدلوك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انقدح عدم صحّة انتزاع السببية له حقيقة من إيجاب الصلاة عنده لعدم اتصافه بها بذلك ضرورة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أنّ السببية وما عطف إليها، غير مجعولة لاتبعاً ولا أصالة مبني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السبب، والشرط والمانع، والرافع، كالدلوك، والطهارة، والحيض، والإغماء في أثناء الصلاة، متقدمة على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الثلاث الأُول فلأنّها من أجزاء العلة متقدّمة على المعلول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الرافع فلأنّه علّة لعدم وجوب الصلاة، ومتقدّم عليه بحكم العلية، وعدم وجوب الصلاة في رتبة وجوب الصلاة، لأنّ المتناقضين في رتبة واحدة، فينتج أنّ الرافع متقدّم على وجوب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علم أنّ الأُمور الأربعة متقدمة على التكليف، بمعنى وجوب الصلاة غير أنّ الثلاثة الأُولى مؤثرة في حدوث التكليف، والرابع مؤثر في ارتفاع التكليف، وإلى ذلك يشير بقوله حدوثاً وارتفاعاً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وصف الأُمور الأربعة المذكورة سالفاً بالسببية والشرطية والمانعية والرافعية، لأجل خصوصية كامنة في جوهر هذه الأُمور الأربعة التي بها تكون مؤثرة في وجوب الصلاة حدوثاً، أو ارتفاعاً، ولولا تلك الخصوصية لما أثّرت في التكليف ورفعه، لما ثبت في محله من أنّه يجب أن يكون بين العلة والمعلول ربط وخصوصية لا توجد في غيرها، وإلّا يلزم أن يكون كلّ شيء سبباً أو شرطاً أو مانعاً أو رافعاً لكلّ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أنّ تأثير هذه الأُمور رهن خصوصية كامنة فيها هو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دلوك الشمس سبب لوجوب الصلاة بصورة الإنشاء لا يكون الدلوك سبباً، بل لو كانت الخصوصية موجودة لاستغنت عن الإنشاء، وإلّا فهذا النوع من الإنشاء غير مؤثر في حدوث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تضح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للمحقّق الخراساني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النوع من الأحكام الوضعية غير منتزع من الأحكام التكليفية، أي‌ليست مجعولة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النوع من الأحكام الوضعية غير مجعول على نحو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الدعوى الأُولى فتستنتج من كون السبب والسببية، أو الشرط والشرطية وغيرهما من الأُمور المتقدمة على الحكم التكليفي، فكيف ينتزع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والسببية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استنتجها من القول بأنّ السببية أمر تكويني لا تناله يد الجعل التشريعي، فلو كانت الخصوصية موجودة فإنشاء السببية مستقلاً أمر لغو لا يؤثِّر فيه شيء، وإن كانت فاقدة لتلك الخصوصية لا يضفي إنشاء السببية عليه وصف 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علم أنّ المحقّق الخراساني أثبت كلا الدعويين، وأنّ الحكم الوضعي فيه غير منتزع، بحكم تقدّم السبب والسببية على الحكم التكليفي، ولا مجعول مستقل، لأنّه أمر تكويني لا يقبل إلّاالجعل التكويني لا التشريع</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البيانين صحيح، لكن في العلل والأسباب التكوينيّة، والسبب وسببيته متقدّمان على المعلول كالنار بالنسبة إلى الإحراق، كما </w:t>
      </w:r>
    </w:p>
    <w:p>
      <w:pPr>
        <w:pStyle w:val="BookText"/>
        <w:rPr/>
      </w:pPr>
      <w:r>
        <w:rPr>
          <w:rFonts w:ascii="Amiri" w:hAnsi="Amiri" w:eastAsia="Amiri" w:cs="Amiri"/>
          <w:color w:val="111111"/>
          <w:sz w:val="28"/>
          <w:sz w:val="28"/>
          <w:szCs w:val="28"/>
          <w:rtl w:val="true"/>
          <w:lang w:bidi="ar-SA"/>
        </w:rPr>
        <w:t>أنّ السببية رهن خصوصية كامنة في صلب العلّة وجوهرها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يأتي كلا البيانين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انتزاع وصف السببية التي في جوهر العلة عن المعلول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جعل السببية جعلاً تشريعياً بعد تحقّقها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فيترتب على ذينك البيانين أنّ السببية والشرطية والمانعية والرافعية في العلل التكوينية ليست منتزعة من المسببات والمعاليل، ولا مجعولة بالجعل التشريعي بعد تحقّقها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الأسباب والشرائط للتكليف أُموراً اعتبارية من دون توفّر رابطة تكوينية بين السبب والمسبب سوى لحاظ الشارع أو المقنِّن أحدهما بعد الآخر في عالم الاعتبار واللحاظ، فمثل ذلك قابل للجعل استقلالاً، كما هو قابل للجعل تبعاً وانتزاعاً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الدلوك سبباً لوجوب الصلاة، أو جعلتُ الإيجاب والقبول سبباً للملكية، أو قول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لحل عقدة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يجوز انتزاعُ تلك الأُمور من الحكم التكليفي بالصلاة عند الدلوك، فإذا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منه سببيّة الدلوك بوجوب الصلاة، فتكون مجعولة جعلاً تبعياً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ويرشدك إلى ذلك أمران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النطق بهذه الأسباب ليس مؤثراً في إيجاد المسببات قبل جعل الشارع أو العقلاء، وهذا خير شاهد على فقدان الرابطة التكوينية بين ما </w:t>
      </w:r>
    </w:p>
    <w:p>
      <w:pPr>
        <w:pStyle w:val="BookText"/>
        <w:rPr/>
      </w:pPr>
      <w:r>
        <w:rPr>
          <w:rFonts w:ascii="Amiri" w:hAnsi="Amiri" w:eastAsia="Amiri" w:cs="Amiri"/>
          <w:color w:val="111111"/>
          <w:sz w:val="28"/>
          <w:sz w:val="28"/>
          <w:szCs w:val="28"/>
          <w:rtl w:val="true"/>
          <w:lang w:bidi="ar-SA"/>
        </w:rPr>
        <w:t>جعل سبباً وما جعل مسبباً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سنخ الأثر يكشف عن سنخ المؤثر، فإذا كان المعلول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أو كان المعلول اعتبار الملكية فلابدّ أن يكون السبب من سنخ ذلك الأثر لا سبباً تكوينياً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حدا بالمحقّق الخراساني إلى القول بامتناع الجعل في هذه الأقسام هو قياس العلل الاعتبارية بالعلل التكوينية مع البون الشاسع بين العلّتين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برهن على عدم مجعولية السببية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بالوجدان هو الحكم التكليفي لا الوضعي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قلنا بجعل السببية في التكليف، كجعل السببية للدلوك، أو في الوضع، كجعلها للعقد المركب من الإيجاب والقبول، يلزم أن لا يكون الوجوبُ في الأوّل، والملكية في الثاني، فعلاً اختيارياً للشارع، بل كانا من الأُمور الحاصلة قهراً بلا إنشاء من الشارع، فانّ ترتب المسبب على سببية أمر قهري لا يعقل فيه التخلّف ولا يمكن أن يدخله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هو امتناع تعلّق الجعل بالسببية ولكن الدليل لا يثبت أزيد من عدم الوقوع، حيث نعلم وجداناً أنّ الوجوب بعد الدلوك، والملكية بعد الإيجاب والقبول، فعل للشارع، ولو قلنا بجعل السببية يلزم الغنى عن جعل المسببات والأحكام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أضف إلى ذلك أنّه لا مانع من نسبة الوجوب والملكية إلى الشارع حتى على </w:t>
      </w:r>
    </w:p>
    <w:p>
      <w:pPr>
        <w:pStyle w:val="BookText"/>
        <w:rPr/>
      </w:pPr>
      <w:r>
        <w:rPr>
          <w:rFonts w:ascii="Amiri" w:hAnsi="Amiri" w:eastAsia="Amiri" w:cs="Amiri"/>
          <w:color w:val="111111"/>
          <w:sz w:val="28"/>
          <w:sz w:val="28"/>
          <w:szCs w:val="28"/>
          <w:rtl w:val="true"/>
          <w:lang w:bidi="ar-SA"/>
        </w:rPr>
        <w:t>القول بجعل السببية، فانّهما من أفعال الشارع، غاية الأمر فعلاً تسبيبيّاً لا مباشرياً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غير مجعولة لا تشريعاً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خلافاً للمحقّق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الاستقلال، بل جعلها، بجعل ذات السبب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المجعول إنّما هو ذات السبب، أمّا السببية فهي من لوازم ذاته كزوجية الأربعة، فانّ السببية عبارة عن الرشح والإفاضة القائمة بذات السبب التي تقتضي وجود المسبب، وهذا الرشح والإفاضة من لوازم الذات لا يمكن أن تنالها يد الجعل التكويني، فضلاً عن الجعل التشريعي، بل هي كسائر لوازم الماهية تكوينها إنّما يكون بتكوين الماهية، وإفاضة الوجود إلى الذات، فعلّية العلّة وسببيّة السبب كوجوب الواجب وإمكان الممكن وامتناع الممتنع، إنّما تكون من خارج المحمول تنتزع عن مقام الذات ليس لها ما بحذاء، لا في وعاء العين ولا في وعاء الاعتبار، فالعلية لا تقبل الإيجاد التكويني فضلاً عن الإنشاء التشريعي</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صحيح في السببية التكوينية حيث إنّ السببية بالنسبة إلى المسبب من قبيل ذاتي باب البرهان والخارج المحمول، و ما هو مثله لا تتعلّق به يد الجعل، لأنّ مناط الجعل الفقر والحاجة، والسببية بعد جعل السبب متحقّقة ضرورة فلا حاجة إلى جعل آخر، وهذا من خواص ذاتي باب البرهان حيث إنّ جعل الموضوع يلازم جعل المحمول الذاتي، كالزوجية بالنسبة إلى الأربعة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المقام فليست السببية أمراً ذاتياً بالنسبة إلى السبب أي‌الدلوك حتى لا </w:t>
      </w:r>
      <w:bookmarkStart w:id="202" w:name="pg14367_157075"/>
    </w:p>
    <w:p>
      <w:pPr>
        <w:pStyle w:val="BookText"/>
        <w:rPr/>
      </w:pPr>
      <w:bookmarkEnd w:id="202"/>
      <w:r>
        <w:rPr>
          <w:rFonts w:ascii="Amiri" w:hAnsi="Amiri" w:eastAsia="Amiri" w:cs="Amiri"/>
          <w:color w:val="111111"/>
          <w:sz w:val="28"/>
          <w:sz w:val="28"/>
          <w:szCs w:val="28"/>
          <w:rtl w:val="true"/>
          <w:lang w:bidi="ar-SA"/>
        </w:rPr>
        <w:t>تتعلّق بها يد الجعل، لإمكان التفكيك بين الدلوك والسببية، وعلى ذلك فلا مانع من تعلّق الجعل التشريعي بالسببية، بعد إيجاد الدلوك تكويناً</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7507012_3381743652"/>
      <w:bookmarkStart w:id="204" w:name="_Toc76"/>
      <w:bookmarkEnd w:id="203"/>
      <w:r>
        <w:rPr>
          <w:rtl w:val="true"/>
        </w:rPr>
        <w:t>القسم الثاني</w:t>
      </w:r>
      <w:r>
        <w:rPr>
          <w:rtl w:val="true"/>
        </w:rPr>
        <w:t xml:space="preserve">: </w:t>
      </w:r>
      <w:r>
        <w:rPr>
          <w:rtl w:val="true"/>
        </w:rPr>
        <w:t>ما تناله يد الجعل تبعاً لا استقلالاً</w:t>
      </w:r>
      <w:bookmarkEnd w:id="204"/>
    </w:p>
    <w:p>
      <w:pPr>
        <w:pStyle w:val="BookText"/>
        <w:rPr/>
      </w:pPr>
      <w:r>
        <w:rPr>
          <w:rFonts w:ascii="Amiri" w:hAnsi="Amiri" w:eastAsia="Amiri" w:cs="Amiri"/>
          <w:color w:val="111111"/>
          <w:sz w:val="28"/>
          <w:sz w:val="28"/>
          <w:szCs w:val="28"/>
          <w:rtl w:val="true"/>
          <w:lang w:bidi="ar-SA"/>
        </w:rPr>
        <w:t xml:space="preserve">إنّ القسم الثاني عبارة عن الجزئية والشرطية و المانعية والقاطعية، لما هو جزء المكلّف به وشرطه ومانعه وقاطعه، فقد اختار أنّه لا يتطرق إليها الجعل التشريعي بالأصالة، فلا يصحّ جعلها ابتداء وإنّما يجعل تبعاً للأحكام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ذلك انّ اتصاف شيء بجزئية المأمور به أو شرطيته أو غيرهما لا يكاد يكون إلّابالأمر بجملة أُمور مقيدة بأمر وجودي أو عدمي، ولا يتصف شيء بذلك أي‌كونه جزءاً أو شرطاً للمأمور به إلّابتبع ملاحظة الأمر بما يشتمل عليه مقيداً بأمر آخر، وما لم يتعلّق به الأمر كذلك لما صحّ وصفه بالجزئية أو الشرطية وإن أنشأ الشارع له الجزئية أو الشرطية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الماهية وأجزائها ليس إلّاتصوير ما فيه المصلحة المهمة الموجبة للأمر بها، فتصورها بأجزائها وقيودها لا يوجب اتصاف شيء منها بجزئية المأمور به أو شرطيته قبل الأمر بها، فالجزئية للمأمور به أو الشرطية له إنّما ينتزع لجزئه أو شرطه بملاحظة الأمر به بلا حاجة إلى جعلها له، وبدون الأمر به لا اتصاف بها أصلاً وإن اتصف بالجزئية أو الشرطية للمتصوّر أو لذي المصلحة</w:t>
      </w:r>
      <w:r>
        <w:rPr>
          <w:rFonts w:eastAsia="Amiri" w:cs="Amiri" w:ascii="Amiri" w:hAnsi="Amiri"/>
          <w:color w:val="111111"/>
          <w:sz w:val="28"/>
          <w:szCs w:val="28"/>
          <w:rtl w:val="true"/>
          <w:lang w:bidi="ar-SA"/>
        </w:rPr>
        <w:t>.</w:t>
      </w:r>
      <w:r>
        <w:rPr>
          <w:rStyle w:val="FootnoteAnchor"/>
          <w:rtl w:val="true"/>
        </w:rPr>
        <w:footnoteReference w:id="6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أمر هذه الأُمور دائر بين كون الجعل فيها محالاً، أو تحصيلاً للحاصل، فلو استقل بالجعل قبل الأمر بالمأمور به، فهو محال، لعدم اتصاف الأجزاء بالمأمور به قبل الأمر ولو قام بالجعل بعد الأمر بالكل، فهو أمر </w:t>
      </w:r>
      <w:bookmarkStart w:id="205" w:name="pg14367_157076"/>
    </w:p>
    <w:p>
      <w:pPr>
        <w:pStyle w:val="BookText"/>
        <w:rPr/>
      </w:pPr>
      <w:bookmarkEnd w:id="205"/>
      <w:r>
        <w:rPr>
          <w:rFonts w:ascii="Amiri" w:hAnsi="Amiri" w:eastAsia="Amiri" w:cs="Amiri"/>
          <w:color w:val="111111"/>
          <w:sz w:val="28"/>
          <w:sz w:val="28"/>
          <w:szCs w:val="28"/>
          <w:rtl w:val="true"/>
          <w:lang w:bidi="ar-SA"/>
        </w:rPr>
        <w:t>لغو وتحصيل للحاصل لاتصافها بها بعد الأمر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الجزئية الفعلية لجزء من أجزاء المأمور، فرع تعلّق الأمر بالمركّب المأمور به، وبعد تعلّق الأمر بالكلّ الذي يدخل فيه هذا الجزء، يكون جعل الجزئية له أمراً لغواً وتحصيلاً للحاصل، وأمّا جعل الجزئية الشأنية للمركب المأمور به شأناً لا فعلاً بمكان من الإمكان كأن يقول الحمد جزء للصلاة التي سوف أمر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جعل الجزئية الفعلية تعلّق أمر بعنوان، وضع لاجزاء لا يشمل الجزء الذي نحن بصدد جعلها له، كما إذا كانت الصلاة أسماء للأركان، غير شامل للحمد، أو للمنع عن بعض الموانع كإقامتها مع ما لا يؤكل لحمه، إلى غير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الحمد جزءاً للصلاة المأمور بها، وهكذا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يقول إنّ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حَيْثُ ما كُنْتُمْ 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 وبر مالا يؤكل لحمه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إرشاداً إلى جعل الشرطية للاستقبال، والمانعية لما لا يؤكل لحمه، فعندئذ يتعلّق الجعل الاستقلالي بالجزئية والشرطية والمانعية للمكلّف به</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7507014_3381743652"/>
      <w:bookmarkStart w:id="207" w:name="_Toc77"/>
      <w:bookmarkEnd w:id="206"/>
      <w:r>
        <w:rPr>
          <w:rtl w:val="true"/>
        </w:rPr>
        <w:t>القسم الثالث</w:t>
      </w:r>
      <w:r>
        <w:rPr>
          <w:rtl w:val="true"/>
        </w:rPr>
        <w:t xml:space="preserve">: </w:t>
      </w:r>
      <w:r>
        <w:rPr>
          <w:rtl w:val="true"/>
        </w:rPr>
        <w:t>ما تناله الجعل استقلالاً</w:t>
      </w:r>
      <w:bookmarkEnd w:id="20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مثّل المحقّق الخراساني لهذا القسم بالحجّية والقضاوة، والولاية والنيابة والحريّة والرقيّة والزوجيّة والملكيّة،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انتزاع هذه الأُمور من الأحكام التكليفية التي تكون في مواردها كما يمكن جعلها بإنشاء أنفسها، إلّاأنّه لا شكّ في صحّة انتزاعها من مجرّد جعله تعالى أو مَنْ بيده الأمر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w:t>
      </w:r>
      <w:bookmarkStart w:id="208" w:name="pg14367_157077"/>
    </w:p>
    <w:p>
      <w:pPr>
        <w:pStyle w:val="BookText"/>
        <w:rPr/>
      </w:pPr>
      <w:bookmarkEnd w:id="208"/>
      <w:r>
        <w:rPr>
          <w:rFonts w:ascii="Amiri" w:hAnsi="Amiri" w:eastAsia="Amiri" w:cs="Amiri"/>
          <w:color w:val="111111"/>
          <w:sz w:val="28"/>
          <w:sz w:val="28"/>
          <w:szCs w:val="28"/>
          <w:rtl w:val="true"/>
          <w:lang w:bidi="ar-SA"/>
        </w:rPr>
        <w:t xml:space="preserve">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بإنشائها بحيث يترتب عليها آثارها، وذلك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انتزاع الملكية والزوجيّة والطلاق والحرّية بمجرد العقد والإيقاع ممّن بيده الاختيار من دون ملاحظة التكاليف والآثار، ولو كانت منتزعة عنها لما كاد يصح اعتبارها إلّابملاحظتها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هذه العناوين منتزعة من الأحكام التكليفية في موردها لزم أن لا يقع ما قُصِد ووقع ما لم يقصد، فانّ العاقد لا يقصد إلّاجعل الزوجية، لا شيئاً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ينبغي أن يشكّ في عدم حجية انتزاعها من مجرّد التكليف في موردها فلا ينتزع الملكية عن إباحة التصرفات، والزوجية من جواز الوطء لأنّ النسبة بين إباحة التصرّف والملكية، وهكذا بين جواز المس والزوجيّة عموم من وجه، وهكذا سائر الاعتبارات من أبواب العقود والإيقاعات</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7507016_3381743652"/>
      <w:bookmarkStart w:id="210" w:name="_Toc78"/>
      <w:bookmarkEnd w:id="209"/>
      <w:r>
        <w:rPr>
          <w:rtl w:val="true"/>
        </w:rPr>
        <w:t>تحقيق فيه تفصيل</w:t>
      </w:r>
      <w:bookmarkEnd w:id="2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ذكر نماذج من هذا القسم ولم يستقص، وزعم أنّ الجميع مجعول بجعل استقلالي، ولكن الظاهر أنّ الأحكام الوضعية الباقية غير الداخلة في القسمين الأوّلين على أصناف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يقبل الجعل أصلاً، لا استقلالاً ولا تبعاً للأحكام التكليفية، وذلك كالتنجّز والتعذّر، والطريقية والكاشفية، والنظافة والقذارة العرفيتين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الأوّلان فلأنّهما يدوران حول إصابة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فلو أصاب يكون منجزاً الواقع وإلّا معذِّراً، وهذا حكم عقلي، ومعه لا حاجة إلى جعلهما استقلالاً أو بتبع الأحكام التكليفية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المتوسطان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الكاشفية والطريقية، فهما من الأُمور التكوينية لا تنالهما يد الجعل التشريعي فلو كان الشيء طريقاً بالذات، سواء كان طريقاً كاملاً أو ناقصاً، لاستغنى عن إفاضتهما عليه، وإلّا فلا يكون إفاضتهما عليه، طريقاً ولا كاشفاً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بعض مشايخنا السادة</w:t>
      </w:r>
      <w:r>
        <w:rPr>
          <w:rStyle w:val="FootnoteAnchor"/>
          <w:rtl w:val="true"/>
        </w:rPr>
        <w:footnoteReference w:id="62"/>
      </w:r>
      <w:r>
        <w:rPr>
          <w:rFonts w:ascii="Amiri" w:hAnsi="Amiri" w:eastAsia="Amiri" w:cs="Amiri"/>
          <w:color w:val="111111"/>
          <w:sz w:val="28"/>
          <w:sz w:val="28"/>
          <w:szCs w:val="28"/>
          <w:rtl w:val="true"/>
          <w:lang w:bidi="ar-SA"/>
        </w:rPr>
        <w:t>يقول بأنّ المجعول في باب الأمارة هو تتميم الكشف أو إكمال طريقيته، فلو أراد تتميمها تكويناً فهو غير ممكن بالجعل الاعتباري، وإن أراد تتميمها بالاعتبار فهو و إن كان أمراً ممكناً، لأنّ الاعتبار خفيف المؤنة، لكنّه بعيد عن الأذهان،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 الأمر الحقيقي بالأمر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الأخيرتان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أي‌النظافة والقذارة العرفيتين، فهما بهذا المعنى من الأُمور التكوينية الخارجة عن حدود الجعل والاعتبار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طَهُوراً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مِنْ طَيِّباتِ ما رَزَقْناكُمْ</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تناله يد الجعل استقلالاً، وليس منتزعاً من الأحكام التكليفية الموجودة في مورده، وهذا كالزوجية والملكية، وقد برهن المحقّق الخراساني على كونهما مجعولين مستقلاً لا تبعاً للأحكام الشرعية بوجوه ثلاثة كما عرفت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يكون منتزعاً من الأحكام التكليفية، غير مجعول استقلالاً، وهذا كالرخصة والعزيمة فانّهما أمران انتزاعيان من حكم الشارع بجواز الترك أو لزومه، والأوّل كسقوط الأذان والإقامة لمن دخل وقد أُقيمت صلاة الجماعة، والثاني </w:t>
      </w:r>
    </w:p>
    <w:p>
      <w:pPr>
        <w:pStyle w:val="BookText"/>
        <w:rPr/>
      </w:pPr>
      <w:r>
        <w:rPr>
          <w:rFonts w:ascii="Amiri" w:hAnsi="Amiri" w:eastAsia="Amiri" w:cs="Amiri"/>
          <w:color w:val="111111"/>
          <w:sz w:val="28"/>
          <w:sz w:val="28"/>
          <w:szCs w:val="28"/>
          <w:rtl w:val="true"/>
          <w:lang w:bidi="ar-SA"/>
        </w:rPr>
        <w:t>كسقوط الركعتين في حال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يصحّ فيه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مستقلاً، وانتزاعه من الأحكام التكليفية لكن الأظهر انّه مجعول مستقلاً وهو المتبادر من الروايات، وإليك بيان أفراد هذا الصنف،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الضمان،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والنجاسة الشرعيتين، وإليك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تعلّق الجعل الاستقلالي بها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إِنّا جَعَلْناكَ خَلِيفَةً فِي الْأَرْضِ فَاحْكُمْ بَيْنَ النّاسِ بِالْحَقِّ وَ لا تَتَّبِعِ الْهَوى فَيُضِلَّكَ عَنْ سَبِيلِ اللّهِ</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أمّا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مقبولة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من كان منكم ممن قد روى حديثنا، ونظر في حلالنا وحرامنا، وعرف أحكامنا، فليرضوا به حكماً فإنّي قد جعلته عليكم حاكماً</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وأمّا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رواية سالم بن مُكْرَم المعروف بأبي خديجة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انظروا إلى رجل منكم يعلم شيئاً من قضايانا، فاجعلوه بينكم فانّي قد جعلته قاضياً فتحاكموا إليه</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وأمّا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قول النبي صلى الله عليه و آله و سلم في حقّ علي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أنت وليُّ كلّ مؤمن ومؤمنة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إفاضة الحجية للشيء بعدما لم يكن حجّة بالفعل، فهذا </w:t>
      </w:r>
    </w:p>
    <w:p>
      <w:pPr>
        <w:pStyle w:val="BookText"/>
        <w:rPr/>
      </w:pPr>
      <w:r>
        <w:rPr>
          <w:rFonts w:ascii="Amiri" w:hAnsi="Amiri" w:eastAsia="Amiri" w:cs="Amiri"/>
          <w:color w:val="111111"/>
          <w:sz w:val="28"/>
          <w:sz w:val="28"/>
          <w:szCs w:val="28"/>
          <w:rtl w:val="true"/>
          <w:lang w:bidi="ar-SA"/>
        </w:rPr>
        <w:t>يقبل الجعل الاستقلالي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الثقة حجّة، كما يمكن انتزاعها من الأحكام التكليفية في مورده، كما إذا أوجب العمل على وفق خبره في مقام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الضمان والكفالة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فيتقبلان الجعل الاستقلالي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يمكن انتزاعهما من الأحكام التكليفية في موردهما،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إلزام الشخص برد مثل ما اشتغلت به ذمّة المضمون عنه، أو إلزام الشخص بتسليم المكفول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فالعقلية منها غير قابلة للجعل،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مطابقة المأمور به للمأتي به، وأمّا الشرعية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الناقص مكان الكامل كما في مورد قاعدتي الفراغ والتجاوز، فيصح جعلها استقلالاً،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مضى من صلاتك وطهورك فذكرته تذكراً فامضه ولا إعادة عليك</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فالمتبادر جعل الصحة الشرعية على العمل الناقص كما يمكن انتزاعها من الحكم التكليفي الوارد في موردها كالحكم بعدم الإعادة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الطهارة والنجاسة الشرعيتان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أعم من العرفية، إذ قد يعدّ الشرعُ القِذر طاهراً، كما في عرق الإنسان، والديدان والوذي والمذي والدم المتخلّف في عروق الحيوان، أو يحكم بنجاسة ما لا يعدّه العرف قذِراً كنجاسة الكفّار وأولادهم، ونجاسة الخمر، فهما قابلتان للجعل استقلالاً،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الْمُشْرِكُونَ نَجَسٌ</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بناء على أن الآية بصدد جعل النجاسة عليهم، كما هما قابلتان للجعل تبعاً للآثار والأحكام التكليفية، كوجوب الاجتناب عن الخمر </w:t>
      </w:r>
    </w:p>
    <w:p>
      <w:pPr>
        <w:pStyle w:val="BookText"/>
        <w:rPr/>
      </w:pPr>
      <w:r>
        <w:rPr>
          <w:rFonts w:ascii="Amiri" w:hAnsi="Amiri" w:eastAsia="Amiri" w:cs="Amiri"/>
          <w:color w:val="111111"/>
          <w:sz w:val="28"/>
          <w:sz w:val="28"/>
          <w:szCs w:val="28"/>
          <w:rtl w:val="true"/>
          <w:lang w:bidi="ar-SA"/>
        </w:rPr>
        <w:t>والكافر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أنّما عدّه من القسم الثالث ليس على نمط واحد بل هو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مالا يقبل الجعل أصلاً لا استقلالاً ولا تبعاً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الجعل التبعي، لا الاستقلالي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الاستقلالي دون التبعي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كلا الأمرين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فلاحظ</w:t>
      </w:r>
    </w:p>
    <w:p>
      <w:pPr>
        <w:pStyle w:val="BookText"/>
        <w:rPr/>
      </w:pPr>
      <w:r>
        <w:rPr>
          <w:rFonts w:ascii="Amiri" w:hAnsi="Amiri" w:eastAsia="Amiri" w:cs="Amiri"/>
          <w:color w:val="111111"/>
          <w:sz w:val="28"/>
          <w:sz w:val="28"/>
          <w:szCs w:val="28"/>
          <w:rtl w:val="true"/>
          <w:lang w:bidi="ar-SA"/>
        </w:rPr>
        <w:t>وأمّا ثمرة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فتظهر في جريان الاستصحاب في كلا الحكمين إذا كان مجعولاً مستقلاً أو تبعاً للحكم التكليفي، إذ يلزم أن يكون المستصحب إمّا حكماً شرعياً أو موضوعاً لحكم شرعي، والحكم الشرعي عبارة عمّا يكون مستنداً إليه ومجعولاً بنحو من أقسام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حول التفاصيل في حجّية الاستصحاب وبقي هناك تفصيلان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استصحاب الحكم الشرعيّ المستنبط من الكتاب والسنّة والمستنبط من حكم العقل، فيجري في الأوّل دون الثاني، اختاره الشيخ الأنصاري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الحكم الشرعي الكلي، والحكم الجزئي، والموضوعات الخارجية، فلا يجري في الأوّل دون الأخيرين وهو خيرة المحقّق النراقي والمحقّق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 وسيأتي الكلام فيهما في ضمن التنبيهات</w:t>
      </w:r>
      <w:r>
        <w:rPr>
          <w:rFonts w:eastAsia="Amiri" w:cs="Amiri" w:ascii="Amiri" w:hAnsi="Amiri"/>
          <w:color w:val="111111"/>
          <w:sz w:val="28"/>
          <w:szCs w:val="28"/>
          <w:rtl w:val="true"/>
          <w:lang w:bidi="ar-SA"/>
        </w:rPr>
        <w:t xml:space="preserve">. </w:t>
      </w:r>
      <w:bookmarkStart w:id="211" w:name="pg14367_157082"/>
    </w:p>
    <w:p>
      <w:pPr>
        <w:pStyle w:val="Heading4"/>
        <w:numPr>
          <w:ilvl w:val="3"/>
          <w:numId w:val="1"/>
        </w:numPr>
        <w:rPr/>
      </w:pPr>
      <w:bookmarkStart w:id="212" w:name="__RefHeading___Toc7507018_3381743652"/>
      <w:bookmarkStart w:id="213" w:name="_Toc79"/>
      <w:bookmarkEnd w:id="211"/>
      <w:bookmarkEnd w:id="212"/>
      <w:r>
        <w:rPr>
          <w:rtl w:val="true"/>
        </w:rPr>
        <w:t>التنبيهات</w:t>
      </w:r>
      <w:bookmarkEnd w:id="213"/>
    </w:p>
    <w:p>
      <w:pPr>
        <w:pStyle w:val="Heading5"/>
        <w:numPr>
          <w:ilvl w:val="4"/>
          <w:numId w:val="1"/>
        </w:numPr>
        <w:rPr/>
      </w:pPr>
      <w:bookmarkStart w:id="214" w:name="__RefHeading___Toc7507020_3381743652"/>
      <w:bookmarkStart w:id="215" w:name="_Toc80"/>
      <w:bookmarkEnd w:id="214"/>
      <w:r>
        <w:rPr/>
        <w:t>1</w:t>
      </w:r>
      <w:r>
        <w:rPr>
          <w:rtl w:val="true"/>
        </w:rPr>
        <w:t xml:space="preserve">- </w:t>
      </w:r>
      <w:r>
        <w:rPr>
          <w:rtl w:val="true"/>
        </w:rPr>
        <w:t>جريان الاستصحاب في الأُمور الاستقبالية</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الأُمور الاستقبالية</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لا شكّ في جريان الاستصحاب إذا تعلّق الشكّ بالأمر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شكّ المتطهّر في بقاء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جريانه إذا كان متعلّقه أمراً استقبالياً، كما إذا كان أوّل الوقت فاقداً للساتر أو واجداً له وكان نجساً وشكّ في بقاء العذر إلى آخر الوقت فيستصحب بقاءه إلى آخره ويترتّب عليه جواز البدار كما إذا علم بقاءه على نفس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السيد المحقّق الخوئي قدس سره جريان الاستصحاب في الأمر الاستقبالي كجريانه في الأمر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أفتى على وفق الاستصحاب في الأُمور الاستقبالية،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جنباً في شهر رمضان في الليل لا يجوز له أن ينام قبل الاغتسال إذا علم أنّه لا يستيقظ قبل الفجر للاغتسال، فلو شكّ في الاستيقاظ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حرمته، لأنّ النوم المحتمل فيه عدم الاستيقاظ، محكوم بالاستمرار إلى الفجر، بمقتضى الاستصحاب، فهذا نوم مستمر إلى الصباح متعمّداً وقد صدر باختياره فهو عامداً إليه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ومثله إذا عجز عن خصال الكفّارة، ولكن يحتمل تجدّد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ينتقل إلى البدل،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 ثمانية عشر يوماً، أو التصدّق بما يطيق؟ فقيل نعم استناداً إلى استصحاب العجز بناءً على جريانه في الأُمور الاستقبالية كما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فالمحكّم في الأُمور الاستقبالية هو الحكم باستمرار ما سبق إلى المستقبل فيترتب عليه البدار إلّاإذا دلّ الدليل على عدم الجواز، كما هو الحال في المعذور في الطهارة الحدثية كما في صحيحة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تجد ماء وأردتَ التيمّم فأخّر التيمّم إلى آخر الوقت فإن فاتك الماء لم تفتك الأرض</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فمقتضى الاستصحاب هو بقاء العذر والبدار إلى البدل لكن منع عنه النص</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الاستصحاب إمضاء لما عليه العقلاء في حياتهم ومعاشهم وهو عندهم الحكم ببقاء ما مضى إلى زمان الحال، وأمّا الحكم بالبقاء من زمان الحكم إلى الوقت المستقبل فليس بمعهود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ما ذكر يلزم أن يحكم على الدم في أيّام الاستظهار، بالحيض تارة والاستحاضة أُخرى، فلو قذفت الدم في غير أيام العادة ولكن تحتمل انقطاعها قبل الثلاثة، فمقتضى الاستصحاب استمرارها فلابدّ أن تكون محكومة بالحيض</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تجاوز الدم عن أيّام العادة ولم يتجاوز العشرة، فمقتضى الاستصحاب الحكم باستمرارها بعد العشر ولابدّمن الحكم عليها بالاستحاضة، لأنّ دم الحيض لا يتجاوز أيّام العادة إلّاإذا انقطعت قبل العشرة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كان الموضوع مجرّد اليقين والشكّ سواء كان اليقين متعلّقاً بالماضي والشك بالحال، أو كان اليقين متعلّقاً بالحال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بالاستقبال كان لما ذكره وجه، لكن الموضوع عندهم هو القسم الأوّل لا غير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فالمرجع في المثالين إطلاق دليل البدل، لو كان، وإلّا فالأصل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إذا ارتفع العذر</w:t>
      </w:r>
      <w:r>
        <w:rPr>
          <w:rFonts w:eastAsia="Amiri" w:cs="Amiri" w:ascii="Amiri" w:hAnsi="Amiri"/>
          <w:color w:val="111111"/>
          <w:sz w:val="28"/>
          <w:szCs w:val="28"/>
          <w:rtl w:val="true"/>
          <w:lang w:bidi="ar-SA"/>
        </w:rPr>
        <w:t xml:space="preserve">. </w:t>
      </w:r>
      <w:bookmarkStart w:id="216" w:name="pg14367_157085"/>
    </w:p>
    <w:p>
      <w:pPr>
        <w:pStyle w:val="BookText"/>
        <w:rPr/>
      </w:pPr>
      <w:bookmarkEnd w:id="216"/>
      <w:r>
        <w:rPr>
          <w:rFonts w:ascii="Amiri" w:hAnsi="Amiri" w:eastAsia="Amiri" w:cs="Amiri"/>
          <w:color w:val="111111"/>
          <w:sz w:val="28"/>
          <w:sz w:val="28"/>
          <w:szCs w:val="28"/>
          <w:rtl w:val="true"/>
          <w:lang w:bidi="ar-SA"/>
        </w:rPr>
        <w:t>التنبيهات</w:t>
      </w:r>
    </w:p>
    <w:p>
      <w:pPr>
        <w:pStyle w:val="Heading5"/>
        <w:numPr>
          <w:ilvl w:val="4"/>
          <w:numId w:val="1"/>
        </w:numPr>
        <w:rPr/>
      </w:pPr>
      <w:bookmarkStart w:id="217" w:name="__RefHeading___Toc7507022_3381743652"/>
      <w:bookmarkStart w:id="218" w:name="_Toc81"/>
      <w:bookmarkEnd w:id="217"/>
      <w:r>
        <w:rPr/>
        <w:t>2</w:t>
      </w:r>
      <w:r>
        <w:rPr>
          <w:rtl w:val="true"/>
        </w:rPr>
        <w:t xml:space="preserve">- </w:t>
      </w:r>
      <w:r>
        <w:rPr>
          <w:rtl w:val="true"/>
        </w:rPr>
        <w:t>في اشتراط فعلية اليقين والشكّ‌</w:t>
      </w:r>
      <w:bookmarkEnd w:id="218"/>
    </w:p>
    <w:p>
      <w:pPr>
        <w:pStyle w:val="Heading6"/>
        <w:numPr>
          <w:ilvl w:val="5"/>
          <w:numId w:val="1"/>
        </w:numPr>
        <w:rPr/>
      </w:pPr>
      <w:bookmarkStart w:id="219" w:name="__RefHeading___Toc7507024_3381743652"/>
      <w:bookmarkStart w:id="220" w:name="_Toc82"/>
      <w:bookmarkEnd w:id="219"/>
      <w:r>
        <w:rPr>
          <w:rtl w:val="true"/>
        </w:rPr>
        <w:t>اشارة</w:t>
      </w:r>
      <w:bookmarkEnd w:id="220"/>
    </w:p>
    <w:p>
      <w:pPr>
        <w:pStyle w:val="BookText"/>
        <w:rPr/>
      </w:pPr>
      <w:r>
        <w:rPr>
          <w:rFonts w:ascii="Amiri" w:hAnsi="Amiri" w:eastAsia="Amiri" w:cs="Amiri"/>
          <w:color w:val="111111"/>
          <w:sz w:val="28"/>
          <w:sz w:val="28"/>
          <w:szCs w:val="28"/>
          <w:rtl w:val="true"/>
          <w:lang w:bidi="ar-SA"/>
        </w:rPr>
        <w:t>يشترط في جريان الاستصحاب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بالحدوث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القضية المشكوكة مع القضية المتيقّنة بإلغاء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ترتب الأثر على بقاء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والمهم في المقام هو الأمران الأوّلان،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اليقين بالحدوث، ولا يكفي نفس الحدوث واقعاً وإن لم يتعلّق به اليقين لظهور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لزوم فعلية اليقين في ذهن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العبد يحتج بالاستصحاب على المولى ومن أركان الاحتجاج هو اليقين بالحدوث، ولا معنى للاحتجاج بثبوت الشيء، مع عدم اليقين به، وعدم الاطّلاع عليه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للاحتجاج هو العلم واليقين بوجود الشيء سابقاً، لا ثبوته وإن لم يعلم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في مورد الاستصحاب مأخوذ بنحو الطريقية، والمراد منه المتيقّن أي‌لا تنقض المتيقّن، فإن كان المتيقّن حكماً شرعياً، يجب إبقاؤه، وإن كان موضوعاً ذا حكم شرعي، يجب ترتيب آثاره عليه في ظرف الشكّ، وإلّا فاليقين بمجرد طروء الشكّ يكون منقوضاً، ومعنى كونه طريقاً، العناية بالمتيقّن لا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أخذ اليقين في مقام ترتيب الأثر طريقياً إلى التعلّق، وأخذه موضوعياً في مقام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مقام ترتيب الأثر يكون اليقين مغفولاً عنه، وفي مقام الاحتجاج على المولى يكون ملحوظاً استقلالاً، وأمّا قوله في 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 أعرته إيّاه وهو طاهر ولم تستيقن انّه نجسه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دليلاً على عدم شرطية فعلية اليقين بتوهم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متيقّن أنّه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الذيل،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تقدير اليقين في الصدر أي‌انّك كنت متيقّناً بطهارته ولم تستيقن أنّه نجّسه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الشكّ، وذلك لنفس الدليل المذكور في اعتبار فعلية اليقين، وانّ ملاك الاحتجاج على المولى هو عدم 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مفاد الاستصحاب حكم ظاهري وهو يتقوّم بالشك، 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في الاستصحاب فعلية‌اليقين والشكّ، فلا استصحاب مع الغفلة عن اليقين أو الشكّ، ولو فرض انّه لو التفت لأيقن، أو لشك، لا يكون مصحّحاً لجريان الاستصحاب</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يترتب على ما ذكرنا فروع فقهيّة</w:t>
      </w:r>
      <w:r>
        <w:rPr>
          <w:rFonts w:eastAsia="Amiri" w:cs="Amiri" w:ascii="Amiri" w:hAnsi="Amiri"/>
          <w:color w:val="111111"/>
          <w:sz w:val="28"/>
          <w:szCs w:val="28"/>
          <w:rtl w:val="true"/>
          <w:lang w:bidi="ar-SA"/>
        </w:rPr>
        <w:t xml:space="preserve">. </w:t>
      </w:r>
      <w:bookmarkStart w:id="221" w:name="pg14367_157087"/>
    </w:p>
    <w:p>
      <w:pPr>
        <w:pStyle w:val="Heading6"/>
        <w:numPr>
          <w:ilvl w:val="5"/>
          <w:numId w:val="1"/>
        </w:numPr>
        <w:rPr/>
      </w:pPr>
      <w:bookmarkStart w:id="222" w:name="__RefHeading___Toc7507026_3381743652"/>
      <w:bookmarkStart w:id="223" w:name="_Toc83"/>
      <w:bookmarkEnd w:id="221"/>
      <w:bookmarkEnd w:id="222"/>
      <w:r>
        <w:rPr>
          <w:rtl w:val="true"/>
        </w:rPr>
        <w:t>الفرع الأوّل</w:t>
      </w:r>
      <w:bookmarkEnd w:id="223"/>
    </w:p>
    <w:p>
      <w:pPr>
        <w:pStyle w:val="BookText"/>
        <w:rPr/>
      </w:pPr>
      <w:r>
        <w:rPr>
          <w:rFonts w:ascii="Amiri" w:hAnsi="Amiri" w:eastAsia="Amiri" w:cs="Amiri"/>
          <w:color w:val="111111"/>
          <w:sz w:val="28"/>
          <w:sz w:val="28"/>
          <w:szCs w:val="28"/>
          <w:rtl w:val="true"/>
          <w:lang w:bidi="ar-SA"/>
        </w:rPr>
        <w:t>إذا أحدث ثمّ غفل وصلّى، ثمّ شكّ في أنّه تطهّر قبل الصلاة أو لا؟</w:t>
      </w:r>
    </w:p>
    <w:p>
      <w:pPr>
        <w:pStyle w:val="BookText"/>
        <w:rPr/>
      </w:pPr>
      <w:r>
        <w:rPr>
          <w:rFonts w:ascii="Amiri" w:hAnsi="Amiri" w:eastAsia="Amiri" w:cs="Amiri"/>
          <w:color w:val="111111"/>
          <w:sz w:val="28"/>
          <w:sz w:val="28"/>
          <w:szCs w:val="28"/>
          <w:rtl w:val="true"/>
          <w:lang w:bidi="ar-SA"/>
        </w:rPr>
        <w:t>قالوا بصحّة الصلاة، لأنّ الشكّ بعد الصلاة مجرى لقاعدة الفراغ، ولا يجري استصحاب الحدث حين الصلاة، لغفلته وعدم شكّه فيه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بطلان الصلاة، لجريان الاستصحاب وعدم جريان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أي‌عدم جريان قاعدة الفراغ فلاختصاصها بما إذا كانت الغفلة محتملة فترتفع احتمالها بأذكريّة المصلّي حينَها، وأمّا إذا كانت الغفلةُ معلومَة كما في المقام واحتمل وقوع العمل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باحتمال التوضّؤ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الصدفة، فالأدلّة منصرفة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الوضوء في الصورتين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توضّأ والخاتم على اصبعه ولم يُحرّكه، وشكّ بعد العمل في أنّه هل جرى الماء تحته أو لا؟ فلا تجري قاعدة الفراغ للعلم بالغفلة حين العمل، وانّه لو جرى عليه الماء لكان من باب الصدفة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علم بأنّ أحد الماءين مضاف، ثمّ توضّأ غفلة وشكّ بعد العمل في أنّه هل توضأ بالماء المطلق أو بالماء المضاف، فلا تجري القاعدة بنفس البيان السابق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جريان الاستصحاب فلكفاية الشكّ بعد الصلاة في أنّه هل تطهر بعد الحدث وقبل الصلاة أو لا؟ فيحكم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الحدث السابق من لدن حدوثه إلى الحالة التي توجّه فيها إلى كيفية وقوع العمل، وليس هذا من قبيل </w:t>
      </w:r>
      <w:bookmarkStart w:id="224" w:name="pg14367_157088"/>
    </w:p>
    <w:p>
      <w:pPr>
        <w:pStyle w:val="BookText"/>
        <w:rPr/>
      </w:pPr>
      <w:bookmarkEnd w:id="224"/>
      <w:r>
        <w:rPr>
          <w:rFonts w:ascii="Amiri" w:hAnsi="Amiri" w:eastAsia="Amiri" w:cs="Amiri"/>
          <w:color w:val="111111"/>
          <w:sz w:val="28"/>
          <w:sz w:val="28"/>
          <w:szCs w:val="28"/>
          <w:rtl w:val="true"/>
          <w:lang w:bidi="ar-SA"/>
        </w:rPr>
        <w:t xml:space="preserve">الاستصحاب القهقريّ، لأنّه عبارة عن جر المتيقّن بالفعل إلى الأزمنة الماضية ككون الأمر حقيقة في الوجوب فعلاً فيحكم بكونه كذلك إلى عصر الرسالة، ولكن المقام على عكسه أي‌من قبيل جرّ الحالة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المتيقّن قبل الصلاة إلى الحالة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قبلِ الصلاة إلى حالها، وبعدها، والشكّ وإن كان حادثاً بعد الصلاة لكن المشكوك هو الحدث المتقدّم على الصلاة المشكوك بقاؤه فيحكم ببقائه إلى ما بعد الصلاة</w:t>
      </w:r>
      <w:r>
        <w:rPr>
          <w:rFonts w:eastAsia="Amiri" w:cs="Amiri" w:ascii="Amiri" w:hAnsi="Amiri"/>
          <w:color w:val="111111"/>
          <w:sz w:val="28"/>
          <w:szCs w:val="28"/>
          <w:rtl w:val="true"/>
          <w:lang w:bidi="ar-SA"/>
        </w:rPr>
        <w:t>.</w:t>
      </w:r>
    </w:p>
    <w:p>
      <w:pPr>
        <w:pStyle w:val="Heading6"/>
        <w:numPr>
          <w:ilvl w:val="5"/>
          <w:numId w:val="1"/>
        </w:numPr>
        <w:rPr/>
      </w:pPr>
      <w:bookmarkStart w:id="225" w:name="__RefHeading___Toc7507028_3381743652"/>
      <w:bookmarkStart w:id="226" w:name="_Toc84"/>
      <w:bookmarkEnd w:id="225"/>
      <w:r>
        <w:rPr>
          <w:rtl w:val="true"/>
        </w:rPr>
        <w:t>الفرع الثاني</w:t>
      </w:r>
      <w:bookmarkEnd w:id="226"/>
    </w:p>
    <w:p>
      <w:pPr>
        <w:pStyle w:val="BookText"/>
        <w:rPr/>
      </w:pPr>
      <w:r>
        <w:rPr>
          <w:rFonts w:ascii="Amiri" w:hAnsi="Amiri" w:eastAsia="Amiri" w:cs="Amiri"/>
          <w:color w:val="111111"/>
          <w:sz w:val="28"/>
          <w:sz w:val="28"/>
          <w:szCs w:val="28"/>
          <w:rtl w:val="true"/>
          <w:lang w:bidi="ar-SA"/>
        </w:rPr>
        <w:t>إذا أحدث ثمّ شكّ في ارتفاعه ثمّ غفل وصلّى ثمّ شكّ في أنّه توضّأ أم لا؟</w:t>
      </w:r>
    </w:p>
    <w:p>
      <w:pPr>
        <w:pStyle w:val="BookText"/>
        <w:rPr/>
      </w:pPr>
      <w:r>
        <w:rPr>
          <w:rFonts w:ascii="Amiri" w:hAnsi="Amiri" w:eastAsia="Amiri" w:cs="Amiri"/>
          <w:color w:val="111111"/>
          <w:sz w:val="28"/>
          <w:sz w:val="28"/>
          <w:szCs w:val="28"/>
          <w:rtl w:val="true"/>
          <w:lang w:bidi="ar-SA"/>
        </w:rPr>
        <w:t>قال الشيخ والمحقّق الخراساني ببطلان الصلاة لحدوث الشكّ قبل الصلاة، وإن غفل عنه لكنّه كان موجوداً في صقع ذهنه، وعدم جريان قاعدة الفراغ لاختصاصها بما إذا كان الشكّ حادثاً بعد العمل والمفروض حدوثه قبله ولكنّه 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باطلة كما صرّحا به، لجريان الاستصحاب إمّا لكفاية الشكّ المذهول عنه الموجود في صقع النفس، أو لكفاية التوجّه إلى الشكّ المذهول عنه بعد الصلاة، فيحكم ببقاء الحدث من لدن وجوده إلى زمان الفراغ من الصلاة كما تقدّم في الفرع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قاعدة الفراغ فلوجهين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 مجراها هوالشكّ الحادث بعد العمل لا المتقدّم عليه، الموجود في صُقع النفس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مجراها إنّما هو احتمال ترك الجزء أو الشرط مستنداً إلى احتمال </w:t>
      </w:r>
      <w:bookmarkStart w:id="227" w:name="pg14367_157089"/>
    </w:p>
    <w:p>
      <w:pPr>
        <w:pStyle w:val="BookText"/>
        <w:rPr/>
      </w:pPr>
      <w:bookmarkEnd w:id="227"/>
      <w:r>
        <w:rPr>
          <w:rFonts w:ascii="Amiri" w:hAnsi="Amiri" w:eastAsia="Amiri" w:cs="Amiri"/>
          <w:color w:val="111111"/>
          <w:sz w:val="28"/>
          <w:sz w:val="28"/>
          <w:szCs w:val="28"/>
          <w:rtl w:val="true"/>
          <w:lang w:bidi="ar-SA"/>
        </w:rPr>
        <w:t>الغفلة فيدفع بالأذكريّة حين العمل لا في مثل مقامنا الذي تكون الغفلة فيه محرزة، واحتمال الصحّة مستنداً إلى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سبق أنّ الصلاة في كلتا الصورتين باطلة</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7507030_3381743652"/>
      <w:bookmarkStart w:id="229" w:name="_Toc85"/>
      <w:bookmarkEnd w:id="228"/>
      <w:r>
        <w:rPr>
          <w:rtl w:val="true"/>
        </w:rPr>
        <w:t>الفرع الثالث</w:t>
      </w:r>
      <w:bookmarkEnd w:id="229"/>
    </w:p>
    <w:p>
      <w:pPr>
        <w:pStyle w:val="BookText"/>
        <w:rPr/>
      </w:pPr>
      <w:r>
        <w:rPr>
          <w:rFonts w:ascii="Amiri" w:hAnsi="Amiri" w:eastAsia="Amiri" w:cs="Amiri"/>
          <w:color w:val="111111"/>
          <w:sz w:val="28"/>
          <w:sz w:val="28"/>
          <w:szCs w:val="28"/>
          <w:rtl w:val="true"/>
          <w:lang w:bidi="ar-SA"/>
        </w:rPr>
        <w:t>إذا كان المكلّف عالماً بالطهارة، ثمّ شكّ في بقائها، ثمّ‌غفل وصلّى، ثمّ شكّ في بقاء الطهارة حال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الفرع كسابقه بيد انّ المتيقّن هنا الطهارة وهناك المتيقّن هو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فيجري فيها استصحاب الطهارة بأحد الوجهين كما عرفت في الفرع الثاني إمّا لكون الشكّ فعلياً موجوداً في صقع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ملتفتاً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لكفاية التوجّه إلى الشكّ المذهول عنه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فاستصحاب الطهارة يلازم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تجري قاعدة الفراغ وإن كانت تتحد في النتيجة مع قاعدة الاستصحاب للوجهين السابقين في الفرع الثاني،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ملاكها هو الشكّ الحادث بعد العمل لا الشكّ الموجود قبل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مجراها هوا حتمال ترك الجزء أو الشرط مستنداً إلى احتمال الغفلة لا في مثل المقام الذي كانت الغفلة محرزة فيه</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7507032_3381743652"/>
      <w:bookmarkStart w:id="231" w:name="_Toc86"/>
      <w:bookmarkEnd w:id="230"/>
      <w:r>
        <w:rPr>
          <w:rtl w:val="true"/>
        </w:rPr>
        <w:t>الفرع الرابع</w:t>
      </w:r>
      <w:bookmarkEnd w:id="23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عالماً بالطهارة ثمّ شك في بقائها، ثمّ غفل، وصلّى، وحصل له بعد الصلاة العلم بتوارد الحالتين عليه من الطهور والحدث قبل الصلاة مع عدم معرفة المتقدم منهما عن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فربما يقال بجريان استصحاب الطهارة إمّا لكون </w:t>
      </w:r>
    </w:p>
    <w:p>
      <w:pPr>
        <w:pStyle w:val="BookText"/>
        <w:rPr/>
      </w:pPr>
      <w:r>
        <w:rPr>
          <w:rFonts w:ascii="Amiri" w:hAnsi="Amiri" w:eastAsia="Amiri" w:cs="Amiri"/>
          <w:color w:val="111111"/>
          <w:sz w:val="28"/>
          <w:sz w:val="28"/>
          <w:szCs w:val="28"/>
          <w:rtl w:val="true"/>
          <w:lang w:bidi="ar-SA"/>
        </w:rPr>
        <w:t xml:space="preserve">الشكّ فعلياً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لكفاية‌التوجّه إليه بعد الصلاة، وعدم جريان القاعدة لأنّ الشكّ ليس حادثاً بعد الصلاة، بل هو نفس الشكّ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الظاهر عدم جريان الاستصحاب أيضاً لانقطاع اليقين بالطهارة وعلم المكلّف بارتفاعها قطعاً، وذلك بسبب العلم الإجمالي بتوارد الحالتين عليه بعد الشكّ، فالطهارة السابقة المتيقّنة منتفية قطعاً، إمّا لتوسط الحدث بين الطهارتين، وإمّا لوقوعه بعدهما وعلى كلّ حال فالطهارة المتيقّنة الأُولى قطعية الارتفاع فكيف تستصحب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المرجع عندئذٍ بعد عدم إمكان استصحاب الطهارة المتيقّنة الارتفاع؟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سيوافيك انّه يجب الأخذ بضد الحالة السابقة،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و الحكم بكون الإنسان محدِثاً والصلاة باطلة، لأنّه يشترط في تنجيز العلم الإجمالي تعلّقه بأمر يكون على كلّ تقدير مؤثراً ومحدثاً للتكليف كالعلم بوقوع الدم في أحد الإناءين الطاهرين، لا ما إذا علم بوقوعه في أحد الإناءين نعلم بنجاسة أحدهما معيناً، فانّه لا يحدث التكليف إلّاإذا وقع في الإناء الطاهر دون النجس</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المقام حيث علم بتوارد إحدى الحالتين بعد الطهارة الأُولى، فلو كان الوارد عليها هو الحدث لأثّر قطعاً، ولو كان الوارد هو الطهارة لما أثّر بل كان مؤكداً، فتعلّق العلم بتوارد إحدى الحالتين ليس من قبيل تعلّقه بشيء مؤثر على كلّ تقدير، وعلى هذا فالعلم الإجمالي بحدوث أحد الأمرين بعد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الوضوء أو الحدث أشبه بما إذا علم إجمالاً بحدوث أحد الأمرين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العطسة أو الحدث، فلو كان الحادث هو العطسة لما أثّر، ولو كان الحادث هو الحدث لأثّر، فيؤخذ بما هوالمؤثر على كلّ تقدير حتى ارتفاعه وهو الحدث وسيوافيك بيانه في تنبيه خاص</w:t>
      </w:r>
      <w:r>
        <w:rPr>
          <w:rFonts w:eastAsia="Amiri" w:cs="Amiri" w:ascii="Amiri" w:hAnsi="Amiri"/>
          <w:color w:val="111111"/>
          <w:sz w:val="28"/>
          <w:szCs w:val="28"/>
          <w:rtl w:val="true"/>
          <w:lang w:bidi="ar-SA"/>
        </w:rPr>
        <w:t xml:space="preserve">. </w:t>
      </w:r>
      <w:bookmarkStart w:id="232" w:name="pg14367_157091"/>
    </w:p>
    <w:p>
      <w:pPr>
        <w:pStyle w:val="BookText"/>
        <w:rPr/>
      </w:pPr>
      <w:bookmarkEnd w:id="232"/>
      <w:r>
        <w:rPr>
          <w:rFonts w:ascii="Amiri" w:hAnsi="Amiri" w:eastAsia="Amiri" w:cs="Amiri"/>
          <w:color w:val="111111"/>
          <w:sz w:val="28"/>
          <w:sz w:val="28"/>
          <w:szCs w:val="28"/>
          <w:rtl w:val="true"/>
          <w:lang w:bidi="ar-SA"/>
        </w:rPr>
        <w:t>التنبيهات</w:t>
      </w:r>
    </w:p>
    <w:p>
      <w:pPr>
        <w:pStyle w:val="Heading5"/>
        <w:numPr>
          <w:ilvl w:val="4"/>
          <w:numId w:val="1"/>
        </w:numPr>
        <w:rPr/>
      </w:pPr>
      <w:bookmarkStart w:id="233" w:name="__RefHeading___Toc7507034_3381743652"/>
      <w:bookmarkStart w:id="234" w:name="_Toc87"/>
      <w:bookmarkEnd w:id="233"/>
      <w:r>
        <w:rPr/>
        <w:t>3</w:t>
      </w:r>
      <w:r>
        <w:rPr>
          <w:rtl w:val="true"/>
        </w:rPr>
        <w:t xml:space="preserve">- </w:t>
      </w:r>
      <w:r>
        <w:rPr>
          <w:rtl w:val="true"/>
        </w:rPr>
        <w:t>إذا كان المتيقّن محرزاً بالأمارة</w:t>
      </w:r>
      <w:bookmarkEnd w:id="234"/>
    </w:p>
    <w:p>
      <w:pPr>
        <w:pStyle w:val="BookText"/>
        <w:rPr/>
      </w:pPr>
      <w:r>
        <w:rPr>
          <w:rFonts w:ascii="Amiri" w:hAnsi="Amiri" w:eastAsia="Amiri" w:cs="Amiri"/>
          <w:color w:val="111111"/>
          <w:sz w:val="28"/>
          <w:sz w:val="28"/>
          <w:szCs w:val="28"/>
          <w:rtl w:val="true"/>
          <w:lang w:bidi="ar-SA"/>
        </w:rPr>
        <w:t>قد عرفت أنّ اليقين بالحدوث والشكّ في البقاء من أركان الاستصحاب ففيما إذا كان المتيقّن محرزاً بالوجدان، فالركن الأوّل موجود بالوجدان، وأمّا إذا كان محرزاً بدليل غير قطعي كالأمارة والبيّنة فشكّ في بقاء حكم أو موضوع، قاما عليه، فهل يجري فيه الاستصحاب؟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إحراز الثبوت فلا يقين ولا بدّ منه بل ولا شكّ فانّه على تقدير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الإشكال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الخراساني وهو أنّ اعتبار اليقين إنّما هو لأجل إمكان التعبد والتنزيل شرعاً في البقاء لا في الحدوث، فيكفي فيه الشكّ على تقدير الثبوت فيتعبد به على هذا التقدير، فيترتب عليه الأثر فيما كان هناك 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يُذبُّ عمّا في استصحاب الأحكام التي قامت الأمارة المعتبرة على مجرد ثبوتها وقد شكّ في بقائها على تقدير ثبوتها حيث أشكل عليه بأنّه لا يقين بالحكم الواقعي ولا يكون هناك حكم آخر 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الواقعي الذي هو مؤدّى الطريق، حينئذٍ محكوم بالبقاء فيكون الحجّة على ثبوته، حجّة على بقائه تعبّداً للملازمة بينه و بين ثبوته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أورد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اليقين بالشيء في التعبّد ببقائه في الأخبار، ولا يقين </w:t>
      </w:r>
    </w:p>
    <w:p>
      <w:pPr>
        <w:pStyle w:val="BookText"/>
        <w:rPr/>
      </w:pPr>
      <w:r>
        <w:rPr>
          <w:rFonts w:ascii="Amiri" w:hAnsi="Amiri" w:eastAsia="Amiri" w:cs="Amiri"/>
          <w:color w:val="111111"/>
          <w:sz w:val="28"/>
          <w:sz w:val="28"/>
          <w:szCs w:val="28"/>
          <w:rtl w:val="true"/>
          <w:lang w:bidi="ar-SA"/>
        </w:rPr>
        <w:t>في فرض تقدير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بأنّ الظاهر انّه أخذ كشفاً عنه ومرآتاً لثبوته ليكون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في بقائه، والتعبّد في فرض ثبوته إنّما يكون في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بالثبوت من أركان الاستصحاب وكان المراد منه، هو اليقين المنطقي فمعنى ذلك، هو جريان الاستصحاب، مع عدم بعض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أنّ اعتبار اليقين بالحدوث، لأجل إمكان التعبد في البقاء فيكفي الشكّ على تقدير الثبوت، بمعنى نفي ركنية اليقين في 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اليقين مأخوذاً على نحو الطريقية إلى المتعلّق ليتمكن من الحكم بالبقاء وعليه يكفي فرض ثبوته مع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وإن كان مأخوذاً على نحو الطريقية إلى المتعلّق، لكنّه في مقام الاحتجاج أخذ على نحو الموضوعية فيحتجّ على المولى باليقين السابق، وانّه أمر صلب لا ينقصه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يتوقف على اليقين الفعلي، لا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بالحكم الواقعي وإن لم يكن موجوداً لكن اليقين بالحكم الظاهري متحقّق بما على القول بأنّ مآل حجّية الأمارات إلى جعل الحكم الشرعي المماثل لمؤدّى الأمارة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في الأمارة ليس إلّاإمضاء ما بيد العرف والعقلاء، وحجّية الأمارة عندهم ليس إلّا لكونه منجِّزاً عند الإصابة، ومعذِّراً عند المخالفة، فلو صادفت الواقع، فالحكم المجعول هو الواقع الذي تنجّز بالأمارة وإن خالف </w:t>
      </w:r>
    </w:p>
    <w:p>
      <w:pPr>
        <w:pStyle w:val="BookText"/>
        <w:rPr/>
      </w:pPr>
      <w:r>
        <w:rPr>
          <w:rFonts w:ascii="Amiri" w:hAnsi="Amiri" w:eastAsia="Amiri" w:cs="Amiri"/>
          <w:color w:val="111111"/>
          <w:sz w:val="28"/>
          <w:sz w:val="28"/>
          <w:szCs w:val="28"/>
          <w:rtl w:val="true"/>
          <w:lang w:bidi="ar-SA"/>
        </w:rPr>
        <w:t>يبقى الحكم الواقعي على شأنيته من دون جعل حكم ثانوي بل يكون المكلّف معذوراً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النائيني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منشأ الإشكال توهم كون المجعول فيها المنجّزيّة والمعذِّرية، لا الإحراز والوسطية في الإثبات فإذا كان المجعول فيها هو الثاني، تكون حال الأمارات، حال العلم في صورة المطابقة والمخالفة، ويكون المؤدّى محرزاً، ويجري فيه الاستصحاب عند الشكّ كما لو كان محرزاً بالعلم الوجداني بلا إشكال أصلاً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الشارع جعل الأمارة منزلة العلم، فكما أنّ العلم محرز للواقع فكذا الأمارة محرزة للواقع، تعبّداً، فصار للعلم فردان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وجداني وتعبدي، فيكون المكلّف بعد قيام الأمارة محرِزاً للواقع وعالماً به، وبما أنّ اليقين في أدلّة الاستصحاب لم يؤخذ بما هو وصف قائم في النفس بل أخذ طريقاً صحّ قيام الأمارة مقام اليقين</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ذكره من أنّ المجعول في باب الأمارات هوالوسطية في الإثبات والطريقية والإحراز، مبني على وجود الجعل فيها، وأمّا على القول، بأنّ حجّية الأمارات إمضائي لا تأسيسيّ، أي‌إمضاء ماعليه العقلاء بما انّها مفيدة للإطمئنان، أو مصيب للواقع غالباً فيكون الجواب أشبه بالسالبة بانتفاء الموضوع</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نفترض انّ حجّية الأمارة مجعولة لكن الطريقية أو الوسطية في الإثبات وما يشابهما غير صالحين للجعل، لأنّهما بالمعنى التكويني غير قابلين للجعل، لأنّ الشيء في التكوين إمّا طريق أو غير طريق، فالقطع و الظن </w:t>
      </w:r>
    </w:p>
    <w:p>
      <w:pPr>
        <w:pStyle w:val="BookText"/>
        <w:rPr/>
      </w:pPr>
      <w:r>
        <w:rPr>
          <w:rFonts w:ascii="Amiri" w:hAnsi="Amiri" w:eastAsia="Amiri" w:cs="Amiri"/>
          <w:color w:val="111111"/>
          <w:sz w:val="28"/>
          <w:sz w:val="28"/>
          <w:szCs w:val="28"/>
          <w:rtl w:val="true"/>
          <w:lang w:bidi="ar-SA"/>
        </w:rPr>
        <w:t>طريقان، والشكّ والوهم ليسا بطريقين، وبالمعنى الاعتباري وإن كانا قابلين للجعل، لكن لا حاجة إليه بعد كون الأمارة واجدة له ناقصاً نسبيّاً تكويناً وبمعنى تتميم الكشف غير معقول، لأنّ التتميم إنّما يتصوّر إذا كان المتمم والمتمم من سنخ واحد لا من سنخين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اليقين يستعمل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المنطقي، وهو الاعتقاد الجازم المطابق للواقع،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أي‌ما يحتج به العبد على المولى، والمولى على العبد، سواء كان اعتقاداً جازماً، أو ما جعله الشارع حجة في دائرة إطاعة أوامره ونواهيه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استعمل العلم واليقين بهذا المعنى في الأبواب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النهي عن القول بغير 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النهي عن الاستيكال بالعلم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النهي عن الإفتاء بغير علم</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ومن المعلوم جواز القول والإفتاء بالحجج الشرعية، واليقين الوارد في أخبار الاستصحاب هو اليقين بمعنى الحجّة، لا اليقين المنطقي</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أنّ اليقين الوارد في صحاح زرارة ليس هو اليقين بالمعنى المنطقي، بل بمعنى الحجّة الشرعية، هو أنّ المستند، لطهارة بدن زرارة وثوبه، والماء الذي توضأ به، هو أصالة الطهارة، أو إخبار زوجته، أو غير ذلك من </w:t>
      </w:r>
    </w:p>
    <w:p>
      <w:pPr>
        <w:pStyle w:val="BookText"/>
        <w:rPr/>
      </w:pPr>
      <w:r>
        <w:rPr>
          <w:rFonts w:ascii="Amiri" w:hAnsi="Amiri" w:eastAsia="Amiri" w:cs="Amiri"/>
          <w:color w:val="111111"/>
          <w:sz w:val="28"/>
          <w:sz w:val="28"/>
          <w:szCs w:val="28"/>
          <w:rtl w:val="true"/>
          <w:lang w:bidi="ar-SA"/>
        </w:rPr>
        <w:t>الأمارات الجارية في الموضوعات فلم يكن له يقين بالمعنى المنطقي، وعلى ذلك فمعنى لا تنقض اليقين بالشك، أي‌لا تنقض الحجّة باللا حجة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الأمارات، وأمّا مفاد الأُصول فلا حاجة في إحراز حكمها إلى الحالة اللاحقة بالاستصحاب، بل دليل الأصل كاف لإثبات حكمه في ثواني الحالات وثوالثها، لأنّ الموضوع هو الشكّ وهو كاف في الحكم بالطهارة والحلية في الآن الثاني والثالث، ولذلك تكون أصالة الطهارة والحلية متقدمتين على استصحابهما، لما مرّ من أنّهما أقل مؤنة حيث يكفي في جريانهما الشكّ من دون حاجة إلى لحاظ الحالة السابقة، بخلاف الاستصحاب، فالموضوع فيه هو الشكّ الملحوظ فيه الحالة السابقة</w:t>
      </w:r>
      <w:r>
        <w:rPr>
          <w:rFonts w:eastAsia="Amiri" w:cs="Amiri" w:ascii="Amiri" w:hAnsi="Amiri"/>
          <w:color w:val="111111"/>
          <w:sz w:val="28"/>
          <w:szCs w:val="28"/>
          <w:rtl w:val="true"/>
          <w:lang w:bidi="ar-SA"/>
        </w:rPr>
        <w:t xml:space="preserve">. </w:t>
      </w:r>
      <w:bookmarkStart w:id="235" w:name="pg14367_157096"/>
    </w:p>
    <w:p>
      <w:pPr>
        <w:pStyle w:val="BookText"/>
        <w:rPr/>
      </w:pPr>
      <w:bookmarkEnd w:id="235"/>
      <w:r>
        <w:rPr>
          <w:rFonts w:ascii="Amiri" w:hAnsi="Amiri" w:eastAsia="Amiri" w:cs="Amiri"/>
          <w:color w:val="111111"/>
          <w:sz w:val="28"/>
          <w:sz w:val="28"/>
          <w:szCs w:val="28"/>
          <w:rtl w:val="true"/>
          <w:lang w:bidi="ar-SA"/>
        </w:rPr>
        <w:t>التنبيهات</w:t>
      </w:r>
    </w:p>
    <w:p>
      <w:pPr>
        <w:pStyle w:val="Heading5"/>
        <w:numPr>
          <w:ilvl w:val="4"/>
          <w:numId w:val="1"/>
        </w:numPr>
        <w:rPr/>
      </w:pPr>
      <w:bookmarkStart w:id="236" w:name="__RefHeading___Toc7507036_3381743652"/>
      <w:bookmarkStart w:id="237" w:name="_Toc88"/>
      <w:bookmarkEnd w:id="236"/>
      <w:r>
        <w:rPr/>
        <w:t>4</w:t>
      </w:r>
      <w:r>
        <w:rPr>
          <w:rtl w:val="true"/>
        </w:rPr>
        <w:t xml:space="preserve">- </w:t>
      </w:r>
      <w:r>
        <w:rPr>
          <w:rtl w:val="true"/>
        </w:rPr>
        <w:t>في استصحاب الكلّي</w:t>
      </w:r>
      <w:bookmarkEnd w:id="237"/>
    </w:p>
    <w:p>
      <w:pPr>
        <w:pStyle w:val="Heading6"/>
        <w:numPr>
          <w:ilvl w:val="5"/>
          <w:numId w:val="1"/>
        </w:numPr>
        <w:rPr/>
      </w:pPr>
      <w:bookmarkStart w:id="238" w:name="__RefHeading___Toc7507038_3381743652"/>
      <w:bookmarkStart w:id="239" w:name="_Toc89"/>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ولنقدّم أُموراً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7507040_3381743652"/>
      <w:bookmarkStart w:id="241" w:name="_Toc90"/>
      <w:bookmarkEnd w:id="240"/>
      <w:r>
        <w:rPr/>
        <w:t>1</w:t>
      </w:r>
      <w:r>
        <w:rPr>
          <w:rtl w:val="true"/>
        </w:rPr>
        <w:t xml:space="preserve">. </w:t>
      </w:r>
      <w:r>
        <w:rPr>
          <w:rtl w:val="true"/>
        </w:rPr>
        <w:t>ما هو المراد من الكلّي في المقام؟</w:t>
      </w:r>
      <w:bookmarkEnd w:id="241"/>
    </w:p>
    <w:p>
      <w:pPr>
        <w:pStyle w:val="BookText"/>
        <w:rPr/>
      </w:pPr>
      <w:r>
        <w:rPr>
          <w:rFonts w:ascii="Amiri" w:hAnsi="Amiri" w:eastAsia="Amiri" w:cs="Amiri"/>
          <w:color w:val="111111"/>
          <w:sz w:val="28"/>
          <w:sz w:val="28"/>
          <w:szCs w:val="28"/>
          <w:rtl w:val="true"/>
          <w:lang w:bidi="ar-SA"/>
        </w:rPr>
        <w:t>المراد من الكلّي في المقام، هو ذات الطبيعي، والذي يعبّر عنه بالكلّي الطبيعي الذي تعرضه الكلية ويسمّى العارض والمعروض كلياً عقلياً، وعليه يكون المراد من استصحابه هو استصحاب الجامع بين الفردين من الحكم إذا كان الاستصحاب حكمياً، أو الجامع بين الموضوعين إذا كان الاستصحاب موضوعياً</w:t>
      </w:r>
      <w:r>
        <w:rPr>
          <w:rFonts w:eastAsia="Amiri" w:cs="Amiri" w:ascii="Amiri" w:hAnsi="Amiri"/>
          <w:color w:val="111111"/>
          <w:sz w:val="28"/>
          <w:szCs w:val="28"/>
          <w:rtl w:val="true"/>
          <w:lang w:bidi="ar-SA"/>
        </w:rPr>
        <w:t>.</w:t>
      </w:r>
    </w:p>
    <w:p>
      <w:pPr>
        <w:pStyle w:val="Heading6"/>
        <w:numPr>
          <w:ilvl w:val="5"/>
          <w:numId w:val="1"/>
        </w:numPr>
        <w:rPr/>
      </w:pPr>
      <w:bookmarkStart w:id="242" w:name="__RefHeading___Toc7507042_3381743652"/>
      <w:bookmarkStart w:id="243" w:name="_Toc91"/>
      <w:bookmarkEnd w:id="242"/>
      <w:r>
        <w:rPr/>
        <w:t>2</w:t>
      </w:r>
      <w:r>
        <w:rPr>
          <w:rtl w:val="true"/>
        </w:rPr>
        <w:t xml:space="preserve">. </w:t>
      </w:r>
      <w:r>
        <w:rPr>
          <w:rtl w:val="true"/>
        </w:rPr>
        <w:t>في بيان أقسام استصحاب الكلي</w:t>
      </w:r>
      <w:bookmarkEnd w:id="243"/>
    </w:p>
    <w:p>
      <w:pPr>
        <w:pStyle w:val="BookText"/>
        <w:rPr/>
      </w:pPr>
      <w:r>
        <w:rPr>
          <w:rFonts w:ascii="Amiri" w:hAnsi="Amiri" w:eastAsia="Amiri" w:cs="Amiri"/>
          <w:color w:val="111111"/>
          <w:sz w:val="28"/>
          <w:sz w:val="28"/>
          <w:szCs w:val="28"/>
          <w:rtl w:val="true"/>
          <w:lang w:bidi="ar-SA"/>
        </w:rPr>
        <w:t>ذكر الشيخ الأعظم والمحقّق الخراساني له أقساماً ثلاثة، وزاد المحقّق الخوئي عليها قسماً رابعاً، وإليك البيان</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بتحقّق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فرد، كزيد وشكّ في بقائه، فكما يجوز استصحاب الفرد، كذلك يجوز استصحاب الجامع بينه و بين فرد آخر وهو الإنسانية، لأنّ العلم بوجود زيد في البيت، يستعقب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بوجود فرد من الإنسان فيه، وعلماً بوجود الإنسان بلا لحاظ الخصوصية، فعند الشكّ يجوز استصحاب الفرد كما يجوز استصحاب الكلّي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بتحقّق الكلّي في ضمن فرد مردّد بين متيقّن الزوال و متيقّن البقاء، كما إذا علم بوجود إنسان في الدار مردّد بين زيد الذي هو قطعي الزوال وعمرو الذي هو متيقّن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المثال الفقهي، فكما إذا علم بخروج رطوبة مردّدة بين البول والمني فتوضأ ولم يغتسل، فلو كان الفرد الحادث، الحدثَ الأصغر فقد ارتفع قطعاً، ولو كان الحدث الأكثر فهو باق قطعاً فيُستصحَب 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عكس، أي‌اغتسل ولم يتوضأ، فلو كان الحدث هو الأكبر، فقد ارتفع، ولو كان هو الأصغر فهو باق، لأنّ الغسل إنّما يُزيلَ الحدثَ الأصغر إذا كان الحدثُ الأكبر أمراً قطعياً، لا ما إذا كان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المستصحب مردّداً بين متيقّن الارتفاع، ومحتمل البقاء، ففي المثال المزبور إذا توضأ ومع ذلك احتمل الاغتسال أيضاً، فالحدث الأصغر قطعي الارتفاع، ولكن الأكبر محتمله، فيستصحب الكلي والجامع بين الحدثين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بتحقّق الكلّي في ضمن فرد معين قطعي الزوال ولكن يحتمل أن يكون في البيت، فرد آخر أيضاً مقارناً، مع وجود الأوّل، أو مقارناً مع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مثاله الفقهي، فكما إذا نام و احتمل احتلامه في النوم فتوضّأ بالفرد المتحقّق في ضمنه الكلّي قطعي الارتفاع لكن نحتمل بقاء الكلي في ضمن فرد آخر مقارن معه وهو الجنابة فيستصحب مطلق الحدث</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بوجود فرد معين وعلمنا بارتفاع هذا الفرد، ولكن علمنا بوجود معنون بعنوان يحتمل انطباقه على هذا الفرد المرتفع، وعلى الفرد الآخر الباقي، كما لو علم بوجود زيد في الدار وعلم بوجود قرشي فيها، يحتمل أن يكون </w:t>
      </w:r>
      <w:bookmarkStart w:id="244" w:name="pg14367_157098"/>
    </w:p>
    <w:p>
      <w:pPr>
        <w:pStyle w:val="BookText"/>
        <w:rPr/>
      </w:pPr>
      <w:bookmarkEnd w:id="244"/>
      <w:r>
        <w:rPr>
          <w:rFonts w:ascii="Amiri" w:hAnsi="Amiri" w:eastAsia="Amiri" w:cs="Amiri"/>
          <w:color w:val="111111"/>
          <w:sz w:val="28"/>
          <w:sz w:val="28"/>
          <w:szCs w:val="28"/>
          <w:rtl w:val="true"/>
          <w:lang w:bidi="ar-SA"/>
        </w:rPr>
        <w:t>هذا القرشي هو نفسَ زيد، ويحتمل أن يكون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القسم الثالث والرابع هو وحدة العلم في الثالث حيث يعلم بوجود زيد في الدار ولكن يحتمل أن يكون معه فرد آخر؛ بخلاف المقام، فإنّ هنا علمين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بوجود زيد في الدار، وعلم بوجود القرشي فيها، لكن يحتمل اتحادهما مصداقاً، فلو خرج زيد منها، شك في بقاء الإنسان فيستصحب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أنّ البقاء في القسم الثاني رهن تعدّد الفردين قطعاً، لكن البقاء في القسم الرابع رهن احتمال تعدّد الفردين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ومثاله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بالجنابة ليلة الخميس واغتسل منه، ثمّ رأى المني في ثوبه يوم الجمعة يحتمل أن يكون أثراً للجنابة المرتفعة، كما يحتمل أن يكون أثراً للجنابة الجديدة، فيستصحب الحدث الجامع حيث يعلم بحدوث الجنابة حين خروج المني المرئي</w:t>
      </w:r>
      <w:r>
        <w:rPr>
          <w:rFonts w:eastAsia="Amiri" w:cs="Amiri" w:ascii="Amiri" w:hAnsi="Amiri"/>
          <w:color w:val="111111"/>
          <w:sz w:val="28"/>
          <w:szCs w:val="28"/>
          <w:rtl w:val="true"/>
          <w:lang w:bidi="ar-SA"/>
        </w:rPr>
        <w:t>.</w:t>
      </w:r>
    </w:p>
    <w:p>
      <w:pPr>
        <w:pStyle w:val="Heading6"/>
        <w:numPr>
          <w:ilvl w:val="5"/>
          <w:numId w:val="1"/>
        </w:numPr>
        <w:rPr/>
      </w:pPr>
      <w:bookmarkStart w:id="245" w:name="__RefHeading___Toc7507044_3381743652"/>
      <w:bookmarkStart w:id="246" w:name="_Toc92"/>
      <w:bookmarkEnd w:id="245"/>
      <w:r>
        <w:rPr/>
        <w:t>3</w:t>
      </w:r>
      <w:r>
        <w:rPr>
          <w:rtl w:val="true"/>
        </w:rPr>
        <w:t xml:space="preserve">. </w:t>
      </w:r>
      <w:r>
        <w:rPr>
          <w:rtl w:val="true"/>
        </w:rPr>
        <w:t>ترتب الأثر على الجامع</w:t>
      </w:r>
      <w:bookmarkEnd w:id="246"/>
    </w:p>
    <w:p>
      <w:pPr>
        <w:pStyle w:val="BookText"/>
        <w:rPr/>
      </w:pPr>
      <w:r>
        <w:rPr>
          <w:rFonts w:ascii="Amiri" w:hAnsi="Amiri" w:eastAsia="Amiri" w:cs="Amiri"/>
          <w:color w:val="111111"/>
          <w:sz w:val="28"/>
          <w:sz w:val="28"/>
          <w:szCs w:val="28"/>
          <w:rtl w:val="true"/>
          <w:lang w:bidi="ar-SA"/>
        </w:rPr>
        <w:t>انّ الأثر تارة يترتب على الفرد بما له من الخصوصية، كحرمة المكث في المسجد والعبور عن المسجدين، فانّه مترتب على عنواني الجنابة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على مطلق الحدث، كحرمة مس القرآن والدخول في الصلاة، فاستصحاب الكلّي إنّما ينفع إذا كان الأثر مترتباً على الجامع دون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فلنأخذ كلّ واحد من الأقسام بالبحث</w:t>
      </w:r>
      <w:r>
        <w:rPr>
          <w:rFonts w:eastAsia="Amiri" w:cs="Amiri" w:ascii="Amiri" w:hAnsi="Amiri"/>
          <w:color w:val="111111"/>
          <w:sz w:val="28"/>
          <w:szCs w:val="28"/>
          <w:rtl w:val="true"/>
          <w:lang w:bidi="ar-SA"/>
        </w:rPr>
        <w:t>.</w:t>
      </w:r>
    </w:p>
    <w:p>
      <w:pPr>
        <w:pStyle w:val="Heading6"/>
        <w:numPr>
          <w:ilvl w:val="5"/>
          <w:numId w:val="1"/>
        </w:numPr>
        <w:rPr/>
      </w:pPr>
      <w:bookmarkStart w:id="247" w:name="__RefHeading___Toc7507046_3381743652"/>
      <w:bookmarkStart w:id="248" w:name="_Toc93"/>
      <w:bookmarkEnd w:id="247"/>
      <w:r>
        <w:rPr>
          <w:rtl w:val="true"/>
        </w:rPr>
        <w:t>القسم الأوّل من أقسام استصحاب الكلّي</w:t>
      </w:r>
      <w:bookmarkEnd w:id="24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علم بتحقّق الكلّي في ضمن فرد، كالحدث في ضمن الجنابة، ثمّ شكّ في بقائه وارتفاعه فكما يجوز استصحاب الفرد فيترتب عليه أثره، كالمكث في </w:t>
      </w:r>
      <w:bookmarkStart w:id="249" w:name="pg14367_157099"/>
    </w:p>
    <w:p>
      <w:pPr>
        <w:pStyle w:val="BookText"/>
        <w:rPr/>
      </w:pPr>
      <w:bookmarkEnd w:id="249"/>
      <w:r>
        <w:rPr>
          <w:rFonts w:ascii="Amiri" w:hAnsi="Amiri" w:eastAsia="Amiri" w:cs="Amiri"/>
          <w:color w:val="111111"/>
          <w:sz w:val="28"/>
          <w:sz w:val="28"/>
          <w:szCs w:val="28"/>
          <w:rtl w:val="true"/>
          <w:lang w:bidi="ar-SA"/>
        </w:rPr>
        <w:t>المساجد، والعبور من المسجدين، يجوز استصحاب الجامع بين الأحداث ويترتب عليه حرمة مسِّ كتابة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تحقّق الكلّي في ضمن فرد كالإنسان في ضمن زيد، والحدث في مثل الجنابة، فقد تحقّق في مصداق خاص، وخرج عن كونه كليّاً، وعلى ضوء هذا يرجع استصحاب الكلي إلى استصحاب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وإن كان صحيحاً، لأنّ الطبيعي يتكثر بتكثر أفراده ويكون عين الفرد ونفسه،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النظر إلى الطبيعي بمنظارين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 بما هو متحقّق في الخارج مع المشخّصات الفرديّة التي تُمثِّل زيداً، و النظر إليه بما هوهو مع قطع النظر عن الخصوصيات الشخصية، والعناوين المفرِّدة، وهذا هو المراد من استصحاب الكلي، من غير فرق بين كون الجامع جامعاً للموضوعات كالإنسانية، أو جامعاً للأحكام، فإذا دلّ الدليل على وجوب الشيء، فكما يصحّ استصحاب الفرد،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يصحّ استصحاب الطلب الجامع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وتصوّر أنّ المجعول هو الفرد،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دون الجامع، مدفوع، لانّ جعل الفرد، هو عين جعل الطبيعي، فإيجاد زيد في الخارج عين إيجاد الإنسان، وإنشاء الوجوب في عالم الاعتبار عين إنشاء الطلب</w:t>
      </w:r>
      <w:r>
        <w:rPr>
          <w:rFonts w:eastAsia="Amiri" w:cs="Amiri" w:ascii="Amiri" w:hAnsi="Amiri"/>
          <w:color w:val="111111"/>
          <w:sz w:val="28"/>
          <w:szCs w:val="28"/>
          <w:rtl w:val="true"/>
          <w:lang w:bidi="ar-SA"/>
        </w:rPr>
        <w:t>.</w:t>
      </w:r>
    </w:p>
    <w:p>
      <w:pPr>
        <w:pStyle w:val="Heading6"/>
        <w:numPr>
          <w:ilvl w:val="5"/>
          <w:numId w:val="1"/>
        </w:numPr>
        <w:rPr/>
      </w:pPr>
      <w:bookmarkStart w:id="250" w:name="__RefHeading___Toc7507048_3381743652"/>
      <w:bookmarkStart w:id="251" w:name="_Toc94"/>
      <w:bookmarkEnd w:id="250"/>
      <w:r>
        <w:rPr>
          <w:rtl w:val="true"/>
        </w:rPr>
        <w:t>استصحاب الكلي لا يُغني عن استصحاب الفرد</w:t>
      </w:r>
      <w:bookmarkEnd w:id="25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في أنّ استصحاب الكلي لا يُغني عن استصحاب الفرد، فلو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عليّ التصدق بدرهم إذا كان إنسان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عليّ التصدق بدينار إذا كان فيه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بقاء الإنسان لا يثبت شرعاً، </w:t>
      </w:r>
    </w:p>
    <w:p>
      <w:pPr>
        <w:pStyle w:val="BookText"/>
        <w:rPr/>
      </w:pPr>
      <w:r>
        <w:rPr>
          <w:rFonts w:ascii="Amiri" w:hAnsi="Amiri" w:eastAsia="Amiri" w:cs="Amiri"/>
          <w:color w:val="111111"/>
          <w:sz w:val="28"/>
          <w:sz w:val="28"/>
          <w:szCs w:val="28"/>
          <w:rtl w:val="true"/>
          <w:lang w:bidi="ar-SA"/>
        </w:rPr>
        <w:t>وجود زيد فيه، فلا يجب عليه إلّاالدرهم، وأمّا الدينار فإنّما يجب إذا كان بقاء زيد، مجرى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العكس وهو إغناء استصحاب الفرد عن استصحاب الكلي، وترتيب أثر الكلّي عند استصحاب الفرد، كإيجاب التصدّق بالدرهم والدينار باستصحاب بقاء زيد في الدار، وعند ذاك يكون استصحاب الكلي أمراً لغواً لقيام استصحاب الفرد مكانه هذا فقد اختلفت كلمتهم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فيظهر من المحقّق الخراساني كونه مغنياً،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الشكّ في بقاء ذات العام من جهة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الخاص الذي كان في ضمنه وارتفاعه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استصحابُه،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في تعليقته خلافه،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وإن كان عين الكلّي بالدقة، إلّاأنّه غيره عرفاً، إلّاأن يقال انّ العرف ربّما يتسامح ويرى أثر الكلي، أثر الفرد</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عينُ الطبيعي عرفاً وعقلاً، فليس الإنسان عنده شيئاً، والمصداق شيئاً آخر، بل الفرد الخارجي، مصداق العنوانين عند العرف أيضاً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فيمكن أن يقال انّ استصحاب الفرد لا يغني عن استصحاب الكلّي إذا كان الأثر مترتباً على عنوان الإنسان،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التصدّق بدرهم إذا كان في البيت إنسان، وذلك لما أفاده سيدنا الأُستاذ قائلاً بأنّ حيثية الكلي غير حيثية الخصوصيات الفردية في عالم الاعتبار ومقام تعلّق الأحكام بالموضوعات، فإيجاب إكرام كلّ إنسان، غير إكرام زيد وعمرو، فالحكم تعلّق في الأوّل بحيثية إنسانية كلّ فرد و هو غير الخصوصيات الفرديّة، فإسراء الحكم من </w:t>
      </w:r>
      <w:bookmarkStart w:id="252" w:name="pg14367_157101"/>
    </w:p>
    <w:p>
      <w:pPr>
        <w:pStyle w:val="BookText"/>
        <w:rPr/>
      </w:pPr>
      <w:bookmarkEnd w:id="252"/>
      <w:r>
        <w:rPr>
          <w:rFonts w:ascii="Amiri" w:hAnsi="Amiri" w:eastAsia="Amiri" w:cs="Amiri"/>
          <w:color w:val="111111"/>
          <w:sz w:val="28"/>
          <w:sz w:val="28"/>
          <w:szCs w:val="28"/>
          <w:rtl w:val="true"/>
          <w:lang w:bidi="ar-SA"/>
        </w:rPr>
        <w:t>أحد المتحدين في الوجود والمختلفين في الحيثية إلى الآخر، بالاستصحاب لا يمكن إلّابالأصل المثبت</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وحاصل ما أفاده انّ عنوان الإنسانية، غير عنوان الفردية، ففي مقام جعل الحكم، ترتب التصدّق بالدرهم بالعنوان الأوّل، والتصدّق بدينار بعنوان الفرد كزيد، فلا يصحّ إثبات أحد العنوانين الملازمين باستصحاب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يتم إذا كان الأثر مترتباً على عنوان الإنسان، فلا يثبت باستصحاب الفرد، وأمّا إذا كان الأثر مترتباً على مصداقه وواقعه فيثبت باستصحاب الفرد، لأنّ العلم بوجود زيد في البيت علم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الإنسانية، والخصوصية الفردية، فاستصحاب الكلّ وإثبات أحد جزئيه، ليس من الأُصول المثبتة، لأنّ العلم بالفرد منحل إلى العلم بشيئين، والعلم بذات الطبيعي مندرج في العلم بالفرد فلا يكون مثل هذا من قبيل استصحاب أحد المتحدين وإثبات المتحد الآخر، بل من قبيل استصحاب الكلّ وإثبات أحد الأجزاء</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7507050_3381743652"/>
      <w:bookmarkStart w:id="254" w:name="_Toc95"/>
      <w:bookmarkEnd w:id="253"/>
      <w:r>
        <w:rPr>
          <w:rtl w:val="true"/>
        </w:rPr>
        <w:t>القسم الثاني من أقسام استصحاب الكلّي</w:t>
      </w:r>
      <w:bookmarkEnd w:id="254"/>
    </w:p>
    <w:p>
      <w:pPr>
        <w:pStyle w:val="BookText"/>
        <w:rPr/>
      </w:pPr>
      <w:r>
        <w:rPr>
          <w:rFonts w:ascii="Amiri" w:hAnsi="Amiri" w:eastAsia="Amiri" w:cs="Amiri"/>
          <w:color w:val="111111"/>
          <w:sz w:val="28"/>
          <w:sz w:val="28"/>
          <w:szCs w:val="28"/>
          <w:rtl w:val="true"/>
          <w:lang w:bidi="ar-SA"/>
        </w:rPr>
        <w:t>إذا علمنا بوجود الكلّي في ضمن فرد مردّد بين متيقّن الارتفاع، ومتيقّن البقاء، أو مردّد بين متيقّن الارتفاع ومحتمل البقاء، وقد تقدّم مثالهما، فهل يجوز استصحاب الجامع أي‌الحدث، ليترتب عليه لزوم الغُسْل للدخول في الصلاة؟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أثر أحد الفردين بالنسبة إلى الآخر قد يكون من قبيل الأقل والأكثر، كما إذا علمنا بإصابة ثوبه نجس، مردّد بين الدم والبول، فغسله مرّة، فلو كان المصيب هو الدم فقد طهر الثوب، وإن كان البول فلا يطهر إلّابغسل ثان، وقد </w:t>
      </w:r>
      <w:bookmarkStart w:id="255" w:name="pg14367_157102"/>
    </w:p>
    <w:p>
      <w:pPr>
        <w:pStyle w:val="BookText"/>
        <w:rPr/>
      </w:pPr>
      <w:bookmarkEnd w:id="255"/>
      <w:r>
        <w:rPr>
          <w:rFonts w:ascii="Amiri" w:hAnsi="Amiri" w:eastAsia="Amiri" w:cs="Amiri"/>
          <w:color w:val="111111"/>
          <w:sz w:val="28"/>
          <w:sz w:val="28"/>
          <w:szCs w:val="28"/>
          <w:rtl w:val="true"/>
          <w:lang w:bidi="ar-SA"/>
        </w:rPr>
        <w:t>يكون من قبيل المتباينين، كما إذا تردّدت الرطوبة بين البول والمني، حيث إنّ أثر البول لا يرتفع إلّابالوضوء، بخلاف أثر المنيّ فلا يرتفع إلّابالغسل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إذا شرب حيوان نجس من الإناء، وتردّد بين الكلب و الخنزير، فعلى الأوّل يجب غسله مرّتين مع التعفير، وعلى الثاني يجب الغسل سبع مرّات، فلو غسله مرتين مع التعفير، يستصحب بقاء نجاسة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استصحاب الجامع لا يثبت أثر الفرد بل يثبت الاشتغال فقط لكن العقل يحكم بأنّ البراءة اليقينية رهن ترتيب أثر كلا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فاستصحاب الجامع يثبت الاشتغال، والعقل يتّخذه موضوعاً لحكمه وهو وجوب تحصيل البراءة، ولا تحصل إلّابالقيام بعملين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والغسل، هذا وقد أشكل على هذا القسم من استصحاب الكلّي، بوجوه</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7507052_3381743652"/>
      <w:bookmarkStart w:id="257" w:name="_Toc96"/>
      <w:bookmarkEnd w:id="256"/>
      <w:r>
        <w:rPr>
          <w:rtl w:val="true"/>
        </w:rPr>
        <w:t>الأوّل</w:t>
      </w:r>
      <w:r>
        <w:rPr>
          <w:rtl w:val="true"/>
        </w:rPr>
        <w:t xml:space="preserve">: </w:t>
      </w:r>
      <w:r>
        <w:rPr>
          <w:rtl w:val="true"/>
        </w:rPr>
        <w:t>اختلال أركان الاستصحاب</w:t>
      </w:r>
      <w:bookmarkEnd w:id="257"/>
    </w:p>
    <w:p>
      <w:pPr>
        <w:pStyle w:val="BookText"/>
        <w:rPr/>
      </w:pPr>
      <w:r>
        <w:rPr>
          <w:rFonts w:ascii="Amiri" w:hAnsi="Amiri" w:eastAsia="Amiri" w:cs="Amiri"/>
          <w:color w:val="111111"/>
          <w:sz w:val="28"/>
          <w:sz w:val="28"/>
          <w:szCs w:val="28"/>
          <w:rtl w:val="true"/>
          <w:lang w:bidi="ar-SA"/>
        </w:rPr>
        <w:t xml:space="preserve">إنّ من أركان الاستصحاب هو القطع بالحدوث، والشكّ في البقاء، ولكنّ الأمر في هذا المورد على العكس، لأنّ الفرد القصير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كونه الموجود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الارتفاع، والفرد الطويل مشكوك الحدوث، والأصل عدم حدوثه، ومع نفي الفردين فلا يبقى مورد لاستصحاب الكلي، لأنّه متحقّق بين ذا وذا، وقد تبيّن أنّ الأوّل على فرض حدوثه قطعيّ الزوال، والثاني مشكوك الحدوث</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صحيح لكنّه يحول دون استصحاب الفرد لابتلاء استصحاب كلّ من الفرد الطويل والقصير بالإشكال كما عرفت، لكنّه لا يمنع من استصحاب الكلي، ويكفي فيه أنّ حدوث الجامع قطعيّ وارتفاعه </w:t>
      </w:r>
      <w:bookmarkStart w:id="258" w:name="pg14367_157103"/>
    </w:p>
    <w:p>
      <w:pPr>
        <w:pStyle w:val="BookText"/>
        <w:rPr/>
      </w:pPr>
      <w:bookmarkEnd w:id="258"/>
      <w:r>
        <w:rPr>
          <w:rFonts w:ascii="Amiri" w:hAnsi="Amiri" w:eastAsia="Amiri" w:cs="Amiri"/>
          <w:color w:val="111111"/>
          <w:sz w:val="28"/>
          <w:sz w:val="28"/>
          <w:szCs w:val="28"/>
          <w:rtl w:val="true"/>
          <w:lang w:bidi="ar-SA"/>
        </w:rPr>
        <w:t>مشكوك</w:t>
      </w:r>
      <w:r>
        <w:rPr>
          <w:rFonts w:eastAsia="Amiri" w:cs="Amiri" w:ascii="Amiri" w:hAnsi="Amiri"/>
          <w:color w:val="111111"/>
          <w:sz w:val="28"/>
          <w:szCs w:val="28"/>
          <w:rtl w:val="true"/>
          <w:lang w:bidi="ar-SA"/>
        </w:rPr>
        <w:t>.</w:t>
      </w:r>
    </w:p>
    <w:p>
      <w:pPr>
        <w:pStyle w:val="Heading6"/>
        <w:numPr>
          <w:ilvl w:val="5"/>
          <w:numId w:val="1"/>
        </w:numPr>
        <w:rPr/>
      </w:pPr>
      <w:bookmarkStart w:id="259" w:name="__RefHeading___Toc7507054_3381743652"/>
      <w:bookmarkStart w:id="260" w:name="_Toc97"/>
      <w:bookmarkEnd w:id="259"/>
      <w:r>
        <w:rPr>
          <w:rtl w:val="true"/>
        </w:rPr>
        <w:t>الثاني</w:t>
      </w:r>
      <w:r>
        <w:rPr>
          <w:rtl w:val="true"/>
        </w:rPr>
        <w:t xml:space="preserve">: </w:t>
      </w:r>
      <w:r>
        <w:rPr>
          <w:rtl w:val="true"/>
        </w:rPr>
        <w:t>حكومة الأصل السببي على المسببي</w:t>
      </w:r>
      <w:bookmarkEnd w:id="260"/>
    </w:p>
    <w:p>
      <w:pPr>
        <w:pStyle w:val="BookText"/>
        <w:rPr/>
      </w:pPr>
      <w:r>
        <w:rPr>
          <w:rFonts w:ascii="Amiri" w:hAnsi="Amiri" w:eastAsia="Amiri" w:cs="Amiri"/>
          <w:color w:val="111111"/>
          <w:sz w:val="28"/>
          <w:sz w:val="28"/>
          <w:szCs w:val="28"/>
          <w:rtl w:val="true"/>
          <w:lang w:bidi="ar-SA"/>
        </w:rPr>
        <w:t>إنّ الأصل السببيّ حاكم على الأصل المسببيّ دون ريب، فلو شككنا في طهارة ماء قليل مسبوق بالطهارة وغَسَلْنا به الثوبَ‌النجس يُحكم بطهارة الثوب، ولا يجري استصحاب نجاسته، لأنّ الشكّ في طهارة الثوب ونجاسته مسبّب عن طهارة الماء، فإذا حكم الشارع بطهارته فكأنّه نفى الريب والشكّ عن ناحية الثوب لقوله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نجس غسل بماء طاهر فهو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مثله لأنّ الشكّ في بقاء الجامع وارتفاعه مسبب عن الشكّ في حدوث الفرد الطويل وعدمه، فبقاء الجامع معلول لحدوث الفرد الطويل، وعدمه معلول لعدم حدوث الفرد الطويل، فإذا جرى الأصل في ناحية الفرد الطويل وأنّ الأصل عدم حدوثه، يرتفع الشكّ في ناحية الجامع يحكم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الأصل في ناحية الفرد الطويل، معارض بجريانه في ناحية الفرد القصير، فأصالة عدم حدوث الفرد الطويل، يعارض أصالة عدم حدوث الفرد القصير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جانب الفرد القصير فاقد للأثر الشرعي، لأنّه على فرض وجوده قد زال فلا يترتب عليه أثر بعد مضيّ مدّة لا يعيش فيها، بخلاف الفرد الطويل إذ يترتب على وجوده الأثر فيصحّ نفيه لنفي أثره</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7507056_3381743652"/>
      <w:bookmarkStart w:id="262" w:name="_Toc98"/>
      <w:bookmarkEnd w:id="261"/>
      <w:r>
        <w:rPr>
          <w:rtl w:val="true"/>
        </w:rPr>
        <w:t>الأجوبة الثلاثة عن الإشكال الثاني</w:t>
      </w:r>
      <w:bookmarkEnd w:id="26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أجاب صاحب الكفاية عن هذا الإشكال بوجوه ثلاثة</w:t>
      </w:r>
      <w:r>
        <w:rPr>
          <w:rFonts w:eastAsia="Amiri" w:cs="Amiri" w:ascii="Amiri" w:hAnsi="Amiri"/>
          <w:color w:val="111111"/>
          <w:sz w:val="28"/>
          <w:szCs w:val="28"/>
          <w:rtl w:val="true"/>
          <w:lang w:bidi="ar-SA"/>
        </w:rPr>
        <w:t xml:space="preserve">: </w:t>
      </w:r>
      <w:bookmarkStart w:id="263" w:name="pg14367_157104"/>
    </w:p>
    <w:p>
      <w:pPr>
        <w:pStyle w:val="BookText"/>
        <w:rPr/>
      </w:pPr>
      <w:bookmarkEnd w:id="2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بقاء الكلّي وإن كان مسبباً عن كون الحادث هو الفرد الطويل، لكن ارتفاعه ليس من لوازم عدم حدوث الفرد الطويل، لأنّ عدم حدوثه لا يلازم ارتفاع الحيوان لوضوح أنّ نفي الخاص لا يكون دليلاً على نفي العام، بل ارتفاع الحيوان مسبب عن كون الحادث هو الفرد القصير ولكن ليس له حالة سابقة حتى يُستصحب كون الحادث هو الفرد القصير ويترتب عليه ارتفاع بقاء الحيوان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الأصل السببي إنّما يكون حاكماً على الأصل المسببي إذا كان هناك تعدد واثنينية كطهارة الماء الحاكمة على نجاسة الثوب، وأمّا المقام فنفي الفرد الطويل عين نفي الجامع، لأنّ الجامع نفس الفرد وجوداً وعدماً، فليس بين الجامع والفرد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 ومسببيّة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الأصل السببي إنّما يكون حاكماً على المسببي إذا كانت الملازمة بينهما شرعية كالمثال المذكور، فانّ طهارة الماء المغسول به الثوب النجس، يلازم طهارة الثوب،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نجس غسل بماء طاهر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المقام فوجود الجامع، وعدمه يترتب على وجود الفرد وعدمه، عقلاً لا شرعاً، لأنّ العقل يحكم بأنّ الطبيعي يُوجد وينعدم بوجود الفرد وعدمه</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7507058_3381743652"/>
      <w:bookmarkStart w:id="265" w:name="_Toc99"/>
      <w:bookmarkEnd w:id="264"/>
      <w:r>
        <w:rPr>
          <w:rtl w:val="true"/>
        </w:rPr>
        <w:t>تطبيقات</w:t>
      </w:r>
      <w:bookmarkEnd w:id="265"/>
    </w:p>
    <w:p>
      <w:pPr>
        <w:pStyle w:val="BookText"/>
        <w:rPr/>
      </w:pPr>
      <w:r>
        <w:rPr>
          <w:rFonts w:ascii="Amiri" w:hAnsi="Amiri" w:eastAsia="Amiri" w:cs="Amiri"/>
          <w:color w:val="111111"/>
          <w:sz w:val="28"/>
          <w:sz w:val="28"/>
          <w:szCs w:val="28"/>
          <w:rtl w:val="true"/>
          <w:lang w:bidi="ar-SA"/>
        </w:rPr>
        <w:t>ثمّ إنّه يلزم طرح فروض لترويض الذهن وإيجاد ملكة الاجتهاد بغية وقوف الطالب على كيفية ردّ الفروع إلى الأُصول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متطهراً وخرج منه بلل مردّد بين البول والمني، ثمّ توضأ، فلو كان الحدث هو الأصغر فهو قطعيّ الارتفاع بالوضوء، ولو كان الحدث هو الأكبر فهو قطعي البقاء، فما هو المرجع في هذا الفرض؟ </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يشترط في تنجيز العلم الإجمالي أن يكون محدِثاً للتكليف على كلّ تقدير، وهذا الشرط موجود في المقام، لأنّه لمّا كان متطهراً فلو كان البلل بولاً لأثّر في إيجاب الوضوء، ولو كان منيّاً لأثّر في إيجاب الغسل، ولأجل ترتب الأثر على كلّ واحد من طرفي العلم صار الأصلان في كلا الجانبين، متعارضين فأصالة عدم حدوث الحدث الأصغر معارض بأصالة عدم حدوث الحدث الأكبر، فيتساقطان، ويكون المرجع بعد سقوطهما هو استصحاب الحدث المؤثِّر الذي تعلّق به العلم، وعندئذٍ يستقل العقل بالجمع بين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و الغسل، لأنّ الاشتغال اليقيني يستدعي البراءة اليقينية، ولا يحصل إلّابالجمع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محدثاً بالحدث الأصغر وخرج منه بلل مردّد بين البول و المني فما هو المرجع عندئذ؟</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بخروج أحد البللين في المقام غير مؤثِّر على كلّ تقدير، لأنّه لو كان البلل هو البول لم يؤثّر قطعاً لافتراض كونه محدِثاً بالحدث الأصغر، فلا يجري فيه الأصل لعدم ترتب الأثر على وجوده، حتى ينفى بالأصل ولو كان الحادث هو المنيّ لأثر، فيجري الأصل في ناحية الحدث الأكبر بلا معارض لترتب الأثر على وجوده فينفى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الأصل وعدم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جريان استصحاب الجامع بين الحدثين فلأنّ العلم لم يتعلّق بالحدث المؤثِّر حتى يصحّ استصحابه لما عرفت من أنّ الحدث لو كان صغيراً فلا يؤثِّر لكونه محدِثاً به من ذي قبل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حدثاً كبيراً لأثّر، ولكنّه مشكوك مرفوع بالأصل، ففي هذا المورد يقتصر على الوضوء ولا يجب 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أنّه محدث بالحدث الأكبر ثمّ خرجت منه رطوبة مردّدة بين البول والمني فليس هذا العلم الإجمالي منجّزاً بل هو أسوأ حالاً من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العلم فيها مؤثراً على تقدير دون تقدير، بخلاف المقام فإنّه ليس مؤثراً على كلا التقديرين لعدم ترتّب الأثر على خروج البول ولا على خروج المني بعد كونه جُنباً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الحالة السابقة مجهولة وخرج منه بلل مردّد بين البول والمني فتوضأ، فهذه الصورة من قبيل الشبهة المصداقية للعلم الإجمالي، لأنّه لو كان متطهراً كان العلم الإجمالي منجِّزاً فيجب عليه الجمع بين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محدِثاً بالحدث الأصغر، كان منجِّزاً على تقدير، دون تقدير، واستصحاب الجامع استصحاب لحدثٍ غير مؤثر فيكفي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محدثاً بالحدث الأكبر، لم يكن العلم الإجمالي منجِّزاً أصلاً لتعلّقه بحدث غير مؤثر مطلقاً، سواء أكان بولاً أم منيّاً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أنّه مردّد بين إحدى الصور السابقة فلا محيص من الاحتياط بالجمع بين الطهارتين، إذ لا تحصل البراءة اليقينية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تردّدت نجاسة شيء بين الذاتية والعرضيّة، كالصوف المردّد بين كونه صوف خنزير، أو صوف غنم متنجس، فلو غسله يتردّد الأمر بين كونه قطعيّ الارتفاع وقطعي البقاء، فيرجع إلى استصحاب الجامع بين النجاستين للعلم بالجامع في زمان واحد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نجاسة صابون لاحتمال اتخاذه من دهن حيوان غير مذكّى، فبما انّ الشبهة موضوعية يحكم بطهارته، ثمّ إذاعرضت عليه النجاسة، وأُزيلت، فهل يجري استصحاب النجاسة بوجه كلّي، لأنّه من قبيل تردّد الجامع </w:t>
      </w:r>
    </w:p>
    <w:p>
      <w:pPr>
        <w:pStyle w:val="BookText"/>
        <w:rPr/>
      </w:pPr>
      <w:r>
        <w:rPr>
          <w:rFonts w:ascii="Amiri" w:hAnsi="Amiri" w:eastAsia="Amiri" w:cs="Amiri"/>
          <w:color w:val="111111"/>
          <w:sz w:val="28"/>
          <w:sz w:val="28"/>
          <w:szCs w:val="28"/>
          <w:rtl w:val="true"/>
          <w:lang w:bidi="ar-SA"/>
        </w:rPr>
        <w:t xml:space="preserve">بين تحقّقه بين فرد مقطوع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ومقطوع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يجري؟ والتحقيق هو الثاني، لأنّه إنّما يجري إذا كان علم بالجامع في زمان واحد، كما في مسألة الصوف وإن كان مردّداً بين كونه نجساً ذاتياً أو عرضياً، بخلاف المقام ففي طرف احتمال النجاسة الذاتية لم يكن أيّ احتمال للنجاسة العرضية فضلاً عن العلم بها، وعند عروض النجاسة العرضية القطعية، كان الصابون محكوماً بالطهارة من ناحية النجاسة الذاتية، وإن كان محكوماً بالنجاسة العرضية، فإذا زيلت، أُزيل الفرد والجامع المتحقّق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بالنجاسة العرضية، يلازم العلم بالجامع، فما المانع من استصحاب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تعلّق العلم بالجامع من خلال العلم بالنجاسة العرضية فإذا زالت زال الجامع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بنجاسة أحد طرفي العباءة ثمّ غسل طرفه الأعلى، ومسح بيده كلا الطرفين فيلزم على القول بجريان استصحاب النجاسة على الوجه الكلي، الحكم بنجاسة الملاقي قطعاً، مع أنّه لاقى مشكوك النجاسة ومقطوع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يلزم زيادة الفرع على الأصل، حيث إنّ ملاقي أحد الطرفين في الشبهة المحصورة، طاهر كما مرّ، ولكن مقتضى استصحاب الجامع نجاسة الملاقي، وهو كما ترى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هي الشبهة العبائية التي طرحها السيد إسماعيل الصدر والد آية اللّه السيد صدر الدين أحد زعماء الحوزة العلمية بعد رحيل مؤسسها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بظاهره أحد الإشكالات على استصحاب الجامع في القسم الثاني</w:t>
      </w:r>
      <w:r>
        <w:rPr>
          <w:rFonts w:eastAsia="Amiri" w:cs="Amiri" w:ascii="Amiri" w:hAnsi="Amiri"/>
          <w:color w:val="111111"/>
          <w:sz w:val="28"/>
          <w:szCs w:val="28"/>
          <w:rtl w:val="true"/>
          <w:lang w:bidi="ar-SA"/>
        </w:rPr>
        <w:t xml:space="preserve">. </w:t>
      </w:r>
      <w:bookmarkStart w:id="266" w:name="pg14367_157108"/>
    </w:p>
    <w:p>
      <w:pPr>
        <w:pStyle w:val="BookText"/>
        <w:rPr/>
      </w:pPr>
      <w:bookmarkEnd w:id="266"/>
      <w:r>
        <w:rPr>
          <w:rFonts w:ascii="Amiri" w:hAnsi="Amiri" w:eastAsia="Amiri" w:cs="Amiri"/>
          <w:color w:val="111111"/>
          <w:sz w:val="28"/>
          <w:sz w:val="28"/>
          <w:szCs w:val="28"/>
          <w:rtl w:val="true"/>
          <w:lang w:bidi="ar-SA"/>
        </w:rPr>
        <w:t>وقد أُجيب عن الإشكال بوجوه نذكر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نلتزم بنجاسة الملاقي، لأنّ القول بطهارته فيما إذا لم يمكن هناك أصل حاكم على نجاسته كما في المقام حيث إنّ استصحاب الجامع يقتضي نجاسة ملاقيه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يلزم منه التفكيك بين الحكم بنجاسة الملاقي ونجاسة الملاقى وهو ليس بمحذور لإمكان التفكيك بين المتلازمين في مؤدّيات الأُصول فيحكم بنجاسة الملاقي دون الملاقى</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جريان الاستصحاب في مثل هذا المورد الذي لا يخضع له الوجدان، قيد نصّ يفرض على الفقيه التعبّد به بالخصوص ولا يمكن الاقتصار فيه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منصرف عن مثل هذا المورد الذي يزيد فيه الفرع على الأصل، لأنّ نجاسة الملاقى إنّما هو من الملاقي فكيف يحكم بنجاسة الفرع دون الأصل؟</w:t>
      </w:r>
    </w:p>
    <w:p>
      <w:pPr>
        <w:pStyle w:val="Heading6"/>
        <w:numPr>
          <w:ilvl w:val="5"/>
          <w:numId w:val="1"/>
        </w:numPr>
        <w:rPr/>
      </w:pPr>
      <w:bookmarkStart w:id="267" w:name="__RefHeading___Toc7507060_3381743652"/>
      <w:bookmarkStart w:id="268" w:name="_Toc100"/>
      <w:bookmarkEnd w:id="267"/>
      <w:r>
        <w:rPr>
          <w:rtl w:val="true"/>
        </w:rPr>
        <w:t>جواب السيد الصدر</w:t>
      </w:r>
      <w:bookmarkEnd w:id="26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أجاب السيد الشهيد الصدر انّ استصحاب الجامع وإن كانت أركانه تامّة لكن لا يترتب على مؤدّاه نجاسة اليد الملاقية مع الطرفين إلّابالملازمة العقلية، لأنّ نجاسة الجامع لو فرض محالاً وقوعها على الجامع وعدم سريانها إلى هذا الطرف أو ذاك، لا تسري إلى الملاقي، لأنّ نجاسة الملاقي موضوعها نجاسة هذا الطرف أو ذاك الطرف لا الجامع بما هو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هو محكوم بالنجاسة، أعني الجامع ليس موضوعاً لنجاسة الملاقي، وأمّا ما هو موضوع لنجاسة </w:t>
      </w:r>
      <w:bookmarkStart w:id="269" w:name="pg14367_157109"/>
    </w:p>
    <w:p>
      <w:pPr>
        <w:pStyle w:val="BookText"/>
        <w:rPr/>
      </w:pPr>
      <w:bookmarkEnd w:id="269"/>
      <w:r>
        <w:rPr>
          <w:rFonts w:ascii="Amiri" w:hAnsi="Amiri" w:eastAsia="Amiri" w:cs="Amiri"/>
          <w:color w:val="111111"/>
          <w:sz w:val="28"/>
          <w:sz w:val="28"/>
          <w:szCs w:val="28"/>
          <w:rtl w:val="true"/>
          <w:lang w:bidi="ar-SA"/>
        </w:rPr>
        <w:t>الملاقي فليس محكوماً بالنجاسة إلّابالملازمة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فإثبات نجاسة أحد الطرفين بخصوصه بنجاسة الجامع يكون بالملازمة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الجامع وبقاءه يلازم عقلاً نجاسة الملاقى، لأنّ المفروض تطهير الطرف الأسفل، فلو كان الجامع باقياً فلابدّ أن يكون باقياً في الجانب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ثبوت نجاسته بالملازمة، يصحّ الحكم بنجاسة الملاقي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نجاسة الملاقي من آثار نجاسة الملاقى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الفرق بين استصحاب الجامع والمنع من الدخول في الصلاة به وبين نجاسة الملاقى، فلماذا يترتب الأوّل دون الثاني؟</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منع الدخول من آثار استصحاب الجامع، وأمّا نجاسة الملاقي فمن آثار نجاسة هذا الطرف وذاك فلم يثبت</w:t>
      </w:r>
      <w:r>
        <w:rPr>
          <w:rFonts w:eastAsia="Amiri" w:cs="Amiri" w:ascii="Amiri" w:hAnsi="Amiri"/>
          <w:color w:val="111111"/>
          <w:sz w:val="28"/>
          <w:szCs w:val="28"/>
          <w:rtl w:val="true"/>
          <w:lang w:bidi="ar-SA"/>
        </w:rPr>
        <w:t>.</w:t>
      </w:r>
    </w:p>
    <w:p>
      <w:pPr>
        <w:pStyle w:val="Heading6"/>
        <w:numPr>
          <w:ilvl w:val="5"/>
          <w:numId w:val="1"/>
        </w:numPr>
        <w:rPr/>
      </w:pPr>
      <w:bookmarkStart w:id="270" w:name="__RefHeading___Toc7507062_3381743652"/>
      <w:bookmarkStart w:id="271" w:name="_Toc101"/>
      <w:bookmarkEnd w:id="270"/>
      <w:r>
        <w:rPr>
          <w:rtl w:val="true"/>
        </w:rPr>
        <w:t>ما هوالمختار في الجواب؟</w:t>
      </w:r>
      <w:bookmarkEnd w:id="271"/>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استصحاب الجامع غير جار هنا، وذلك لأنّ من شرائط جريانه وحدة القضية المشكوكة مع القضية المتيقّنة، وليس المقام كذلك، لأنّ العلم بالجامع في الطرف السابق كان مقروناً بالعلم لوجود النجس في البين، وانّه إمّا في هذا الطرف أو ذاك الطرف على نحو كان يصحّ لنا القول بأنّ هذا الثوب نجس إمّا أعلاه وإمّا أسفله، وأمّا بعد غَسل الطرف الأسفل لا يصحّ ترديد النجاسة بين الطرفين بل يكون الطرف الأسفل طاهراً قطعاً، والطرف الآخر مشكوك النجاسة فأين الحالة الثانية من الحالة المتيقّنة؟ فكيف يستصحب حكم الحالة السابقة ويجرّ إلى الحالة الثانية مع اختلافهما؟ </w:t>
      </w:r>
      <w:bookmarkStart w:id="272" w:name="pg14367_157110"/>
    </w:p>
    <w:p>
      <w:pPr>
        <w:pStyle w:val="BookText"/>
        <w:rPr/>
      </w:pPr>
      <w:bookmarkEnd w:id="272"/>
      <w:r>
        <w:rPr>
          <w:rFonts w:ascii="Amiri" w:hAnsi="Amiri" w:eastAsia="Amiri" w:cs="Amiri"/>
          <w:color w:val="111111"/>
          <w:sz w:val="28"/>
          <w:sz w:val="28"/>
          <w:szCs w:val="28"/>
          <w:rtl w:val="true"/>
          <w:lang w:bidi="ar-SA"/>
        </w:rPr>
        <w:t>وهذا نظير العلم بنجاسة أحد الإناءين في زمان واحد مع إراقة واحد منهما فلا يصحّ لنا استصحاب النجاسة، لأنّ العلم بالجامع في السابق كان على نحو يصحّ لنا القول بأنّ النجس إمّا في هذا الإناء أو في ذاك وبعد الإراقة لا يصحّ لنا هذا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يجب الاجتناب عن الإناء الآخر، وذلك لا لاستصحاب الجامع، بل لأجل أنّ الاجتناب أثر العلم الإجمالي السابق</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7507064_3381743652"/>
      <w:bookmarkStart w:id="274" w:name="_Toc102"/>
      <w:bookmarkEnd w:id="273"/>
      <w:r>
        <w:rPr>
          <w:rtl w:val="true"/>
        </w:rPr>
        <w:t>القسم الثالث من أقسام الاستصحاب الكلي</w:t>
      </w:r>
      <w:bookmarkEnd w:id="274"/>
    </w:p>
    <w:p>
      <w:pPr>
        <w:pStyle w:val="BookText"/>
        <w:rPr/>
      </w:pPr>
      <w:r>
        <w:rPr>
          <w:rFonts w:ascii="Amiri" w:hAnsi="Amiri" w:eastAsia="Amiri" w:cs="Amiri"/>
          <w:color w:val="111111"/>
          <w:sz w:val="28"/>
          <w:sz w:val="28"/>
          <w:szCs w:val="28"/>
          <w:rtl w:val="true"/>
          <w:lang w:bidi="ar-SA"/>
        </w:rPr>
        <w:t>ومورد هذا القسم هو الشكّ في بقاء الكلّي لأجل احتمال قيام فرد آخر مقام الفرد المعلوم الارتفاع، وقد ذكروا انّ لهذا القسم صوراً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بقاء الكلي لأجل احتمال معية فرد مع الفرد المعلوم الارتفاع، كما إذا علمنا بوجود زيد في الدار، ولكن احتملنا مصاحبة عمرو معه في ذلك الوقت، ثمّ علمنا بخروج زيد فيستصحب بقاء الإنسان بعد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ولكن احتملنا قيام فرد مقامه عند خروجه، كما إذا علمنا بخروج زيد واحتملنا دخوله إلى البيت عند خروجه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بقاء الكلّي لأجل احتمال حدوث مرتبة‌من مراتب وجودها بعد العلم بارتفاع مرتبة أُخرى، كما إذا علمنا بارتفاع السواد الشديد واحتملنا حدوث مرتبة ضعيفة، أو ارتفاع السواد بعامّة مراتبه، وإليك دراسة الأقسام</w:t>
      </w:r>
      <w:r>
        <w:rPr>
          <w:rFonts w:eastAsia="Amiri" w:cs="Amiri" w:ascii="Amiri" w:hAnsi="Amiri"/>
          <w:color w:val="111111"/>
          <w:sz w:val="28"/>
          <w:szCs w:val="28"/>
          <w:rtl w:val="true"/>
          <w:lang w:bidi="ar-SA"/>
        </w:rPr>
        <w:t xml:space="preserve">: </w:t>
      </w:r>
      <w:bookmarkStart w:id="275" w:name="pg14367_157111"/>
    </w:p>
    <w:p>
      <w:pPr>
        <w:pStyle w:val="Heading6"/>
        <w:numPr>
          <w:ilvl w:val="5"/>
          <w:numId w:val="1"/>
        </w:numPr>
        <w:rPr/>
      </w:pPr>
      <w:bookmarkStart w:id="276" w:name="__RefHeading___Toc7507066_3381743652"/>
      <w:bookmarkStart w:id="277" w:name="_Toc103"/>
      <w:bookmarkEnd w:id="275"/>
      <w:bookmarkEnd w:id="276"/>
      <w:r>
        <w:rPr>
          <w:rtl w:val="true"/>
        </w:rPr>
        <w:t>الصورة الأُولى</w:t>
      </w:r>
      <w:bookmarkEnd w:id="277"/>
    </w:p>
    <w:p>
      <w:pPr>
        <w:pStyle w:val="BookText"/>
        <w:rPr/>
      </w:pPr>
      <w:r>
        <w:rPr>
          <w:rFonts w:ascii="Amiri" w:hAnsi="Amiri" w:eastAsia="Amiri" w:cs="Amiri"/>
          <w:color w:val="111111"/>
          <w:sz w:val="28"/>
          <w:sz w:val="28"/>
          <w:szCs w:val="28"/>
          <w:rtl w:val="true"/>
          <w:lang w:bidi="ar-SA"/>
        </w:rPr>
        <w:t>ربّما يقال بجريان الاستصحاب بأنّ العلم بوجود الفرد الخاص في الخارج يلازم العلم بحدوث الكلّي فيه، وبارتفاع الفرد الخاص يشكّ في ارتفاع الكلّي، وذلك لاحتمال قيام فرد آخر مكانه لأجل مصاحبته معه، فلم تختل أركان الاستصحاب من اليقين السابق والشكّ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الشيخ إلى التفصيل بين هذه الصورة والصورة التالية فقال بحجية الاستصحاب في الأُولى دون الثانية،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التفصيل بين القسمين فيجري في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لاحتمال كون الثابت في الآن اللاحق هو عين الموجود سابقاً فيتردّد الكلي المعلوم سابقاً، بين أن يكون وجوده الخارجي على نحو لا يرتفع بارتفاع الفرد المعلوم ارتفاعه، وأن يكون على نحو يرتفع بارتفاع ذلك الفرد، فالشكّ حقيقة إنّما هو في مقدار استعداد ذلك الكلي</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الكلّي كما عرفت هو ذات الطبيعي، والمفروض أنّه يتكثّر مع تكثّر الأفراد، فليس الطبيعي موجوداً شخصيّاً قائماً بجميع الأفراد، بل هو أمر واحد نوعي يتكثّر مع تكثّر الأفراد، فنسبة الطبيعي إلى الأفراد كنسبة الآباء إلى الأولاد فعند ذلك فالمتيقّن هو الطبيعي الموجود في ضمن الفرد الأوّل، والمحكوم بالبقاء هو الطبيعي الموجود في ضمن الفرد الثاني فكانت القضية المشكوكة غير القضية المتيقّنة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ومنشأ الخلط هو خلط الوحدة المفهومية النوعية، مع الوحدة المصداقية فالإنسان واحد بالنوع أي‌مفهوماً وليس هو المستصحب، ومتعدد مصداقاً </w:t>
      </w:r>
      <w:bookmarkStart w:id="278" w:name="pg14367_157112"/>
    </w:p>
    <w:p>
      <w:pPr>
        <w:pStyle w:val="BookText"/>
        <w:rPr/>
      </w:pPr>
      <w:bookmarkEnd w:id="278"/>
      <w:r>
        <w:rPr>
          <w:rFonts w:ascii="IRNazanin" w:hAnsi="IRNazanin" w:eastAsia="IRNazanin"/>
          <w:color w:val="111111"/>
          <w:sz w:val="28"/>
          <w:sz w:val="28"/>
          <w:szCs w:val="28"/>
          <w:rtl w:val="true"/>
          <w:lang w:bidi="fa-IR"/>
        </w:rPr>
        <w:t>وخارجاً وهذا هو المستصحب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أفاده من الفرق بين الصورتين، غير فارق، لأنّ احتمال كون الفرد مع الفرد الأوّل أو نائباً عنه لا يوجب وحدة القضيتين ولا تغائرهما، بعد كون الطبيعي الموجود في ضمن زيد، غيره في ضمن عمرو</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7507068_3381743652"/>
      <w:bookmarkStart w:id="280" w:name="_Toc104"/>
      <w:bookmarkEnd w:id="279"/>
      <w:r>
        <w:rPr>
          <w:rtl w:val="true"/>
        </w:rPr>
        <w:t>الصورة الثانية</w:t>
      </w:r>
      <w:bookmarkEnd w:id="280"/>
    </w:p>
    <w:p>
      <w:pPr>
        <w:pStyle w:val="BookText"/>
        <w:rPr/>
      </w:pPr>
      <w:r>
        <w:rPr>
          <w:rFonts w:ascii="Amiri" w:hAnsi="Amiri" w:eastAsia="Amiri" w:cs="Amiri"/>
          <w:color w:val="111111"/>
          <w:sz w:val="28"/>
          <w:sz w:val="28"/>
          <w:szCs w:val="28"/>
          <w:rtl w:val="true"/>
          <w:lang w:bidi="ar-SA"/>
        </w:rPr>
        <w:t>إذا كان احتمال بقاء الكلي مستنداً إلى قيام فرد آخر مقامه، عند زواله وبما أنّك عرفت عدم جريانه في الصورة الأُولى، فعدم جريانه في هذه الصورة أوضح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زيد الخارج عن البيت وعمرو المحتمل دخوله وحدة مفهومية ولكنّها ليست موضوعاً للاستصحاب، وإنّما الموضوع له هو الوحدة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متحقّقة، لأنّ هناك إنسانين، وإنسانية كلّ تغاير إنسانية الآخر ومعه كيف يصحّ استصحابه؟</w:t>
      </w:r>
    </w:p>
    <w:p>
      <w:pPr>
        <w:pStyle w:val="BookText"/>
        <w:rPr/>
      </w:pPr>
      <w:r>
        <w:rPr>
          <w:rFonts w:ascii="Amiri" w:hAnsi="Amiri" w:eastAsia="Amiri" w:cs="Amiri"/>
          <w:color w:val="111111"/>
          <w:sz w:val="28"/>
          <w:sz w:val="28"/>
          <w:szCs w:val="28"/>
          <w:rtl w:val="true"/>
          <w:lang w:bidi="ar-SA"/>
        </w:rPr>
        <w:t>نعم لو قلنا برأي الرجل الهمداني في الكلّي الطبيعي من أنّه واحد شخصي قائم بجميع الأفراد لكان لما ذكروه مجال، لأنّ الإنسانية عندئذٍ واحد بالعدد، لا بالنوع، أضف إليه أنّ جريان الاستصحاب في أمثال المورد ربّما ينتهي إلى أُمور لا يلتزم بها الفقيه، وإليك المثال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قام من النوم واحتمل جنابته فيه وتوضّأ، فعلى القول باستصحاب الحدث يلزم الاغتسال، مع أنّه لا يلتزم به 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علم أنّه مدين لزيد، بعشرة دنانير، ولكن يحتمل أن يكون الدين هو، لكن مع إضافة حُقَّة من الحنطة، فلو أدّى العشرة فلازم بقاء الدين باستصحابه، لزوم أداء حُقّة من الحنطة، مع أنّه لا يلتزم به فقيه</w:t>
      </w:r>
      <w:r>
        <w:rPr>
          <w:rFonts w:eastAsia="Amiri" w:cs="Amiri" w:ascii="Amiri" w:hAnsi="Amiri"/>
          <w:color w:val="111111"/>
          <w:sz w:val="28"/>
          <w:szCs w:val="28"/>
          <w:rtl w:val="true"/>
          <w:lang w:bidi="ar-SA"/>
        </w:rPr>
        <w:t xml:space="preserve">. </w:t>
      </w:r>
      <w:bookmarkStart w:id="281" w:name="pg14367_157113"/>
    </w:p>
    <w:p>
      <w:pPr>
        <w:pStyle w:val="Heading6"/>
        <w:numPr>
          <w:ilvl w:val="5"/>
          <w:numId w:val="1"/>
        </w:numPr>
        <w:rPr/>
      </w:pPr>
      <w:bookmarkStart w:id="282" w:name="__RefHeading___Toc7507070_3381743652"/>
      <w:bookmarkStart w:id="283" w:name="_Toc105"/>
      <w:bookmarkEnd w:id="281"/>
      <w:bookmarkEnd w:id="282"/>
      <w:r>
        <w:rPr>
          <w:rtl w:val="true"/>
        </w:rPr>
        <w:t>الصورة الثالثة</w:t>
      </w:r>
      <w:bookmarkEnd w:id="283"/>
    </w:p>
    <w:p>
      <w:pPr>
        <w:pStyle w:val="BookText"/>
        <w:rPr/>
      </w:pPr>
      <w:r>
        <w:rPr>
          <w:rFonts w:ascii="Amiri" w:hAnsi="Amiri" w:eastAsia="Amiri" w:cs="Amiri"/>
          <w:color w:val="111111"/>
          <w:sz w:val="28"/>
          <w:sz w:val="28"/>
          <w:szCs w:val="28"/>
          <w:rtl w:val="true"/>
          <w:lang w:bidi="ar-SA"/>
        </w:rPr>
        <w:t xml:space="preserve">إذا احتمل تبدّل الفرد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وارتفاعاً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مرتبة أُخرى وعدم تبدّله كما مثلنا في السواد، ومثله استصحاب كون الرجل كثير الشك حيث احتملنا زوال هذا العنوان أو تبدّله إلى مرتبة خفية، فهل يجوز استصحابه أو لا؟ ذهب الشيخ الأعظم والمحقّق النائيني إلى الجريان، والمحقّق الخراساني إلى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 إنّه إذا عُدّت المرتبة المشكوكة غير مغايرة عرفاً للمرتبة السابقة بحيث تُعد استمراراً لوجود المرتبة السابقة يجري الاستصحاب وإلّا فلا لاختلال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الأوّل كالسواد الضعيف بالنسبة إلى السواد الشديد، فإنّ الضعيف من مراتب الشديد وليس فرداً مغايراً، بخلاف ما إذا عُدَّت المرتبة اللاحقة مغايرة للمرتبة السابقة، كما إذا علمنا بوجوب الشيء ثمّ نسخ ولكن نحتمل تبدّله إلى الندب فلا يجوز لنا استصحاب الطلب، وذلك لأنّ العرف لا يعد الندب مرتبة حقيقية من الوجوب بل يتلقّاها أمرين متباينين وإن كان العقل يعدّهما أمراً واحداً ذا مراتب</w:t>
      </w:r>
      <w:r>
        <w:rPr>
          <w:rFonts w:eastAsia="Amiri" w:cs="Amiri" w:ascii="Amiri" w:hAnsi="Amiri"/>
          <w:color w:val="111111"/>
          <w:sz w:val="28"/>
          <w:szCs w:val="28"/>
          <w:rtl w:val="true"/>
          <w:lang w:bidi="ar-SA"/>
        </w:rPr>
        <w:t>.</w:t>
      </w:r>
    </w:p>
    <w:p>
      <w:pPr>
        <w:pStyle w:val="Heading6"/>
        <w:numPr>
          <w:ilvl w:val="5"/>
          <w:numId w:val="1"/>
        </w:numPr>
        <w:rPr/>
      </w:pPr>
      <w:bookmarkStart w:id="284" w:name="__RefHeading___Toc7507072_3381743652"/>
      <w:bookmarkStart w:id="285" w:name="_Toc106"/>
      <w:bookmarkEnd w:id="284"/>
      <w:r>
        <w:rPr>
          <w:rtl w:val="true"/>
        </w:rPr>
        <w:t>الصورة الرابعة</w:t>
      </w:r>
      <w:bookmarkEnd w:id="285"/>
    </w:p>
    <w:p>
      <w:pPr>
        <w:pStyle w:val="BookText"/>
        <w:rPr/>
      </w:pPr>
      <w:r>
        <w:rPr>
          <w:rFonts w:ascii="Amiri" w:hAnsi="Amiri" w:eastAsia="Amiri" w:cs="Amiri"/>
          <w:color w:val="111111"/>
          <w:sz w:val="28"/>
          <w:sz w:val="28"/>
          <w:szCs w:val="28"/>
          <w:rtl w:val="true"/>
          <w:lang w:bidi="ar-SA"/>
        </w:rPr>
        <w:t>وإذا علم بوجود إنسان في الدار وعلم أيضاً بوجود القرشي فيها أيضاً ولكن احتمل قيام العنوانين بوجود واحد أو بوجودين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هذا القسم والقسم الثاني هو انّ الفرد الذي قام به الجامع فيه </w:t>
      </w:r>
    </w:p>
    <w:p>
      <w:pPr>
        <w:pStyle w:val="BookText"/>
        <w:rPr/>
      </w:pPr>
      <w:r>
        <w:rPr>
          <w:rFonts w:ascii="Amiri" w:hAnsi="Amiri" w:eastAsia="Amiri" w:cs="Amiri"/>
          <w:color w:val="111111"/>
          <w:sz w:val="28"/>
          <w:sz w:val="28"/>
          <w:szCs w:val="28"/>
          <w:rtl w:val="true"/>
          <w:lang w:bidi="ar-SA"/>
        </w:rPr>
        <w:t>مردّد بين نوعين كالبق والفيل، بخلاف المقام فانّ الفرد معيّن من حيث النوع وهو انّه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يمتاز، عن الصورة الثالثة أنّه ليس في الصورة الثالثة علمان، بل علم واحد متعلّق بوجود فرد معيّن، نهاية الأمر يحتمل معيّة أو تقارن فرد آخر، بخلاف هذا القسم فانّ فيه 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بوجود فرد معين، وعلم بوجود ما يحتمل انطباقه على هذا الفرد؛ ومثاله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بالجنابة يوم الخميس وقد اغتسلنا منها ثمّ رأينا يوم الجمعة منيّاً في الثوب فعلم بكوننا جنباً لخروج هذا المني، ولكن نحتمل أن يكون هذا المني من الجنابة التي اغتلسنا منها، أو يكون من غيرها، فيستصحب كلّي الجنابة مع إلغاء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معارض باستصحاب الطهارة الشخصية، فانّ المغتسل يوم الخميس على يقين بالطهارة حينما اغتسل من الجنابة ولا علم بارتفاعها لاحتمال كون المني المرئي من تلك الجنابة فيقع التعارض فيتساقطان ولابدّ من الرجوع إلى 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له معارض وأمّا ما لا معارض له، كما إذا علمنا بوجود زيد وعلمنا بوجود قارئ يحتمل انطباقه عليه وعلى غيره فلا مانع من استصحاب الإنسان الكلي مع القطع بخروج زيد عنها إذا كان له أثر شرعي</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وحكماً، ومثالاً واستدلالاً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ليس قسماً مستقلاً، بل هو داخل في القسم الثالث، والتفاوت المذكور من وحدة العلم في القسم الثالث، وتعدّده في المقام غير مؤثر، </w:t>
      </w:r>
    </w:p>
    <w:p>
      <w:pPr>
        <w:pStyle w:val="BookText"/>
        <w:rPr/>
      </w:pPr>
      <w:r>
        <w:rPr>
          <w:rFonts w:ascii="Amiri" w:hAnsi="Amiri" w:eastAsia="Amiri" w:cs="Amiri"/>
          <w:color w:val="111111"/>
          <w:sz w:val="28"/>
          <w:sz w:val="28"/>
          <w:szCs w:val="28"/>
          <w:rtl w:val="true"/>
          <w:lang w:bidi="ar-SA"/>
        </w:rPr>
        <w:t>لأنّ هنا علماً بالجنابة القائمة بفرد متيقّن الارتفاع والشكّ في بقائه، لأجل احتمال بقائها بفرد آخر فلا يرتفع الكلّي بارتفاع الفرد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بوجود عنوان آخر وإن كان متحقّقاً في هذا القسم، لكنّه غير مؤثر في الاستصحاب، لأنّ المستصحب ليس عنوان القرشي بل ما ينطبق عليه، أعني الإنسان الخارجي، فعندئذٍ يشاركان في العلم بتحقّق الكلّي في ضمن فردٍ مرتفع والشكّ في بقائه في ضمن فرد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فلأنّ ما أوردناه على القسم الثالث من عدم وحدة القضيتين موجود في المقام، لأنّ الطبيعي الموجود في النوم غير الطبيعي الباقي بالجنابة فإبقاؤه باحتمال نيابة هذا الفرد لا يعد إبقاء للمتيقّن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الفارق بينه و بين القسم الثالث، هو وجود علم بعنوان ثان غير العنوان الأوّل وإن كان يحتمل وحدة مصداقهما كما في الإنسان، والمثال الفقهي الذي ذكره فاقد لهذا الميزة، فليس فيه علم بعنوان مغائر لما علم به أوّلاً، مثلاً إذا علم بالجنابة يوم الخميس فهنا علم بعنوان وهو العلم بالجنابة ولمّا اغتسل ورأى يوم الجمعة المني في ثوبه فهو و إن علم بالجنابة أثر خروجه لكن هذا ليس علماً بعنوان ثان بل تعلّق العلم بنفس العنوان الذي تعلّق به العلم الأوّل غاية الأمر يحتمل اتحادهما في المعنون كما يحتمل تغايرهما، وهذا بخلاف العلم بوجود الإنسان والقرشي أو الإنسان والقارئ في البيت، فهناك علمان مختلفان غير أنّه يحتمل وحدة مصداقهما</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أي‌الإشكال على أساس الاستدلال، فلأنّ التمسّك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من قبيل التمسّك بالدليل في الشبهة المصداقية، لأنّه كما يحرم نقض اليقين بالشك يجب نقض اليقين باليقين، وعلى ضوء هذا فالجنابة </w:t>
      </w:r>
    </w:p>
    <w:p>
      <w:pPr>
        <w:pStyle w:val="BookText"/>
        <w:rPr/>
      </w:pPr>
      <w:r>
        <w:rPr>
          <w:rFonts w:ascii="Amiri" w:hAnsi="Amiri" w:eastAsia="Amiri" w:cs="Amiri"/>
          <w:color w:val="111111"/>
          <w:sz w:val="28"/>
          <w:sz w:val="28"/>
          <w:szCs w:val="28"/>
          <w:rtl w:val="true"/>
          <w:lang w:bidi="ar-SA"/>
        </w:rPr>
        <w:t>المرئية يوم الجمعة لا تخلو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أثراً للجنابة الحاصلة ليلة الخميس، فعندئذ يدخل في القضية الثانية لافتراض انّه اغتسل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أثراً لجنابة جديدة تحقّقت ليلة الجمعة، فعندئذٍ يدخل في القضية الأُولى، ومع تردّده بين الأمرين يكون التمّسك بالقضية الأُولى للمورد، من قبيل التمسّك بالشبهة المصداقية للدليل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فتلخص انّ استصحاب الكلّي عقيم إلّافي القسم الأوّل، والصورة الثالثة من القسم الثاني</w:t>
      </w:r>
      <w:r>
        <w:rPr>
          <w:rFonts w:eastAsia="Amiri" w:cs="Amiri" w:ascii="Amiri" w:hAnsi="Amiri"/>
          <w:color w:val="111111"/>
          <w:sz w:val="28"/>
          <w:szCs w:val="28"/>
          <w:rtl w:val="true"/>
          <w:lang w:bidi="ar-SA"/>
        </w:rPr>
        <w:t xml:space="preserve">. </w:t>
      </w:r>
      <w:bookmarkStart w:id="286" w:name="pg14367_157117"/>
    </w:p>
    <w:p>
      <w:pPr>
        <w:pStyle w:val="BookText"/>
        <w:rPr/>
      </w:pPr>
      <w:bookmarkEnd w:id="286"/>
      <w:r>
        <w:rPr>
          <w:rFonts w:ascii="Amiri" w:hAnsi="Amiri" w:eastAsia="Amiri" w:cs="Amiri"/>
          <w:color w:val="111111"/>
          <w:sz w:val="28"/>
          <w:sz w:val="28"/>
          <w:szCs w:val="28"/>
          <w:rtl w:val="true"/>
          <w:lang w:bidi="ar-SA"/>
        </w:rPr>
        <w:t>التنبيهات</w:t>
      </w:r>
    </w:p>
    <w:p>
      <w:pPr>
        <w:pStyle w:val="Heading5"/>
        <w:numPr>
          <w:ilvl w:val="4"/>
          <w:numId w:val="1"/>
        </w:numPr>
        <w:rPr/>
      </w:pPr>
      <w:bookmarkStart w:id="287" w:name="__RefHeading___Toc7507074_3381743652"/>
      <w:bookmarkStart w:id="288" w:name="_Toc107"/>
      <w:bookmarkEnd w:id="287"/>
      <w:r>
        <w:rPr/>
        <w:t>5</w:t>
      </w:r>
      <w:r>
        <w:rPr>
          <w:rtl w:val="true"/>
        </w:rPr>
        <w:t xml:space="preserve">- </w:t>
      </w:r>
      <w:r>
        <w:rPr>
          <w:rtl w:val="true"/>
        </w:rPr>
        <w:t>استصحاب الزمان والزمانيات والأُمور القارة‌المقيّدة بالزمان</w:t>
      </w:r>
      <w:bookmarkEnd w:id="288"/>
    </w:p>
    <w:p>
      <w:pPr>
        <w:pStyle w:val="Heading6"/>
        <w:numPr>
          <w:ilvl w:val="5"/>
          <w:numId w:val="1"/>
        </w:numPr>
        <w:rPr/>
      </w:pPr>
      <w:bookmarkStart w:id="289" w:name="__RefHeading___Toc7507076_3381743652"/>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هذا التنبيه منعقد لبيان الاستصحاب في الأُمور التدريجية، ولها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نفس الزمان إذا كان معنوناً بعنوان وجوديّ ككونه ليلاً أو نهاراً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الأمر غير القار بالذات كالحركة وجريان الماء وسيلان الدم، وبقاء التكلّم والمشي، فإنّ ذات الأفعال في هذه الأمثلة أُمور متدرجة‌بالذات، متقضية بالطبع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الأمر القار بالذات، المقيّد بالزمان كالجلوس في المسجد إلى الظهر، فيقع الكلام في مواضع ثلاثة</w:t>
      </w:r>
      <w:r>
        <w:rPr>
          <w:rFonts w:eastAsia="Amiri" w:cs="Amiri" w:ascii="Amiri" w:hAnsi="Amiri"/>
          <w:color w:val="111111"/>
          <w:sz w:val="28"/>
          <w:szCs w:val="28"/>
          <w:rtl w:val="true"/>
          <w:lang w:bidi="ar-SA"/>
        </w:rPr>
        <w:t>:</w:t>
      </w:r>
    </w:p>
    <w:p>
      <w:pPr>
        <w:pStyle w:val="Heading6"/>
        <w:numPr>
          <w:ilvl w:val="5"/>
          <w:numId w:val="1"/>
        </w:numPr>
        <w:rPr/>
      </w:pPr>
      <w:bookmarkStart w:id="291" w:name="__RefHeading___Toc7507078_3381743652"/>
      <w:bookmarkStart w:id="292" w:name="_Toc109"/>
      <w:bookmarkEnd w:id="291"/>
      <w:r>
        <w:rPr>
          <w:rtl w:val="true"/>
        </w:rPr>
        <w:t>الموضع الأوّل</w:t>
      </w:r>
      <w:r>
        <w:rPr>
          <w:rtl w:val="true"/>
        </w:rPr>
        <w:t xml:space="preserve">: </w:t>
      </w:r>
      <w:r>
        <w:rPr>
          <w:rtl w:val="true"/>
        </w:rPr>
        <w:t>استصحاب نفس الزمان المعنون بعنوان وجودي</w:t>
      </w:r>
      <w:bookmarkEnd w:id="29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الزمان المعنون بعنوان وجودي، موضوعاً للحكم كالنهار والليل فشككنا في بقائه، فهل يصحّ استصحاب نفس الزمان من خلال استصحاب عنوانه كبقاء النهار، و تترتب عليه إقامة الصلاة أداءً وحرمة الإفطار، وهكذا من </w:t>
      </w:r>
      <w:bookmarkStart w:id="293" w:name="pg14367_157118"/>
    </w:p>
    <w:p>
      <w:pPr>
        <w:pStyle w:val="BookText"/>
        <w:rPr/>
      </w:pPr>
      <w:bookmarkEnd w:id="293"/>
      <w:r>
        <w:rPr>
          <w:rFonts w:ascii="Amiri" w:hAnsi="Amiri" w:eastAsia="Amiri" w:cs="Amiri"/>
          <w:color w:val="111111"/>
          <w:sz w:val="28"/>
          <w:sz w:val="28"/>
          <w:szCs w:val="28"/>
          <w:rtl w:val="true"/>
          <w:lang w:bidi="ar-SA"/>
        </w:rPr>
        <w:t>جانب الليل؟</w:t>
      </w:r>
    </w:p>
    <w:p>
      <w:pPr>
        <w:pStyle w:val="BookText"/>
        <w:rPr/>
      </w:pPr>
      <w:r>
        <w:rPr>
          <w:rFonts w:ascii="Amiri" w:hAnsi="Amiri" w:eastAsia="Amiri" w:cs="Amiri"/>
          <w:color w:val="111111"/>
          <w:sz w:val="28"/>
          <w:sz w:val="28"/>
          <w:szCs w:val="28"/>
          <w:rtl w:val="true"/>
          <w:lang w:bidi="ar-SA"/>
        </w:rPr>
        <w:t>فقد أورد عليه بوجوه، وقبل أن نشير إليها نذكر كلمة في حقيقة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المتكلّمون في حقيقة الزمان،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موهوم ليست له واقعية خارجيّة؛ إلى قائل آخر بأنّه بعد حقيقي كالمكان، وهو مخلوق مستقل، وظرف لفعله سبحانه، كان اللّه ولم يكن معه شيء فخلق العالم في زمان لم يكن فيه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البحوث الفلسفية أثبتت بطلان كلتا النظريتين، وانّه مقدار الحركة، وانّ كلّ حركة فهي بسيلانها وجريانها تُولّد زماناً، فكلّ سيلان وجريان، بما انّه يتضمن خروج ما بالقوة إلى الفعل كحركة اليد، وانتقال القطار من نقطة إلى نقطة، وغيرهما يسمّى حركة، وبما انّه يستغرق مقداراً حتى ينتقل من المبدأ إلى المنتهى فهو زمان، وعليه فليس الزمان إلّامقدار الحركة الذي ينتزع من نفسها، لا من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لكلّ حركة زماناً، وكانت حركة الشمس أو الأرض من أعم الحركات وأوسعها اتّخذت العامة مقدار حركتهما مقياساً وزماناً لسائر الأفعال وإلّا فالزمان وليد عامة الحركة من غير فرق بين متحرك ومتحرك، ولكلّ حركة زمان خاص بها، يتولّد منها ويتدرج مع تدرّجها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الإشكالات في استصحاب الزمان</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7507080_3381743652"/>
      <w:bookmarkStart w:id="295" w:name="_Toc110"/>
      <w:bookmarkEnd w:id="294"/>
      <w:r>
        <w:rPr>
          <w:rtl w:val="true"/>
        </w:rPr>
        <w:t>الأوّل</w:t>
      </w:r>
      <w:r>
        <w:rPr>
          <w:rtl w:val="true"/>
        </w:rPr>
        <w:t xml:space="preserve">: </w:t>
      </w:r>
      <w:r>
        <w:rPr>
          <w:rtl w:val="true"/>
        </w:rPr>
        <w:t>عدم تصوّر البقاء فيه</w:t>
      </w:r>
      <w:bookmarkEnd w:id="29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الزمان شيء غير قار الذات ولا يتصوّر له البقاء، لأنّ سنخ تحقّقه هو </w:t>
      </w:r>
    </w:p>
    <w:p>
      <w:pPr>
        <w:pStyle w:val="BookText"/>
        <w:rPr/>
      </w:pPr>
      <w:r>
        <w:rPr>
          <w:rFonts w:ascii="Amiri" w:hAnsi="Amiri" w:eastAsia="Amiri" w:cs="Amiri"/>
          <w:color w:val="111111"/>
          <w:sz w:val="28"/>
          <w:sz w:val="28"/>
          <w:szCs w:val="28"/>
          <w:rtl w:val="true"/>
          <w:lang w:bidi="ar-SA"/>
        </w:rPr>
        <w:t>الوجود بعد العدم، وما هذا شأنه لا يتصوّر فيه البقاء، والليل والنهار من الأُمور ذات الأجزاء كلّ جزء، يعد جزء من الكل والأجزاء سنخها الوجود بعد عدم الجز ءالمتقدم، ومثل هذا لا يتصور له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عنه شيخ مشايخنا العلاّمة الحائري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الاستصحاب، اليقين بالشيء، والشكّ فيه، ولم يرد في الأدلة عنوان البقاء فعدم صدقه غير مخلّ بجريانه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وإن لم يرد عنوان الشكّ في البقاء في لسان الأدلّة لكنّه لازم إمكان اجتماع اليقين والشكّ في زمان واحد، وذلك بتعلّق اليقين بالحدوث، والشكّ بالبقاء، ولولا هذا القيد لامتنع اجتماعهما فيه ضرورة انتقاض اليقين بالشكّ، فهو مدلول التزامي لاجتماعهما وعدم انتقاض الأوّل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البقاء هو البقاء لدى العرف الذي هو المخاطب بهذه الخطابات لا البقاء العقلي، ولو كان الميزان هو الثاني، لما صدق إلّافي مورد نادر، وعلى ذلك، فالليل والنهار موجود شخصي، لهما حالات كأوّله ووسطه ونهايته، كالإنسان الذي تطرأ عليه حالات مثل الصبا والشباب و الكبر، فكما أنّ لكلّ فرد من أفراد الإنسان بقاءً وإن كبر وشابَ أو شاخ، فهكذا للنهار والليل بقاء، وإن وصلا إلى القمة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يصحّح صدق البقاء، هو اتصال الأجزاء وتلاصقها الذي يجعل الأجزاء المتلاحقة، كشيء واحد، ويشك الإنسان في طوله وقصره، والقائل بعدم البقاء يصب النظر إلى كلّ جزء من الزمان مستقلاً عن الجزء الآخر، ويغفل عن أنّ ملاك صدق البقاء هو تلاصق الأجزاء وتلاحمها على وجه يعد جميع البعد الزماني كالبعد المكاني شيئاً واحداً</w:t>
      </w:r>
      <w:r>
        <w:rPr>
          <w:rFonts w:eastAsia="Amiri" w:cs="Amiri" w:ascii="Amiri" w:hAnsi="Amiri"/>
          <w:color w:val="111111"/>
          <w:sz w:val="28"/>
          <w:szCs w:val="28"/>
          <w:rtl w:val="true"/>
          <w:lang w:bidi="ar-SA"/>
        </w:rPr>
        <w:t xml:space="preserve">. </w:t>
      </w:r>
      <w:bookmarkStart w:id="296" w:name="pg14367_157120"/>
    </w:p>
    <w:p>
      <w:pPr>
        <w:pStyle w:val="Heading6"/>
        <w:numPr>
          <w:ilvl w:val="5"/>
          <w:numId w:val="1"/>
        </w:numPr>
        <w:rPr/>
      </w:pPr>
      <w:bookmarkStart w:id="297" w:name="__RefHeading___Toc7507082_3381743652"/>
      <w:bookmarkStart w:id="298" w:name="_Toc111"/>
      <w:bookmarkEnd w:id="296"/>
      <w:bookmarkEnd w:id="297"/>
      <w:r>
        <w:rPr>
          <w:rtl w:val="true"/>
        </w:rPr>
        <w:t>الثاني</w:t>
      </w:r>
      <w:r>
        <w:rPr>
          <w:rtl w:val="true"/>
        </w:rPr>
        <w:t xml:space="preserve">: </w:t>
      </w:r>
      <w:r>
        <w:rPr>
          <w:rtl w:val="true"/>
        </w:rPr>
        <w:t>عدم بقاء الموضوع</w:t>
      </w:r>
      <w:bookmarkEnd w:id="298"/>
    </w:p>
    <w:p>
      <w:pPr>
        <w:pStyle w:val="BookText"/>
        <w:rPr/>
      </w:pPr>
      <w:r>
        <w:rPr>
          <w:rFonts w:ascii="Amiri" w:hAnsi="Amiri" w:eastAsia="Amiri" w:cs="Amiri"/>
          <w:color w:val="111111"/>
          <w:sz w:val="28"/>
          <w:sz w:val="28"/>
          <w:szCs w:val="28"/>
          <w:rtl w:val="true"/>
          <w:lang w:bidi="ar-SA"/>
        </w:rPr>
        <w:t>من شرائط جريان الاستصحاب بقاء الموضوع، إذ لولاه لعاد الاستصحاب قياساً ويكون من قبيل إسراء حكم من موضوع إلى موضوع آخر، وبما انّ الزمان أمر غير قارّالذات، متصرّم الحقيقة، فالجزء الموصوف بالنهار المتيقّن غير الجزء المشكوك كونه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إشكالاً جديداً بل تعبيراً ثانياً عن الإشكال الأوّل، ويعلم جوابه ممّا ذكرناه حول الإشكال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الموصوف بالنهارية، ليس الجزء المنفك عن الجزء الأول بل الوجود الشخصي الذي يتحقّق بطلوع الفجر وأخذ يتحرّك فنشكّ في بقاء ذلك الموجود الشخصي، وعلى ضوء ذلك يكون الموضوع باقياً</w:t>
      </w:r>
      <w:r>
        <w:rPr>
          <w:rFonts w:eastAsia="Amiri" w:cs="Amiri" w:ascii="Amiri" w:hAnsi="Amiri"/>
          <w:color w:val="111111"/>
          <w:sz w:val="28"/>
          <w:szCs w:val="28"/>
          <w:rtl w:val="true"/>
          <w:lang w:bidi="ar-SA"/>
        </w:rPr>
        <w:t>.</w:t>
      </w:r>
    </w:p>
    <w:p>
      <w:pPr>
        <w:pStyle w:val="Heading6"/>
        <w:numPr>
          <w:ilvl w:val="5"/>
          <w:numId w:val="1"/>
        </w:numPr>
        <w:rPr/>
      </w:pPr>
      <w:bookmarkStart w:id="299" w:name="__RefHeading___Toc7507084_3381743652"/>
      <w:bookmarkStart w:id="300" w:name="_Toc112"/>
      <w:bookmarkEnd w:id="299"/>
      <w:r>
        <w:rPr>
          <w:rtl w:val="true"/>
        </w:rPr>
        <w:t>الثالث</w:t>
      </w:r>
      <w:r>
        <w:rPr>
          <w:rtl w:val="true"/>
        </w:rPr>
        <w:t xml:space="preserve">. </w:t>
      </w:r>
      <w:r>
        <w:rPr>
          <w:rtl w:val="true"/>
        </w:rPr>
        <w:t>الاستصحاب مثبت</w:t>
      </w:r>
      <w:bookmarkEnd w:id="300"/>
    </w:p>
    <w:p>
      <w:pPr>
        <w:pStyle w:val="BookText"/>
        <w:rPr/>
      </w:pPr>
      <w:r>
        <w:rPr>
          <w:rFonts w:ascii="Amiri" w:hAnsi="Amiri" w:eastAsia="Amiri" w:cs="Amiri"/>
          <w:color w:val="111111"/>
          <w:sz w:val="28"/>
          <w:sz w:val="28"/>
          <w:szCs w:val="28"/>
          <w:rtl w:val="true"/>
          <w:lang w:bidi="ar-SA"/>
        </w:rPr>
        <w:t>إنّ استصحاب بقاء الليل والنهار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 على نحو القضية التامة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الليل موجوداً، والأصل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استصحابه على نحو القضية الناقصة،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كان ليلاً، والأصل بقاؤه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منهما وإن كان له حالة سابقة، لكنّه يلازم عقلاً كون الجزء المشكوك نهاراً، ويترتب عليه أثره الشرعي وهو حرمة الأكل في اليوم وجواز إقامة الصلاة أداء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ذلك فهناك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النهار أو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الجزء من النهار أو من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الأكل أو إقامة الصلاة أداء المترتب على كون هذا الجزء نهاراً أو ليلاً، والهدف من الاستصحاب هو ترتّب الأثر الشرعي، ولكنّه لا يترتب على المستصحب إلّابواسطة عقلية، وهذا هو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فهو وإن كان غيرَ مثبِت ولكنّه فاقد للحالة السابقة، إذ لم يكن هذا الجزء موجوداً في السابق وموصوفاً بكونه من اللّيل أو من النهار حتى 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 ولكنّ الأصلَ هنا حجّة وإن كان مثبتاً، وذلك لخفاء الواسطة على وجه يرى العرفُ الأثرَ الشرعي مترتِّباً على المستصحب لا على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العرفُبقاء الليل على النحو الكليّ، عين وصف الجزء المعيّن بالنهارية فيترتب عليه أثره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ونختار الشقّ الثاني،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مبني على فصل الجزء المشكوك عن الجزء السابق ولحاظه مستقلاً، وأمّا إذا قلنا انّ الجزء المشكوك بقاء للجزء السابق المحكوم بالنهارية أو الليلية فيصحّ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الزمان موصوفاً بالنهارية، والأصل بقاؤه، لأنّ المفروض انّ الزمان أمر واحد متلاصق، متلاحم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فالجزء الذي نشكّ في وصفه هو امتداد لنفس اليوم الطالع عند الفجر الصادق إلى الآن الذي نشكّ فيه</w:t>
      </w:r>
      <w:r>
        <w:rPr>
          <w:rFonts w:eastAsia="Amiri" w:cs="Amiri" w:ascii="Amiri" w:hAnsi="Amiri"/>
          <w:color w:val="111111"/>
          <w:sz w:val="28"/>
          <w:szCs w:val="28"/>
          <w:rtl w:val="true"/>
          <w:lang w:bidi="ar-SA"/>
        </w:rPr>
        <w:t xml:space="preserve">. </w:t>
      </w:r>
      <w:bookmarkStart w:id="301" w:name="pg14367_157122"/>
    </w:p>
    <w:p>
      <w:pPr>
        <w:pStyle w:val="BookText"/>
        <w:rPr/>
      </w:pPr>
      <w:bookmarkEnd w:id="301"/>
      <w:r>
        <w:rPr>
          <w:rFonts w:ascii="Amiri" w:hAnsi="Amiri" w:eastAsia="Amiri" w:cs="Amiri"/>
          <w:color w:val="111111"/>
          <w:sz w:val="28"/>
          <w:sz w:val="28"/>
          <w:szCs w:val="28"/>
          <w:rtl w:val="true"/>
          <w:lang w:bidi="ar-SA"/>
        </w:rPr>
        <w:t>وربما يتمسك باستصحابات أُخرى غير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المحقّق الخراساني، وهو استصحاب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إمساكي قبل هذا الآن في النهار، والآن كما كان، ثمّ أمر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وجه التأمّل انّ التعلّق عقلي نظير قولك في الصلاة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أُصلّي قبل هذا كانت صلاتي واقعة في النهار والآن كما كان، والاستصحاب التعليقي حجّة فيما إذا كان التعليق شرعياً، كما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العصير العنبي إذا غلييحرم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المقام، فإنّه عقلي فانّ ترتّب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صلاتي واقعة 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المقدّم 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استصحاب عدم الغروب أو عدم الطلوع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مثبت، فلا يُثبت كون الجزء المشكوك نهاراً أو ليلاً إلّابالملازمة العقلية، ولو قيل بخفاء الواسطة فلا حاجة إليه بعد تصحيح استصحاب النهار أو الليل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لهما أثر شرعي يترتب عليهما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استصحاب وجوب الإمساك أو جواز الأكل الذي هو استصحاب حكمي، وهذا لا بأس به</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7507086_3381743652"/>
      <w:bookmarkStart w:id="303" w:name="_Toc113"/>
      <w:bookmarkEnd w:id="302"/>
      <w:r>
        <w:rPr>
          <w:rtl w:val="true"/>
        </w:rPr>
        <w:t>الموضع الثاني</w:t>
      </w:r>
      <w:r>
        <w:rPr>
          <w:rtl w:val="true"/>
        </w:rPr>
        <w:t xml:space="preserve">: </w:t>
      </w:r>
      <w:r>
        <w:rPr>
          <w:rtl w:val="true"/>
        </w:rPr>
        <w:t>جريان الاستصحاب في الأُمور التدريجية غير الزمان</w:t>
      </w:r>
      <w:bookmarkEnd w:id="30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التدريج تارة يكون أمراً ثابتاً بالبرهان وأُخرى بالحس، والأوّل كمجموع عالم المادة فانّه بناء على القول بالحركة الجوهرية أمر غير ثابت متجدّد في كلّ آن، والجوهر والعرض في الآن الأوّل غيرهما في الآن الثاني، ومثله النور المتلألأ من المصابيح الكهربائيّة أو الدهنيّة، وأُخرى يكون أمراً حسياً، كنبع الماء وقذف الرحم </w:t>
      </w:r>
      <w:bookmarkStart w:id="304" w:name="pg14367_157123"/>
    </w:p>
    <w:p>
      <w:pPr>
        <w:pStyle w:val="BookText"/>
        <w:rPr/>
      </w:pPr>
      <w:bookmarkEnd w:id="304"/>
      <w:r>
        <w:rPr>
          <w:rFonts w:ascii="Amiri" w:hAnsi="Amiri" w:eastAsia="Amiri" w:cs="Amiri"/>
          <w:color w:val="111111"/>
          <w:sz w:val="28"/>
          <w:sz w:val="28"/>
          <w:szCs w:val="28"/>
          <w:rtl w:val="true"/>
          <w:lang w:bidi="ar-SA"/>
        </w:rPr>
        <w:t>الدمَ، والمشي والتكلم إلى غير ذلك، والكلام إنّما هو في القسم الثاني، وأمّا الأوّل فالبقاء فيه واضح وعدم تصوّر البقاء فيه عند العقل الخاضع لبرهان الحركة الجوهرية لا ينافي صدق البقاء في نظر العرف الدقيق، من غير فرق بين أن لا يتخلّل العدم بين أجزائها المتلاحقة كسيلان الماء وقذف الدم، أو يتخلّل بصورة لا تخل بوحدة الفعل كالقراءة والتكلّم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هنا صوراً</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7507088_3381743652"/>
      <w:bookmarkStart w:id="306" w:name="_Toc114"/>
      <w:bookmarkEnd w:id="305"/>
      <w:r>
        <w:rPr>
          <w:rtl w:val="true"/>
        </w:rPr>
        <w:t>الصورة الأُولى</w:t>
      </w:r>
      <w:r>
        <w:rPr>
          <w:rtl w:val="true"/>
        </w:rPr>
        <w:t xml:space="preserve">: </w:t>
      </w:r>
      <w:r>
        <w:rPr>
          <w:rtl w:val="true"/>
        </w:rPr>
        <w:t>إذا أحرز المتيقّن وشكّ في الرافع</w:t>
      </w:r>
      <w:bookmarkEnd w:id="306"/>
    </w:p>
    <w:p>
      <w:pPr>
        <w:pStyle w:val="BookText"/>
        <w:rPr/>
      </w:pPr>
      <w:r>
        <w:rPr>
          <w:rFonts w:ascii="Amiri" w:hAnsi="Amiri" w:eastAsia="Amiri" w:cs="Amiri"/>
          <w:color w:val="111111"/>
          <w:sz w:val="28"/>
          <w:sz w:val="28"/>
          <w:szCs w:val="28"/>
          <w:rtl w:val="true"/>
          <w:lang w:bidi="ar-SA"/>
        </w:rPr>
        <w:t>إذا أُحرز انّه كان قاصداً للسفر إلى أربعة فراسخ ولكن يحتمل عروضَ مانع من برد أو حرّ، ومثله ما إذا أحرز كون القناة قابلة لنبع الماء سنين ولكن يُشكّ في سيلانها ونبعها، لأجل احتمال حدوث مانع يمنع عن جريانه، كسقوط الصخرة على المجرى، أو امتلاء الطريق بالطين، أو غير ذلك من الموانع، ومثله ما إذا علمنا وجود واع في نفس المتكلّم يدفعه إلى أن يتكلّم ساعة لكن يحتمل انصرافه عنه لأجل طروء رادع يصرفه عن الاستمرار في الكلام ففي هذه الصورة يجري الاستصحاب لما عرفت من وجود الوحدة العرفية وصدق الشكّ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لكلّشيء بقاء واستمراراً، فلو كان الشيء أمراً قارّاً فبقاؤه باجتماع جميع أجزاء وجوده في زمان واحد أو مكان واحد، وأمّا إذا كان أمراً غير قار فبقاؤه استمراره وامتداده فهو باق بامتداده ووجوده التصرمي وثابت بوجوده التجدّدي، ولولا ذلك بطلت هويّته وزالت شخصيته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النظر فيما ذكره المحقّق الخراساني من أنّ الشكّ ليس في بقاء جريان شخص ما كان، بل في حدوث جريان جزء آخر شكّ في جريانه من جهة </w:t>
      </w:r>
      <w:bookmarkStart w:id="307" w:name="pg14367_157124"/>
    </w:p>
    <w:p>
      <w:pPr>
        <w:pStyle w:val="BookText"/>
        <w:rPr/>
      </w:pPr>
      <w:bookmarkEnd w:id="307"/>
      <w:r>
        <w:rPr>
          <w:rFonts w:ascii="Amiri" w:hAnsi="Amiri" w:eastAsia="Amiri" w:cs="Amiri"/>
          <w:color w:val="111111"/>
          <w:sz w:val="28"/>
          <w:sz w:val="28"/>
          <w:szCs w:val="28"/>
          <w:rtl w:val="true"/>
          <w:lang w:bidi="ar-SA"/>
        </w:rPr>
        <w:t>الشكّ في حدوثه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وجه النظر واضح انّ المستشكل نظر إلى الموجود التدريجي من منظار العقل فهو عنده شكّ في الحدوث، لا من منظار العرف الدقيق فهو أمر واحد شخصي شكّ في طول وجوده وقصره</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7507090_3381743652"/>
      <w:bookmarkStart w:id="309" w:name="_Toc115"/>
      <w:bookmarkEnd w:id="308"/>
      <w:r>
        <w:rPr>
          <w:rtl w:val="true"/>
        </w:rPr>
        <w:t>الصورة الثانية</w:t>
      </w:r>
      <w:r>
        <w:rPr>
          <w:rtl w:val="true"/>
        </w:rPr>
        <w:t xml:space="preserve">: </w:t>
      </w:r>
      <w:r>
        <w:rPr>
          <w:rtl w:val="true"/>
        </w:rPr>
        <w:t>إذا شكّ في استمراره لأجل الشكّ في بقاء المقتضي</w:t>
      </w:r>
      <w:bookmarkEnd w:id="309"/>
    </w:p>
    <w:p>
      <w:pPr>
        <w:pStyle w:val="BookText"/>
        <w:rPr/>
      </w:pPr>
      <w:r>
        <w:rPr>
          <w:rFonts w:ascii="Amiri" w:hAnsi="Amiri" w:eastAsia="Amiri" w:cs="Amiri"/>
          <w:color w:val="111111"/>
          <w:sz w:val="28"/>
          <w:sz w:val="28"/>
          <w:szCs w:val="28"/>
          <w:rtl w:val="true"/>
          <w:lang w:bidi="ar-SA"/>
        </w:rPr>
        <w:t>كأن لم يعلم مقدار ما نواه من السفر، فهل نوى السفر فرسخين أو أربع فراسخ، وجريان الاستصحاب يتوقف على وجود الإطلاق في أدلّة الاستصحاب حتى يعم الشكّ في النقض، وقد مرّ</w:t>
      </w:r>
      <w:r>
        <w:rPr>
          <w:rFonts w:eastAsia="Amiri" w:cs="Amiri" w:ascii="Amiri" w:hAnsi="Amiri"/>
          <w:color w:val="111111"/>
          <w:sz w:val="28"/>
          <w:szCs w:val="28"/>
          <w:rtl w:val="true"/>
          <w:lang w:bidi="ar-SA"/>
        </w:rPr>
        <w:t>.</w:t>
      </w:r>
    </w:p>
    <w:p>
      <w:pPr>
        <w:pStyle w:val="Heading6"/>
        <w:numPr>
          <w:ilvl w:val="5"/>
          <w:numId w:val="1"/>
        </w:numPr>
        <w:rPr/>
      </w:pPr>
      <w:bookmarkStart w:id="310" w:name="__RefHeading___Toc7507092_3381743652"/>
      <w:bookmarkStart w:id="311" w:name="_Toc116"/>
      <w:bookmarkEnd w:id="310"/>
      <w:r>
        <w:rPr>
          <w:rtl w:val="true"/>
        </w:rPr>
        <w:t>الصورة الثالثة</w:t>
      </w:r>
      <w:r>
        <w:rPr>
          <w:rtl w:val="true"/>
        </w:rPr>
        <w:t xml:space="preserve">: </w:t>
      </w:r>
      <w:r>
        <w:rPr>
          <w:rtl w:val="true"/>
        </w:rPr>
        <w:t>في احتمال نيابة داعٍ آخر مكانه</w:t>
      </w:r>
      <w:bookmarkEnd w:id="311"/>
    </w:p>
    <w:p>
      <w:pPr>
        <w:pStyle w:val="BookText"/>
        <w:rPr/>
      </w:pPr>
      <w:r>
        <w:rPr>
          <w:rFonts w:ascii="Amiri" w:hAnsi="Amiri" w:eastAsia="Amiri" w:cs="Amiri"/>
          <w:color w:val="111111"/>
          <w:sz w:val="28"/>
          <w:sz w:val="28"/>
          <w:szCs w:val="28"/>
          <w:rtl w:val="true"/>
          <w:lang w:bidi="ar-SA"/>
        </w:rPr>
        <w:t>إذا شكّ في الاستمرار بعد العلم بانتفاء الداعي الأوّل واحتمال نيابة داع آخر مكانه، كما إذا علمنا أنّه نوى السفر إلى فرسخين ولكن يحتمل عروض داع آخر، لأنّ يستمر في سفره إلى أربعة فراسخ، وربّما يقال بعدم الجريان، لأنّ وحدة السير بوحدة الداعي فلو تعدّد، يتعدّد السير، فإذا شك في حدوث داع ثان يوجب استمراره في السير، فهو في الحقيقة شكّ في حدوث سير آخر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نظر العرف استمرار لوجود واحد وإن اختلف الداعي، والمقام أشبه بحفظ خيمة واحدة بدعامتين، فتعويض الدعامة الأُولى بنصب الثانية لا يوجب تعدّداً في جانب البقاء، فهكذا المقام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وحدة العمل تابع لتلاصق أجزائه، وتعدّد الداعي بعد </w:t>
      </w:r>
      <w:bookmarkStart w:id="312" w:name="pg14367_157125"/>
    </w:p>
    <w:p>
      <w:pPr>
        <w:pStyle w:val="BookText"/>
        <w:rPr/>
      </w:pPr>
      <w:bookmarkEnd w:id="312"/>
      <w:r>
        <w:rPr>
          <w:rFonts w:ascii="Amiri" w:hAnsi="Amiri" w:eastAsia="Amiri" w:cs="Amiri"/>
          <w:color w:val="111111"/>
          <w:sz w:val="28"/>
          <w:sz w:val="28"/>
          <w:szCs w:val="28"/>
          <w:rtl w:val="true"/>
          <w:lang w:bidi="ar-SA"/>
        </w:rPr>
        <w:t>تلاحقها لا يؤثّر في كيفية العمل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أشار إلى تصوير استصحاب الكلّي بأقسامه الثلاثة في المقام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استصحاب بقاء الأمر التدريجي إمّا يكون من قبيل استصحاب الشخصي أو من قبيل استصحاب الكلّي بأقسامه، فإذا شكّ في أنّ السورة المعلومة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 قراءتُها أو بقي شيء منها صحّ استصحاب الجزئي والكلّي وإذا شكّ فيه من جهة تردّدها بين القصيرة والطويلة كان من القسم الثاني، وإذا شكّ من أنّه شرع من أُخرى مع القطع بأنّه قد تمّت الأُولى كان من القسم الثالث</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7507094_3381743652"/>
      <w:bookmarkStart w:id="314" w:name="_Toc117"/>
      <w:bookmarkEnd w:id="313"/>
      <w:r>
        <w:rPr>
          <w:rtl w:val="true"/>
        </w:rPr>
        <w:t>الموضع الثالث</w:t>
      </w:r>
      <w:r>
        <w:rPr>
          <w:rtl w:val="true"/>
        </w:rPr>
        <w:t xml:space="preserve">: </w:t>
      </w:r>
      <w:r>
        <w:rPr>
          <w:rtl w:val="true"/>
        </w:rPr>
        <w:t xml:space="preserve">الفعل </w:t>
      </w:r>
      <w:r>
        <w:rPr>
          <w:rtl w:val="true"/>
        </w:rPr>
        <w:t>(</w:t>
      </w:r>
      <w:r>
        <w:rPr>
          <w:rtl w:val="true"/>
        </w:rPr>
        <w:t>القارّ</w:t>
      </w:r>
      <w:r>
        <w:rPr>
          <w:rtl w:val="true"/>
        </w:rPr>
        <w:t xml:space="preserve">) </w:t>
      </w:r>
      <w:r>
        <w:rPr>
          <w:rtl w:val="true"/>
        </w:rPr>
        <w:t>المقيّد بالزمان</w:t>
      </w:r>
      <w:bookmarkEnd w:id="314"/>
    </w:p>
    <w:p>
      <w:pPr>
        <w:pStyle w:val="BookText"/>
        <w:rPr/>
      </w:pPr>
      <w:r>
        <w:rPr>
          <w:rFonts w:ascii="Amiri" w:hAnsi="Amiri" w:eastAsia="Amiri" w:cs="Amiri"/>
          <w:color w:val="111111"/>
          <w:sz w:val="28"/>
          <w:sz w:val="28"/>
          <w:szCs w:val="28"/>
          <w:rtl w:val="true"/>
          <w:lang w:bidi="ar-SA"/>
        </w:rPr>
        <w:t>إذا أمر المولى بالإمساك إلى الغروب، أو الجلوس في المسجد إلى الظهر، فتارة تكون الشبهة موضوعية، وأُخرى 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شكّ في تحقّق المغرب والظهر، وهذا ما فرغنا منه في الموضع الأوّل فانّه كان مخصَّصاً لاستصحاب الزمان كالليل والنهار فيما إذا كان قيداً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إذا قطع بتحقّق الظهر لكن يشكّ في بقاء الحكم لاحتمال أن يكون التعبّد به إنّما هو بلحاظ كمال المطلوب، لا أصله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أنّ الموضع الأوّل والثالث من مقولة واحدة وهو كون الزمان قيداً للفعل غير أنّ الشبهة تارة تكون موضوعية ويكون الشكّ متعلّقاً ببقاء الزمان و عدمه، وأُخرى حكميّة، ويكون الشكّ متعلّقاً ببقاء الحكم لأجل احتمال بقائه، حتى بعد القطع بانتفاء الزمان، والمتكفل لبيان حكم الشبهة الموضوعية هو </w:t>
      </w:r>
    </w:p>
    <w:p>
      <w:pPr>
        <w:pStyle w:val="BookText"/>
        <w:rPr/>
      </w:pPr>
      <w:r>
        <w:rPr>
          <w:rFonts w:ascii="Amiri" w:hAnsi="Amiri" w:eastAsia="Amiri" w:cs="Amiri"/>
          <w:color w:val="111111"/>
          <w:sz w:val="28"/>
          <w:sz w:val="28"/>
          <w:szCs w:val="28"/>
          <w:rtl w:val="true"/>
          <w:lang w:bidi="ar-SA"/>
        </w:rPr>
        <w:t xml:space="preserve">الموضع الأوّل، والمتكّفل لبيان حكم الشبهة الحكمية هوالموضع الثالث، ولقد قدّم المحقّق الخراساني البحث في الزمانيات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طرح البحث في الموضع الأوّل والثالث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ذكره استصحابَ الليل والنهار عند البحث في الموضع الثاني في غير محله، لأنّه من قبيل استصحاب الزمان لا الزمانيات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استصحاب الزمان والفعل المقيد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قول المحقّق الخراساني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الفعل المقيد بالزمان فتارة يكون الشكّ في حكمه من جهة الشكّ في بقاء قيده</w:t>
      </w:r>
      <w:r>
        <w:rPr>
          <w:rStyle w:val="FootnoteAnchor"/>
          <w:rtl w:val="true"/>
        </w:rPr>
        <w:footnoteReference w:id="84"/>
      </w:r>
      <w:r>
        <w:rPr>
          <w:rFonts w:ascii="Amiri" w:hAnsi="Amiri" w:eastAsia="Amiri" w:cs="Amiri"/>
          <w:color w:val="111111"/>
          <w:sz w:val="28"/>
          <w:sz w:val="28"/>
          <w:szCs w:val="28"/>
          <w:rtl w:val="true"/>
          <w:lang w:bidi="ar-SA"/>
        </w:rPr>
        <w:t xml:space="preserve">وطوراً مع القطع بانتفائه، من جهة أُخرى كما إذا احتمل أن يكون التعبد، إنّما هو بلحاظ تمام المطلوب لا أصله ومع احتماله يصحّ استصحاب الحكم بشرط آخر إذ انّ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لا قيد، وذلك لأنّ الأمر الوجودي المجعول إن لوحظ الزمان قيداً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لمتعلّقه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لوحظ وجوب الجلوس المقيد بكونه إلى الزوال شيئاً، والمقيد بكونه بعد الزوال شيئاً آخر متعلّقاً للوجوب فلا مجال لاستصحاب الوجوب للقطع بارتفاع ما علم وجوده والشكّ في حدوث ما عداه، ولذا لا يجوز الاستصحاب في صم يوم الخميس إذا شكّ في وجوب صوم يوم الجمعة، وإن لوحظ الزمان ظرفاً لوجوب الجلوس فيجري استصحاب وجوب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لا محالة يكون من قيود الموضوع وإن أُخذ ظرفاً لثبوت الحكم في دليله ضرورة دخل مثل الزمان فيما هو المناط لثبوته فلا مجال للاستصحاب لتبدّل الموضوع</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في تعيين الموضوع هو العرف لا العقل، والفعل في كلا الزمانين </w:t>
      </w:r>
    </w:p>
    <w:p>
      <w:pPr>
        <w:pStyle w:val="BookText"/>
        <w:rPr/>
      </w:pPr>
      <w:r>
        <w:rPr>
          <w:rFonts w:ascii="Amiri" w:hAnsi="Amiri" w:eastAsia="Amiri" w:cs="Amiri"/>
          <w:color w:val="111111"/>
          <w:sz w:val="28"/>
          <w:sz w:val="28"/>
          <w:szCs w:val="28"/>
          <w:rtl w:val="true"/>
          <w:lang w:bidi="ar-SA"/>
        </w:rPr>
        <w:t>واحد، قطع بثبوت الحكم له في الزمان الأوّل وشكّ في بقائه في الزمان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الشيخ الأنصاري نقل عن المحقّق النراقي شبهة في جريان استصحاب الحكم الشرعي المجعول، بأنّه معارض باستصحاب عدم جعله في الزمان المشكوك وأطال الكلام، كما أنّ المحقّق الخراساني نقل نفس الشبهة في ضمن إشكال أورده 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كلّ واحد من الثبوت والعدم يجري لثبوت كلا النظرين، ثمّ أجاب</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البحث حول تعارض الاستصحابين لا صلة له باستصحاب الفعل المقيّد بالزمان، بل هو شبهة كلية له صلة بمبحث آخر وهو منع جريان الاستصحاب في الشبهة الحكمية من رأس، وذلك لتعارض استصحاب بقاء الحكم في زمان الشكّ مع أصالة عدم جعله فيما عد المتيقّن، وكان اللازم على الشيخ وتلميذه عقد تنبيه خاص لهذا الموضوع ونقد إشكال المحقّق النراقي بعده، ولأجل ذلك خصصنا تنبيهاً مستقلاً له كالآتي</w:t>
      </w:r>
      <w:r>
        <w:rPr>
          <w:rFonts w:eastAsia="Amiri" w:cs="Amiri" w:ascii="Amiri" w:hAnsi="Amiri"/>
          <w:color w:val="111111"/>
          <w:sz w:val="28"/>
          <w:szCs w:val="28"/>
          <w:rtl w:val="true"/>
          <w:lang w:bidi="ar-SA"/>
        </w:rPr>
        <w:t xml:space="preserve">. </w:t>
      </w:r>
      <w:bookmarkStart w:id="315" w:name="pg14367_157128"/>
    </w:p>
    <w:p>
      <w:pPr>
        <w:pStyle w:val="BookText"/>
        <w:rPr/>
      </w:pPr>
      <w:bookmarkEnd w:id="315"/>
      <w:r>
        <w:rPr>
          <w:rFonts w:ascii="Amiri" w:hAnsi="Amiri" w:eastAsia="Amiri" w:cs="Amiri"/>
          <w:color w:val="111111"/>
          <w:sz w:val="28"/>
          <w:sz w:val="28"/>
          <w:szCs w:val="28"/>
          <w:rtl w:val="true"/>
          <w:lang w:bidi="ar-SA"/>
        </w:rPr>
        <w:t>التنبيهات</w:t>
      </w:r>
    </w:p>
    <w:p>
      <w:pPr>
        <w:pStyle w:val="Heading5"/>
        <w:numPr>
          <w:ilvl w:val="4"/>
          <w:numId w:val="1"/>
        </w:numPr>
        <w:rPr/>
      </w:pPr>
      <w:bookmarkStart w:id="316" w:name="__RefHeading___Toc7507096_3381743652"/>
      <w:bookmarkStart w:id="317" w:name="_Toc118"/>
      <w:bookmarkEnd w:id="316"/>
      <w:r>
        <w:rPr/>
        <w:t>6</w:t>
      </w:r>
      <w:r>
        <w:rPr>
          <w:rtl w:val="true"/>
        </w:rPr>
        <w:t xml:space="preserve">- </w:t>
      </w:r>
      <w:r>
        <w:rPr>
          <w:rtl w:val="true"/>
        </w:rPr>
        <w:t>في جريان الاستصحاب في الشبهات الحكمية أو جريانه في الفعل المقيّد بالزمان</w:t>
      </w:r>
      <w:bookmarkEnd w:id="317"/>
    </w:p>
    <w:p>
      <w:pPr>
        <w:pStyle w:val="Heading6"/>
        <w:numPr>
          <w:ilvl w:val="5"/>
          <w:numId w:val="1"/>
        </w:numPr>
        <w:rPr/>
      </w:pPr>
      <w:bookmarkStart w:id="318" w:name="__RefHeading___Toc7507098_3381743652"/>
      <w:bookmarkStart w:id="319" w:name="_Toc119"/>
      <w:bookmarkEnd w:id="318"/>
      <w:r>
        <w:rPr>
          <w:rtl w:val="true"/>
        </w:rPr>
        <w:t>اشارة</w:t>
      </w:r>
      <w:bookmarkEnd w:id="319"/>
    </w:p>
    <w:p>
      <w:pPr>
        <w:pStyle w:val="BookText"/>
        <w:rPr/>
      </w:pPr>
      <w:r>
        <w:rPr>
          <w:rFonts w:ascii="Amiri" w:hAnsi="Amiri" w:eastAsia="Amiri" w:cs="Amiri"/>
          <w:color w:val="111111"/>
          <w:sz w:val="28"/>
          <w:sz w:val="28"/>
          <w:szCs w:val="28"/>
          <w:rtl w:val="true"/>
          <w:lang w:bidi="ar-SA"/>
        </w:rPr>
        <w:t>كان التنبيه السابق معقوداً لبيان جواز استصحاب الزمان والزمانيّات، و قد عرفت حقيقة الحال فيهما، و بقي البحث في استصحاب القسم الثالث، أي‌الفعل المقيّد بالزمان، كالإمساك في النهار إذا شكّفي بقاء وجوبه بعد غروب الشمس، وقد جعله الشيخ ذيلاً للتنبيه السابق، وتبعه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الأعلام خصُّوا الكلام بما إذا كان القيد زماناً كالنهار بالنسبة إلى الإمساك جعلوه ذيلاً للتنبيه السابق، وبما أنّه لا خصوصية لكون القيد زماناً، يأتي البحث في سائر القيود أيضاً عند ارتفاعها والشك في بقاء الحكم الكلّي كما في 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الدليل على أنّ الماء المتغيّر نجس، فلو زال تغيّره بنفسه، يقع الكلام في بقاء النجاسة بعد ارتفاع القيد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الدليل على أنّه يحرم مسُّ الحائض، فلو حصل النقاء ولم تغتسل، يقع الكلام في بقاء حرمة المس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وبذلك يظهر أنّ ملاك البحث هو استصحاب الحكم الشرعي الكلّي بعد ارتفاع بعض قيوده سواء أكان القيد زماناً أم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اللازم على الشيخ عقدَ تنبيه خاص لجواز جريانه فيه وعدمه، لكنّه اكتفى بما في ذيل التنبيه السابق، ولأجل الحفاظ على النظام السائد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نقتفي أثر الشيخ والمحقّق الخراساني أوّلاً، ثُمّ نوسِّع البحث في استصحاب كل حكم كلّي شرعي عند انتفاء بعض قيوده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منشأ الشك في بقاء الحكم الشرعي، تارة يكون خلط الأُمور الخارجية، وهو المعبَّر عنه بالشبهة الموضوعية، وأُخرى فقدان النص أو إجماله أو تعارضه، وهذا ما يعبَّر عنه بالشبهة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جريانه عند قاطبة الأخباريّين والأُصوليّين، فمثلاً إذا شُك في بقاء النهار يُستصحب بقاؤه، ومثله إذا شُكّ في بقاء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كان الشكّ في الشبهة الحكمية، فهناك 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 الاستصحابين، أي‌استصحاب العدم واستصحاب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خيرة المحقّق النراقي والمحقّق الخوئي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كون القيد المرتفع ظرفاً فيجري استصحاب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قيداً فيجري استصحاب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خيرة الشيخ الأنصاري و المحقّق الخراساني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العدمي، وجريان خصوص الاستصحاب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قوّيناه لكن بطريق آخر</w:t>
      </w:r>
      <w:r>
        <w:rPr>
          <w:rFonts w:eastAsia="Amiri" w:cs="Amiri" w:ascii="Amiri" w:hAnsi="Amiri"/>
          <w:color w:val="111111"/>
          <w:sz w:val="28"/>
          <w:szCs w:val="28"/>
          <w:rtl w:val="true"/>
          <w:lang w:bidi="ar-SA"/>
        </w:rPr>
        <w:t xml:space="preserve">. </w:t>
      </w:r>
      <w:bookmarkStart w:id="320" w:name="pg14367_157130"/>
    </w:p>
    <w:p>
      <w:pPr>
        <w:pStyle w:val="BookText"/>
        <w:rPr/>
      </w:pPr>
      <w:bookmarkEnd w:id="320"/>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الوجودي والعدمي بلا منافاة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شيخ مشايخنا الحائريّ والسيّد الأُستاذ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الشبهة الحكمية الكلّية أصلاً، واختصاصه بالحكم الجزئي والشبهة الموضوعية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الأخباريين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وإنّما أخّرنا هذا القول عن الأقوال الأربعة، لأجل انطباق البحث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وإلّا فطبع الحال كان يقتضي تقديمه على الأقوال كلّها</w:t>
      </w:r>
      <w:r>
        <w:rPr>
          <w:rFonts w:eastAsia="Amiri" w:cs="Amiri" w:ascii="Amiri" w:hAnsi="Amiri"/>
          <w:color w:val="111111"/>
          <w:sz w:val="28"/>
          <w:szCs w:val="28"/>
          <w:rtl w:val="true"/>
          <w:lang w:bidi="ar-SA"/>
        </w:rPr>
        <w:t>.</w:t>
      </w:r>
    </w:p>
    <w:p>
      <w:pPr>
        <w:pStyle w:val="Heading6"/>
        <w:numPr>
          <w:ilvl w:val="5"/>
          <w:numId w:val="1"/>
        </w:numPr>
        <w:rPr/>
      </w:pPr>
      <w:bookmarkStart w:id="321" w:name="__RefHeading___Toc7507100_3381743652"/>
      <w:bookmarkStart w:id="322" w:name="_Toc120"/>
      <w:bookmarkEnd w:id="321"/>
      <w:r>
        <w:rPr>
          <w:rtl w:val="true"/>
        </w:rPr>
        <w:t>القول الأوّل</w:t>
      </w:r>
      <w:r>
        <w:rPr>
          <w:rtl w:val="true"/>
        </w:rPr>
        <w:t xml:space="preserve">: </w:t>
      </w:r>
      <w:r>
        <w:rPr>
          <w:rtl w:val="true"/>
        </w:rPr>
        <w:t>جريان الاستصحابين وتعارضهما</w:t>
      </w:r>
      <w:bookmarkEnd w:id="322"/>
    </w:p>
    <w:p>
      <w:pPr>
        <w:pStyle w:val="BookText"/>
        <w:rPr/>
      </w:pPr>
      <w:r>
        <w:rPr>
          <w:rFonts w:ascii="Amiri" w:hAnsi="Amiri" w:eastAsia="Amiri" w:cs="Amiri"/>
          <w:color w:val="111111"/>
          <w:sz w:val="28"/>
          <w:sz w:val="28"/>
          <w:szCs w:val="28"/>
          <w:rtl w:val="true"/>
          <w:lang w:bidi="ar-SA"/>
        </w:rPr>
        <w:t>ذهب المحقّق النراقي إلى جريان الاستصحاب في الحكم الشرعي الكلّي، لكن تكون النتيجة هي تعارض الاستصحابين،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أنّ الشارع أمر بالجلوس يوم الجمعة، وعلم انّه واجب إلى الزوال، ولم يعلم وجوبه فيما بعده، فاستصحاب وجوبه بعده، معارض بعدم وجوبه مطلقاً قبل التكليف، فخرج الجلوس قبل الزوال وبقي ما بعده تحت عدم الوجوب الأزلي</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التعارض بين جرّ وجوب الجلوس إلى ما بعد الزوال، و استصحاب عدم جعل الوجوب بتاتاً، لا قبل الزوال و لا بعده، خرج عنه، الجلوسُ إلى الزوال بالدليل الشرعي، فيُستصحب عدم الوجوب المطلق من بعد الزوال إلى الغروب</w:t>
      </w:r>
      <w:r>
        <w:rPr>
          <w:rFonts w:eastAsia="Amiri" w:cs="Amiri" w:ascii="Amiri" w:hAnsi="Amiri"/>
          <w:color w:val="111111"/>
          <w:sz w:val="28"/>
          <w:szCs w:val="28"/>
          <w:rtl w:val="true"/>
          <w:lang w:bidi="ar-SA"/>
        </w:rPr>
        <w:t xml:space="preserve">. </w:t>
      </w:r>
      <w:bookmarkStart w:id="323" w:name="pg14367_157131"/>
    </w:p>
    <w:p>
      <w:pPr>
        <w:pStyle w:val="Heading6"/>
        <w:numPr>
          <w:ilvl w:val="5"/>
          <w:numId w:val="1"/>
        </w:numPr>
        <w:rPr/>
      </w:pPr>
      <w:bookmarkStart w:id="324" w:name="__RefHeading___Toc7507102_3381743652"/>
      <w:bookmarkStart w:id="325" w:name="_Toc121"/>
      <w:bookmarkEnd w:id="323"/>
      <w:bookmarkEnd w:id="324"/>
      <w:r>
        <w:rPr>
          <w:rtl w:val="true"/>
        </w:rPr>
        <w:t>القول الثاني</w:t>
      </w:r>
      <w:r>
        <w:rPr>
          <w:rtl w:val="true"/>
        </w:rPr>
        <w:t xml:space="preserve">: </w:t>
      </w:r>
      <w:r>
        <w:rPr>
          <w:rtl w:val="true"/>
        </w:rPr>
        <w:t>التفصيل بين كون الزمان ظرفاً و قيداً</w:t>
      </w:r>
      <w:bookmarkEnd w:id="325"/>
    </w:p>
    <w:p>
      <w:pPr>
        <w:pStyle w:val="BookText"/>
        <w:rPr/>
      </w:pPr>
      <w:r>
        <w:rPr>
          <w:rFonts w:ascii="Amiri" w:hAnsi="Amiri" w:eastAsia="Amiri" w:cs="Amiri"/>
          <w:color w:val="111111"/>
          <w:sz w:val="28"/>
          <w:sz w:val="28"/>
          <w:szCs w:val="28"/>
          <w:rtl w:val="true"/>
          <w:lang w:bidi="ar-SA"/>
        </w:rPr>
        <w:t>ذهب الشيخ و المحقّق الخراساني إلى جريان الاستصحاب في الحكم الشرعي الكلّي من دون أن يكون هنا تعارض، وذلك لأنّ الزمان في دليل المستصحب لا يخلو إمّا أن يكون قيداً للموضوع ومفرِّداً له، و بين كونه ظرفاً للفعل</w:t>
      </w:r>
      <w:r>
        <w:rPr>
          <w:rStyle w:val="FootnoteAnchor"/>
          <w:rtl w:val="true"/>
        </w:rPr>
        <w:footnoteReference w:id="87"/>
      </w:r>
      <w:r>
        <w:rPr>
          <w:rFonts w:ascii="Amiri" w:hAnsi="Amiri" w:eastAsia="Amiri" w:cs="Amiri"/>
          <w:color w:val="111111"/>
          <w:sz w:val="28"/>
          <w:sz w:val="28"/>
          <w:szCs w:val="28"/>
          <w:rtl w:val="true"/>
          <w:lang w:bidi="ar-SA"/>
        </w:rPr>
        <w:t>فإن كان قيداً للموضوع، بمعنى أنّ الجلوس المقيد إلى الزوال واجب، فلا يجري استصحاب الحكم الوجودي، لتبدّل الموضوع، وعدم صدق النقض لو لم نقل بجريانه، بل يكون أشبه بالقياس، بل يجري استصحاب عدم الوجوب لأنّ انتقاض عدم الوجود المقيّد لا يستلزم انتقاض المطلق، والأصل عدم الانتقاض كما إذا ثبت وجوب صوم يوم الجمعة ولم يثبت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أُخذ الزمان ظرفاً للفعل، بتصوّر أنّ الجلوس فعل لا يتحقّق إلّافي الزمان، فلا يجري إلّاالاستصحاب الوجودي، لأنّ العدم المطلق انتقض بالوجود المطلق و قد حكم عليه بالاستمرار بمقتضى أدلة الاستصحاب</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ثمّ إنّ المحقّق الخراساني بعد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الإجابة عن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كلام الشيخ أورد على نفسه إشكالاً ليس في كلام الشيخ،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كل من النظرين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 الزمان قيداً أو ظرفاً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أمراًمحتملاً، يجري كلا الاستصحابين، لأنّ كلاً منهما محتمل البقاء</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عن الإشكال بأنّه إنّما يصحّ إذا كان في أخبار الباب ما بمفهومه يعمّ كلا الاستصحابين، وإلّا فلا يكون هنا إلّااستصحاب واحد لما عرفت من أنّ </w:t>
      </w:r>
      <w:bookmarkStart w:id="326" w:name="pg14367_157132"/>
    </w:p>
    <w:p>
      <w:pPr>
        <w:pStyle w:val="BookText"/>
        <w:rPr/>
      </w:pPr>
      <w:bookmarkEnd w:id="326"/>
      <w:r>
        <w:rPr>
          <w:rFonts w:ascii="Amiri" w:hAnsi="Amiri" w:eastAsia="Amiri" w:cs="Amiri"/>
          <w:color w:val="111111"/>
          <w:sz w:val="28"/>
          <w:sz w:val="28"/>
          <w:szCs w:val="28"/>
          <w:rtl w:val="true"/>
          <w:lang w:bidi="ar-SA"/>
        </w:rPr>
        <w:t>استصحاب الأمر الوجودي فرع لحاظ الزمان ظرفاً، واستصحاب الأمر العدمي فرع لحاظه قيداً ولا يمكن الجمع بين اللحاظين في دليل واحد</w:t>
      </w:r>
      <w:r>
        <w:rPr>
          <w:rFonts w:eastAsia="Amiri" w:cs="Amiri" w:ascii="Amiri" w:hAnsi="Amiri"/>
          <w:color w:val="111111"/>
          <w:sz w:val="28"/>
          <w:szCs w:val="28"/>
          <w:rtl w:val="true"/>
          <w:lang w:bidi="ar-SA"/>
        </w:rPr>
        <w:t>.</w:t>
      </w:r>
    </w:p>
    <w:p>
      <w:pPr>
        <w:pStyle w:val="Heading6"/>
        <w:numPr>
          <w:ilvl w:val="5"/>
          <w:numId w:val="1"/>
        </w:numPr>
        <w:rPr/>
      </w:pPr>
      <w:bookmarkStart w:id="327" w:name="__RefHeading___Toc7507104_3381743652"/>
      <w:bookmarkStart w:id="328" w:name="_Toc122"/>
      <w:bookmarkEnd w:id="327"/>
      <w:r>
        <w:rPr>
          <w:rtl w:val="true"/>
        </w:rPr>
        <w:t>نقد تفصيل الشيخ</w:t>
      </w:r>
      <w:bookmarkEnd w:id="328"/>
    </w:p>
    <w:p>
      <w:pPr>
        <w:pStyle w:val="BookText"/>
        <w:rPr/>
      </w:pPr>
      <w:r>
        <w:rPr>
          <w:rFonts w:ascii="Amiri" w:hAnsi="Amiri" w:eastAsia="Amiri" w:cs="Amiri"/>
          <w:color w:val="111111"/>
          <w:sz w:val="28"/>
          <w:sz w:val="28"/>
          <w:szCs w:val="28"/>
          <w:rtl w:val="true"/>
          <w:lang w:bidi="ar-SA"/>
        </w:rPr>
        <w:t>ثمّ إنّ المحقّق الخوئي أنكر احتمال أن يكون الزمان المأخوذ في لسان الدليل ظرفاً،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قيد دائماً، وعلى هذا يكون المورد صالحاً للاستصحاب العدمي دون الوجودي، و قال ماهذا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الإهمال في مقام الثبوت غير معقول، فالأمر بالشيء إمّا أن يكون مطلقاً، أو يكون مقيداً بزمان خاص، ولا نتصور الواسطة، ومعنى كونه مقيَّداً بزمان خاص عدم وجوبه بعده، فأخذ الزمان ظرفاً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ينتفي المأمور به بانتفائه في مقابل أخذه قيداً للمأمور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يرجع إلى معنى معقول، فانّ الزمان بنفسه ظرف لا يحتاج إلى الجعل التشريعي، فإذا أخذ زمان خاص في المأمور به فلا محالة يكون قيداً له، فلا معنى للفرق بين كون الزمان قيداً أو ظرفاً، فانّ أخذه ظرفاً ليس إلّاعبارة أُخرى عن كونه قيداً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كون الزمان أو مطلق القيود ظرفاً ليس بمعنى عدم مدخليته حدوثاً و بقاءً، وإلّا يكون أخذه في لسان الدليل لغواً، بل المراد مدخليته حدوثاً لا بقاءً مقابلَ مدخليته حدوثاً وبقاءً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الزمان ظرفاً وعلى الثاني قيداً</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صحّحنا استصحاب نجاسة الماء المتغيّر الذي زال تغيّره بنفسه، فانّ النجاسة ليست محمولة على مطلق الماء، ولا على الماء مادام متغيّراً حتى تلزم </w:t>
      </w:r>
      <w:bookmarkStart w:id="329" w:name="pg14367_157133"/>
    </w:p>
    <w:p>
      <w:pPr>
        <w:pStyle w:val="BookText"/>
        <w:rPr/>
      </w:pPr>
      <w:bookmarkEnd w:id="329"/>
      <w:r>
        <w:rPr>
          <w:rFonts w:ascii="Amiri" w:hAnsi="Amiri" w:eastAsia="Amiri" w:cs="Amiri"/>
          <w:color w:val="111111"/>
          <w:sz w:val="28"/>
          <w:sz w:val="28"/>
          <w:szCs w:val="28"/>
          <w:rtl w:val="true"/>
          <w:lang w:bidi="ar-SA"/>
        </w:rPr>
        <w:t>طهارته إذا زال تغيره بنفسه، بل على الماء الذي صار متغيّراً في آن من الآنات فهو محكوم بالنجاسة إلى أن تثبت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القيود بعامتها سواء أكانت زماناً أم غيره من قبيل الواسطة في الثبوت، التي تكفي في استمرار الحكم وجود القيد آناً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الواسطة في العروض التي يدور استمرار الحكم على وجود الواسطة حدوثاً وبقاءً كجريان الماء على الميزاب المصحّح لنسبة جريانه إلى الميزاب مادام الجريان حاصلاً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النظريتان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التعارض، ونظرية التفصيل، وإليك النظرية الثالثة، وهي تعني جريان خصوص الاستصحاب الوجودي دون العدمي</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7507106_3381743652"/>
      <w:bookmarkStart w:id="331" w:name="_Toc123"/>
      <w:bookmarkEnd w:id="330"/>
      <w:r>
        <w:rPr>
          <w:rtl w:val="true"/>
        </w:rPr>
        <w:t>القول الثالث</w:t>
      </w:r>
      <w:r>
        <w:rPr>
          <w:rtl w:val="true"/>
        </w:rPr>
        <w:t xml:space="preserve">: </w:t>
      </w:r>
      <w:r>
        <w:rPr>
          <w:rtl w:val="true"/>
        </w:rPr>
        <w:t>جريان خصوص الاستصحاب الوجودي</w:t>
      </w:r>
      <w:bookmarkEnd w:id="331"/>
    </w:p>
    <w:p>
      <w:pPr>
        <w:pStyle w:val="BookText"/>
        <w:rPr/>
      </w:pPr>
      <w:r>
        <w:rPr>
          <w:rFonts w:ascii="Amiri" w:hAnsi="Amiri" w:eastAsia="Amiri" w:cs="Amiri"/>
          <w:color w:val="111111"/>
          <w:sz w:val="28"/>
          <w:sz w:val="28"/>
          <w:szCs w:val="28"/>
          <w:rtl w:val="true"/>
          <w:lang w:bidi="ar-SA"/>
        </w:rPr>
        <w:t>ذهب المحقّق النائيني إلى أنّ المورد صالح للاستصحاب الوجودي دون العدمي، حتى ولو كان الزمان قيداً، وحاصل ما أفاد هو مايلي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العدم الأزلي هو العدم المطلق الذي يكون كلّ حادث مسبوقاً به، وانتقاض هذا العدم بالنسبة إلى كلّ حادث إنّما يكون بحدوث الحادث وشاغليّته لصفحة الوجود، فلو ارتفع الحادث بعد وجوده، فهذا العدم غير العدم الأزلي، بل هو عدم آخر حادث بعد وجود الشيء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لأنّ العدم المقيّد بقيد خاص من الزمان أو الزماني إنّما يكون متقوّماً بوجود القيد، كما أنّ الوجود المقيّد بقيد خاص إنّما يكون متقوّماً بوجود ذلك القيد، ولا يعقل أن يتقدّم العدم أو الوجود المضاف إلى زمان خاص عليه</w:t>
      </w:r>
      <w:r>
        <w:rPr>
          <w:rStyle w:val="FootnoteAnchor"/>
          <w:rtl w:val="true"/>
        </w:rPr>
        <w:footnoteReference w:id="90"/>
      </w:r>
      <w:r>
        <w:rPr>
          <w:rFonts w:ascii="Amiri" w:hAnsi="Amiri" w:eastAsia="Amiri" w:cs="Amiri"/>
          <w:color w:val="111111"/>
          <w:sz w:val="28"/>
          <w:sz w:val="28"/>
          <w:szCs w:val="28"/>
          <w:rtl w:val="true"/>
          <w:lang w:bidi="ar-SA"/>
        </w:rPr>
        <w:t xml:space="preserve">، بل يكون </w:t>
      </w:r>
      <w:bookmarkStart w:id="332" w:name="pg14367_157134"/>
    </w:p>
    <w:p>
      <w:pPr>
        <w:pStyle w:val="BookText"/>
        <w:rPr/>
      </w:pPr>
      <w:bookmarkEnd w:id="332"/>
      <w:r>
        <w:rPr>
          <w:rFonts w:ascii="Amiri" w:hAnsi="Amiri" w:eastAsia="Amiri" w:cs="Amiri"/>
          <w:color w:val="111111"/>
          <w:sz w:val="28"/>
          <w:sz w:val="28"/>
          <w:szCs w:val="28"/>
          <w:rtl w:val="true"/>
          <w:lang w:bidi="ar-SA"/>
        </w:rPr>
        <w:t>العدم بعد الزوال كالوجود المقيّد به، ويكون قوامه و تحقّقه بعد الزوال، ولا يكون له تحقّق قبل الزوال فلا يمكن استصحاب العدم بعد الزوال إلّاإذا آن وقت الزوال، و من المعلوم ليست لهذا العدم المقيد حالة سابقة آن وقت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أنّ العدم المطلق و إن كان ذا حالة سابقة، لكنّه انتقض بوجوب الجلوس إلى الزوال، وأمّا العدم المضاف إلى الزوال الذي لا يتحقّق إلّابتحقّق الزوال فليس له حالة سابقة إلّابنحو السالبة بانتفاء الموضوع</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كلّ فرد مسبوق بعدم نفسه، فكما أنّ وجوب الجلوس إلى الزوال كان مسبوقاً بعدم نفسه، فهكذا وجوب الجلوس بعد الزوال مسبوق بعدم نفسه، بشهادة أنّه حادث، و كلّ حادث مسبوق بالعدم، وعلى ذلك يكون عدمه نفس العدم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من أنّ هذا العدم إنّما يتحقّق عند الزوال، فهو خلط بين العدم المضاف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المقيّد بالزوال، فالأوّل مضاف إلى المعدوم و هو عدم أزلي سابق، والثاني أي‌ما يكون العدم مقيّداً بالزوال فهو عدم مقارن مع الزوال وليس أزلياً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منه متحقّق قبل الزوال مع إضافة العدم إليه، بخلاف الثاني فانّه يتوقف على حلول الزوال</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7507108_3381743652"/>
      <w:bookmarkStart w:id="334" w:name="_Toc124"/>
      <w:bookmarkEnd w:id="333"/>
      <w:r>
        <w:rPr>
          <w:rtl w:val="true"/>
        </w:rPr>
        <w:t>نظرية النراقي بثوبها الجديد</w:t>
      </w:r>
      <w:bookmarkEnd w:id="3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الخوئي أحيا نظرية المحقّق النراقي ببيان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للأحكام مرحلتين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الإنشاء والجعل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مرحلة الفعلية والتحقّق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إنشاء الحكم على العنوان إذا لم يكن هناك مصداق له، كإنشاء وجوب الحج على المستطيع مع عدم مصداق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تحقّق الموضوع، أي‌وجود المستطيع مع عامة شرائطه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بإمكاننا أن نعبّر عن الأُولى بمرحلة الجعل، وعن الثانية، بمرحلة المجعول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المجعول في الشبهات الحكمية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الزمان مفرِّداً للموضوع، و كان الحكم انحلاليّاً، كحرمة وطأ المرأة الحائض حسب أفرادها، وكوطئها قبل النقاء أو بعده قبل الاغتسال، ففي مثله لا يجري استصحاب الحرمة، لأنّ الفرد المحقّق بعد النقاء وقبل الاغتسال لم تعلم حرمته من أوّل الأمر، فيكون الاستصحاب في المقام من قبيل إسراء حكم من موضوع إلى موضوع آخر</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لم يكن الزمان مفرِّداً للموضوع، أو لم يكن الحكم انحلالياً، كنجاسة الماء القليل المتمَّم كرّاً، فانّ الماء شيء غير متعدد حسب امتداد الزمان في نظر العرف، ونجاسته حكم مستمر لكنّه مبتلى بالمعارض، فلنا يقين متعلّق بالمجعول، و يقين متعلّق بالجعل، فبالنظر إلى المجعول يجري استصحاب النجاسة، وبالنظر إلى الجعل يجري استصحاب عدمها، إذ المتيقن جعلها للماء النجس غير المتمَّم كراً، وأمّا جعلها مطلقاًحتى للقليل المتمَّم فهو مشكوك فيه، </w:t>
      </w:r>
    </w:p>
    <w:p>
      <w:pPr>
        <w:pStyle w:val="BookText"/>
        <w:rPr/>
      </w:pPr>
      <w:r>
        <w:rPr>
          <w:rFonts w:ascii="Amiri" w:hAnsi="Amiri" w:eastAsia="Amiri" w:cs="Amiri"/>
          <w:color w:val="111111"/>
          <w:sz w:val="28"/>
          <w:sz w:val="28"/>
          <w:szCs w:val="28"/>
          <w:rtl w:val="true"/>
          <w:lang w:bidi="ar-SA"/>
        </w:rPr>
        <w:t>فيستصحب عدمه، فتقع المعارضة بين بقاء المجعول وعدم الجعل، ومثله استصحاب الملكية والزوجية إذا رجع البائع وشككنا في بقاء الملكية به، أو طلَّق الزوج بلفظ نشك في كونه صيغة طلاق،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فباعتبار المجعول يجري استصحاب الملكية والزوجية، وباعتبار الجعل يجري استصحاب عدمهما، ويكون المقام من قبيل الأقل والأكثر ويجري الأصل في الأكثر</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الحكم الإنشائي والفعلي بما ذكر خلاف ما هو المصطلح الدارج من عصر الشيخ إلى يومنا هذا، فالحكم الإنشائي هو الحكم المجعول الذي لم يصل إلى حد الإعلام للناس والفعلي هو الحكم المجعول الذي بلّغه النبي صلى الله عليه و آله و سلم على نحو لو تفحَّص المكلف مظان الحكم لوصل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الشرعي الذي بلّغه الرسول ولم يعثر عليه المكلّف، فعلي غير منجز، فإذا وقف عليه أو على طريقه صار الحكم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ما ذكره القول بعدم جريان استصحاب عدم النسخ، مثلاً اتّفق الفريقان على مشروعية المتعة قبل عام الفتح، أو عام خيبر، فادّعت السنّة منسوخيتها، والشيعة على استمرارها أخذاً بأصالة عدم النسخ، مع أنّ لازم ما ذكره عدم جريانه لأنّ الأصل عدم جعل الجواز عليها بعد عام الفتح، مع أنّ استصحاب عدم النسخ مما اتّفق عليه الأخباري والأُصولي كما نقله الشيخ الأعظم في فرائده من الأمين الاسترابادي</w:t>
      </w:r>
      <w:r>
        <w:rPr>
          <w:rFonts w:eastAsia="Amiri" w:cs="Amiri" w:ascii="Amiri" w:hAnsi="Amiri"/>
          <w:color w:val="111111"/>
          <w:sz w:val="28"/>
          <w:szCs w:val="28"/>
          <w:rtl w:val="true"/>
          <w:lang w:bidi="ar-SA"/>
        </w:rPr>
        <w:t>.</w:t>
      </w:r>
      <w:r>
        <w:rPr>
          <w:rStyle w:val="FootnoteAnchor"/>
          <w:rtl w:val="true"/>
        </w:rPr>
        <w:footnoteReference w:id="93"/>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استصحابي الجعل والمجعول جمع بين المتنافيين، فانّ استصحاب المجعول مبنيّ على أخذ الجلوس بما هو هو موضوعاً للحكم حتى </w:t>
      </w:r>
      <w:bookmarkStart w:id="335" w:name="pg14367_157137"/>
    </w:p>
    <w:p>
      <w:pPr>
        <w:pStyle w:val="BookText"/>
        <w:rPr/>
      </w:pPr>
      <w:bookmarkEnd w:id="335"/>
      <w:r>
        <w:rPr>
          <w:rFonts w:ascii="Amiri" w:hAnsi="Amiri" w:eastAsia="Amiri" w:cs="Amiri"/>
          <w:color w:val="111111"/>
          <w:sz w:val="28"/>
          <w:sz w:val="28"/>
          <w:szCs w:val="28"/>
          <w:rtl w:val="true"/>
          <w:lang w:bidi="ar-SA"/>
        </w:rPr>
        <w:t>يصح استصحابه إلى ما بعد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استصحاب عدم الجعل مبني على تقسيم الجلوس إلى قبل الزوال ومابعده حتى يقال بأنّ القدر المتيقّن هو الأوّل دون الثاني، وهو نفس أخذ الزمان قيداً وجعله موضوعاً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الأصلان جاريين في ظرف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وأظن انّه قدس سره لما لم يتصوّر معنى واضحاً لظرفية الزمان، لم يكن له بدّ إلّامن جعل الزمان قيداً ومعه لا يجري إلّا الاستصحاب العدمي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الأقوال الثلاثة، وإليك بيان القول الرابع</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7507110_3381743652"/>
      <w:bookmarkStart w:id="337" w:name="_Toc125"/>
      <w:bookmarkEnd w:id="336"/>
      <w:r>
        <w:rPr>
          <w:rtl w:val="true"/>
        </w:rPr>
        <w:t>القول الرابع</w:t>
      </w:r>
      <w:r>
        <w:rPr>
          <w:rtl w:val="true"/>
        </w:rPr>
        <w:t xml:space="preserve">: </w:t>
      </w:r>
      <w:r>
        <w:rPr>
          <w:rtl w:val="true"/>
        </w:rPr>
        <w:t>لا تعارض بين الاستصحابين</w:t>
      </w:r>
      <w:bookmarkEnd w:id="337"/>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تعارض بين الاستصحابين، إذ لا مانع من أن يكون الجلوس بما هوهو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هومقتضى الاستصحاب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 و بما هو جلوس مقيدٌ بالزوال إلى المغرب غير واجب، ولأجل اختلاف الموضوعين يختلف الحكمان، لأنّ لازم الاستصحاب الوجودي أخذ الجلوس بما هوهو موضوعاً للحكم، و جعل الجلوس من الزوال استمراراً للجلوس السابق من دون نظر استقلاليّ إليه حتى يتسنَّى استصحاب الحكم السابق، واسراؤه من الزمان السابق إلى الزمان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فيحكم على مطلق الجلوس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لازم الاستصحاب العدمي هو أخذ الجلوس منقطعاً عن السابق ومحدّداً بالزوال إلى المغرب، موضوعاً للوجوب، ومن المعلوم انّ الحكم بعدم الوجوب للمقيّد لا ينافي الحكم بالوجوب على المطلق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شيخ مشايخنا العلّامة الحائري،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جريان الاستصحابين، وكون الجلوس بعد الزوال محكوماً بحكمين مختلفين، </w:t>
      </w:r>
      <w:bookmarkStart w:id="338" w:name="pg14367_157138"/>
    </w:p>
    <w:p>
      <w:pPr>
        <w:pStyle w:val="BookText"/>
        <w:rPr/>
      </w:pPr>
      <w:bookmarkEnd w:id="338"/>
      <w:r>
        <w:rPr>
          <w:rFonts w:ascii="Amiri" w:hAnsi="Amiri" w:eastAsia="Amiri" w:cs="Amiri"/>
          <w:color w:val="111111"/>
          <w:sz w:val="28"/>
          <w:sz w:val="28"/>
          <w:szCs w:val="28"/>
          <w:rtl w:val="true"/>
          <w:lang w:bidi="ar-SA"/>
        </w:rPr>
        <w:t>فهو بما انّه جلوس وأنّه من مصاديق مطلق الجلوس وأفراده، محكوم بالوجوب، وبما انّ جلوسه مقيّد، محكوم بعدمه، وهذا بمكان من الإمكان، بل لا مانع من حصول القطع بذينك الحكمين فلا غرو في أن نقطع بوجوب الجلوس بعد الزوال بما هو جلوس، وبعدمه بما انّه جلوس مقيد</w:t>
      </w:r>
      <w:r>
        <w:rPr>
          <w:rFonts w:eastAsia="Amiri" w:cs="Amiri" w:ascii="Amiri" w:hAnsi="Amiri"/>
          <w:color w:val="111111"/>
          <w:sz w:val="28"/>
          <w:szCs w:val="28"/>
          <w:rtl w:val="true"/>
          <w:lang w:bidi="ar-SA"/>
        </w:rPr>
        <w:t>.</w:t>
      </w:r>
      <w:r>
        <w:rPr>
          <w:rStyle w:val="FootnoteAnchor"/>
          <w:rtl w:val="true"/>
        </w:rPr>
        <w:footnoteReference w:id="94"/>
      </w:r>
      <w:r>
        <w:rPr>
          <w:rFonts w:ascii="Amiri" w:hAnsi="Amiri" w:eastAsia="Amiri" w:cs="Amiri"/>
          <w:color w:val="111111"/>
          <w:sz w:val="28"/>
          <w:sz w:val="28"/>
          <w:szCs w:val="28"/>
          <w:rtl w:val="true"/>
          <w:lang w:bidi="ar-SA"/>
        </w:rPr>
        <w:t>وقد اختاره السيد الأُستاذ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كلامهما يرجع إلى اختلاف الحيثيتين، فمن حيثية يحمل عليه بالوجوب، ومن حيثية أُخرى يحمل عليه بعدمه، فلا تعارض في مقام الجعل، لكن يبقي الكلام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يصح للعبد أن يترك الجلوس بعد الزوال محتجّاً باستصحاب عدم الوجوب؟</w:t>
      </w:r>
    </w:p>
    <w:p>
      <w:pPr>
        <w:pStyle w:val="BookText"/>
        <w:rPr/>
      </w:pP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وذلك لعدم التزاحم في مقام الامتثال، فانّ عدم الوجوب لحيثية لا ينافي الوجوب من حيثية أُخرى، فليس هناك أيّ تزاحم بين الحكمين في مقام الامتثال، فللمولى أن يحتج على العبد بالاستصحاب الوجودي</w:t>
      </w:r>
      <w:r>
        <w:rPr>
          <w:rFonts w:eastAsia="Amiri" w:cs="Amiri" w:ascii="Amiri" w:hAnsi="Amiri"/>
          <w:color w:val="111111"/>
          <w:sz w:val="28"/>
          <w:szCs w:val="28"/>
          <w:rtl w:val="true"/>
          <w:lang w:bidi="ar-SA"/>
        </w:rPr>
        <w:t>.</w:t>
      </w:r>
    </w:p>
    <w:p>
      <w:pPr>
        <w:pStyle w:val="Heading6"/>
        <w:numPr>
          <w:ilvl w:val="5"/>
          <w:numId w:val="1"/>
        </w:numPr>
        <w:rPr/>
      </w:pPr>
      <w:bookmarkStart w:id="339" w:name="__RefHeading___Toc7507112_3381743652"/>
      <w:bookmarkStart w:id="340" w:name="_Toc126"/>
      <w:bookmarkEnd w:id="339"/>
      <w:r>
        <w:rPr>
          <w:rtl w:val="true"/>
        </w:rPr>
        <w:t>نظرية المحقّق النائيني بثوبها الجديد</w:t>
      </w:r>
      <w:bookmarkEnd w:id="340"/>
    </w:p>
    <w:p>
      <w:pPr>
        <w:pStyle w:val="BookText"/>
        <w:rPr/>
      </w:pPr>
      <w:r>
        <w:rPr>
          <w:rFonts w:ascii="Amiri" w:hAnsi="Amiri" w:eastAsia="Amiri" w:cs="Amiri"/>
          <w:color w:val="111111"/>
          <w:sz w:val="28"/>
          <w:sz w:val="28"/>
          <w:szCs w:val="28"/>
          <w:rtl w:val="true"/>
          <w:lang w:bidi="ar-SA"/>
        </w:rPr>
        <w:t>و هذا القول يُشاطر القول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المحقّق النائيني، في اختصاص المقام بالاستصحاب الوجودي دون العدمي، ولكن يختلف معه في الدليل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دليل هذا القول،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الاستصحاب لا تشمل استصحاب العدم الأزلي، ولا يعدُّ عدمُ الاعتداد بهذا النوع من اليقين نقضاً له، وذلك لأنّ الظاهر من الأدلّة هو الأمر بحفظ اليقين في الأُمور التي لها مساس بالحياة العملية </w:t>
      </w:r>
      <w:bookmarkStart w:id="341" w:name="pg14367_157139"/>
    </w:p>
    <w:p>
      <w:pPr>
        <w:pStyle w:val="BookText"/>
        <w:rPr/>
      </w:pPr>
      <w:bookmarkEnd w:id="341"/>
      <w:r>
        <w:rPr>
          <w:rFonts w:ascii="Amiri" w:hAnsi="Amiri" w:eastAsia="Amiri" w:cs="Amiri"/>
          <w:color w:val="111111"/>
          <w:sz w:val="28"/>
          <w:sz w:val="28"/>
          <w:szCs w:val="28"/>
          <w:rtl w:val="true"/>
          <w:lang w:bidi="ar-SA"/>
        </w:rPr>
        <w:t>سواء أكانت أمراً تكوينياً أم تشريعياً، فلو تعلّق اليقين بواحد من هذه الأُمور فلا يصح 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الخارج عن هذا الإطار والذي يرجع إلى ما قبل الخلقة، فلا 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يعدّ عدم العمل به نقضاً لليقين، لأنّ المفروض أنّ المتيقن هو الأُمور الخارجة عن إطار الحياة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العدم الأزلي وإن كان فرداً عَقلانياً لليقين ولكنّه ليس فرداً عُقلائياً عرفياً له، و لذلك لا يتبادر من أدلة الاستصحاب هذا الفرد من اليقين و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انّه لا يجري في المورد إلّاالاستصحاب الوجودي</w:t>
      </w:r>
      <w:r>
        <w:rPr>
          <w:rFonts w:eastAsia="Amiri" w:cs="Amiri" w:ascii="Amiri" w:hAnsi="Amiri"/>
          <w:color w:val="111111"/>
          <w:sz w:val="28"/>
          <w:szCs w:val="28"/>
          <w:rtl w:val="true"/>
          <w:lang w:bidi="ar-SA"/>
        </w:rPr>
        <w:t>.</w:t>
      </w:r>
    </w:p>
    <w:p>
      <w:pPr>
        <w:pStyle w:val="Heading6"/>
        <w:numPr>
          <w:ilvl w:val="5"/>
          <w:numId w:val="1"/>
        </w:numPr>
        <w:rPr/>
      </w:pPr>
      <w:bookmarkStart w:id="342" w:name="__RefHeading___Toc7507114_3381743652"/>
      <w:bookmarkStart w:id="343" w:name="_Toc127"/>
      <w:bookmarkEnd w:id="342"/>
      <w:r>
        <w:rPr>
          <w:rtl w:val="true"/>
        </w:rPr>
        <w:t>إيقاظ</w:t>
      </w:r>
      <w:bookmarkEnd w:id="343"/>
    </w:p>
    <w:p>
      <w:pPr>
        <w:pStyle w:val="BookText"/>
        <w:rPr/>
      </w:pPr>
      <w:r>
        <w:rPr>
          <w:rFonts w:ascii="Amiri" w:hAnsi="Amiri" w:eastAsia="Amiri" w:cs="Amiri"/>
          <w:color w:val="111111"/>
          <w:sz w:val="28"/>
          <w:sz w:val="28"/>
          <w:szCs w:val="28"/>
          <w:rtl w:val="true"/>
          <w:lang w:bidi="ar-SA"/>
        </w:rPr>
        <w:t xml:space="preserve">عقد المحقّق الخراساني في المقام عنواناً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إزاحة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فحاول به دفع نظرية النراقي في تعارض الاستصحابين، وقد أخذ ما ذكره من الشيخ الأنصاري في ذيل التنبيه الثاني، حيث قال الشيخ في جواب ما أورد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لابدّأن يلاحظ انّ منشأ الشك في ثبوت الطهارة بعد المذي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مقدار تأثير الوضوء؟ أو في رافعية ما أحدثه الوضوء من الأمر المستمر</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تناول الشقَّ الثاني بالبحث وقال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كان المقام من قبيل الشكّ في الرافع فلا مجال لاستصحاب العدم الأزلي، وذلك لأنّه بعد ما وقفنا على أنّ الوضوء سبب للطهارة المستمرة التي لا ترتفع إلّا </w:t>
      </w:r>
      <w:bookmarkStart w:id="344" w:name="pg14367_157140"/>
    </w:p>
    <w:p>
      <w:pPr>
        <w:pStyle w:val="BookText"/>
        <w:rPr/>
      </w:pPr>
      <w:bookmarkEnd w:id="344"/>
      <w:r>
        <w:rPr>
          <w:rFonts w:ascii="Amiri" w:hAnsi="Amiri" w:eastAsia="Amiri" w:cs="Amiri"/>
          <w:color w:val="111111"/>
          <w:sz w:val="28"/>
          <w:sz w:val="28"/>
          <w:szCs w:val="28"/>
          <w:rtl w:val="true"/>
          <w:lang w:bidi="ar-SA"/>
        </w:rPr>
        <w:t>بما جعله الشارع سبباً، أو جعل ملاقاة النجس مع الماء القليل سبباً للنجاسة المستمرة، لا يكون هنا أيّ شكّ في المقتضي، و لو كان هنا شك فإنّما هو في الرافع، وهو هل المذي رافع للأمر المستمر أو انّ إتمام الماء كراً رافع للنجاسة أو لا؟</w:t>
      </w:r>
    </w:p>
    <w:p>
      <w:pPr>
        <w:pStyle w:val="BookText"/>
        <w:rPr/>
      </w:pPr>
      <w:r>
        <w:rPr>
          <w:rFonts w:ascii="Amiri" w:hAnsi="Amiri" w:eastAsia="Amiri" w:cs="Amiri"/>
          <w:color w:val="111111"/>
          <w:sz w:val="28"/>
          <w:sz w:val="28"/>
          <w:szCs w:val="28"/>
          <w:rtl w:val="true"/>
          <w:lang w:bidi="ar-SA"/>
        </w:rPr>
        <w:t>فإذا كان كذلك، فليس هناك مجال إلّالاستصحاب الأمر المستمر المتيقن سابقاً والمشكوك لاحقاً، ولا يصحّ التمسّك بعدم جعل الوضوء سبباً للطهارة بعد المذي، أو عدم جعل الملاقاة سبباً للنجاسة بعد الغسل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نشكّ في إنشاء الأمر المستمر من دون تحديد بحدّ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ضوء ذلك فليس هناك شكّ في تأثير مقدار المقتضي، بل العلم حاصل في أنّه أثر بلا تحديد وتقييد، وإنّما الشكّ في القاطع والرافع فليس المرجع إلّاأصالة عدم الرافع</w:t>
      </w:r>
      <w:r>
        <w:rPr>
          <w:rFonts w:eastAsia="Amiri" w:cs="Amiri" w:ascii="Amiri" w:hAnsi="Amiri"/>
          <w:color w:val="111111"/>
          <w:sz w:val="28"/>
          <w:szCs w:val="28"/>
          <w:rtl w:val="true"/>
          <w:lang w:bidi="ar-SA"/>
        </w:rPr>
        <w:t>.</w:t>
      </w:r>
    </w:p>
    <w:p>
      <w:pPr>
        <w:pStyle w:val="Heading6"/>
        <w:numPr>
          <w:ilvl w:val="5"/>
          <w:numId w:val="1"/>
        </w:numPr>
        <w:rPr/>
      </w:pPr>
      <w:bookmarkStart w:id="345" w:name="__RefHeading___Toc7507116_3381743652"/>
      <w:bookmarkStart w:id="346" w:name="_Toc128"/>
      <w:bookmarkEnd w:id="345"/>
      <w:r>
        <w:rPr>
          <w:rtl w:val="true"/>
        </w:rPr>
        <w:t>القول الخامس</w:t>
      </w:r>
      <w:r>
        <w:rPr>
          <w:rtl w:val="true"/>
        </w:rPr>
        <w:t xml:space="preserve">: </w:t>
      </w:r>
      <w:r>
        <w:rPr>
          <w:rtl w:val="true"/>
        </w:rPr>
        <w:t>عدم الحجية في الحكم الشرعي الكلّي</w:t>
      </w:r>
      <w:bookmarkEnd w:id="346"/>
    </w:p>
    <w:p>
      <w:pPr>
        <w:pStyle w:val="BookText"/>
        <w:rPr/>
      </w:pPr>
      <w:r>
        <w:rPr>
          <w:rFonts w:ascii="Amiri" w:hAnsi="Amiri" w:eastAsia="Amiri" w:cs="Amiri"/>
          <w:color w:val="111111"/>
          <w:sz w:val="28"/>
          <w:sz w:val="28"/>
          <w:szCs w:val="28"/>
          <w:rtl w:val="true"/>
          <w:lang w:bidi="ar-SA"/>
        </w:rPr>
        <w:t>إلى هنا تمّت التفاصيل في جريان الاستصحاب في الحكم الشرعي الكلّي بعد البناء على حجيته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من يمنع حجيته في الشبهة الحكمية بتاتاً، ومعه لا تصل النوبة إلى التعارض، واستدلّ على ذلك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مورد روايات الاستصحاب بالشبهات الموضوعية كما هو الحال في صحاح زرارة الثلاث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السؤال والجواب منصبَّان على الشبهة الموضوعية، ومعه كيف يمكن التمسّك بها لتصحيح استصحاب الحكم الكلّي؟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المورد غير مخصّص كما هو واضح، والمسوّّغ للاستصحاب هو اليقين الذي هو أمر مبرم لا ينقضه الشك الذي هو أمر موهون من غير فرق بين تعلّقه بالموضوع أو بالحكم، والمجوِّز للاستصحاب هو استحكام اليقين و وهن الشك وهو موجود في كلا المقامين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الحكم الكلّي أشبه بالقياس، لأنّ الموضوع في المتيقّن غير الموضوع في المشكوك، فالموضوع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الحائضة التي لم تزل ترى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أوالماء القليل قبل الإتمام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الموضوع في الثاني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التي حصل لها النقاء من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الماء القليل المتمم 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يصح إسراء العنوان الأوّل إلى العنوان الثاني مع أنّ الماهيات والعناوين مثار الكثرة والوجود مثار الوحدة؟</w:t>
      </w:r>
    </w:p>
    <w:p>
      <w:pPr>
        <w:pStyle w:val="BookText"/>
        <w:rPr/>
      </w:pPr>
      <w:r>
        <w:rPr>
          <w:rFonts w:ascii="Amiri" w:hAnsi="Amiri" w:eastAsia="Amiri" w:cs="Amiri"/>
          <w:color w:val="111111"/>
          <w:sz w:val="28"/>
          <w:sz w:val="28"/>
          <w:szCs w:val="28"/>
          <w:rtl w:val="true"/>
          <w:lang w:bidi="ar-SA"/>
        </w:rPr>
        <w:t>قال الأمين الاسترابادي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الاستصحاب المختلف فيها راجعة إلى أنّه إذا ثبت حكم بخطاب شرعي في موضوع في حال من حالاته، نجريه في ذلك الموضوع عند زوال الحالة القديمة وحدوث نقيضها فيه فما سمُّوه استصحاباً راجع في الحقيقة إلى إجراء حكم من موضوع إلى موضوع آخر</w:t>
      </w:r>
      <w:r>
        <w:rPr>
          <w:rFonts w:eastAsia="Amiri" w:cs="Amiri" w:ascii="Amiri" w:hAnsi="Amiri"/>
          <w:color w:val="111111"/>
          <w:sz w:val="28"/>
          <w:szCs w:val="28"/>
          <w:rtl w:val="true"/>
          <w:lang w:bidi="ar-SA"/>
        </w:rPr>
        <w:t>.</w:t>
      </w:r>
      <w:r>
        <w:rPr>
          <w:rStyle w:val="FootnoteAnchor"/>
          <w:rtl w:val="true"/>
        </w:rPr>
        <w:footnoteReference w:id="9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نرجع إلى حلّ هذا الإشكال في التنبيه القادم</w:t>
      </w:r>
      <w:r>
        <w:rPr>
          <w:rFonts w:eastAsia="Amiri" w:cs="Amiri" w:ascii="Amiri" w:hAnsi="Amiri"/>
          <w:color w:val="111111"/>
          <w:sz w:val="28"/>
          <w:szCs w:val="28"/>
          <w:rtl w:val="true"/>
          <w:lang w:bidi="ar-SA"/>
        </w:rPr>
        <w:t xml:space="preserve">. </w:t>
      </w:r>
      <w:bookmarkStart w:id="347" w:name="pg14367_157142"/>
    </w:p>
    <w:p>
      <w:pPr>
        <w:pStyle w:val="BookText"/>
        <w:rPr/>
      </w:pPr>
      <w:bookmarkEnd w:id="347"/>
      <w:r>
        <w:rPr>
          <w:rFonts w:ascii="Amiri" w:hAnsi="Amiri" w:eastAsia="Amiri" w:cs="Amiri"/>
          <w:color w:val="111111"/>
          <w:sz w:val="28"/>
          <w:sz w:val="28"/>
          <w:szCs w:val="28"/>
          <w:rtl w:val="true"/>
          <w:lang w:bidi="ar-SA"/>
        </w:rPr>
        <w:t>التنبيهات</w:t>
      </w:r>
    </w:p>
    <w:p>
      <w:pPr>
        <w:pStyle w:val="Heading5"/>
        <w:numPr>
          <w:ilvl w:val="4"/>
          <w:numId w:val="1"/>
        </w:numPr>
        <w:rPr/>
      </w:pPr>
      <w:bookmarkStart w:id="348" w:name="__RefHeading___Toc7507118_3381743652"/>
      <w:bookmarkStart w:id="349" w:name="_Toc129"/>
      <w:bookmarkEnd w:id="348"/>
      <w:r>
        <w:rPr/>
        <w:t>7</w:t>
      </w:r>
      <w:r>
        <w:rPr>
          <w:rtl w:val="true"/>
        </w:rPr>
        <w:t xml:space="preserve">- </w:t>
      </w:r>
      <w:r>
        <w:rPr>
          <w:rtl w:val="true"/>
        </w:rPr>
        <w:t>في الاستصحاب التعليقي</w:t>
      </w:r>
      <w:bookmarkEnd w:id="349"/>
    </w:p>
    <w:p>
      <w:pPr>
        <w:pStyle w:val="Heading6"/>
        <w:numPr>
          <w:ilvl w:val="5"/>
          <w:numId w:val="1"/>
        </w:numPr>
        <w:rPr/>
      </w:pPr>
      <w:bookmarkStart w:id="350" w:name="__RefHeading___Toc7507120_3381743652"/>
      <w:bookmarkStart w:id="351" w:name="_Toc130"/>
      <w:bookmarkEnd w:id="350"/>
      <w:r>
        <w:rPr>
          <w:rtl w:val="true"/>
        </w:rPr>
        <w:t>اشارة</w:t>
      </w:r>
      <w:bookmarkEnd w:id="351"/>
    </w:p>
    <w:p>
      <w:pPr>
        <w:pStyle w:val="BookText"/>
        <w:rPr/>
      </w:pPr>
      <w:r>
        <w:rPr>
          <w:rFonts w:ascii="Amiri" w:hAnsi="Amiri" w:eastAsia="Amiri" w:cs="Amiri"/>
          <w:color w:val="111111"/>
          <w:sz w:val="28"/>
          <w:sz w:val="28"/>
          <w:szCs w:val="28"/>
          <w:rtl w:val="true"/>
          <w:lang w:bidi="ar-SA"/>
        </w:rPr>
        <w:t>وقبل الخوض في المقصود نقدّم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الحكم الشرعي محمولاً على الموضوع بلا قيد ولا شرط، فالحكم تنجيزيّ وإلّا فتعليقي، سواء عُبِّر عنه بالجملة الخبرية التي قصد منها الإنشاء في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العصير العنبيّ حرام إذا غلى، أو بالجملة الإنشائية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العصير العنبي إذا غلى، و قد مرّ الكلام في إمكان تقييد الهيئة في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الكلام إنّما هو في استصحاب الوجوب المشروط بالمعنى الذي اختاره المحقّق الخراساني خلافاً للشيخ الأعظم الذي ارجع القيد إلى الواجب على ما 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الشكّ في بقاء الحكم الشرعي تارة ينشأ من الشكّ في بقاء موضوعه كحياة زيد، أو بقاء المائع على الخمرية وعدم تبدّله إلى الخلّية، وأُخرى من الشكّ في بقاء نفس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في جريان الاستصحاب فيه، إنّما الكلام في جريانه في الثاني وهو على قسمين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تارة يكون الشك متعلِّقا بسعة الجعل، كما إذا احتملنا استمرار مشروعية </w:t>
      </w:r>
    </w:p>
    <w:p>
      <w:pPr>
        <w:pStyle w:val="BookText"/>
        <w:rPr/>
      </w:pPr>
      <w:r>
        <w:rPr>
          <w:rFonts w:ascii="Amiri" w:hAnsi="Amiri" w:eastAsia="Amiri" w:cs="Amiri"/>
          <w:color w:val="111111"/>
          <w:sz w:val="28"/>
          <w:sz w:val="28"/>
          <w:szCs w:val="28"/>
          <w:rtl w:val="true"/>
          <w:lang w:bidi="ar-SA"/>
        </w:rPr>
        <w:t>حلّية المتعة إلى عام الفتح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نعلم سعة الجعل وشموله لعامّة الأزمان و الأجيال، لكن حصل التغيير في جانب الموضوع بارتفاع بعض القيود كصيرورة العنب زبيباً، والماء المضاف مطلقاً، فجريانه في القسم الأوّل منهما مورد اتفاق، إنّما الكلام في جريانه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فسمِّه الشك في سعة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اصطلاح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صار الحكم فعلياً بتحقّق موضوعه وفعليته في برهة من الزمان، لكن طرأ التغيّر على بعض القيود فتعلّق الشك بسعة المجعول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العنوان المأخوذ في الموضوع على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يدور الحكم مداره،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نجس، والخمر حرام، فلو انقلبا ملحاً أو خلّا، ارتفع الحكمان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يدور مدار ذات الشيء لا عنوانه، كالحنطة، فهو حلال ومملوك وإن انقلب دقيقاً و خبزاً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يُشك في أنّه من أي‌من القسمين، كما هو الحال في الماء المتغيّر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والحاجة إلى الاستصحاب إنّما هو في القسم الأخير دون الأوّلين، لوضوح ارتفاع الحكم في الأوّل وبقائه في الثاني قطعاً، وطروء الشك في الثالث فلو كان الموضوع هو الماء، والتغيّر دخيلاً ثبوتاً لا بقاءً، يبقى الحكم و إن زال تغيّره، وإن كان الموضوع هو الماء المتغيّر مادام متغيراً يرتفع الحكم بارتفاع القيد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المثال المعروف للاستصحاب التعليقي هو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العنب حرام إذا غلى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طرأ التغيّر في جانب الموضوع وصار زبيباً، فهل تستصحب الحرمة التعليقية بحجة أنّ الرطوبة و الجفاف من حالات الموضوع كالخبز الناعم و اليابس أو لا؟</w:t>
      </w:r>
    </w:p>
    <w:p>
      <w:pPr>
        <w:pStyle w:val="BookText"/>
        <w:rPr/>
      </w:pPr>
      <w:r>
        <w:rPr>
          <w:rFonts w:ascii="Amiri" w:hAnsi="Amiri" w:eastAsia="Amiri" w:cs="Amiri"/>
          <w:color w:val="111111"/>
          <w:sz w:val="28"/>
          <w:sz w:val="28"/>
          <w:szCs w:val="28"/>
          <w:rtl w:val="true"/>
          <w:lang w:bidi="ar-SA"/>
        </w:rPr>
        <w:t>لكن التمثيل به في غير محله، إذ لم يقع العنب موضوعاً للحكم في لسان النص، على ما مثّلنا، بل الوارد هو العصير العنبي إذا غلى، بأن يكون المغليّ ماء العنب، لا الماء الخارجي، و إذا صار زبيباً وجفّ ماؤه، فالمغلي هو الماء الخارجي الذي يختلط مع أجزاء الزبيب ومثله خارج عن محط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صحيحة عبد اللّه بن سنان،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عصير أصابته النار فهو حرام حتى يذهب ثلثاه و يبقى ثلثه</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وفي صحيحة حمّاد بن عثمان،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العصير حتى يغلي</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فلم يقع العنب موضوعاً للحكم حتى يستصحب حكمه وإن صار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فالمثال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هدم المسجد وصار شارعاً يقع الكلام في حرمة تنجيسه ووجوب ازالة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أحكام المسجد مترتبة على ما يقال انّه مسجد بالفعل، فإذا أُزيل عنوانه، لا يترتب عليه شيء من أحكامه فيجوز تنجيسه ولا تجب إزالة نجاسته، كما يجوز جلوس الجنب والحائض فيه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مترتبة على ما كان مسجداً وإن لم يكن بالفعل كذلك، فتترتّب عليه عامة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الكلام إذا شككنا فيما هو الموضوع فيرجع فيه إلى الأصل ومقتضاه هو حرمة التنجيس تنجيزاً، ووجوب الإزالة تعليقاً، فيقال في الأوّل كان تنجيس هذا المكان حراماً و الأصل بقاؤه، و في الثاني، كان هذا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تطهيره و الأصل بقاؤه، و لأجل كون الاستصحاب في الأوّل تنجيزياً وفي الثاني تعليقيّاً، ذهب المحقّق النائيني في تعليقته إلى حرمة التنجيس، </w:t>
      </w:r>
    </w:p>
    <w:p>
      <w:pPr>
        <w:pStyle w:val="BookText"/>
        <w:rPr/>
      </w:pPr>
      <w:r>
        <w:rPr>
          <w:rFonts w:ascii="Amiri" w:hAnsi="Amiri" w:eastAsia="Amiri" w:cs="Amiri"/>
          <w:color w:val="111111"/>
          <w:sz w:val="28"/>
          <w:sz w:val="28"/>
          <w:szCs w:val="28"/>
          <w:rtl w:val="true"/>
          <w:lang w:bidi="ar-SA"/>
        </w:rPr>
        <w:t>وعدم وجوب الإزالة</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لعدم حجية الاستصحاب التعليقي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جريان الاستصحاب مبني على جريانه في الأحكام الشرعية الكلّية وعدم اختصاصه بالشبهات الموضوعية، و أمّا جريانه في الموضوعات فربّما يعطف عليه أيضاً، فيقال في الصلاة في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صلّى المصلي قبل لبس هذا اللباس لكانت صلاته صحيحة، فالأصل بقاء الموضوع على 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صحة العطف، إذ التعليق ليس في كلام الشارع وإنّما هو بتعمل وتدقيق من المستصحِب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العصير العنبي إذا غلى بنفسه أو بالشمس فهو مسكر لا يطهر ولا يحل بالتثليث، إلّاإذا انقلب خلّا و هذا النوع من الغليان خارج عن مصب البحث، وأمّا إذا غلى بالنار ونحوه فهو طاهر وشربه حرام إلى أن يذهب ثلثاه و يقلّ ماؤه، لئلّا يتبدل على مرّ الزمان مسكراً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أوّل من تمسّك بالاستصحاب التعليقي في حرمة العصير العنبي هو السيد الطباطبائي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ردّعليه تلميذه السيد علي صاحب الرياض في درسه كما نقله ولده السيد محمد المجاهد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انّ الموافق والمخالف اتخذ العصير العنبي مثالاً للبحث، فنحن نقتفيه، و قد عرفت خروجه عن كونه مثالاً للمقام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فاعلم أنّ الشيخ الأعظم ذهب إلى جريانه و تبعه المحقّق الخراساني و خالفهما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القائل بجريانه بتمامية أركانه من اليقين السابق، والشكّ اللاحق، وبقاء الموضوع فانّ عنوان العنبية من الحالات لا من المقومات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المخالف بوجوه نذكرها على الترتيب الذي ذكره صاحب الكفاية</w:t>
      </w:r>
      <w:r>
        <w:rPr>
          <w:rFonts w:eastAsia="Amiri" w:cs="Amiri" w:ascii="Amiri" w:hAnsi="Amiri"/>
          <w:color w:val="111111"/>
          <w:sz w:val="28"/>
          <w:szCs w:val="28"/>
          <w:rtl w:val="true"/>
          <w:lang w:bidi="ar-SA"/>
        </w:rPr>
        <w:t xml:space="preserve">. </w:t>
      </w:r>
      <w:bookmarkStart w:id="352" w:name="pg14367_157146"/>
    </w:p>
    <w:p>
      <w:pPr>
        <w:pStyle w:val="Heading6"/>
        <w:numPr>
          <w:ilvl w:val="5"/>
          <w:numId w:val="1"/>
        </w:numPr>
        <w:rPr/>
      </w:pPr>
      <w:bookmarkStart w:id="353" w:name="__RefHeading___Toc7507122_3381743652"/>
      <w:bookmarkStart w:id="354" w:name="_Toc131"/>
      <w:bookmarkEnd w:id="352"/>
      <w:bookmarkEnd w:id="353"/>
      <w:r>
        <w:rPr/>
        <w:t>1</w:t>
      </w:r>
      <w:r>
        <w:rPr>
          <w:rtl w:val="true"/>
        </w:rPr>
        <w:t xml:space="preserve">. </w:t>
      </w:r>
      <w:r>
        <w:rPr>
          <w:rtl w:val="true"/>
        </w:rPr>
        <w:t>لا وجود للمعلَّق قبل وجود ما عُلِّق عليه</w:t>
      </w:r>
      <w:bookmarkEnd w:id="354"/>
    </w:p>
    <w:p>
      <w:pPr>
        <w:pStyle w:val="BookText"/>
        <w:rPr/>
      </w:pPr>
      <w:r>
        <w:rPr>
          <w:rFonts w:ascii="Amiri" w:hAnsi="Amiri" w:eastAsia="Amiri" w:cs="Amiri"/>
          <w:color w:val="111111"/>
          <w:sz w:val="28"/>
          <w:sz w:val="28"/>
          <w:szCs w:val="28"/>
          <w:rtl w:val="true"/>
          <w:lang w:bidi="ar-SA"/>
        </w:rPr>
        <w:t>نقل الشيخ عن صاحب المناهل أنّه ردّ الاستصحاب التعليقي بأنّه يشترط في حجّية الاستصحاب ثبوتُ أمر أو حكم وضعيّ أو تكليفيّ في زمان من الأزمنة قطعاً ثمّ حصول الشك في ارتفاعه بسبب من الأسباب، ولا يكفي مجرد قابلية الثبوت باعتبار من الاعتبارات، فالاستصحاب التقديري باطل</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وقد أجاب عنه الأعاظم بما هذا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ذا يريد من عدم وجوب المستصحب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 المعلّقة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أراد انّه ليس بموجود فعلاً فهو حق، ولا يشترط في الاستصحاب أن يكون موجوداً بالفعل، بل يكفي أن يكون له نوع ثبوت و تحقّق حتّى يصح معه التعبد بالبقاء، و إن أراد انّه ليس بموجود أصلاً لا فعلاً ولا تعليقاً، فهو غير صحيح، إذ المفروض انّ الحرمة المعلَّقة وقعت تحت الإنشاء وتعلّق بها اليقين، ثمّ الشكّ ببقائها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في محله انّ واقع الأحكام المشروطة هو إنشاء حكم على فرض وجود الشرط، فالشارع ينظر إلى صفحة الوجود و يرى أنّ العصير العنبي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غير مغليّ، و قسم منه مغليّ فيُنشأ الحرمة عليه على ذلك الفرض، و معه 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و جود للمعلّق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ما ذكرنا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المعلّق قبل الغليان إنّما لا يكون موجوداً فعلاً لا انّه لا يكون موجوداً أصلاً ولو بنحو التعليق</w:t>
      </w:r>
      <w:r>
        <w:rPr>
          <w:rFonts w:eastAsia="Amiri" w:cs="Amiri" w:ascii="Amiri" w:hAnsi="Amiri"/>
          <w:color w:val="111111"/>
          <w:sz w:val="28"/>
          <w:szCs w:val="28"/>
          <w:rtl w:val="true"/>
          <w:lang w:bidi="ar-SA"/>
        </w:rPr>
        <w:t>....</w:t>
      </w:r>
    </w:p>
    <w:p>
      <w:pPr>
        <w:pStyle w:val="Heading6"/>
        <w:numPr>
          <w:ilvl w:val="5"/>
          <w:numId w:val="1"/>
        </w:numPr>
        <w:rPr/>
      </w:pPr>
      <w:bookmarkStart w:id="355" w:name="__RefHeading___Toc7507124_3381743652"/>
      <w:bookmarkStart w:id="356" w:name="_Toc132"/>
      <w:bookmarkEnd w:id="355"/>
      <w:r>
        <w:rPr>
          <w:rtl w:val="true"/>
        </w:rPr>
        <w:t>نظرية صاحب المناهل بثوبها الجديد</w:t>
      </w:r>
      <w:bookmarkEnd w:id="35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المحقّق النائيني ممن وافق صاحب المناهل وأنكر الاستصحاب </w:t>
      </w:r>
    </w:p>
    <w:p>
      <w:pPr>
        <w:pStyle w:val="BookText"/>
        <w:rPr/>
      </w:pPr>
      <w:r>
        <w:rPr>
          <w:rFonts w:ascii="Amiri" w:hAnsi="Amiri" w:eastAsia="Amiri" w:cs="Amiri"/>
          <w:color w:val="111111"/>
          <w:sz w:val="28"/>
          <w:sz w:val="28"/>
          <w:szCs w:val="28"/>
          <w:rtl w:val="true"/>
          <w:lang w:bidi="ar-SA"/>
        </w:rPr>
        <w:t>التعليقي وقال بعدم الوجود للحرمة التعليقية حتى يُستصحب في زمان الشك، و الأساس لإنكاره هو إرجاع عامّة الشروط إلى الموضوع، فالاستطاعة والغليان وإن أخذا في لسان الدليل شرطين للوجوب والحرمة، لكن القيدين يرجعان إلى الموضوع،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المستطيع يجب عليه الحج، والعصير المغليّ يحرم، وقد كان من شعاره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شرط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أنكر الاستصحاب التعليقي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أنّ الشرط يرجع إلى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نسبة الموضوع إلى الحكم، نسبة العلّة إلى المعلول، ولا يعقل أن يتقدّم الحكم على موضوعه، و الموضوع للنجاسة والحرمة في مثال العنب إنّما يكون مركباً من جزءين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والغليان، فقبل فرض الغليان لا يمكن فرض وجود الحكم، و مع عدم فرض وجود الحكم لا معنى لاستصحاب بقائه، لأنّه يعتبر في المستصحب نوع تقرر له، فوجود أحد جزئي الموضوع المركب كعدمه لا يترتب عليه الحكم الشرعي مالم ينضمّ إليه الجزء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ردّ على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العنب قبل غليانه و إن لم يكن معروضاً للحرمة والنجاسة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إلّاأنّه معروض للحرمة والنجاسة التقديرية، لأنّه يصدق على العنب عند وجوده قبل غليانه، انّه حرام ونجس على تقدير الغليان، فالحرمة والنجاسة التقديرية ثابتتان للعنب قبل غليانه، فيشك في بقاء النجاسة والحرمة التقديرية عند صيرورة العنب زبيباً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الحرمة والنجاسة التقديرية من العنب غير المغلي عبارة أُخرى عن أنّ العنب لو انضمّ إليه الغليان لترتبت عليه الحرمة والنجاسة،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أمر 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البقاء لا معنى لاستصحابه</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إرجاع القيود كلّها إلى الموضوع، وإرجاع القضايا الشرطية إلى القضايا الحملية، فلا يكون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فعلياً إلّابعد تحقق عامة أجزاء الموضوع ومنه الغليان، والمفروض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التحقيق أنّ الشروط على أقسام ثلاثة حسب كيفية دخالتها في المصالح والمفاسد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للحكم كدلوك الشمس في وجوب الظهرين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للمتعلَّق،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قيد المكلَّف كما في الشرائط العامة من العقل و البلوغ والقدرة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فلا وجه لإرجاع عامة القيود إلى الموضوع سواء فُسر بالمكلّف، أو بالمتعلّق، حيث إنّه قدس سره ارجعه في المقام إلى المتعلَّق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المغلي، و في غير هذا المورد ارجعه إلى المكلف،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البالغ المستطيع،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تقدير فبما انّ مدخلية الشروط مختلفة، فتارة تكون مؤثراً في فعليّة الحكم، و أُخرى في كون المتعلّق ذا مصلحة أو مفسدة، أو كون المكلّف صالحاً للخطاب، تكون الشروط من حيث المرجع مختلفة ولا تكون على وزان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المستفاد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الشرط في لسان الشارع جزءاً للموضوع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المغليّ حرام، لا يكون للمعلَّق أيّتحقّق قبل تحقّق الشرط</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قيداً للمعلّق وشرطاً له في لسان القائل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العنب حرام إذا غلى، يكون له تحقق وواقعية </w:t>
      </w:r>
    </w:p>
    <w:p>
      <w:pPr>
        <w:pStyle w:val="BookText"/>
        <w:rPr/>
      </w:pPr>
      <w:r>
        <w:rPr>
          <w:rFonts w:ascii="Amiri" w:hAnsi="Amiri" w:eastAsia="Amiri" w:cs="Amiri"/>
          <w:color w:val="111111"/>
          <w:sz w:val="28"/>
          <w:sz w:val="28"/>
          <w:szCs w:val="28"/>
          <w:rtl w:val="true"/>
          <w:lang w:bidi="ar-SA"/>
        </w:rPr>
        <w:t>ولكنّه دقة فلسفية والعرف لا يفرّق بين القضيتين، فقول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المغلي حرام،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حرام إذا غلى، فهو يتخذ العنب موضوعاً والغليان شرطاً من دون فرق بين التعبيرين المصرَّح والمؤول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ضعف ما أفاده الشيخ في كتاب الخيارات فيما إذا باع فرساً عربياً فبان فرساً غير عربي، فتارة حكم ببطلان المعاملة، وهذا فيما إذا قال البائع بعتك الفرس العربي، و أُخرى بجواز المعاملة ووجود الخيار وذاك فيما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الفرس بشرط كونه عربياً، و تصور انّ التخلّف في المثال الأوّل من قبيل تخلّف الموضوع، كما إذا باع قطناً فبان حديداً، و في الثاني من قبيل تخلّف الشرط فيكون المشتري ذا 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محله أنّ هذا التفسير ليس عرفياً وانّ العرف يتلقى القضيتين بمعنى واحد، وانّ ما ذكره دقة عقلية لا يلتفت إليها العرف الذي هو المدار في فهم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محط البحث هو بقاء القضية التعليقية بحالها، و انّه هل يجوز استصحابها أو لا؟ و أمّا منع الاستصحاب لأجل إرجاع القضايا التعليقية إلى التنجيزية، وجعل الشرط جزء الموضوع وبالتالي عدم فعلية الحكم لعدم تمامية الموضوع فهو خروج عن طور البحث، لأنّ المستصحَب حسب الفرض هو الحكم الشرعي التعليقي لا الحكم التنجزي حتى يعتذر بعدم الفعلية لأجل فقدان بعض أجزاء الموضوع</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ردَّاً للمحقّق الخراساني بأنّه لا معنى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العنب لو انضم إليه الغليان لترتب عليه الحرمة وهو أمر عقلي أوّلاً، ومقطوع البقاء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bookmarkStart w:id="357" w:name="pg14367_157150"/>
    </w:p>
    <w:p>
      <w:pPr>
        <w:pStyle w:val="BookText"/>
        <w:rPr/>
      </w:pPr>
      <w:bookmarkEnd w:id="357"/>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خلط بين المُنشأ والمنتزع، والمنشأ هو الحكم الشرعي الشرطي، أي‌حرمة العنب عند الغليان، وهو أمر حقيقي، وأمّا ما ذكره من أنّ معناه أنّ العنب لو انضم إليه الغليان لترتب عليه الحرمة فهو أمر انتزاعي من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مقطوع البقاء هو الحكم 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العنب إذا غلى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عند التطبيق على الخارج و طروء بعض الحالات على القضية فتصبح مشكوكة، كما إذا جفّ العنب المعين و صار زبيباً، فحينئذٍ يشك في بقاء الحكم الشرعي، فيستصحب</w:t>
      </w:r>
      <w:r>
        <w:rPr>
          <w:rFonts w:eastAsia="Amiri" w:cs="Amiri" w:ascii="Amiri" w:hAnsi="Amiri"/>
          <w:color w:val="111111"/>
          <w:sz w:val="28"/>
          <w:szCs w:val="28"/>
          <w:rtl w:val="true"/>
          <w:lang w:bidi="ar-SA"/>
        </w:rPr>
        <w:t>.</w:t>
      </w:r>
    </w:p>
    <w:p>
      <w:pPr>
        <w:pStyle w:val="Heading6"/>
        <w:numPr>
          <w:ilvl w:val="5"/>
          <w:numId w:val="1"/>
        </w:numPr>
        <w:rPr/>
      </w:pPr>
      <w:bookmarkStart w:id="358" w:name="__RefHeading___Toc7507126_3381743652"/>
      <w:bookmarkStart w:id="359" w:name="_Toc133"/>
      <w:bookmarkEnd w:id="358"/>
      <w:r>
        <w:rPr>
          <w:rtl w:val="true"/>
        </w:rPr>
        <w:t>إجابة أُخرى عن إشكال صاحب المناهل</w:t>
      </w:r>
      <w:bookmarkEnd w:id="359"/>
    </w:p>
    <w:p>
      <w:pPr>
        <w:pStyle w:val="BookText"/>
        <w:rPr/>
      </w:pPr>
      <w:r>
        <w:rPr>
          <w:rFonts w:ascii="Amiri" w:hAnsi="Amiri" w:eastAsia="Amiri" w:cs="Amiri"/>
          <w:color w:val="111111"/>
          <w:sz w:val="28"/>
          <w:sz w:val="28"/>
          <w:szCs w:val="28"/>
          <w:rtl w:val="true"/>
          <w:lang w:bidi="ar-SA"/>
        </w:rPr>
        <w:t>ثمّ‌إنّ المشايخ أجابوا عن إشكال المناهل بجواب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المستصحب ليس هو الحكم التكليفي،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حتى يقال بأنّه لا وجود للمعلّق، وإنّما المستصحب هو الحكم الوضعيّ، أي‌الملازمة بين الغليان والحرمة، فنقول كانت الملازمة بين العنب والغليان موجودة فنشك في بقائها عند تبدّل العنب بالزبيب وهي محقّقة وليست بمعدومة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الملازمة والسببية لا تنالها يد الجعل الشرعي فلا يجري الاستصحاب فيها، لأنّه يشترط في المستصحب أن يكون حكماً شرعياً أو موضوعاً لحكم شرعي و ليست الملازمة منهما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يشترط في المستصحب أن يكون أمره بيد الشارع وضعاً و رفعاً، والمقام كذلك، لأنّ الملازمة منتزعة من حكم الشارع بالحرمة عند الغليان، وهذا المقدار كاف في كون المستصحب من الأُمور الشرعية كاستصحاب الجزئية </w:t>
      </w:r>
      <w:bookmarkStart w:id="360" w:name="pg14367_157151"/>
    </w:p>
    <w:p>
      <w:pPr>
        <w:pStyle w:val="BookText"/>
        <w:rPr/>
      </w:pPr>
      <w:bookmarkEnd w:id="360"/>
      <w:r>
        <w:rPr>
          <w:rFonts w:ascii="Amiri" w:hAnsi="Amiri" w:eastAsia="Amiri" w:cs="Amiri"/>
          <w:color w:val="111111"/>
          <w:sz w:val="28"/>
          <w:sz w:val="28"/>
          <w:szCs w:val="28"/>
          <w:rtl w:val="true"/>
          <w:lang w:bidi="ar-SA"/>
        </w:rPr>
        <w:t>والشرطية والمانعية من الأحكام المتعلّقة بالشرط والجزء والمانع</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7507128_3381743652"/>
      <w:bookmarkStart w:id="362" w:name="_Toc134"/>
      <w:bookmarkEnd w:id="361"/>
      <w:r>
        <w:rPr/>
        <w:t>2</w:t>
      </w:r>
      <w:r>
        <w:rPr>
          <w:rtl w:val="true"/>
        </w:rPr>
        <w:t xml:space="preserve">. </w:t>
      </w:r>
      <w:r>
        <w:rPr>
          <w:rtl w:val="true"/>
        </w:rPr>
        <w:t>الاستصحاب التعليقي معارض للتنجيزي</w:t>
      </w:r>
      <w:bookmarkEnd w:id="362"/>
    </w:p>
    <w:p>
      <w:pPr>
        <w:pStyle w:val="BookText"/>
        <w:rPr/>
      </w:pPr>
      <w:r>
        <w:rPr>
          <w:rFonts w:ascii="Amiri" w:hAnsi="Amiri" w:eastAsia="Amiri" w:cs="Amiri"/>
          <w:color w:val="111111"/>
          <w:sz w:val="28"/>
          <w:sz w:val="28"/>
          <w:szCs w:val="28"/>
          <w:rtl w:val="true"/>
          <w:lang w:bidi="ar-SA"/>
        </w:rPr>
        <w:t xml:space="preserve">هذا هو الإشكال الثالث في كلام الشيخ الأعظم، والإشكال الثاني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استصحاب الحرمة المعلّقة بعد صيرورة العنب زبيباً، يعارضه استصحاب الطهارة والحلّية الثابتتين للعنب قبل الغليان حيث كان العنب قبله حلالاً، فصار زبيباً وغلى، فنشك في بقاء الحلية السابقة و الأصل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الشيخ وحاصله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استصحاب الحرمة على تقدير الغليان حاكم على استصحاب الإباحة قبل الغليان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لكون الأصل الأوّل سببياً والثاني مسببياً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في بقاء الحلّية السابقة وعدمها نابع عن الشكّ في كيفية جعل الحرمة للعنب المغليّ وانّ الشارع هل رتبها على العنب المغلي بجميع مراتبه التي منها صيرورته زبيباً، أو رتبها على بعض مراتبه وهو كونه عنباً غير جافّ؟ فإذا ثبت بالاستصحاب التعليقي بقاء الحرمة وانّها مترتبة على العنب بعامة مراتب وجوده، لا يبقى شكّ في ارتفاع الحلية السابقة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الأصل السببي إنّما يكون حاكماً على المسببي إذا كان الترتب بينهما شرعياً ويكون التعبّد بالسببيّ تعبّداً بنقض الأصل المسببي، مثلاً إذا غسل ثوب نجس بماء مستصحب الطهارة فالتعبد بطهارة الماء، يلازم شرعاً، بطهارة الثوب ونقض النجاسة المستصحبة، لما دلّ الدليل على أنّ كلّ نجس </w:t>
      </w:r>
    </w:p>
    <w:p>
      <w:pPr>
        <w:pStyle w:val="BookText"/>
        <w:rPr/>
      </w:pPr>
      <w:r>
        <w:rPr>
          <w:rFonts w:ascii="Amiri" w:hAnsi="Amiri" w:eastAsia="Amiri" w:cs="Amiri"/>
          <w:color w:val="111111"/>
          <w:sz w:val="28"/>
          <w:sz w:val="28"/>
          <w:szCs w:val="28"/>
          <w:rtl w:val="true"/>
          <w:lang w:bidi="ar-SA"/>
        </w:rPr>
        <w:t>غُسل بماء طاهر فهو طاهر، بخلاف المقام إذ لم يدل دليل شرعي على أنّ كلّ ما حكم عليه بالحرمة فهو غير محكوم بالحلية، وإن كانت الملازمة ثابتة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التعبد بوجود أحد الضدين وإن كان لا يلازم التعبد بعدم الضد الآخر، لكن يستثنى منه ما إذا كان التعبّد بوجود الضد، عين التعبد بعدم الآخر عرفاً كما في المقام، فانّ التعبّد ببقاء الحرمة المعلّقة عين التعبّد بإلغاء احتمال الحلية إذ لا معنى لكون الشيء حراماً، مع احتمال كونه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يكون الأصل المثبت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المحقّق الخراساني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تعارض بين الاستصحابين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 انّ الزبيب عندما كان عنباً كان محكوماً بحكمين غير 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الحلية قبل الغليان،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بعده، فكما أنّ الغليان شرط للحرمة، هكذا هو غاية للحلية، فإذا صار زبيباً يكون محكوماً أيضاً بنفس الحكمين فالزبيب حلال إلى أن يغلى، و حرام إذا غلى، فإذا حصلت الغاية لا يبقى مجال لاستصحاب الحلية وتكون الساحة خاصة لاستصحاب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الحلية مغيّاة بعدم الغليان، والحرمة مشروطة به أيضاً، فما كان كذلك لا يضر ثبوت الأمرين بالقطع فضلاً عن الاستصحاب لعدم التضاد بينهما فيكونان بعد صيرورته زبيباً، كما كانا معاً بالقطع بلا منافاة غير انّ المتكفل لإثبات الحلية المغياة، والحرمة المعلقة مادام كونه عنباً هو الدليل الاجتهادي، و المتكفل لإثباتهما كذلك عندما صار زبيباً هو الاستصحاب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الزبيب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وحرمة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حكم العنب، فكما لا تعارض بينهما مادام عنباً فهكذا لا تعارض بينهما إذا صار زبيباً</w:t>
      </w:r>
      <w:r>
        <w:rPr>
          <w:rFonts w:eastAsia="Amiri" w:cs="Amiri" w:ascii="Amiri" w:hAnsi="Amiri"/>
          <w:color w:val="111111"/>
          <w:sz w:val="28"/>
          <w:szCs w:val="28"/>
          <w:rtl w:val="true"/>
          <w:lang w:bidi="ar-SA"/>
        </w:rPr>
        <w:t xml:space="preserve">. </w:t>
      </w:r>
      <w:bookmarkStart w:id="363" w:name="pg14367_157153"/>
    </w:p>
    <w:p>
      <w:pPr>
        <w:pStyle w:val="BookText"/>
        <w:rPr/>
      </w:pPr>
      <w:bookmarkEnd w:id="363"/>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حلية العنب كانت مغياة بالغليان لا حلية الزبيب ولم يثبت كونها مغيّاة به حتى يحكم بارتفاعها بحصول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انّ حلية الزبيب ليست أمراًجديداً طرأ عليه بل هي استمرار للحلية السابقة العارضة على العنب وعليه تكون الحلية في كلتا المرحلتين مغيّاة، واحتمال كونها مغياة حدوثاً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مادام عنباً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صار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الاستصحاب إذ الأصل بقاؤه على ما كان عليه من الحكم المغيّى</w:t>
      </w:r>
      <w:r>
        <w:rPr>
          <w:rFonts w:eastAsia="Amiri" w:cs="Amiri" w:ascii="Amiri" w:hAnsi="Amiri"/>
          <w:color w:val="111111"/>
          <w:sz w:val="28"/>
          <w:szCs w:val="28"/>
          <w:rtl w:val="true"/>
          <w:lang w:bidi="ar-SA"/>
        </w:rPr>
        <w:t>.</w:t>
      </w:r>
    </w:p>
    <w:p>
      <w:pPr>
        <w:pStyle w:val="Heading6"/>
        <w:numPr>
          <w:ilvl w:val="5"/>
          <w:numId w:val="1"/>
        </w:numPr>
        <w:rPr/>
      </w:pPr>
      <w:bookmarkStart w:id="364" w:name="__RefHeading___Toc7507130_3381743652"/>
      <w:bookmarkStart w:id="365" w:name="_Toc135"/>
      <w:bookmarkEnd w:id="364"/>
      <w:r>
        <w:rPr/>
        <w:t>3</w:t>
      </w:r>
      <w:r>
        <w:rPr>
          <w:rtl w:val="true"/>
        </w:rPr>
        <w:t xml:space="preserve">. </w:t>
      </w:r>
      <w:r>
        <w:rPr>
          <w:rtl w:val="true"/>
        </w:rPr>
        <w:t>تبدل الموضوع</w:t>
      </w:r>
      <w:bookmarkEnd w:id="365"/>
    </w:p>
    <w:p>
      <w:pPr>
        <w:pStyle w:val="BookText"/>
        <w:rPr/>
      </w:pPr>
      <w:r>
        <w:rPr>
          <w:rFonts w:ascii="Amiri" w:hAnsi="Amiri" w:eastAsia="Amiri" w:cs="Amiri"/>
          <w:color w:val="111111"/>
          <w:sz w:val="28"/>
          <w:sz w:val="28"/>
          <w:szCs w:val="28"/>
          <w:rtl w:val="true"/>
          <w:lang w:bidi="ar-SA"/>
        </w:rPr>
        <w:t>هذا هو الإشكال الثالث الذي تعرض به الشيخ الأعظم دون المحقّق الخراساني، وهو أُمّ‌الإشكالات المتوجهة إلى استصحاب الحكم الشرعي الكلّي،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يناقش الاستصحاب التعليقي بانتفاء الموضوع وهو العنب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عنه بوجه موجز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دخل له في الفرق بين الآثار الثابتة للعنب بالفعل و الثابتة له على تقدير دون آخر</w:t>
      </w:r>
      <w:r>
        <w:rPr>
          <w:rFonts w:eastAsia="Amiri" w:cs="Amiri" w:ascii="Amiri" w:hAnsi="Amiri"/>
          <w:color w:val="111111"/>
          <w:sz w:val="28"/>
          <w:szCs w:val="28"/>
          <w:rtl w:val="true"/>
          <w:lang w:bidi="ar-SA"/>
        </w:rPr>
        <w:t>.</w:t>
      </w:r>
      <w:r>
        <w:rPr>
          <w:rStyle w:val="FootnoteAnchor"/>
          <w:rtl w:val="true"/>
        </w:rPr>
        <w:footnoteReference w:id="10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انّ المشايخ استسهلوا هذا الإشكال مع أنّه من أهم الإشكالات، وعليه بنى الأمين الاسترابادي، إنكار الاستصحاب في الحكم الشرعي الكلي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قبيل إسراء حكم من موضوع إلى موضوع آخر و هو أشبه بالقياس، وذلك لأنّ العنب والزبيب مفهومان متغايران وكيف يمكن أن يقال إنّ الثاني عين الأوّل مفهوماً؟ </w:t>
      </w:r>
    </w:p>
    <w:p>
      <w:pPr>
        <w:pStyle w:val="BookText"/>
        <w:rPr/>
      </w:pPr>
      <w:r>
        <w:rPr>
          <w:rFonts w:ascii="Amiri" w:hAnsi="Amiri" w:eastAsia="Amiri" w:cs="Amiri"/>
          <w:color w:val="111111"/>
          <w:sz w:val="28"/>
          <w:sz w:val="28"/>
          <w:szCs w:val="28"/>
          <w:rtl w:val="true"/>
          <w:lang w:bidi="ar-SA"/>
        </w:rPr>
        <w:t>وما ربّما يقال انّه يشترط في جريان الاستصحاب وحدة الموضوع عرفاً لا عقلاً، و الزبيب نفس العنب حقيقة وماهية غير أنّه جفّ، فإنّما يصحّ في استصحاب الحكم الجزئي، للعنب المشخص،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كذا و الأصل بقاؤه فيكون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إذا كان المستصحب الحكم الشرعي، فالموضوع في القضية المتيقّنة هو مفهوم العنب، وفي القضية المشكوكة هو مفهوم الزبيب فكيف يصحّ لأحد أن يدّعي وحدة المفهومين عرفاً مع أنّ المفاهيم والماهيات مثار الكثرة؟ ومن هنا يظهر الإشكال في سائر الموارد من استصحاب الحكم الشرعي الكلّي كالماء المتغيّر وجرّ حكمه إلى الماء غير المتغيّر، و الماء النجس غير الكرّ وجر حكمه إلى المتمم كراً، والحائض، و جرّ حكمها إلى ما إذا نقت من الدم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لاستصحاب الحكم الشرعي الكلّي صورتين لا تشذ إحداهما عن القياس قيد شعرة، والأُخرى موافقة لضوابط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المفاهيم و العناوين مصبّاً للاستصحاب وإسراء حكم عنوان إلى عنوان آخر، وهذا نظير إسراء حكم العنب والماء المتغيّر والحائض، إلى الزبيب، والماء غير المتغير، والنقية من الدم إذا لم تغتسل، والاستصحاب بهذا المعنى نفس القياس ولذلك تلقّاه الأمين الاسترابادي قياساً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ربّما يقال من أنّ المرجع في تشخيص وحدة القضيتين المتيقنة والمشكوكة هو العرف لا العقل، لا يفيد في المقام لأنّ العرف مهما تسامح أو تساهل لا يرى المفهومين مفهوماً واحداً، والعنوانين عنواناً فارداً، فلذلك لو باع سلفاً العنبَ ودفع الزبيب عند حلول الأجل، لم يف بواجبه وللمشتري الرد، قائلاً بأنّ المبيع غير المقبوض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المصاديق الخارجية مصبّاً للاستصحاب، وهذا النوع يتوقف على تحقّق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الاجتهادي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والحاجة إلى الأوّل إنّما هو في فترة خاصّة وهو مادام الموضوع موصوفاً بالعنبية، كما أنّ الحاجة إلى الأصل العملي بعد صيرورته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فللمستنبط أن يستفيد من كلا الدليلين واحداً تلو الآخر،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عنب، و كلّ عنب إذا غلى يحرم، فهذا إذا غلى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النتيجة انقلاب الموضوع من كونه عنباً إلى كونه هذا، ولذلك قلنا في النتيجة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غلى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لسان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العنب لكن بعد تطبيقه على الخارج، يكون الموضوع للحرمة الجزئية هو هذا الموجود الخارجي الذي هو أمامنا ونشير إليه بهذا، ونقول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غلى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رسالة الدليل الأوّل، وبعد تمامية الاستنتاج لا نرجع إلى ذلك الدليل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كان الموضوع الخارجي موصوفاً بأنّه إذا غلى يحرم، فإذا مضت أيّام وجفّ ماؤه و صار زبيباً، فالقول باستمرار الحكم و جر الحكم السابق إلى اللاحق فرع حفظ الهوية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كون المشار إليه بهذا في الفترة الأخيرة نفس المشار إليه بهذا في الفترة المتقدمة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وافقه العرف على هذه الوحدة كما هو الموافق للتحقيق يجري </w:t>
      </w:r>
    </w:p>
    <w:p>
      <w:pPr>
        <w:pStyle w:val="BookText"/>
        <w:rPr/>
      </w:pPr>
      <w:r>
        <w:rPr>
          <w:rFonts w:ascii="Amiri" w:hAnsi="Amiri" w:eastAsia="Amiri" w:cs="Amiri"/>
          <w:color w:val="111111"/>
          <w:sz w:val="28"/>
          <w:sz w:val="28"/>
          <w:szCs w:val="28"/>
          <w:rtl w:val="true"/>
          <w:lang w:bidi="ar-SA"/>
        </w:rPr>
        <w:t>الاستصحاب من دون رائحة قياس،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كان في السابق إذاغلى يحرم، والأصل بقاؤه على ما عليه، فيكون المرجع هو الأصل العملي في الفترة الأخيرة مادام كونه 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كيفية جريان الاستصحاب في الماء المتغيّر الذي زال تغيره بنفسه، أو المرأة الحائض إذا نقت من الدم ولم تغتسل، إلى غير ذلك من الأمثلة، فلو اتخذنا العناوين والمفاهيم مصبّاً للاستصحاب فهو أشبه بالقياس، ولا صلة له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اتخذنا الموضوع الخارجي مصبّاً له بعد تطبيق الدليل الاجتهادي عليه، يكون من مقولة الاستصحاب، فيشار إلى الماء المحكوم بالنجاسة والمرأة المحكومة بحرمة المسّ،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نجساً أو هذه كانت محرّمة المس فالأصل بقاؤه، و الموضوع في كلتا الحالتين هو المشار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في كلتا الحالتين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عصارة ما نقله سيدنا الأُستاذ عن شيخه العلاّمة الحائري في درسه الشريف، فاعلم قدره واغتنمه</w:t>
      </w:r>
      <w:r>
        <w:rPr>
          <w:rFonts w:eastAsia="Amiri" w:cs="Amiri" w:ascii="Amiri" w:hAnsi="Amiri"/>
          <w:color w:val="111111"/>
          <w:sz w:val="28"/>
          <w:szCs w:val="28"/>
          <w:rtl w:val="true"/>
          <w:lang w:bidi="ar-SA"/>
        </w:rPr>
        <w:t xml:space="preserve">. </w:t>
      </w:r>
      <w:bookmarkStart w:id="366" w:name="pg14367_157157"/>
    </w:p>
    <w:p>
      <w:pPr>
        <w:pStyle w:val="BookText"/>
        <w:rPr/>
      </w:pPr>
      <w:bookmarkEnd w:id="366"/>
      <w:r>
        <w:rPr>
          <w:rFonts w:ascii="IRNazanin" w:hAnsi="IRNazanin" w:eastAsia="IRNazanin"/>
          <w:color w:val="111111"/>
          <w:sz w:val="28"/>
          <w:sz w:val="28"/>
          <w:szCs w:val="28"/>
          <w:rtl w:val="true"/>
          <w:lang w:bidi="fa-IR"/>
        </w:rPr>
        <w:t>التنبهات</w:t>
      </w:r>
    </w:p>
    <w:p>
      <w:pPr>
        <w:pStyle w:val="Heading5"/>
        <w:numPr>
          <w:ilvl w:val="4"/>
          <w:numId w:val="1"/>
        </w:numPr>
        <w:rPr/>
      </w:pPr>
      <w:bookmarkStart w:id="367" w:name="__RefHeading___Toc7507132_3381743652"/>
      <w:bookmarkStart w:id="368" w:name="_Toc136"/>
      <w:bookmarkEnd w:id="367"/>
      <w:r>
        <w:rPr/>
        <w:t>8</w:t>
      </w:r>
      <w:r>
        <w:rPr>
          <w:rtl w:val="true"/>
        </w:rPr>
        <w:t xml:space="preserve">- </w:t>
      </w:r>
      <w:r>
        <w:rPr>
          <w:rtl w:val="true"/>
        </w:rPr>
        <w:t>استصحاب أحكام الشرائع السابقة</w:t>
      </w:r>
      <w:bookmarkEnd w:id="368"/>
    </w:p>
    <w:p>
      <w:pPr>
        <w:pStyle w:val="Heading6"/>
        <w:numPr>
          <w:ilvl w:val="5"/>
          <w:numId w:val="1"/>
        </w:numPr>
        <w:rPr/>
      </w:pPr>
      <w:bookmarkStart w:id="369" w:name="__RefHeading___Toc7507134_3381743652"/>
      <w:bookmarkStart w:id="370" w:name="_Toc137"/>
      <w:bookmarkEnd w:id="369"/>
      <w:r>
        <w:rPr>
          <w:rtl w:val="true"/>
        </w:rPr>
        <w:t>اشارة</w:t>
      </w:r>
      <w:bookmarkEnd w:id="370"/>
    </w:p>
    <w:p>
      <w:pPr>
        <w:pStyle w:val="BookText"/>
        <w:rPr/>
      </w:pPr>
      <w:r>
        <w:rPr>
          <w:rFonts w:ascii="Amiri" w:hAnsi="Amiri" w:eastAsia="Amiri" w:cs="Amiri"/>
          <w:color w:val="111111"/>
          <w:sz w:val="28"/>
          <w:sz w:val="28"/>
          <w:szCs w:val="28"/>
          <w:rtl w:val="true"/>
          <w:lang w:bidi="ar-SA"/>
        </w:rPr>
        <w:t>إذا ثبت حكم شرعي في إحدى الشرائع السابقة فهل يصحّ استصحابه، في الشريعة اللاحقة أو لا؟ وقبل الخوض في المقصود نقدّم بحثاً حول الشكّ في بقاء الأحكام في الشريعة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الشكّ في بقاء الحكم تارة يرجع إلى الشكّ في سعة الجعل وضيقه، و أُخرى إلى الشكّ في مدخلية بعض القيود في بعض الآثار و إن كان الحكم مجعولاً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أي‌الشك في سعة الجعل وضيقه فالمرجع هو إطلاق الدليل اللفظي، وإلّا فاستصحاب عدم النسخ، فلو شككنا في سعة جعل الحلية للمتعة بعد عام الفتح، فإن كان هناك إطلاق لفظي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اسْتَمْتَعْتُمْ بِهِ مِنْهُنَّ فَآتُوهُنَّ أُجُورَهُنَّ فَرِيضَةً</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فيحكم بفضل الإطلاق على بقاء الحكم، وإن لم يكن هناك إطلاق لفظي بل إجماع على الحكم لم تُعلم سعة جعله وضيقه، فيستصحب عدم النسخ</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الشكّ في مدخلية بعض القيود في فعلية الحكم و إن كان التشريع عاماً إلى يوم القيامة، فهذا ما يعبّر عنه بالشكّ في سعة المجعول في </w:t>
      </w:r>
    </w:p>
    <w:p>
      <w:pPr>
        <w:pStyle w:val="BookText"/>
        <w:rPr/>
      </w:pPr>
      <w:r>
        <w:rPr>
          <w:rFonts w:ascii="Amiri" w:hAnsi="Amiri" w:eastAsia="Amiri" w:cs="Amiri"/>
          <w:color w:val="111111"/>
          <w:sz w:val="28"/>
          <w:sz w:val="28"/>
          <w:szCs w:val="28"/>
          <w:rtl w:val="true"/>
          <w:lang w:bidi="ar-SA"/>
        </w:rPr>
        <w:t>بعض الفترات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كما إذا شككنا في فعلية وجوب صلاة الجمعة عند الغيبة لأجل الشكّ في أنّ الحضور شرط لفعلية الحكم، فلو كان كذلك يصير الحكم إنشائياً إلّاعندما يظهر الإمام وأخذ بزمام الأمر، ففي هذا المقام ربما يستصحب وجوب الجمعة إلى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للدليل اللفظي إطلاق ينفي شرطية الحضور، كما إذا كان مهملاً من هذه الجهة فيرجع إلى الأصل العملي وهو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إشكالاً ذكره صاحب الفصول في استصحاب أحكام الشرائع السابقة، وهو مشترك بينه و بين المقام فنذكره هنا ويُعلم حاله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الثابت في حقّ جماعة لا يمكن إثباته في حقّ آخرين لتغاير الموضوع، فانّ ما ثبت في حقّهم مثلُه لا نفسُه، ولذا يتمسّك في تسرية الأحكام الثابتة للحاضرين أو الموجودين إلى الغائبين والمعدومين بالإجماع والأخبار الدالّة على الشركة لا بالاستصحاب</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وأجاب عنه الشيخ الأعظم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نفرض الشخص الواحد مدركاً للشريعتين</w:t>
      </w:r>
      <w:r>
        <w:rPr>
          <w:rStyle w:val="FootnoteAnchor"/>
          <w:rtl w:val="true"/>
        </w:rPr>
        <w:footnoteReference w:id="106"/>
      </w:r>
      <w:r>
        <w:rPr>
          <w:rFonts w:ascii="Amiri" w:hAnsi="Amiri" w:eastAsia="Amiri" w:cs="Amiri"/>
          <w:color w:val="111111"/>
          <w:sz w:val="28"/>
          <w:sz w:val="28"/>
          <w:szCs w:val="28"/>
          <w:rtl w:val="true"/>
          <w:lang w:bidi="ar-SA"/>
        </w:rPr>
        <w:t xml:space="preserve">، فإذاحرم في حقّه شيء سابقاً وشكّ في بقاء الحرمة في الشريعة اللاحقة، فلا مانع من الاستصحاب أصلاً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الموضوع واحد ويتم الحكم في الباقي بقيام الضرورة على اشتراك أهل الزمان الواحد في الشريعة الواحدة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الأحكام الواقعيّة مشتركة بين عامة المكلّفين، وأمّا الحكم الظاهري الثابت في حقّشخص فإنّما يحكم بالاشتراك في حقّ من يكون مثل الفرد </w:t>
      </w:r>
    </w:p>
    <w:p>
      <w:pPr>
        <w:pStyle w:val="BookText"/>
        <w:rPr/>
      </w:pPr>
      <w:r>
        <w:rPr>
          <w:rFonts w:ascii="Amiri" w:hAnsi="Amiri" w:eastAsia="Amiri" w:cs="Amiri"/>
          <w:color w:val="111111"/>
          <w:sz w:val="28"/>
          <w:sz w:val="28"/>
          <w:szCs w:val="28"/>
          <w:rtl w:val="true"/>
          <w:lang w:bidi="ar-SA"/>
        </w:rPr>
        <w:t xml:space="preserve">السابق في الصفات والخصوصيات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يكون على يقين بالحكم فيشك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أدرك عصري الحضور والغيبة يحكم عليه بالوجوب، ويشاركه كلّ من حاز على هذا الوصف دون غيره كالمدرك لعصر الغيبة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الأوّل ذو يقين و شك، بخلاف الثاني فهو شاك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الإشكال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الاشتراك ليست إلّاأنّ الاستصحاب حكم كلّ من كان على يقين فشكّ لا انّه حكم الكلّ و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هو قدس سره أيضاً انّ المستصحب هو الحكم الكلّي الثابت للجماعة على وجه لا مدخل لأشخاصهم فيه، إذ لو فرض وجود اللاحقين في السابق عمّهم الحكم قطعاً غاية الأمر احتمال مدخلية بعض أوصافهم المعتبرة في موضوع الحكم، ومثل هذا لو أثّر في الاستصحاب، لقدح في أكثر الاستصحابات، فتسرية الحكم من الموجودين إلى المعدومين تصحُّ بالاستصحاب باعتبار انّ المستصحب هو الحكم الكلي الثابت للجماعة على وجه لا مدخل لأشخاصهم فيه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المحقّق الخوئي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كون الأحكام موضوعاً على نحو القضايا الحقيقية، معناه عدم مدخلية خصوصية الأفراد في ثبوت الحكم، لا عدم اختصاص الحكم بحصّة دون حصة، فانّا نشك في أنّ التكليف مجعول لجميع المكلّفين أو مختص بمدركي زمان الحضور، فيكون احتمال التكليف بالنسبة إلى غير المدركين شكاً في ثبوت التكليف لا في بقائه، فإن كان لدليل الحكم عموم أو إطلاق فهو المّتبع، أو كان هناك دليل من الخارج يدل على </w:t>
      </w:r>
    </w:p>
    <w:p>
      <w:pPr>
        <w:pStyle w:val="BookText"/>
        <w:rPr/>
      </w:pPr>
      <w:r>
        <w:rPr>
          <w:rFonts w:ascii="Amiri" w:hAnsi="Amiri" w:eastAsia="Amiri" w:cs="Amiri"/>
          <w:color w:val="111111"/>
          <w:sz w:val="28"/>
          <w:sz w:val="28"/>
          <w:szCs w:val="28"/>
          <w:rtl w:val="true"/>
          <w:lang w:bidi="ar-SA"/>
        </w:rPr>
        <w:t>استمرار الأحكام فيؤخذ به، و إلّافلا يمكن إثبات الاستمرار باستصحاب عدم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الاشكال مبني على تفسير القضايا الخارجية والحقيقية بجعل الحكم على الأفراد المحقَّقة كما في الأُولى، أو الأعم منها و من المقدَّرة كما في الثانية، فعندئذٍ يصحّ ما ذكره من أنّ جعل الحكم على بعض الحصص يكون شكاً في ثبوت التكليف لا في بقائه، ولكنّه خلاف التحقيق، بل الحكم في كلتا القضيتين موضوع على العنوان، غير أنّه في الأُولى لا يصدق إلّاعلى المحققة، وفي الثانية على الأعم من المحقّقة والمقدرة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العنوان بما هو عنوان، أمر ذهني، لا يتَحمَّل الحكم كما في القضايا الخارجية،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كلّ من في العسكر؛ ولا في القضايا الحقيقية،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أو يحرم كلّ خمر، وإنّما المتحمل له هو الأفراد فيعود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فرق بين الموضوع و ما هو المقصود من جعل الحكم على الموضوع، فالموضوع في الدليل هو الأوّل و إن كان المقصود منه هو ما ينطبق عليه الأفراد به، نظير تعلّق الأحكام بالطبائع دون الأفراد، فالموضوع هو ذات الطبيعة و إن كانت الغاية من تعلّقه بها، هو إيجادها و تكوينها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فالحكم الموضوع على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لمن أدرك عصر الحضور، و من أدرك عصر الغيبة، فنستصحب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قلنا بأنّ الموضوع هو الافراد الخارجية المحقّقة أو المقدرة ينقسم الموضوع إلى متيقّن الحكم ومشكوكه، ولكنّه كما ترى، بل الموضوع العنوان الكلّي،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w:t>
      </w:r>
    </w:p>
    <w:p>
      <w:pPr>
        <w:pStyle w:val="BookText"/>
        <w:rPr/>
      </w:pPr>
      <w:r>
        <w:rPr>
          <w:rFonts w:ascii="Amiri" w:hAnsi="Amiri" w:eastAsia="Amiri" w:cs="Amiri"/>
          <w:color w:val="111111"/>
          <w:sz w:val="28"/>
          <w:sz w:val="28"/>
          <w:szCs w:val="28"/>
          <w:rtl w:val="true"/>
          <w:lang w:bidi="ar-SA"/>
        </w:rPr>
        <w:t>ذِكْرِ اللّهِ</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ثمّ إنّ المحّقق الخراساني لمّا ذهب في مبحث اجتماع الأمر والنهي إلى الامتناع بحجة أنّ الأحكام تتعلّق بالمصاديق الخارجية ومعه يمتنع أن يكون الفرد الخارجي متعلّقاً للأمر والنهي، حاول تفسير القضية الحقيقية في المقام بما اتخذه المحقّق الخوئي ذريعة للإشكال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الثابت في الشريعة السابقة كان ثابتاً لأفراد المكلّف، كانت محقّقة وجوداً أو مقدرة كما هو قضية القضايا المتعارفة المتداولة، وهي قضايا حقيقية لا خصوص الأفراد الخارجية كما هو قضية القضايا الخارجية، وإلّا لما صحّ الاستصحاب في الأحكام الثابتة في هذه الشريعة ولا النسخ بالنسبة إلى غير الموجود في زمان ثبوتها، كان</w:t>
      </w:r>
      <w:r>
        <w:rPr>
          <w:rStyle w:val="FootnoteAnchor"/>
          <w:rtl w:val="true"/>
        </w:rPr>
        <w:footnoteReference w:id="108"/>
      </w:r>
      <w:r>
        <w:rPr>
          <w:rFonts w:ascii="Amiri" w:hAnsi="Amiri" w:eastAsia="Amiri" w:cs="Amiri"/>
          <w:color w:val="111111"/>
          <w:sz w:val="28"/>
          <w:sz w:val="28"/>
          <w:szCs w:val="28"/>
          <w:rtl w:val="true"/>
          <w:lang w:bidi="ar-SA"/>
        </w:rPr>
        <w:t>الحكم في الشريعة السابقة ثابتاً لعامة أفراد المكلّف مما وجد أو يوجد</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ثمّ إنّه حاول أن يطبق ما ذكره الشيخ في مقام الجواب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في كلتا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والخارجية، على العنوان لا على الأفراد، وعدم صدق الخارجية إلّاعلى الأفراد المحقّقة لا يكون دليلاً على تعلّق الحكم بالأفراد، بل الحكم متعلّق بالعنوان، غير انّ العنوان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له سعة، وقسم له ضيق</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صحّما ذكره لتوجه إليه الإشكال الماضي في كلام المحقّق الخوئي من انحلال القضية إلى أفراد محكومة بالحكم قطعاً، وأفراد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البراءة في الثاني مكان الاستصحاب لعدم سبق اليقين السابق</w:t>
      </w:r>
      <w:r>
        <w:rPr>
          <w:rFonts w:eastAsia="Amiri" w:cs="Amiri" w:ascii="Amiri" w:hAnsi="Amiri"/>
          <w:color w:val="111111"/>
          <w:sz w:val="28"/>
          <w:szCs w:val="28"/>
          <w:rtl w:val="true"/>
          <w:lang w:bidi="ar-SA"/>
        </w:rPr>
        <w:t xml:space="preserve">. </w:t>
      </w:r>
      <w:bookmarkStart w:id="371" w:name="pg14367_157162"/>
    </w:p>
    <w:p>
      <w:pPr>
        <w:pStyle w:val="BookText"/>
        <w:rPr/>
      </w:pPr>
      <w:bookmarkEnd w:id="371"/>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كلام الشيخ أكثر انطباقاً على ما ذكرنا دون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الإشكال المشترك بين استصحاب أحكام شريعتنا وأحكام الشرائع السابقة، وحاصل هذا الاشكال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القضية المتيقّنة بالنسبة إلى المستصحب في كلا المقامين، وقد عرفت كيفية تصحيح وجودها</w:t>
      </w:r>
      <w:r>
        <w:rPr>
          <w:rFonts w:eastAsia="Amiri" w:cs="Amiri" w:ascii="Amiri" w:hAnsi="Amiri"/>
          <w:color w:val="111111"/>
          <w:sz w:val="28"/>
          <w:szCs w:val="28"/>
          <w:rtl w:val="true"/>
          <w:lang w:bidi="ar-SA"/>
        </w:rPr>
        <w:t>.</w:t>
      </w:r>
    </w:p>
    <w:p>
      <w:pPr>
        <w:pStyle w:val="Heading6"/>
        <w:numPr>
          <w:ilvl w:val="5"/>
          <w:numId w:val="1"/>
        </w:numPr>
        <w:rPr/>
      </w:pPr>
      <w:bookmarkStart w:id="372" w:name="__RefHeading___Toc7507136_3381743652"/>
      <w:bookmarkStart w:id="373" w:name="_Toc138"/>
      <w:bookmarkEnd w:id="372"/>
      <w:r>
        <w:rPr>
          <w:rtl w:val="true"/>
        </w:rPr>
        <w:t>استصحاب أحكام الشرائع السابقة</w:t>
      </w:r>
      <w:bookmarkEnd w:id="373"/>
    </w:p>
    <w:p>
      <w:pPr>
        <w:pStyle w:val="BookText"/>
        <w:rPr/>
      </w:pPr>
      <w:r>
        <w:rPr>
          <w:rFonts w:ascii="Amiri" w:hAnsi="Amiri" w:eastAsia="Amiri" w:cs="Amiri"/>
          <w:color w:val="111111"/>
          <w:sz w:val="28"/>
          <w:sz w:val="28"/>
          <w:szCs w:val="28"/>
          <w:rtl w:val="true"/>
          <w:lang w:bidi="ar-SA"/>
        </w:rPr>
        <w:t>إنّ استصحاب أحكام الشرائع السابقة يشارك استصحاب أحكام شريعتنافيما تقدّم إشكالاً وجواباً، فها نحن نذكر جميع ما أورد عليه من الإشكالات من غير فرق بين المشترك بين المقامين والمختص بهذا المقام</w:t>
      </w:r>
      <w:r>
        <w:rPr>
          <w:rFonts w:eastAsia="Amiri" w:cs="Amiri" w:ascii="Amiri" w:hAnsi="Amiri"/>
          <w:color w:val="111111"/>
          <w:sz w:val="28"/>
          <w:szCs w:val="28"/>
          <w:rtl w:val="true"/>
          <w:lang w:bidi="ar-SA"/>
        </w:rPr>
        <w:t>.</w:t>
      </w:r>
    </w:p>
    <w:p>
      <w:pPr>
        <w:pStyle w:val="Heading6"/>
        <w:numPr>
          <w:ilvl w:val="5"/>
          <w:numId w:val="1"/>
        </w:numPr>
        <w:rPr/>
      </w:pPr>
      <w:bookmarkStart w:id="374" w:name="__RefHeading___Toc7507138_3381743652"/>
      <w:bookmarkStart w:id="375" w:name="_Toc139"/>
      <w:bookmarkEnd w:id="374"/>
      <w:r>
        <w:rPr>
          <w:rtl w:val="true"/>
        </w:rPr>
        <w:t>الأوّل</w:t>
      </w:r>
      <w:r>
        <w:rPr>
          <w:rtl w:val="true"/>
        </w:rPr>
        <w:t xml:space="preserve">: </w:t>
      </w:r>
      <w:r>
        <w:rPr>
          <w:rtl w:val="true"/>
        </w:rPr>
        <w:t>عدم اليقين بالحكم السابق</w:t>
      </w:r>
      <w:bookmarkEnd w:id="375"/>
    </w:p>
    <w:p>
      <w:pPr>
        <w:pStyle w:val="BookText"/>
        <w:rPr/>
      </w:pPr>
      <w:r>
        <w:rPr>
          <w:rFonts w:ascii="Amiri" w:hAnsi="Amiri" w:eastAsia="Amiri" w:cs="Amiri"/>
          <w:color w:val="111111"/>
          <w:sz w:val="28"/>
          <w:sz w:val="28"/>
          <w:szCs w:val="28"/>
          <w:rtl w:val="true"/>
          <w:lang w:bidi="ar-SA"/>
        </w:rPr>
        <w:t>هذا الاشكال هو الذي قدّمنا ذكره عند البحث في استصحاب أحكام شريعتنا، وقد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إشكال مشترك بين البابين، وقد عرفت مفاد الإشكال والجواب فلا نعيد</w:t>
      </w:r>
      <w:r>
        <w:rPr>
          <w:rFonts w:eastAsia="Amiri" w:cs="Amiri" w:ascii="Amiri" w:hAnsi="Amiri"/>
          <w:color w:val="111111"/>
          <w:sz w:val="28"/>
          <w:szCs w:val="28"/>
          <w:rtl w:val="true"/>
          <w:lang w:bidi="ar-SA"/>
        </w:rPr>
        <w:t>.</w:t>
      </w:r>
    </w:p>
    <w:p>
      <w:pPr>
        <w:pStyle w:val="Heading6"/>
        <w:numPr>
          <w:ilvl w:val="5"/>
          <w:numId w:val="1"/>
        </w:numPr>
        <w:rPr/>
      </w:pPr>
      <w:bookmarkStart w:id="376" w:name="__RefHeading___Toc7507140_3381743652"/>
      <w:bookmarkStart w:id="377" w:name="_Toc140"/>
      <w:bookmarkEnd w:id="376"/>
      <w:r>
        <w:rPr>
          <w:rtl w:val="true"/>
        </w:rPr>
        <w:t>الثاني</w:t>
      </w:r>
      <w:r>
        <w:rPr>
          <w:rtl w:val="true"/>
        </w:rPr>
        <w:t xml:space="preserve">: </w:t>
      </w:r>
      <w:r>
        <w:rPr>
          <w:rtl w:val="true"/>
        </w:rPr>
        <w:t>عدم الشكّ في البقاء</w:t>
      </w:r>
      <w:bookmarkEnd w:id="377"/>
    </w:p>
    <w:p>
      <w:pPr>
        <w:pStyle w:val="BookText"/>
        <w:rPr/>
      </w:pPr>
      <w:r>
        <w:rPr>
          <w:rFonts w:ascii="Amiri" w:hAnsi="Amiri" w:eastAsia="Amiri" w:cs="Amiri"/>
          <w:color w:val="111111"/>
          <w:sz w:val="28"/>
          <w:sz w:val="28"/>
          <w:szCs w:val="28"/>
          <w:rtl w:val="true"/>
          <w:lang w:bidi="ar-SA"/>
        </w:rPr>
        <w:t>إنّ الشريعة الإسلامية لمّا كانت ناسخة لجميع الشرائع السابقة فلا يجوز الحكم بالبقاء بعد العلم بالنسخ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النسخ، نسخ كلّ حكم إلهي في الشريعة السابقة، فهو ممنوع، لبقاء قسم من تلك الأحكام في شريعتنا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أُريد نسخ بعض الأحكام، فهذا لا يمنع إلّااستصحاب ما علم كونه </w:t>
      </w:r>
      <w:bookmarkStart w:id="378" w:name="pg14367_157163"/>
    </w:p>
    <w:p>
      <w:pPr>
        <w:pStyle w:val="BookText"/>
        <w:rPr/>
      </w:pPr>
      <w:bookmarkEnd w:id="378"/>
      <w:r>
        <w:rPr>
          <w:rFonts w:ascii="Amiri" w:hAnsi="Amiri" w:eastAsia="Amiri" w:cs="Amiri"/>
          <w:color w:val="111111"/>
          <w:sz w:val="28"/>
          <w:sz w:val="28"/>
          <w:szCs w:val="28"/>
          <w:rtl w:val="true"/>
          <w:lang w:bidi="ar-SA"/>
        </w:rPr>
        <w:t>منسوخاً لا ما كان مشكوك النسخ، فيبقى غير المعلوم على حاله</w:t>
      </w:r>
      <w:r>
        <w:rPr>
          <w:rFonts w:eastAsia="Amiri" w:cs="Amiri" w:ascii="Amiri" w:hAnsi="Amiri"/>
          <w:color w:val="111111"/>
          <w:sz w:val="28"/>
          <w:szCs w:val="28"/>
          <w:rtl w:val="true"/>
          <w:lang w:bidi="ar-SA"/>
        </w:rPr>
        <w:t>.</w:t>
      </w:r>
    </w:p>
    <w:p>
      <w:pPr>
        <w:pStyle w:val="Heading6"/>
        <w:numPr>
          <w:ilvl w:val="5"/>
          <w:numId w:val="1"/>
        </w:numPr>
        <w:rPr/>
      </w:pPr>
      <w:bookmarkStart w:id="379" w:name="__RefHeading___Toc7507142_3381743652"/>
      <w:bookmarkStart w:id="380" w:name="_Toc141"/>
      <w:bookmarkEnd w:id="379"/>
      <w:r>
        <w:rPr>
          <w:rtl w:val="true"/>
        </w:rPr>
        <w:t>الثالث</w:t>
      </w:r>
      <w:r>
        <w:rPr>
          <w:rtl w:val="true"/>
        </w:rPr>
        <w:t xml:space="preserve">: </w:t>
      </w:r>
      <w:r>
        <w:rPr>
          <w:rtl w:val="true"/>
        </w:rPr>
        <w:t>العلم الإجمالي مانع من جريان الاستصحاب</w:t>
      </w:r>
      <w:bookmarkEnd w:id="380"/>
    </w:p>
    <w:p>
      <w:pPr>
        <w:pStyle w:val="BookText"/>
        <w:rPr/>
      </w:pPr>
      <w:r>
        <w:rPr>
          <w:rFonts w:ascii="Amiri" w:hAnsi="Amiri" w:eastAsia="Amiri" w:cs="Amiri"/>
          <w:color w:val="111111"/>
          <w:sz w:val="28"/>
          <w:sz w:val="28"/>
          <w:szCs w:val="28"/>
          <w:rtl w:val="true"/>
          <w:lang w:bidi="ar-SA"/>
        </w:rPr>
        <w:t>كان الجواب عن الاشكال الثاني مبنياً على أنّ الأحكام بين متيقّن النسخ ومشكوكه، فيجري الاستصحاب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 عليه المستشكل بأنّ في القسم الثاني ما علم كونه منسوخاً بالإجمال، ومعه كيف يجري استصحاب النسخ في كلّ واحد واحد منه مع ذلك العلم الإجمالي؟</w:t>
      </w:r>
    </w:p>
    <w:p>
      <w:pPr>
        <w:pStyle w:val="BookText"/>
        <w:rPr/>
      </w:pPr>
      <w:r>
        <w:rPr>
          <w:rFonts w:ascii="Amiri" w:hAnsi="Amiri" w:eastAsia="Amiri" w:cs="Amiri"/>
          <w:color w:val="111111"/>
          <w:sz w:val="28"/>
          <w:sz w:val="28"/>
          <w:szCs w:val="28"/>
          <w:rtl w:val="true"/>
          <w:lang w:bidi="ar-SA"/>
        </w:rPr>
        <w:t>والجواب ما ذكرناه في باب الاشتغال من أنّ العلم الإجمالي إنّما يمنع عن جريان الأصل إذا كانت جميع الأطراف مورداً للابتلاء، وأمّا إذا خرجت بعض الأطراف قبل العلم الإجمالي عن محل الابتلاء فلا يمنع عن جريان الأصل في مورد الابتلاء وذلك لعدم تعارض الأصلين حين ما لا يجري في الفرد الخارج عن الابتلاء لعدم ترتب الأثر عليه ويجري في الداخل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والمقام أيضاً من هذا القبيل حيث نفترض أنّ عدد الأحكام قرابة ألف حكم وقد علمنا بطروء النسخ على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تفصيلاً، فناهز مالم يعلم تفصيلاً إلى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من هذه الأحكام معلوم لنا بالتفصيل من طريق القرآن والسنة سواء أوافق الشريعة السابقة أم خالف، ولأجل ذلك لا نحتاج إلى أصالة عدم النسخ فيها فيبقى في المقام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ولا نعلم بوجود النسخ فيها لا إجمالاً ولا تفصيلاً، فيكون مجرى لأصالة عدم النسخ، وذلك لأنّ العدد الكبير غني عن أصالة عدم النسخ للعلم بالتفصيل بحكم اللّه فيها وإن لم نعلم كونها موافقة أو </w:t>
      </w:r>
      <w:bookmarkStart w:id="381" w:name="pg14367_157164"/>
    </w:p>
    <w:p>
      <w:pPr>
        <w:pStyle w:val="BookText"/>
        <w:rPr/>
      </w:pPr>
      <w:bookmarkEnd w:id="381"/>
      <w:r>
        <w:rPr>
          <w:rFonts w:ascii="Amiri" w:hAnsi="Amiri" w:eastAsia="Amiri" w:cs="Amiri"/>
          <w:color w:val="111111"/>
          <w:sz w:val="28"/>
          <w:sz w:val="28"/>
          <w:szCs w:val="28"/>
          <w:rtl w:val="true"/>
          <w:lang w:bidi="ar-SA"/>
        </w:rPr>
        <w:t>مخالفة للشريعة الإسلامية</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507144_3381743652"/>
      <w:bookmarkStart w:id="383" w:name="_Toc142"/>
      <w:bookmarkEnd w:id="382"/>
      <w:r>
        <w:rPr>
          <w:rtl w:val="true"/>
        </w:rPr>
        <w:t>الرابع</w:t>
      </w:r>
      <w:r>
        <w:rPr>
          <w:rtl w:val="true"/>
        </w:rPr>
        <w:t xml:space="preserve">: </w:t>
      </w:r>
      <w:r>
        <w:rPr>
          <w:rtl w:val="true"/>
        </w:rPr>
        <w:t>النسخ إبطال للشريعة السابقة</w:t>
      </w:r>
      <w:bookmarkEnd w:id="383"/>
    </w:p>
    <w:p>
      <w:pPr>
        <w:pStyle w:val="BookText"/>
        <w:rPr/>
      </w:pPr>
      <w:r>
        <w:rPr>
          <w:rFonts w:ascii="Amiri" w:hAnsi="Amiri" w:eastAsia="Amiri" w:cs="Amiri"/>
          <w:color w:val="111111"/>
          <w:sz w:val="28"/>
          <w:sz w:val="28"/>
          <w:szCs w:val="28"/>
          <w:rtl w:val="true"/>
          <w:lang w:bidi="ar-SA"/>
        </w:rPr>
        <w:t>ذكره بعض المحقّقين من المعاصرين أنّ معنى نسخ الشريعة هو نسخ جميع أحكامها سواء أكانت مخالفة لما في الشريعة الناسخة أو موافقة، وعلى هذا لا يبقى مجال لاستصحاب أحكام الشرائع السابقة، فانّه فرع احتمال بقاء بعض الأحكام السابقة، وقد عرفت أنّ معنى النسخ هدم الشريعة وبناء شريعة جديدة، وافقت الأولى أم خالفتها، فالنسخ أشبه بتغيير نظام إلى نظام آخر، لا إحلال دولة محل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هو نفس الإشكال الثاني لكن بثوب جديد، غير أنّ اللائح من الذكر الحكيم أنّ دور الشريعة اللاحقة تتجلّى تارة في بيان موارد الاختلاف وأُخرى في نسخ بعض دون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فكقول المسيح عندما بعث رسولاً إلى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 عِيسى بِالْبَيِّناتِ قالَ قَدْ جِئْتُكُمْ بِالْحِكْمَةِ وَ لِأُبَيِّنَ لَكُمْ بَعْضَ الَّذِي تَخْتَلِفُونَ فِيهِ فَاتَّقُوا اللّهَ وَ أَطِيعُونِ</w:t>
      </w:r>
      <w:r>
        <w:rPr>
          <w:rFonts w:eastAsia="Amiri" w:cs="Amiri" w:ascii="Amiri" w:hAnsi="Amiri"/>
          <w:color w:val="111111"/>
          <w:sz w:val="28"/>
          <w:szCs w:val="28"/>
          <w:rtl w:val="true"/>
          <w:lang w:bidi="ar-SA"/>
        </w:rPr>
        <w:t>)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فأين بيان موارد الاختلاف من محق الشريعة‌وبناء شريعة أُخرى؟ ولذلك لا تجد في الأناجيل حكماً شرعياً ويذكر وما ذلك إلّالأنّ المسيح لم يبعث إلّالبيان مواضع الاختلاف بين بني إسرائيل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أي‌نسخ بعض وإبقاء بعض آخر، فهو الظاهر من كون النبي مصدقاً لما بين يديه من الكتاب،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أَنْزَلْنا إِلَيْكَ الْكِتابَ بِالْحَقِّ </w:t>
      </w:r>
      <w:bookmarkStart w:id="384" w:name="pg14367_157165"/>
    </w:p>
    <w:p>
      <w:pPr>
        <w:pStyle w:val="BookText"/>
        <w:rPr/>
      </w:pPr>
      <w:bookmarkEnd w:id="384"/>
      <w:r>
        <w:rPr>
          <w:rFonts w:ascii="Amiri" w:hAnsi="Amiri" w:eastAsia="Amiri" w:cs="Amiri"/>
          <w:color w:val="111111"/>
          <w:sz w:val="28"/>
          <w:sz w:val="28"/>
          <w:szCs w:val="28"/>
          <w:rtl w:val="true"/>
          <w:lang w:bidi="ar-SA"/>
        </w:rPr>
        <w:t>مُصَدِّقاً لِما بَيْنَ يَدَيْهِ مِنَ الْكِتابِ وَ مُهَيْمِناً عَلَيْهِ</w:t>
      </w:r>
      <w:r>
        <w:rPr>
          <w:rFonts w:eastAsia="Amiri" w:cs="Amiri" w:ascii="Amiri" w:hAnsi="Amiri"/>
          <w:color w:val="111111"/>
          <w:sz w:val="28"/>
          <w:szCs w:val="28"/>
          <w:rtl w:val="true"/>
          <w:lang w:bidi="ar-SA"/>
        </w:rPr>
        <w:t>)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فمعنى التصديق هو إبقاء ما ثبت في الشريعة السابقة غاية الأمر لا كلّها بل بعضها، ويؤيد ذلك وجود المشتركات في المحرمات والواجبات في عامّة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يقال من أنّ تشريع هذه المشتركات في الشريعة الإسلامية دليل على محق الشريعة السابقة وهدمها، غير تام، لأنّ الهدف من التشريع هو بيان الأحكام وإغناء المسلمين عن الرجوع في المشتركات إلى العهدين وغيرهما، وليس هذا دليلاً لهدم الشريعة السابقة</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7507146_3381743652"/>
      <w:bookmarkStart w:id="386" w:name="_Toc143"/>
      <w:bookmarkEnd w:id="385"/>
      <w:r>
        <w:rPr>
          <w:rtl w:val="true"/>
        </w:rPr>
        <w:t>الخامس</w:t>
      </w:r>
      <w:r>
        <w:rPr>
          <w:rtl w:val="true"/>
        </w:rPr>
        <w:t xml:space="preserve">: </w:t>
      </w:r>
      <w:r>
        <w:rPr>
          <w:rtl w:val="true"/>
        </w:rPr>
        <w:t>بناء الاستصحاب على الحسن الذاتي</w:t>
      </w:r>
      <w:bookmarkEnd w:id="386"/>
    </w:p>
    <w:p>
      <w:pPr>
        <w:pStyle w:val="BookText"/>
        <w:rPr/>
      </w:pPr>
      <w:r>
        <w:rPr>
          <w:rFonts w:ascii="Amiri" w:hAnsi="Amiri" w:eastAsia="Amiri" w:cs="Amiri"/>
          <w:color w:val="111111"/>
          <w:sz w:val="28"/>
          <w:sz w:val="28"/>
          <w:szCs w:val="28"/>
          <w:rtl w:val="true"/>
          <w:lang w:bidi="ar-SA"/>
        </w:rPr>
        <w:t>هذا الإشكال طرحه المحقّق القمّي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الاستصحاب مبني على القول بالحسن والقبح الذاتي، وهو ممنوع، بل الحسن والقبح بالوجوه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مبني على وجود الملاك السابق في الآن اللاحق سواء أكان الملاك هو الحسن الذاتي أم الوجوه والاعتبار</w:t>
      </w:r>
      <w:r>
        <w:rPr>
          <w:rFonts w:eastAsia="Amiri" w:cs="Amiri" w:ascii="Amiri" w:hAnsi="Amiri"/>
          <w:color w:val="111111"/>
          <w:sz w:val="28"/>
          <w:szCs w:val="28"/>
          <w:rtl w:val="true"/>
          <w:lang w:bidi="ar-SA"/>
        </w:rPr>
        <w:t>.</w:t>
      </w:r>
    </w:p>
    <w:p>
      <w:pPr>
        <w:pStyle w:val="Heading6"/>
        <w:numPr>
          <w:ilvl w:val="5"/>
          <w:numId w:val="1"/>
        </w:numPr>
        <w:rPr/>
      </w:pPr>
      <w:bookmarkStart w:id="387" w:name="__RefHeading___Toc7507148_3381743652"/>
      <w:bookmarkStart w:id="388" w:name="_Toc144"/>
      <w:bookmarkEnd w:id="387"/>
      <w:r>
        <w:rPr>
          <w:rtl w:val="true"/>
        </w:rPr>
        <w:t>السادس</w:t>
      </w:r>
      <w:r>
        <w:rPr>
          <w:rtl w:val="true"/>
        </w:rPr>
        <w:t xml:space="preserve">: </w:t>
      </w:r>
      <w:r>
        <w:rPr>
          <w:rtl w:val="true"/>
        </w:rPr>
        <w:t>عدم سعة الشرائع السابقة</w:t>
      </w:r>
      <w:bookmarkEnd w:id="38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الإشكال نفس الإشكال الأوّل لكن بصيغة أُخرى،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بعض الآيات انّ الشرائع السابقة كانت مختصة بأقوام خاصة</w:t>
      </w:r>
      <w:r>
        <w:rPr>
          <w:rFonts w:eastAsia="Amiri" w:cs="Amiri" w:ascii="Amiri" w:hAnsi="Amiri"/>
          <w:color w:val="111111"/>
          <w:sz w:val="28"/>
          <w:szCs w:val="28"/>
          <w:rtl w:val="true"/>
          <w:lang w:bidi="ar-SA"/>
        </w:rPr>
        <w:t xml:space="preserve">. </w:t>
      </w:r>
      <w:bookmarkStart w:id="389" w:name="pg14367_157166"/>
    </w:p>
    <w:p>
      <w:pPr>
        <w:pStyle w:val="BookText"/>
        <w:rPr/>
      </w:pPr>
      <w:bookmarkEnd w:id="389"/>
      <w:r>
        <w:rPr>
          <w:rFonts w:ascii="Amiri" w:hAnsi="Amiri" w:eastAsia="Amiri" w:cs="Amiri"/>
          <w:color w:val="111111"/>
          <w:sz w:val="28"/>
          <w:sz w:val="28"/>
          <w:szCs w:val="28"/>
          <w:rtl w:val="true"/>
          <w:lang w:bidi="ar-SA"/>
        </w:rPr>
        <w:t>أمّا شريعة موسى عليه السلام فكانت لقومه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مُوسى لِقَوْمِهِ يا قَوْمِ لِمَ تُؤْذُونَنِي وَ قَدْ تَعْلَمُونَ أَنِّي رَسُولُ اللّهِ إِلَيْكُمْ</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وأمّا شريعة عيسى عليه السلام فكانت مختصة لبني إسرائيل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عِيسَى ابْنُ مَرْيَمَ يا بَنِي إِسْرائِيلَ إِنِّي رَسُولُ اللّهِ إِلَيْكُمْ مُصَدِّقاً لِما بَيْنَ يَدَيَّ مِنَ التَّوْراةِ</w:t>
      </w:r>
      <w:r>
        <w:rPr>
          <w:rFonts w:eastAsia="Amiri" w:cs="Amiri" w:ascii="Amiri" w:hAnsi="Amiri"/>
          <w:color w:val="111111"/>
          <w:sz w:val="28"/>
          <w:szCs w:val="28"/>
          <w:rtl w:val="true"/>
          <w:lang w:bidi="ar-SA"/>
        </w:rPr>
        <w:t>...)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ويؤيده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الَّذِينَ هادُوا حَرَّمْنا كُلَّ ذِي ظُفُرٍ وَ مِنَ الْبَقَرِ وَ الْغَنَمِ حَرَّمْنا عَلَيْهِمْ شُحُومَهُما إِلاّ ما حَمَلَتْ ظُهُورُهُما أَوِ الْحَوايا أَوْ مَا اخْتَلَطَ بِعَظْمٍ ذلِكَ جَزَيْناهُمْ بِبَغْيِهِمْ وَ إِنّا لَصادِقُونَ</w:t>
      </w:r>
      <w:r>
        <w:rPr>
          <w:rFonts w:eastAsia="Amiri" w:cs="Amiri" w:ascii="Amiri" w:hAnsi="Amiri"/>
          <w:color w:val="111111"/>
          <w:sz w:val="28"/>
          <w:szCs w:val="28"/>
          <w:rtl w:val="true"/>
          <w:lang w:bidi="ar-SA"/>
        </w:rPr>
        <w:t>)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ورد في هذه الآيات لا يخلو من إشعار بالاختصاص ولا يعد مثل ذلك دليلاً عليه بعد اتّفاق المسلمين على عموم شريعتهما وشمولها لعامة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ذكر في المقام من الإشكال حول استصحاب أحكام الشرائع السابقة وقد عرفت انتفاءها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التطبيقات التي ذكرها الشيخ الأنصاري في فرائده، وإليك البيان</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507150_3381743652"/>
      <w:bookmarkStart w:id="391" w:name="_Toc145"/>
      <w:bookmarkEnd w:id="390"/>
      <w:r>
        <w:rPr>
          <w:rtl w:val="true"/>
        </w:rPr>
        <w:t>تطبيقات</w:t>
      </w:r>
      <w:bookmarkEnd w:id="39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الشيخ الأعظم في المقام تطبيقات ستة، ولكن ثمرات البحث أكثر ممّا ذكر، ولنأت بما هو المهم من الثمرات</w:t>
      </w:r>
      <w:r>
        <w:rPr>
          <w:rFonts w:eastAsia="Amiri" w:cs="Amiri" w:ascii="Amiri" w:hAnsi="Amiri"/>
          <w:color w:val="111111"/>
          <w:sz w:val="28"/>
          <w:szCs w:val="28"/>
          <w:rtl w:val="true"/>
          <w:lang w:bidi="ar-SA"/>
        </w:rPr>
        <w:t xml:space="preserve">: </w:t>
      </w:r>
      <w:bookmarkStart w:id="392" w:name="pg14367_157167"/>
    </w:p>
    <w:p>
      <w:pPr>
        <w:pStyle w:val="Heading6"/>
        <w:numPr>
          <w:ilvl w:val="5"/>
          <w:numId w:val="1"/>
        </w:numPr>
        <w:rPr/>
      </w:pPr>
      <w:bookmarkStart w:id="393" w:name="__RefHeading___Toc7507152_3381743652"/>
      <w:bookmarkStart w:id="394" w:name="_Toc146"/>
      <w:bookmarkEnd w:id="392"/>
      <w:bookmarkEnd w:id="393"/>
      <w:r>
        <w:rPr/>
        <w:t>1</w:t>
      </w:r>
      <w:r>
        <w:rPr>
          <w:rtl w:val="true"/>
        </w:rPr>
        <w:t xml:space="preserve">. </w:t>
      </w:r>
      <w:r>
        <w:rPr>
          <w:rtl w:val="true"/>
        </w:rPr>
        <w:t>زواج غير المعينة بمهر غير معين</w:t>
      </w:r>
      <w:bookmarkEnd w:id="394"/>
    </w:p>
    <w:p>
      <w:pPr>
        <w:pStyle w:val="BookText"/>
        <w:rPr/>
      </w:pPr>
      <w:r>
        <w:rPr>
          <w:rFonts w:ascii="Amiri" w:hAnsi="Amiri" w:eastAsia="Amiri" w:cs="Amiri"/>
          <w:color w:val="111111"/>
          <w:sz w:val="28"/>
          <w:sz w:val="28"/>
          <w:szCs w:val="28"/>
          <w:rtl w:val="true"/>
          <w:lang w:bidi="ar-SA"/>
        </w:rPr>
        <w:t xml:space="preserve">ذهب المشهور إلى لزوم تعيين المرأة عند التزويج أوّلاً، وتحديد مهرها بما يخرجه عن الجهالة ثانياً، وانّ المهر ملك للبنت لا للأب ثالثاً، ولكن المستفاد مما دار بين شعيب 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ورد ماء مدين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غيرها، قال سبحانه حاكياً عن لسان شعيب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بَيْنِي وَ بَيْنَكَ أَيَّمَا الْأَجَلَيْنِ قَضَيْتُ فَلا عُدْوانَ عَلَيَّ وَ اللّهُ عَلى ما نَقُولُ وَكِيلٌ</w:t>
      </w:r>
      <w:r>
        <w:rPr>
          <w:rFonts w:eastAsia="Amiri" w:cs="Amiri" w:ascii="Amiri" w:hAnsi="Amiri"/>
          <w:color w:val="111111"/>
          <w:sz w:val="28"/>
          <w:szCs w:val="28"/>
          <w:rtl w:val="true"/>
          <w:lang w:bidi="ar-SA"/>
        </w:rPr>
        <w:t>)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فقد زوّج إحدى بنتيه بلا تعيين أوّلاً، وجعل المهر غير محدَّد بل مردّداً بين ثماني أو عشر حجج، وانتفع شعيب بمهر بنته وهو عمل موسى ورعيه غنمَ شعيب، بل يستفاد من ذلك أمر رابع وهو جواز كون العمل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دلالة الآية على الحكم الأوّل والثالث خفاء دون الثاني والرابع، وذلك لاحتمال أن يكون الترديد في مراسم الخطوبة والتعيين في مراسم عقد الزواج، فلا يكون الترديد دليلاً على جوازه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الظاهر بقاء الترديد في مقدار المهر إلى آخر الأجل بشهادة قول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الْأَجَلَيْنِ قَضَيْتُ فَلا عُدْوانَ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الظاهر انّ الترديد إنّما يزول عند اختتام العمل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انتفاع الأب بمهر البنت فلأجل انّه لم يكن انتفاعه منفكاً عن انتفاع البنت باعتبارهما من أعضاء أُسرة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ما كان يصرف الأب على البنت لم </w:t>
      </w:r>
      <w:bookmarkStart w:id="395" w:name="pg14367_157168"/>
    </w:p>
    <w:p>
      <w:pPr>
        <w:pStyle w:val="BookText"/>
        <w:rPr/>
      </w:pPr>
      <w:bookmarkEnd w:id="395"/>
      <w:r>
        <w:rPr>
          <w:rFonts w:ascii="Amiri" w:hAnsi="Amiri" w:eastAsia="Amiri" w:cs="Amiri"/>
          <w:color w:val="111111"/>
          <w:sz w:val="28"/>
          <w:sz w:val="28"/>
          <w:szCs w:val="28"/>
          <w:rtl w:val="true"/>
          <w:lang w:bidi="ar-SA"/>
        </w:rPr>
        <w:t>يكن أقلّممّا ينتفع بمهرها، مضافاً إلى إذن الفحوى، وأمّا الحكم الرابع فلا بأس به فقد ورد فيه النصّ في رواياتنا</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7507154_3381743652"/>
      <w:bookmarkStart w:id="397" w:name="_Toc147"/>
      <w:bookmarkEnd w:id="396"/>
      <w:r>
        <w:rPr/>
        <w:t>2</w:t>
      </w:r>
      <w:r>
        <w:rPr>
          <w:rtl w:val="true"/>
        </w:rPr>
        <w:t xml:space="preserve">. </w:t>
      </w:r>
      <w:r>
        <w:rPr>
          <w:rtl w:val="true"/>
        </w:rPr>
        <w:t>الجهل بالعوض في الجعالة وضمان مالم يجب</w:t>
      </w:r>
      <w:bookmarkEnd w:id="397"/>
    </w:p>
    <w:p>
      <w:pPr>
        <w:pStyle w:val="BookText"/>
        <w:rPr/>
      </w:pPr>
      <w:r>
        <w:rPr>
          <w:rFonts w:ascii="Amiri" w:hAnsi="Amiri" w:eastAsia="Amiri" w:cs="Amiri"/>
          <w:color w:val="111111"/>
          <w:sz w:val="28"/>
          <w:sz w:val="28"/>
          <w:szCs w:val="28"/>
          <w:rtl w:val="true"/>
          <w:lang w:bidi="ar-SA"/>
        </w:rPr>
        <w:t>ذهب المشهور إلى لزوم تعيين العوض في الجعالة كذهابهم إلى بطلان ضمان ما لم يجب، و مع ذلك فربما يستفاد من بعض الآيات جواز كلا الأمرين في الشرائع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 حاكياً عن لسان أحد عمال يوسف عليه السلام حيث اتّهم العيرَ الذي جاء من كنعان بالسرقة،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أَذَّنَ مُؤَذِّنٌ أَيَّتُهَا الْعِيرُ إِنَّكُمْ لَسارِقُونَ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ضجت العير، فسألوهم عما يفقدون فأجيبوا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صُواعَ الْمَلِكِ وَ لِمَنْ جاءَ بِهِ حِمْلُ بَعِيرٍ وَ أَنَا بِهِ زَعِيمٌ</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فالآية الأخيرة مركبة من فقرات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 صُواعَ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تتعرض هذه الفقرة إلى المال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كعقد جعالة يشير إلى أنّ العوض حمل بعير و هو مجهول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الفقرة تشير إلى ضمان شخص ثالث عن هذا الحمل، ولذلك تغيّرت صيغة الكلام الوارد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دليل على أنّ عاقد الجعالة غير ضامن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جاءَ بِهِ حِمْلُ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الجعالة ولعلّه من باب الوعد، فلا محذور في ما وعد به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فرض جعالته، فالظاهر تعيّن حمل بعير يومذاك خصوصاً في عام </w:t>
      </w:r>
      <w:bookmarkStart w:id="398" w:name="pg14367_157169"/>
    </w:p>
    <w:p>
      <w:pPr>
        <w:pStyle w:val="BookText"/>
        <w:rPr/>
      </w:pPr>
      <w:bookmarkEnd w:id="398"/>
      <w:r>
        <w:rPr>
          <w:rFonts w:ascii="Amiri" w:hAnsi="Amiri" w:eastAsia="Amiri" w:cs="Amiri"/>
          <w:color w:val="111111"/>
          <w:sz w:val="28"/>
          <w:sz w:val="28"/>
          <w:szCs w:val="28"/>
          <w:rtl w:val="true"/>
          <w:lang w:bidi="ar-SA"/>
        </w:rPr>
        <w:t>المجاعة فقد كانوا يقتسمون البرَّ باحمال البعير والأكيسة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مجهولية العوض، وأمّا جواز الضمان بما لم يجب، فقد فصل المشهور بين ما إذا لم يكن هناك مقتض للضمان فلا يجوز، وما يكون هناك مقتض وسبب وإن لم يكن هناك علّة تامة، ولذلك جوّزوا ضمان الدرك و هو تضمين المشتري المتاع الذي يشتريه من البائع حيث يضمنه شخص ثالث لاحتمال كونه مالاً للغير، فالمقتضي موجود، و هو العقد و شراء المال، و هذا المقدار يكفي في صحة التضمين، والمقام أيضاً من هذا القبيل، لأنّ عقد الجعالة صار مقتضياً لاشتغال ذمة الجاعل بالأُجرة فيصح أن يضمنه شخص ثالث</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7507156_3381743652"/>
      <w:bookmarkStart w:id="400" w:name="_Toc148"/>
      <w:bookmarkEnd w:id="399"/>
      <w:r>
        <w:rPr/>
        <w:t>3</w:t>
      </w:r>
      <w:r>
        <w:rPr>
          <w:rtl w:val="true"/>
        </w:rPr>
        <w:t xml:space="preserve">. </w:t>
      </w:r>
      <w:r>
        <w:rPr>
          <w:rtl w:val="true"/>
        </w:rPr>
        <w:t>جواز الضرب بالضغث مكان الضرب بالسوط</w:t>
      </w:r>
      <w:bookmarkEnd w:id="400"/>
    </w:p>
    <w:p>
      <w:pPr>
        <w:pStyle w:val="BookText"/>
        <w:rPr/>
      </w:pPr>
      <w:r>
        <w:rPr>
          <w:rFonts w:ascii="Amiri" w:hAnsi="Amiri" w:eastAsia="Amiri" w:cs="Amiri"/>
          <w:color w:val="111111"/>
          <w:sz w:val="28"/>
          <w:sz w:val="28"/>
          <w:szCs w:val="28"/>
          <w:rtl w:val="true"/>
          <w:lang w:bidi="ar-SA"/>
        </w:rPr>
        <w:t xml:space="preserve">روى المفسرون أنّ أيّوب عليه السلام حلف على امرأته لأجل إبطائها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عوفي ليضربنّها مائة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عوفي عليه السلام، خوطب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بِيَدِكَ ضِغْثاً فَاضْرِبْ بِهِ وَ لا تَحْنَثْ إِنّا وَجَدْناهُ صابِراً نِعْمَ الْعَبْدُ إِنَّهُ أَوّابٌ</w:t>
      </w:r>
      <w:r>
        <w:rPr>
          <w:rFonts w:eastAsia="Amiri" w:cs="Amiri" w:ascii="Amiri" w:hAnsi="Amiri"/>
          <w:color w:val="111111"/>
          <w:sz w:val="28"/>
          <w:szCs w:val="28"/>
          <w:rtl w:val="true"/>
          <w:lang w:bidi="ar-SA"/>
        </w:rPr>
        <w:t>)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والضغث ملء الكف من الحشيش و الشماريخ و ما أشبه ذلك، فاستدل بالآية على أنّه يجوز لمن حلف أن يضرب مائة سوط، أن يبدلها إلى ضغث من الحشيش والشماريخ</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الاستدلال مبني على سدّ باب بعض الاحتمالات، وهو انّ إجراء الحد مشروط بقابلية المحدود عليه، فلو انتهى إجراء الحد إلى موته أو إلحاق الضرّ الكثير به سقط الحد، ولعلّ زوجة أيّوب كانت من هذا الصنف، إذ عند ما حلف أيّوب لم يكن بأس من إجراء الحدّعليها، وبما انّ مرضه قد طال فصارت </w:t>
      </w:r>
      <w:bookmarkStart w:id="401" w:name="pg14367_157170"/>
    </w:p>
    <w:p>
      <w:pPr>
        <w:pStyle w:val="BookText"/>
        <w:rPr/>
      </w:pPr>
      <w:bookmarkEnd w:id="401"/>
      <w:r>
        <w:rPr>
          <w:rFonts w:ascii="Amiri" w:hAnsi="Amiri" w:eastAsia="Amiri" w:cs="Amiri"/>
          <w:color w:val="111111"/>
          <w:sz w:val="28"/>
          <w:sz w:val="28"/>
          <w:szCs w:val="28"/>
          <w:rtl w:val="true"/>
          <w:lang w:bidi="ar-SA"/>
        </w:rPr>
        <w:t>الزوجة طاعنة في السنّ فلربما أدى إجراء الحد إلى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بدله سبحانه بالضغث، و أمّا عدم سقوط الحدّفلأجل صيانة حرمة الحلف باللّه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رواه العياشي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عبّاد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لك من أبي عبد اللّه عليه السلام منزلة فأسأله عن رجل زنا وهو مريض، فان أُقيم عليه الحد خافوا أن يموت، ما تقول فيه؟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المسألة من تلقاء نفسك، أو أمرك بها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الثوري أمرني أن أسألك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أوتي برجل أحبن</w:t>
      </w:r>
      <w:r>
        <w:rPr>
          <w:rStyle w:val="FootnoteAnchor"/>
          <w:rtl w:val="true"/>
        </w:rPr>
        <w:footnoteReference w:id="118"/>
      </w:r>
      <w:r>
        <w:rPr>
          <w:rFonts w:ascii="Amiri" w:hAnsi="Amiri" w:eastAsia="Amiri" w:cs="Amiri"/>
          <w:color w:val="111111"/>
          <w:sz w:val="28"/>
          <w:sz w:val="28"/>
          <w:szCs w:val="28"/>
          <w:rtl w:val="true"/>
          <w:lang w:bidi="ar-SA"/>
        </w:rPr>
        <w:t>قد استسقى بطنه و بدت عرق فخذيه وقد زنا بامرأة مريضة، فأمر رسول اللّه صلى الله عليه و آله و سلم فأوتي بعرجون فيه مائة شمراخ فضربه به ضربة، و ضربها به ضربة، و خلّى سبيلهما، وذلك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بِيَدِكَ ضِغْثاً فَاضْرِبْ بِهِ وَ لا تَحْنَثْ</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وهناك احتمال آخر وهو أن يكون ذلك من خصائص أيوب و بما أنّ زوجته قد تحملت مشقة كبيرة في طول مرضه عفا اللّه سبحانه عنها فبدّل الحدّ إلى ضغث، ومع هذه الاحتمالات لا يصح الاحتجاج بالآية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507158_3381743652"/>
      <w:bookmarkStart w:id="403" w:name="_Toc149"/>
      <w:bookmarkEnd w:id="402"/>
      <w:r>
        <w:rPr/>
        <w:t>4</w:t>
      </w:r>
      <w:r>
        <w:rPr>
          <w:rtl w:val="true"/>
        </w:rPr>
        <w:t xml:space="preserve">. </w:t>
      </w:r>
      <w:r>
        <w:rPr>
          <w:rtl w:val="true"/>
        </w:rPr>
        <w:t>جواز إجراء القصاص على من له عين واحدة</w:t>
      </w:r>
      <w:bookmarkEnd w:id="403"/>
    </w:p>
    <w:p>
      <w:pPr>
        <w:pStyle w:val="BookText"/>
        <w:rPr/>
      </w:pPr>
      <w:r>
        <w:rPr>
          <w:rFonts w:ascii="Amiri" w:hAnsi="Amiri" w:eastAsia="Amiri" w:cs="Amiri"/>
          <w:color w:val="111111"/>
          <w:sz w:val="28"/>
          <w:sz w:val="28"/>
          <w:szCs w:val="28"/>
          <w:rtl w:val="true"/>
          <w:lang w:bidi="ar-SA"/>
        </w:rPr>
        <w:t>اختلف الفقهاء في أنّ الجاني إذا كان ذا عين واحدة وقد جنى على من له عينان، وفقأ إحدى عينيه، فهل يجوز القصاص أو لا؟ فمن قائل بجوازه، إلى قائل آخر بالانتقال إلى الدية، إلى ثالث قائل بجواز القصاص مع دفع نصف الدية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فيمكن الاحتجاج على القول الأوّل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كَتَبْنا عَلَيْهِمْ فِيها أَنَّ </w:t>
      </w:r>
      <w:bookmarkStart w:id="404" w:name="pg14367_157171"/>
    </w:p>
    <w:p>
      <w:pPr>
        <w:pStyle w:val="BookText"/>
        <w:rPr/>
      </w:pPr>
      <w:bookmarkEnd w:id="404"/>
      <w:r>
        <w:rPr>
          <w:rFonts w:ascii="Amiri" w:hAnsi="Amiri" w:eastAsia="Amiri" w:cs="Amiri"/>
          <w:color w:val="111111"/>
          <w:sz w:val="28"/>
          <w:sz w:val="28"/>
          <w:szCs w:val="28"/>
          <w:rtl w:val="true"/>
          <w:lang w:bidi="ar-SA"/>
        </w:rPr>
        <w:t>اَلنَّفْسَ بِالنَّفْسِ وَ الْعَيْنَ بِالْعَيْنِ وَ الْأَنْفَ بِالْأَنْفِ وَ الْأُذُنَ بِالْأُذُنِ وَ السِّنَّ بِالسِّنِّ وَ الْجُرُوحَ قِصاصٌ</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فإطلاق الآية يدل على جواز القصاص وإن انتهى إلى فقد بصر المجني عليه من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في مقام أصل التشريع و ليس في مقام بيان الخصوصيات حتى يتمسك بإطلاقها، ولو غض النظر عن ذلك فيمكن الاستدلال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 وَ اتَّقُوا اللّهَ وَ اعْلَمُوا أَنَّ اللّهَ مَعَ الْمُتَّقِينَ</w:t>
      </w:r>
      <w:r>
        <w:rPr>
          <w:rFonts w:eastAsia="Amiri" w:cs="Amiri" w:ascii="Amiri" w:hAnsi="Amiri"/>
          <w:color w:val="111111"/>
          <w:sz w:val="28"/>
          <w:szCs w:val="28"/>
          <w:rtl w:val="true"/>
          <w:lang w:bidi="ar-SA"/>
        </w:rPr>
        <w:t>)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على أنّه لو تمّت دلالة الآيات فلا حاجة إلى الاستصحاب، فانّ نقل هذه التشريعات بلا رد عليها يتضمن إمضاءً وتصويباً لها، إذ ليس القرآن بصدد سرد القصص والحكايات وإنّما هو كتاب هداية للبشر وحكمة، فكلّما ينقل ويذكر فهو حجّة عينا إلّاإذا ما ردّ عليه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507160_3381743652"/>
      <w:bookmarkStart w:id="406" w:name="_Toc150"/>
      <w:bookmarkEnd w:id="405"/>
      <w:r>
        <w:rPr>
          <w:rtl w:val="true"/>
        </w:rPr>
        <w:t>مشروعية القرعة</w:t>
      </w:r>
      <w:bookmarkEnd w:id="406"/>
    </w:p>
    <w:p>
      <w:pPr>
        <w:pStyle w:val="BookText"/>
        <w:rPr/>
      </w:pPr>
      <w:r>
        <w:rPr>
          <w:rFonts w:ascii="Amiri" w:hAnsi="Amiri" w:eastAsia="Amiri" w:cs="Amiri"/>
          <w:color w:val="111111"/>
          <w:sz w:val="28"/>
          <w:sz w:val="28"/>
          <w:szCs w:val="28"/>
          <w:rtl w:val="true"/>
          <w:lang w:bidi="ar-SA"/>
        </w:rPr>
        <w:t>تدل بعض الآيات على انّ بني إسرائيل ونبيهم زكريا كانوا يعملون بالقرعة حيث شارك زكريا معهم في تعيين كافل مريم فخرجت القرعة باسمه،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 أَيُّهُمْ يَكْفُلُ مَرْيَمَ وَ ما كُنْتَ لَدَيْهِمْ إِذْ يَخْتَصِمُونَ</w:t>
      </w:r>
      <w:r>
        <w:rPr>
          <w:rFonts w:eastAsia="Amiri" w:cs="Amiri" w:ascii="Amiri" w:hAnsi="Amiri"/>
          <w:color w:val="111111"/>
          <w:sz w:val="28"/>
          <w:szCs w:val="28"/>
          <w:rtl w:val="true"/>
          <w:lang w:bidi="ar-SA"/>
        </w:rPr>
        <w:t>) .</w:t>
      </w:r>
      <w:r>
        <w:rPr>
          <w:rStyle w:val="FootnoteAnchor"/>
          <w:rtl w:val="true"/>
        </w:rPr>
        <w:footnoteReference w:id="122"/>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خرجت القرعة باسم زكريا فتكفل مريم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كَفَّلَها </w:t>
      </w:r>
    </w:p>
    <w:p>
      <w:pPr>
        <w:pStyle w:val="BookText"/>
        <w:rPr/>
      </w:pPr>
      <w:r>
        <w:rPr>
          <w:rFonts w:ascii="Amiri" w:hAnsi="Amiri" w:eastAsia="Amiri" w:cs="Amiri"/>
          <w:color w:val="111111"/>
          <w:sz w:val="28"/>
          <w:sz w:val="28"/>
          <w:szCs w:val="28"/>
          <w:rtl w:val="true"/>
          <w:lang w:bidi="ar-SA"/>
        </w:rPr>
        <w:t>زَكَرِيّا كُلَّما دَخَلَ عَلَيْها زَكَرِيَّا الْمِحْرابَ وَجَدَ عِنْدَها رِزْقاً</w:t>
      </w:r>
      <w:r>
        <w:rPr>
          <w:rFonts w:eastAsia="Amiri" w:cs="Amiri" w:ascii="Amiri" w:hAnsi="Amiri"/>
          <w:color w:val="111111"/>
          <w:sz w:val="28"/>
          <w:szCs w:val="28"/>
          <w:rtl w:val="true"/>
          <w:lang w:bidi="ar-SA"/>
        </w:rPr>
        <w:t>)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الآية على كونها أمراً مشروعاً عندهم لا خفاء فيها، بل يظهر من بعض الآيات أنّ القرعة كانت أمراً شائعاً بين البشر حيث ينقل في قصة يونس عندما استقل بسفينة وكادت تغرق بهم إلّابتفريغ السفينة من أحد الركاب، فاقترعوا وخرجت القرعة باسم يونس،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وبما انّ الروايات الدالة على مشروعية القرعة في الشريعة الإسلامية تغنينا عن استصحاب هذه الأحكام، على أنّك قد عرفت انّا في غنى عن الاستصحاب في عامّة هذه الموارد، بل يكفي ورودها في القرآن الكريم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هناك تطبيقات أُخرى تعرض إليها الشيخ الأعظم في الفرائد فراجع</w:t>
      </w:r>
      <w:r>
        <w:rPr>
          <w:rFonts w:eastAsia="Amiri" w:cs="Amiri" w:ascii="Amiri" w:hAnsi="Amiri"/>
          <w:color w:val="111111"/>
          <w:sz w:val="28"/>
          <w:szCs w:val="28"/>
          <w:rtl w:val="true"/>
          <w:lang w:bidi="ar-SA"/>
        </w:rPr>
        <w:t xml:space="preserve">. </w:t>
      </w:r>
      <w:bookmarkStart w:id="407" w:name="pg14367_157173"/>
    </w:p>
    <w:p>
      <w:pPr>
        <w:pStyle w:val="BookText"/>
        <w:rPr/>
      </w:pPr>
      <w:bookmarkEnd w:id="407"/>
      <w:r>
        <w:rPr>
          <w:rFonts w:ascii="Amiri" w:hAnsi="Amiri" w:eastAsia="Amiri" w:cs="Amiri"/>
          <w:color w:val="111111"/>
          <w:sz w:val="28"/>
          <w:sz w:val="28"/>
          <w:szCs w:val="28"/>
          <w:rtl w:val="true"/>
          <w:lang w:bidi="ar-SA"/>
        </w:rPr>
        <w:t>تنبيهات</w:t>
      </w:r>
    </w:p>
    <w:p>
      <w:pPr>
        <w:pStyle w:val="Heading5"/>
        <w:numPr>
          <w:ilvl w:val="4"/>
          <w:numId w:val="1"/>
        </w:numPr>
        <w:rPr/>
      </w:pPr>
      <w:bookmarkStart w:id="408" w:name="__RefHeading___Toc7507162_3381743652"/>
      <w:bookmarkStart w:id="409" w:name="_Toc151"/>
      <w:bookmarkEnd w:id="408"/>
      <w:r>
        <w:rPr/>
        <w:t>9</w:t>
      </w:r>
      <w:r>
        <w:rPr>
          <w:rtl w:val="true"/>
        </w:rPr>
        <w:t xml:space="preserve">- </w:t>
      </w:r>
      <w:r>
        <w:rPr>
          <w:rtl w:val="true"/>
        </w:rPr>
        <w:t>في الأُصول المثبتة</w:t>
      </w:r>
      <w:bookmarkEnd w:id="409"/>
    </w:p>
    <w:p>
      <w:pPr>
        <w:pStyle w:val="Heading6"/>
        <w:numPr>
          <w:ilvl w:val="5"/>
          <w:numId w:val="1"/>
        </w:numPr>
        <w:rPr/>
      </w:pPr>
      <w:bookmarkStart w:id="410" w:name="__RefHeading___Toc7507164_3381743652"/>
      <w:bookmarkStart w:id="411" w:name="_Toc152"/>
      <w:bookmarkEnd w:id="410"/>
      <w:r>
        <w:rPr>
          <w:rtl w:val="true"/>
        </w:rPr>
        <w:t>اشارة</w:t>
      </w:r>
      <w:bookmarkEnd w:id="411"/>
    </w:p>
    <w:p>
      <w:pPr>
        <w:pStyle w:val="BookText"/>
        <w:rPr/>
      </w:pPr>
      <w:r>
        <w:rPr>
          <w:rFonts w:ascii="Amiri" w:hAnsi="Amiri" w:eastAsia="Amiri" w:cs="Amiri"/>
          <w:color w:val="111111"/>
          <w:sz w:val="28"/>
          <w:sz w:val="28"/>
          <w:szCs w:val="28"/>
          <w:rtl w:val="true"/>
          <w:lang w:bidi="ar-SA"/>
        </w:rPr>
        <w:t xml:space="preserve">قد اشتهر على لسان المتأخرين عدم حجية الأصل المثبت، وحجية مثبات الأمارة، والمسألة من المسائل المعنونة في عصر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بعده بقليل، و نجد في ثنايا أجزاء الجواهر</w:t>
      </w:r>
      <w:r>
        <w:rPr>
          <w:rStyle w:val="FootnoteAnchor"/>
          <w:rtl w:val="true"/>
        </w:rPr>
        <w:footnoteReference w:id="125"/>
      </w:r>
      <w:r>
        <w:rPr>
          <w:rFonts w:ascii="Amiri" w:hAnsi="Amiri" w:eastAsia="Amiri" w:cs="Amiri"/>
          <w:color w:val="111111"/>
          <w:sz w:val="28"/>
          <w:sz w:val="28"/>
          <w:szCs w:val="28"/>
          <w:rtl w:val="true"/>
          <w:lang w:bidi="ar-SA"/>
        </w:rPr>
        <w:t>إشارات إلى تلك المسألة، و ما ربما يتوهم كونها من مبتكرات الشيخ الأعظم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الشيخ ينقل أنّه اشتهر على ألسنة أهل العصر نفي الأُصول المثبتة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وتحقيق هذه المسألة يستدعي الكلام في مقامات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الأصل المثبت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عدم حجّية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الاستثناء في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مثبتات الأمارات دون الأُصول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التطبيقات</w:t>
      </w:r>
      <w:r>
        <w:rPr>
          <w:rFonts w:eastAsia="Amiri" w:cs="Amiri" w:ascii="Amiri" w:hAnsi="Amiri"/>
          <w:color w:val="111111"/>
          <w:sz w:val="28"/>
          <w:szCs w:val="28"/>
          <w:rtl w:val="true"/>
          <w:lang w:bidi="ar-SA"/>
        </w:rPr>
        <w:t xml:space="preserve">. </w:t>
      </w:r>
      <w:bookmarkStart w:id="412" w:name="pg14367_157174"/>
    </w:p>
    <w:p>
      <w:pPr>
        <w:pStyle w:val="Heading6"/>
        <w:numPr>
          <w:ilvl w:val="5"/>
          <w:numId w:val="1"/>
        </w:numPr>
        <w:rPr/>
      </w:pPr>
      <w:bookmarkStart w:id="413" w:name="__RefHeading___Toc7507166_3381743652"/>
      <w:bookmarkStart w:id="414" w:name="_Toc153"/>
      <w:bookmarkEnd w:id="412"/>
      <w:bookmarkEnd w:id="413"/>
      <w:r>
        <w:rPr>
          <w:rtl w:val="true"/>
        </w:rPr>
        <w:t>المقام الأوّل</w:t>
      </w:r>
      <w:r>
        <w:rPr>
          <w:rtl w:val="true"/>
        </w:rPr>
        <w:t xml:space="preserve">: </w:t>
      </w:r>
      <w:r>
        <w:rPr>
          <w:rtl w:val="true"/>
        </w:rPr>
        <w:t>تعريف الأصل المثبت</w:t>
      </w:r>
      <w:bookmarkEnd w:id="414"/>
    </w:p>
    <w:p>
      <w:pPr>
        <w:pStyle w:val="BookText"/>
        <w:rPr/>
      </w:pPr>
      <w:r>
        <w:rPr>
          <w:rFonts w:ascii="Amiri" w:hAnsi="Amiri" w:eastAsia="Amiri" w:cs="Amiri"/>
          <w:color w:val="111111"/>
          <w:sz w:val="28"/>
          <w:sz w:val="28"/>
          <w:szCs w:val="28"/>
          <w:rtl w:val="true"/>
          <w:lang w:bidi="ar-SA"/>
        </w:rPr>
        <w:t>عرّف الشيخ الأعظم الأصل المثبت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إثبات أمر في الخارج حتى يترتّب عليه حكمه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الخارج عن صميم المستصحب، إمّا أن يكون من لوازمه، أومن ملازماته، أو ملزوماً له، كاستصحاب الحياة وإثبات نبات لحية زيد الذي هو لازمه، أو إثبات ضربان القلب الذي هو ملازم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واستصحاب بقاء الدخان لإثبات ملزومه وهو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ما يعد مترتباً على المستصحب بحكم العقل والعادة دون حكم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نفس اللازم أو الملازم مصبّاً للاستصحاب كما إذا كان ملتحياً وشككنا في بقائه في هذه الحالة، يصحّ استصحاب كونه كذلك، لترتيب الأثر الشرعي كالتصدق على الفقير إذا نذر</w:t>
      </w:r>
      <w:r>
        <w:rPr>
          <w:rFonts w:eastAsia="Amiri" w:cs="Amiri" w:ascii="Amiri" w:hAnsi="Amiri"/>
          <w:color w:val="111111"/>
          <w:sz w:val="28"/>
          <w:szCs w:val="28"/>
          <w:rtl w:val="true"/>
          <w:lang w:bidi="ar-SA"/>
        </w:rPr>
        <w:t>.</w:t>
      </w:r>
    </w:p>
    <w:p>
      <w:pPr>
        <w:pStyle w:val="Heading6"/>
        <w:numPr>
          <w:ilvl w:val="5"/>
          <w:numId w:val="1"/>
        </w:numPr>
        <w:rPr/>
      </w:pPr>
      <w:bookmarkStart w:id="415" w:name="__RefHeading___Toc7507168_3381743652"/>
      <w:bookmarkStart w:id="416" w:name="_Toc154"/>
      <w:bookmarkEnd w:id="415"/>
      <w:r>
        <w:rPr>
          <w:rtl w:val="true"/>
        </w:rPr>
        <w:t>المقام الثاني</w:t>
      </w:r>
      <w:r>
        <w:rPr>
          <w:rtl w:val="true"/>
        </w:rPr>
        <w:t xml:space="preserve">: </w:t>
      </w:r>
      <w:r>
        <w:rPr>
          <w:rtl w:val="true"/>
        </w:rPr>
        <w:t>الدليل على عدم حجّية الأُصول المثبتة</w:t>
      </w:r>
      <w:bookmarkEnd w:id="416"/>
    </w:p>
    <w:p>
      <w:pPr>
        <w:pStyle w:val="BookText"/>
        <w:rPr/>
      </w:pPr>
      <w:r>
        <w:rPr>
          <w:rFonts w:ascii="Amiri" w:hAnsi="Amiri" w:eastAsia="Amiri" w:cs="Amiri"/>
          <w:color w:val="111111"/>
          <w:sz w:val="28"/>
          <w:sz w:val="28"/>
          <w:szCs w:val="28"/>
          <w:rtl w:val="true"/>
          <w:lang w:bidi="ar-SA"/>
        </w:rPr>
        <w:t>إنّ القول بحجّية الأصل المثبت وعدمها متفرّع على تحديد مفاد أخبار الاستصحاب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المقام إثباتي مبنيّ على تحديد دلالة الروايات بعد الفراغ عن إمكانه ثبوتاً، إذ لا مانع للشارع أن يعبِّدنا باستصحاب الحياة على كلا الأمرين، نبات اللحية ووجوب الصدقة، غير انّ الظاهر من الشيخ انّ البحث ثبوتي وانّ التعبّد على النحو الذي ذكرناه أمر غير 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كلّ تقدير فقد استدل على عدم الحجيّة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الشيخ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عدم نقض اليقين والمضيّ عليه هو ترتيب آثار اليقين السابق الثابتة بواسطته للمتيقن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ترتيب تلك الآثار من جانب الشارع لا يُعقل إلّافي الآثار الشرعية المجعولة من الشارع لذلك الشيء لأنّها القابلة للجعل، دون غيرها من الآثار العقلية والعادية، فالمعقول من حكم الشارع بحياة زيد، ترتيب آثار الحياة في زمان الشك، هو حكمه بحرمة تزويج زوجته والتصرّف في ماله، لا حكمه بنموّه ونبات لحيته، لأنّ هذه غير قابلة لجعل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نفس النمو و نبات اللحية مورداً للاستصحاب أو غيره من التنزيلات الشرعية أفاد ذلك جعلَ آثارهما الشرعية دون العقلية والعادية، لكن المفروض ورود الحياة مورداً 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إبقاء المتيقن في حالة الشكّ جعل الأثر له في تلك الحالة وهناك آثار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المترتب عليها بلا واسطة كحرمة التصرّف في مال المستصحب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العقلي أو العادي المترتب عليه بلا واسطة كنموِّه ونبات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الشرعي المترتب على الأثرين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العقلي والعادي كالتصدّق إذا نذر دفع شيء للفقير، في صورة نبات اللحية</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فالأوّل يترتّب بلا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لا يترتب، لأنّه أمر تكويني غير قابل للجعل الاعتباري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وإن كان قابلاً للجعل لكنّه ليس أثراً للمتيقن بل أثر الواسطة، والمفروض أنّ الواسطة غير قابلة للجعل ولم تقع مورداً للتنزيل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 وجود الاستحالة في عالم الثبوت بالتقرير الذي عرفت، ولكن الظاهر بل المتيقّن إمكان التعبّد بالأصل المثبت ثبوتاً، وإنّما الكلام في دلالة الأخبار عليها، وذلك لأنّ تنزيل المشكوك منزلة المتيقّن يتصوّر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المشكوك منزلة المتيقّن بما له من أثر شرعي مترتب عليه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تنزيله منزلة المتيقّن في مطلق الأثر وطبيعته، سواء ترتب عليه بلا واسطة أو مع واسطة الأثر العادي أو العقلي، وهذا من الإمكان بمكان، وعلى ذلك فنجب الدقة في كلام الشيخ وتعيين وجه المغالطة فيه، وبذلك يعلم أنّ البحث إثباتي لا ثبوتي، ولعلّه إلى ما ذكرنا يشير المحقّق الخراساني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الاستصحاب هل هو تنزيل المستصحب بلحاظ خصوص ما له من الأثر بلا واسطة، أو بلحاظ مطلق الأثر ولو بالواسطة؟</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الخراساني</w:t>
      </w:r>
      <w:r>
        <w:rPr>
          <w:rStyle w:val="FootnoteAnchor"/>
          <w:rtl w:val="true"/>
        </w:rPr>
        <w:footnoteReference w:id="128"/>
      </w:r>
      <w:r>
        <w:rPr>
          <w:rFonts w:ascii="Amiri" w:hAnsi="Amiri" w:eastAsia="Amiri" w:cs="Amiri"/>
          <w:color w:val="111111"/>
          <w:sz w:val="28"/>
          <w:sz w:val="28"/>
          <w:szCs w:val="28"/>
          <w:rtl w:val="true"/>
          <w:lang w:bidi="ar-SA"/>
        </w:rPr>
        <w:t>من أنّ القدر المتيقن هو التعبّد بما كان على يقين منه فشك بلحاظ ما لنفسه بلا واسطة من الآثار الشرعية، قال قدس سره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الأخبار إنّما تدل على التعبد بما كان على يقين منه فشكّبلحاظ ما لنفسه من آثاره وأحكامه، ولا دلالة لها بوجه على تنزيله بلوازمه التي لا تكون كذلك، ولا </w:t>
      </w:r>
    </w:p>
    <w:p>
      <w:pPr>
        <w:pStyle w:val="BookText"/>
        <w:rPr/>
      </w:pPr>
      <w:r>
        <w:rPr>
          <w:rFonts w:ascii="Amiri" w:hAnsi="Amiri" w:eastAsia="Amiri" w:cs="Amiri"/>
          <w:color w:val="111111"/>
          <w:sz w:val="28"/>
          <w:sz w:val="28"/>
          <w:szCs w:val="28"/>
          <w:rtl w:val="true"/>
          <w:lang w:bidi="ar-SA"/>
        </w:rPr>
        <w:t>على تنزيله بلحاظ ما له من الأثر الشرعي مطلقاً ولو بالواسطة، فانّ المتيقّن هو لحاظ آثار نفسه، وأمّا آثار لوازمه، فلا دلالة هناك على لحاظها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مثبتات الأمارة فلأنّها تحكي عن الواقع وتشير إليه، وعليه فهي تحكي عن أطرافه من ملزومه ولوازمه وملازماته، ولذلك كان مقتضى إطلاق دليل اعتبارها، لزوم تصديقها في حكايتها وحجّية مثبتاتها، وهذا بخلاف الاستصحاب إذ لا دلالة له إلّاعلى التعبّد بثبوت المشكوك بلحاظ أثره</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كلامه ربّما يشير إلى ما سنذكره من الوجه الرابع، غير أنّ ذيل كلامه صريح في أنّه اعتمد في عدم حجّية الأُصول المثبتة على عدم الإطلاق في أحاديث الباب، وذلك لوجود المتيقّن في المقام، و هو ترتيب آثار نفس المستصحب لا آثار لوازمه العادية والعقلية ولا آثارهما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إنّما يزاحم الإطلاق إذا كان موجوداً في مقام التخاطب، فيكون كالقرينة المتصلة مانعة عن انعقاد الإطلاق ويصحّ للمتكلّم أن يعتمد عليه في عدم سعة موضوع الحكم، لا القدر المتيقن الخارج عن مقام التخاطب، إذ لو كان ذلك لبطل التمسك بالإطلاق إذ ما من مطلق إلّاو فيه قدر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إثبات وجود القدر المتيقن في مقام التخاطب مشكل جداً، لأنّ تقسيم الأثر إلى المترتب على المستصحب والمترتب على لازمه العقلي تقسيم حادث ظهر عصر المحقّق البهبهانى أو بعده بقليل، وأين هذا من عصر صدور الروايات التي لم يكن فيه أثر لهذا التقسيم؟ إلّاأن يقال انّه يكفي في كونه قدراً متيقناً عدم انتقال زرارة إلّاإلى المترتب على نفس المستصحب</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شيخ مشايخنا العلاّمة الحائري وحاصله انصراف </w:t>
      </w:r>
    </w:p>
    <w:p>
      <w:pPr>
        <w:pStyle w:val="BookText"/>
        <w:rPr/>
      </w:pPr>
      <w:r>
        <w:rPr>
          <w:rFonts w:ascii="Amiri" w:hAnsi="Amiri" w:eastAsia="Amiri" w:cs="Amiri"/>
          <w:color w:val="111111"/>
          <w:sz w:val="28"/>
          <w:sz w:val="28"/>
          <w:szCs w:val="28"/>
          <w:rtl w:val="true"/>
          <w:lang w:bidi="ar-SA"/>
        </w:rPr>
        <w:t>أخبار الباب إلى الآثار الشرعية المترتبة على المستصحب بلا واسطة، لأنّ الإبقاء العملي ينصرف إلى ترتيب ما يقتضي ذلك بلا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قريب ممّا ذكره المحقّق الخراساني، وإثبات الانصراف مشكل كإثبات القدر المتيقّن، لأنّ سبب الانصراف إمّا كثرة الوجود، أوكثرة الاستعمال، والثاني منتف إذ لم يستعمل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الإمام كثيراً في الأثر المترتب على نفس المستصحب، كما أنّ الأوّل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استفادته من صدر كلام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الأخبار هو إبقاء ما تعلّق به اليقين بماله من الأثر الشرعي لا ما لم يتعلّق به اليقين وإن كان ربما يترتب عليه الأثر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موضوعين تعلّق بأحدهما اليقين دون الموضوع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الحياة تعلّق به اليقين فيجب إبقاؤه لأجل أثره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نبات اللحية، فلم يتعلّق به اليقين حتى يبقى لأجل أثره الشرعي وهو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التعبد ببقاء الحياة تعبّد ببقاء أثره الشرعي وهو حرمة تقسيم أمواله، وتعبد بنبات لحيته بلحاظ أثره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فإذا كان كذلك يترتب عليه وجوب الصدقة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إنّما يحكم ببقاء الحياة بما هو شارع أو مبيّن للشرع، و من المعلوم أنّ مناسبة الموضوع و الحكم هو إبقاء الحياة لغاية أثره الشرعي لا التكويني، فلا يكون التعبّد بالحياة دليلاً بالتعبد بنبات اللحية الذي هو خارج عن إطار تعبد الشارع</w:t>
      </w:r>
      <w:r>
        <w:rPr>
          <w:rFonts w:eastAsia="Amiri" w:cs="Amiri" w:ascii="Amiri" w:hAnsi="Amiri"/>
          <w:color w:val="111111"/>
          <w:sz w:val="28"/>
          <w:szCs w:val="28"/>
          <w:rtl w:val="true"/>
          <w:lang w:bidi="ar-SA"/>
        </w:rPr>
        <w:t xml:space="preserve">. </w:t>
      </w:r>
      <w:bookmarkStart w:id="417" w:name="pg14367_157179"/>
    </w:p>
    <w:p>
      <w:pPr>
        <w:pStyle w:val="BookText"/>
        <w:rPr/>
      </w:pPr>
      <w:bookmarkEnd w:id="417"/>
      <w:r>
        <w:rPr>
          <w:rFonts w:ascii="Amiri" w:hAnsi="Amiri" w:eastAsia="Amiri" w:cs="Amiri"/>
          <w:color w:val="111111"/>
          <w:sz w:val="28"/>
          <w:sz w:val="28"/>
          <w:szCs w:val="28"/>
          <w:rtl w:val="true"/>
          <w:lang w:bidi="ar-SA"/>
        </w:rPr>
        <w:t>و من جانب آخر انّه موضوع لم يتعلّق به اليقين فلا يكون الاستصحاب دليلاً على إبقائه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بنبات اللحية يتحقّق من خلال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به اليقين وراء تعلّقه بالحياة، و هو مفروض الانتفاء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التعبد ببقاء الحياة ملازماً للتعبد بنبات اللحية، وقد عرفت انّ الملازمة غير ثابتة، لأنّ الشارع يأمرنا بإبقاء اليقين بالحياة بما هو شارع، و في إطار الشرع، وهذا يقتضي أن يترتب على التعبد بالحياة أثره الشرعي لا أثره التكويني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نختار الشق الثاني، وهو انّ التعبد بنبات اللحية إنّما يتحقّق من خلال التعبد ببقاء الحياة وكونه أمراً تكوينياً لا شرعياً انّما يمنع عن الالتزام به إذا لم يترتب على التعبد به أثر شرعي حتى يكون الالتزام به أمراً لغواً، وأمّا إذا ترتب عليه أثر شرعي كالتصدق فلا مانع من التعبد بالحياة والالتزام بنبات اللحية لغاية أثره الشرعي، إذ يكون التعبد عندئذٍ أمراً غير لغو لغاية ترتّب الأثر ولو بالواسطة</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7507170_3381743652"/>
      <w:bookmarkStart w:id="419" w:name="_Toc155"/>
      <w:bookmarkEnd w:id="418"/>
      <w:r>
        <w:rPr>
          <w:rtl w:val="true"/>
        </w:rPr>
        <w:t>الوجه الخامس</w:t>
      </w:r>
      <w:bookmarkEnd w:id="41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دور الاستصحاب في مورد الأحكام غير دوره في الموضوعات، إذ يكفي في استصحاب الأُولى كون المستصحب نفسَ الحكم الشرعي، وأمّا الثانية، فلا يصحّ التعبد ببقاء الموضوع إلّاإذا ترتب عليه أثر شرعي مستفاد من دليل اجتهادي، على وجه يكون المستصحب صغرى له ويكون دور الاستصحاب بالنسبة إليه، دور إحراز الصغرى للكبرى الكلية، وعلى ضوء هذا، لا يصحّ التعبد ببقاء موضوع إلّاأن يكون معه دليل شرعي يتخذ المستصحب موضوعاً لنفسه </w:t>
      </w:r>
    </w:p>
    <w:p>
      <w:pPr>
        <w:pStyle w:val="BookText"/>
        <w:rPr/>
      </w:pPr>
      <w:r>
        <w:rPr>
          <w:rFonts w:ascii="Amiri" w:hAnsi="Amiri" w:eastAsia="Amiri" w:cs="Amiri"/>
          <w:color w:val="111111"/>
          <w:sz w:val="28"/>
          <w:sz w:val="28"/>
          <w:szCs w:val="28"/>
          <w:rtl w:val="true"/>
          <w:lang w:bidi="ar-SA"/>
        </w:rPr>
        <w:t>ويترتب عليه الأثر، ولو فقد هذا الشرط لكان استصحاب الموضوع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استصحاب طهارة الماء الموجود في الإناء فإنّما هو لأجل وجود كبريات شرعية تتخذ طهارة الماءالمحرزة صغرى لنفسها ويُستنتج منها حكم شرعي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ماء طاهر؛ و كلّ ماء طاهر يجوز شربه، بيعه، شراؤه، وبه يطهر النجس، إلى غير ذلك فتستنتج من ضمّ الكبريات إلى الصغرى المحرزة بالاستصحاب، الأحكام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يجوز شربه، بيعه، وشراؤه، ويطهَّر النجس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مورد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الآثار الشرعية دون العقلية والعادية، وذلك لوجود الكبرى الشرعية في الأُولى، دون الثانية والثالثة، فلو أحرزت حياة زيد بالاستصحاب وحكم عليه بكونه حيّاً تترتب عليه، حرمة تقسيم أمواله، وتزويج زوجته، ويرث أباه لو مات، وذلك للضابطة الكلية الواردة في الشريعة في ذلك المجال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الإنسان الحيّ، يملك ماله، ولا تقسم أمواله بين ذريته ولا تزوج زوجته ويرث أباه أو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الآثار العقلية والعادية إذ ليس هناك ضابطة شرعية حتى يكون المستصحب المحرز موضوعاً لها، إذ لم يدل دليل على أنّه إذا كان الإنسان ابن عشرين سنة، فقلبه ينبض أو لحيته نابتة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يتضح عدم حجّية الأُصول المثبتة، وذلك لفقدان الشرط اللازم في جريان الاستصحاب في الموضوعات</w:t>
      </w:r>
      <w:r>
        <w:rPr>
          <w:rFonts w:eastAsia="Amiri" w:cs="Amiri" w:ascii="Amiri" w:hAnsi="Amiri"/>
          <w:color w:val="111111"/>
          <w:sz w:val="28"/>
          <w:szCs w:val="28"/>
          <w:rtl w:val="true"/>
          <w:lang w:bidi="ar-SA"/>
        </w:rPr>
        <w:t xml:space="preserve">. </w:t>
      </w:r>
      <w:bookmarkStart w:id="420" w:name="pg14367_157181"/>
    </w:p>
    <w:p>
      <w:pPr>
        <w:pStyle w:val="BookText"/>
        <w:rPr/>
      </w:pPr>
      <w:bookmarkEnd w:id="420"/>
      <w:r>
        <w:rPr>
          <w:rFonts w:ascii="Amiri" w:hAnsi="Amiri" w:eastAsia="Amiri" w:cs="Amiri"/>
          <w:color w:val="111111"/>
          <w:sz w:val="28"/>
          <w:sz w:val="28"/>
          <w:szCs w:val="28"/>
          <w:rtl w:val="true"/>
          <w:lang w:bidi="ar-SA"/>
        </w:rPr>
        <w:t>ولعلّ القوم زعموا انّ الاستصحاب بنفسه كاف في ترتب الأثر الشرعي، فحاولوا إبداء الفرق بينه و بين غيره بالوجوه التي عرفت ضعفها، و أمّا على ما قلنا من أنّ دور الاستصحاب إحراز الموضوع فقط، وأمّا ترتّب الأثر فهو رهن الدليل الاجتهادي الذي يكون المستصحب المحرز موضوعاً، فيظهر الفرق بين الأثر الشرعي وغيره</w:t>
      </w:r>
    </w:p>
    <w:p>
      <w:pPr>
        <w:pStyle w:val="BookText"/>
        <w:rPr/>
      </w:pPr>
      <w:r>
        <w:rPr>
          <w:rFonts w:ascii="Amiri" w:hAnsi="Amiri" w:eastAsia="Amiri" w:cs="Amiri"/>
          <w:color w:val="111111"/>
          <w:sz w:val="28"/>
          <w:sz w:val="28"/>
          <w:szCs w:val="28"/>
          <w:rtl w:val="true"/>
          <w:lang w:bidi="ar-SA"/>
        </w:rPr>
        <w:t>وبذلك يظهر أنّه إذا كان الأثر الأوّل موضوعاً لدليل اجتهادي ثان يترتب عليه أثر ذلك الدليل أيضاً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عدالة زيد مستصحبة، وشهد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شاهد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برؤية هلال رمضان قبل ثلاثين يوماً يكون المستصحب صغرى لكبرى شرعية،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شهد عند الإمام شاهدان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رأيا الهلال منذ ثلاثين، أمر الإمام بإفطار ذلك اليوم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فتكون النتيجة كون اليوم يوم الفطر، فيترتب عليه شرعية صلاة العيدين لقوله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العيدين فريضة</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أو لزوم دفع الفطرة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إعطاء الفطرة قبل الصلاة أفضل</w:t>
      </w:r>
      <w:r>
        <w:rPr>
          <w:rFonts w:eastAsia="Amiri" w:cs="Amiri" w:ascii="Amiri" w:hAnsi="Amiri"/>
          <w:color w:val="111111"/>
          <w:sz w:val="28"/>
          <w:szCs w:val="28"/>
          <w:rtl w:val="true"/>
          <w:lang w:bidi="ar-SA"/>
        </w:rPr>
        <w:t>».</w:t>
      </w:r>
      <w:r>
        <w:rPr>
          <w:rStyle w:val="FootnoteAnchor"/>
          <w:rtl w:val="true"/>
        </w:rPr>
        <w:footnoteReference w:id="132"/>
      </w:r>
    </w:p>
    <w:p>
      <w:pPr>
        <w:pStyle w:val="Heading6"/>
        <w:numPr>
          <w:ilvl w:val="5"/>
          <w:numId w:val="1"/>
        </w:numPr>
        <w:rPr/>
      </w:pPr>
      <w:bookmarkStart w:id="421" w:name="__RefHeading___Toc7507172_3381743652"/>
      <w:bookmarkStart w:id="422" w:name="_Toc156"/>
      <w:bookmarkEnd w:id="421"/>
      <w:r>
        <w:rPr>
          <w:rtl w:val="true"/>
        </w:rPr>
        <w:t>المقام الثالث</w:t>
      </w:r>
      <w:r>
        <w:rPr>
          <w:rtl w:val="true"/>
        </w:rPr>
        <w:t xml:space="preserve">: </w:t>
      </w:r>
      <w:r>
        <w:rPr>
          <w:rtl w:val="true"/>
        </w:rPr>
        <w:t>الفرق بين الأُصول و الأمارات</w:t>
      </w:r>
      <w:bookmarkEnd w:id="422"/>
    </w:p>
    <w:p>
      <w:pPr>
        <w:pStyle w:val="BookText"/>
        <w:rPr/>
      </w:pPr>
      <w:r>
        <w:rPr>
          <w:rFonts w:ascii="Amiri" w:hAnsi="Amiri" w:eastAsia="Amiri" w:cs="Amiri"/>
          <w:color w:val="111111"/>
          <w:sz w:val="28"/>
          <w:sz w:val="28"/>
          <w:szCs w:val="28"/>
          <w:rtl w:val="true"/>
          <w:lang w:bidi="ar-SA"/>
        </w:rPr>
        <w:t>ذهب المشهور إلى أنّ مثبتات الأمارات حجّة دون الأُصول، ووقع الكلام في وجه الفرق، نشير إليه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الأمارة كما تحكي عن المؤدى </w:t>
      </w:r>
    </w:p>
    <w:p>
      <w:pPr>
        <w:pStyle w:val="BookText"/>
        <w:rPr/>
      </w:pPr>
      <w:r>
        <w:rPr>
          <w:rFonts w:ascii="Amiri" w:hAnsi="Amiri" w:eastAsia="Amiri" w:cs="Amiri"/>
          <w:color w:val="111111"/>
          <w:sz w:val="28"/>
          <w:sz w:val="28"/>
          <w:szCs w:val="28"/>
          <w:rtl w:val="true"/>
          <w:lang w:bidi="ar-SA"/>
        </w:rPr>
        <w:t>و تشير إليه كذلك تحكي عن ملزومها ولازمها وملازمها، وعلى ذلك كان مقتضى إطلاق أدلّة اعتبار الأمارة تصديقها في جميع حكاياتها وقضيته حجّية الأصل المثبت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لها حكاية باعتبار الدلالة المطابقية، كما أنّ لها حكاية حسب الدلالة التضمنية و الالتزامية، ولازم حجّية الأمارة الأخذ بجميع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حكاية الأمارة عبارة عن حكاية المخبر، ولكنّه ربما يكون غافلاً عن الدلالة التضمنية والالتزامية، وقد عرفت في الجزء الأوّل أنّ الدلالة التصديقية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نسبة الحكاية إلى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إرادته و التفاته، والمفروض انّه ربما يكون غافلاً عن الدلالتين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كلام آخر وهو انّه إذا قامت البينة على موضوع كان شرب زيد سمّاً، ربما يحصل للمخاطب الاطمئنان بألوازم المؤدّى ككونه مقتولاً بالسم، ولكنّه لا صلة له بحجّية مثبتات الأمارة وإنّما هو لأجل حجّية الاطمئنان الذي هو علم عرفي يؤخذ به من أي‌مصدر حصل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المحقّق النائيني وأساسه ما اختاره في معنى حجّية الخبر الواحد من أنّها بمعنى جعل وصف المحرزية والكاشفية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الأمارة إنّما تكون محرزة للمؤدّى وكاشفة عنه كشفاً ناقصاً، والشارع بأدلّة اعتبارها قد أكمل جهة نقصها فصارت الأمارة ببركة اعتبارها كاشفة و محرزة كالعلم، وبعد انكشاف المؤدّى يترتب عليه جميع ما للمؤدّى من الخواص والآثار على قواعد سلسلة العلل و المعلولات و اللوازم و الملزومات كما هو الحال إذا أحرز </w:t>
      </w:r>
    </w:p>
    <w:p>
      <w:pPr>
        <w:pStyle w:val="BookText"/>
        <w:rPr/>
      </w:pPr>
      <w:r>
        <w:rPr>
          <w:rFonts w:ascii="Amiri" w:hAnsi="Amiri" w:eastAsia="Amiri" w:cs="Amiri"/>
          <w:color w:val="111111"/>
          <w:sz w:val="28"/>
          <w:sz w:val="28"/>
          <w:szCs w:val="28"/>
          <w:rtl w:val="true"/>
          <w:lang w:bidi="ar-SA"/>
        </w:rPr>
        <w:t>الملازم بالعلم الوجداني</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المحرزية والكاشفية والطريقية من الأُمور التكوينية التي لا تقبل الإنشاء والجعل وإنّما القابل له هو الأُمور الاعتبارية كالملكية والزوجية والسببية، وعلى ذلك فما أُدُعي انّه المجعول أمر غير قابل للجعل، كجعل المعدنية والحجرية لما ليس معدن وحجر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وجود لسان في مقام الحجية وليس في باب الأمارات دليل يتكفّل على جعل الحجّية، وإنّما الموجود هو إمضاء ما بيد العقلاء إمضاءً عملياً أو قولياً، وأين هو من جعل المحرزية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جعلهما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قبولهما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يتصوّر فيما إذا كان الجاعل مؤسساً في الجعل لا تابعاً ممضياً لما في يد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أورد المحقّق الخوئي إشكالين على أُستاذه، ذكرناهما في المحصول مع الدفاع عنهما، فلاحظ</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يستفاد من كلام سيدنا الأُستاذ قدس سره،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بأيدينا من الأمارات كلّها أمارات عقلائية أمضاها الشارع لمصالح في العمل بها، ومن المعلوم أنّ عملهم بها ليس أمراً تعبدياً لأجل رفع التحيّر، بل لأجل كونها طرقاً إلى الواقع، فإذا كان كذلك فكما يثبت بالأمارة نفس الشيء، يثبت لازمه وملزومه وملازمه، ولا معنى للتبعيض في الطريقية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العلم بالشيء يلازم العلم بالأُمور الثلاثة، فهكذا الوثوق به يوجب الوثوق بها</w:t>
      </w:r>
      <w:r>
        <w:rPr>
          <w:rFonts w:eastAsia="Amiri" w:cs="Amiri" w:ascii="Amiri" w:hAnsi="Amiri"/>
          <w:color w:val="111111"/>
          <w:sz w:val="28"/>
          <w:szCs w:val="28"/>
          <w:rtl w:val="true"/>
          <w:lang w:bidi="ar-SA"/>
        </w:rPr>
        <w:t>.</w:t>
      </w:r>
      <w:r>
        <w:rPr>
          <w:rStyle w:val="FootnoteAnchor"/>
          <w:rtl w:val="true"/>
        </w:rPr>
        <w:footnoteReference w:id="136"/>
      </w:r>
      <w:bookmarkStart w:id="423" w:name="pg14367_157184"/>
    </w:p>
    <w:p>
      <w:pPr>
        <w:pStyle w:val="BookText"/>
        <w:rPr/>
      </w:pPr>
      <w:bookmarkEnd w:id="423"/>
      <w:r>
        <w:rPr>
          <w:rFonts w:ascii="Amiri" w:hAnsi="Amiri" w:eastAsia="Amiri" w:cs="Amiri"/>
          <w:color w:val="111111"/>
          <w:sz w:val="28"/>
          <w:sz w:val="28"/>
          <w:szCs w:val="28"/>
          <w:rtl w:val="true"/>
          <w:lang w:bidi="ar-SA"/>
        </w:rPr>
        <w:t>والفرق بين هذا البيان و البيانين المتقدمين، هو انّ المحقّق الخراساني اعتمد على حكاية الأمارة عن الموضوع ولوازمه، كما أنّ المحقق النائيني اعتمد على لسان حجية الأمارة وانّه عبارة عن إفاضة الطريقية وجعل الكاشفية، وقد عرفت إشكال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هذا البيان فهويعتمد على أنّ الأمارة مفيدة للوثوق والاطمئنان، والمراد من الوثوق هو النوعي لا الشخصي، والوثوق بالشيء موجب للوثوق بلوازمه وانّ عمل العقلاء لأجل هذا الملاك و انّ الشارع أمضى العمل بالأمارة لأجله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البيان لا غبار عليه، وبذلك يتبيّن الفرق بين الأمارة و العمل بالأصل، فانّ الاولى طريق إلى الواقع في ظرف الشك رافع له، بخلاف الأصل فانّه حجّة في ظرف الشك مع التحفظ عليه كما هو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فيأمر بعدم نقض اليقين مع حفظ الشكّ</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7507174_3381743652"/>
      <w:bookmarkStart w:id="425" w:name="_Toc157"/>
      <w:bookmarkEnd w:id="424"/>
      <w:r>
        <w:rPr>
          <w:rtl w:val="true"/>
        </w:rPr>
        <w:t>المقام الرابع</w:t>
      </w:r>
      <w:r>
        <w:rPr>
          <w:rtl w:val="true"/>
        </w:rPr>
        <w:t xml:space="preserve">: </w:t>
      </w:r>
      <w:r>
        <w:rPr>
          <w:rtl w:val="true"/>
        </w:rPr>
        <w:t>مستثنيات الأُصول المثبتة</w:t>
      </w:r>
      <w:bookmarkEnd w:id="425"/>
    </w:p>
    <w:p>
      <w:pPr>
        <w:pStyle w:val="BookText"/>
        <w:rPr/>
      </w:pPr>
      <w:r>
        <w:rPr>
          <w:rFonts w:ascii="Amiri" w:hAnsi="Amiri" w:eastAsia="Amiri" w:cs="Amiri"/>
          <w:color w:val="111111"/>
          <w:sz w:val="28"/>
          <w:sz w:val="28"/>
          <w:szCs w:val="28"/>
          <w:rtl w:val="true"/>
          <w:lang w:bidi="ar-SA"/>
        </w:rPr>
        <w:t>قد استثني من عدم حجّية الأُصول المثبتة موردان</w:t>
      </w:r>
      <w:r>
        <w:rPr>
          <w:rFonts w:eastAsia="Amiri" w:cs="Amiri" w:ascii="Amiri" w:hAnsi="Amiri"/>
          <w:color w:val="111111"/>
          <w:sz w:val="28"/>
          <w:szCs w:val="28"/>
          <w:rtl w:val="true"/>
          <w:lang w:bidi="ar-SA"/>
        </w:rPr>
        <w:t>:</w:t>
      </w:r>
    </w:p>
    <w:p>
      <w:pPr>
        <w:pStyle w:val="Heading6"/>
        <w:numPr>
          <w:ilvl w:val="5"/>
          <w:numId w:val="1"/>
        </w:numPr>
        <w:rPr/>
      </w:pPr>
      <w:bookmarkStart w:id="426" w:name="__RefHeading___Toc7507176_3381743652"/>
      <w:bookmarkStart w:id="427" w:name="_Toc158"/>
      <w:bookmarkEnd w:id="426"/>
      <w:r>
        <w:rPr>
          <w:rtl w:val="true"/>
        </w:rPr>
        <w:t>الأوّل</w:t>
      </w:r>
      <w:r>
        <w:rPr>
          <w:rtl w:val="true"/>
        </w:rPr>
        <w:t xml:space="preserve">: </w:t>
      </w:r>
      <w:r>
        <w:rPr>
          <w:rtl w:val="true"/>
        </w:rPr>
        <w:t>خفاء الواسطة</w:t>
      </w:r>
      <w:bookmarkEnd w:id="42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استثنى الشيخُ الأعظم من عدم حجّية الأُصول المثبتة خفاءَ الواسطة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الموضوعات الخارجية المتوسطة بين المستصحب والحكم الشرعي، من الوسائط الخفية بحيث تعدُّ الأحكامُ الشرعية المترتبة عليها، أحكاماً لنفس المستصحب عرفاً، وهذا المعنى يختلف وضوحاً وخفاءً باختلاف مراتب خفاء الواسطة عن أنظار العرف، ثمّ ضرب المثال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استصحب رطوبة النجس من المتلاقيين مع جفاف الآخر فيُحكم بنجاسته مع أنّ نجاسته ليس من أحكام رطوبة الملاقى المستصحبة، بل من أحكام سراية النجاسة إليه وتأثره بها، واستصحاب رطوبة النجس في الملاقى لا يثبت تأثر الثوب وتنجسه بها، وبالجملة فالمحرز بالاستصحاب هو الملاقاة بالنجس الرطب، والموضوع للتنجيس سراية النجس، والملازمة بين الملاقاة والسراية تكويناً، صار سبباً لخفاء الواسطة و الانتقال من الملاقاة إلى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مرّمن أنّ دور الاستصحاب، دور إحراز الموضوع وإثبات الصغرى للكبرى الشرعية، فلولا الكبرى الكلية لما ترتب على إحراز الصغرى أثر شرعي، وعلى ذلك فلو كان الموضوع في الكبرى مجرد الملاقاة مع النجس الرطب فقد أُحرز الموضوع وترتب عليه الأثر وهو نجاسة الملاقي الجاف، و أمّا ما لو كان الموضوع هو السراية والتأثر بها، فلا يحكم عليه لعدم 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لخفاء الواسطة دور في المقام، ولعلّ إلى ما ذكر يرجع ما أفاده المحقّق النائيني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استصحاب رطوبة النجس من أحد المتلاقيين مع جفاف الآخر لإثبات نجاسة الطاهر منها لا يخلو إلّامن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أن يدل الدليل على كفاية مجرّد مماسّته للنجس الرطب في ثبوت النجاسة أو يدل على أنّه لابدّ من انتقال النجاسة إلى الطاهر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المثال في باب الموضوعات المركبة المحرز بعض أجزائها بالوجدان كالملاقاة، و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النجس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بالأصل، 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الاستصحاب، لأنّ ذلك من اللوازم العقلية لبقاء الرطوبة في أحد المتلاقيين فالواسطة جليّة ويكون من أردأ أنحاء الأصل المثبت</w:t>
      </w:r>
      <w:r>
        <w:rPr>
          <w:rFonts w:eastAsia="Amiri" w:cs="Amiri" w:ascii="Amiri" w:hAnsi="Amiri"/>
          <w:color w:val="111111"/>
          <w:sz w:val="28"/>
          <w:szCs w:val="28"/>
          <w:rtl w:val="true"/>
          <w:lang w:bidi="ar-SA"/>
        </w:rPr>
        <w:t>.</w:t>
      </w:r>
      <w:r>
        <w:rPr>
          <w:rStyle w:val="FootnoteAnchor"/>
          <w:rtl w:val="true"/>
        </w:rPr>
        <w:footnoteReference w:id="137"/>
      </w:r>
      <w:bookmarkStart w:id="428" w:name="pg14367_157186"/>
    </w:p>
    <w:p>
      <w:pPr>
        <w:pStyle w:val="BookText"/>
        <w:rPr/>
      </w:pPr>
      <w:bookmarkEnd w:id="428"/>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الثاني و لكن يرى العرف ما ليس مصداقاً للدليل مصداقاً له لأجل وجود الملازمة العرفية بين الملاقاة والسراية والعرف كما هو مرجع في تحديد المفاهيم فهكذا مرجع في تحديد المصاديق</w:t>
      </w:r>
      <w:r>
        <w:rPr>
          <w:rFonts w:eastAsia="Amiri" w:cs="Amiri" w:ascii="Amiri" w:hAnsi="Amiri"/>
          <w:color w:val="111111"/>
          <w:sz w:val="28"/>
          <w:szCs w:val="28"/>
          <w:rtl w:val="true"/>
          <w:lang w:bidi="ar-SA"/>
        </w:rPr>
        <w:t>.</w:t>
      </w:r>
    </w:p>
    <w:p>
      <w:pPr>
        <w:pStyle w:val="Heading6"/>
        <w:numPr>
          <w:ilvl w:val="5"/>
          <w:numId w:val="1"/>
        </w:numPr>
        <w:rPr/>
      </w:pPr>
      <w:bookmarkStart w:id="429" w:name="__RefHeading___Toc7507178_3381743652"/>
      <w:bookmarkStart w:id="430" w:name="_Toc159"/>
      <w:bookmarkEnd w:id="429"/>
      <w:r>
        <w:rPr>
          <w:rtl w:val="true"/>
        </w:rPr>
        <w:t>الثاني</w:t>
      </w:r>
      <w:r>
        <w:rPr>
          <w:rtl w:val="true"/>
        </w:rPr>
        <w:t xml:space="preserve">: </w:t>
      </w:r>
      <w:r>
        <w:rPr>
          <w:rtl w:val="true"/>
        </w:rPr>
        <w:t>وجود الملازمة العرفية</w:t>
      </w:r>
      <w:bookmarkEnd w:id="430"/>
    </w:p>
    <w:p>
      <w:pPr>
        <w:pStyle w:val="BookText"/>
        <w:rPr/>
      </w:pPr>
      <w:r>
        <w:rPr>
          <w:rFonts w:ascii="Amiri" w:hAnsi="Amiri" w:eastAsia="Amiri" w:cs="Amiri"/>
          <w:color w:val="111111"/>
          <w:sz w:val="28"/>
          <w:sz w:val="28"/>
          <w:szCs w:val="28"/>
          <w:rtl w:val="true"/>
          <w:lang w:bidi="ar-SA"/>
        </w:rPr>
        <w:t xml:space="preserve">قداستثنى المحقّق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خفاء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مورداً آخر 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ما لا يبعد ترتيب ما كان بوساطة ما لا يمكن التفكيك عرفاً بينه وبين المستصحب كما لا تفكيك بينهما واقعاً لأجل وضوح لزومه أو ملازمته معه بمثابة عدّ أثره أثراً لهما فانّ عدم ترتيب مثل هذا الأثر عليه يكون نقضاً ليقينه بالشك أيضاً حسب ما يفهم من النهي عن نقضه عرفاً</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والأوّل كاستصحاب عدم الإتيان بالفريضة الملازم عرفاً لعنوان الفوت الذي هو الموضوع في لسان الدليل، ولكن كما كان التفكيك بينهما غير ممكن يغني استصحاب العدم، من إثبات عنوان الفوت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كالأُبوة والبنوة المعلولين لعلة ثالثة، و هي تخلّق أحدهما من ماء الآخر، فانّ تنزيل أُبوة زيد لعمرو مثلاً يلازم تنزيل بنوة عمرو له، فيدلّ تنزيل أحدهما على تنزيل الآخر كما هو كذلك في المتضائفين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أبوة زيد متيقنة في فترة من الزمان، تكون بنوة عمرو أيضاً كذلك، فكلّ منهما صالح للاستصحاب من دون حاجة لاستصحاب أحدهما لاثبات ملازمه وترتيب أثره، على أنّ هذا المثال لا يقبل الشك الاستصحابي وإن كان يقبل الشك الساري فلابدّ من تمثيل آخر</w:t>
      </w:r>
      <w:r>
        <w:rPr>
          <w:rFonts w:eastAsia="Amiri" w:cs="Amiri" w:ascii="Amiri" w:hAnsi="Amiri"/>
          <w:color w:val="111111"/>
          <w:sz w:val="28"/>
          <w:szCs w:val="28"/>
          <w:rtl w:val="true"/>
          <w:lang w:bidi="ar-SA"/>
        </w:rPr>
        <w:t xml:space="preserve">. </w:t>
      </w:r>
      <w:bookmarkStart w:id="431" w:name="pg14367_157187"/>
    </w:p>
    <w:p>
      <w:pPr>
        <w:pStyle w:val="Heading6"/>
        <w:numPr>
          <w:ilvl w:val="5"/>
          <w:numId w:val="1"/>
        </w:numPr>
        <w:rPr/>
      </w:pPr>
      <w:bookmarkStart w:id="432" w:name="__RefHeading___Toc7507180_3381743652"/>
      <w:bookmarkStart w:id="433" w:name="_Toc160"/>
      <w:bookmarkEnd w:id="431"/>
      <w:bookmarkEnd w:id="432"/>
      <w:r>
        <w:rPr>
          <w:rtl w:val="true"/>
        </w:rPr>
        <w:t>المقام الخامس في التطبيقات</w:t>
      </w:r>
      <w:bookmarkEnd w:id="433"/>
    </w:p>
    <w:p>
      <w:pPr>
        <w:pStyle w:val="BookText"/>
        <w:rPr/>
      </w:pPr>
      <w:r>
        <w:rPr>
          <w:rFonts w:ascii="Amiri" w:hAnsi="Amiri" w:eastAsia="Amiri" w:cs="Amiri"/>
          <w:color w:val="111111"/>
          <w:sz w:val="28"/>
          <w:sz w:val="28"/>
          <w:szCs w:val="28"/>
          <w:rtl w:val="true"/>
          <w:lang w:bidi="ar-SA"/>
        </w:rPr>
        <w:t>أفتى الفقهاء في موارد بأحكام لا تصحّ إلّاعلى القول بالأصل المثبت، ولعلّ منشأ الإفتاء كون الاستصحاب عندهم حجّة ظنية كسائر الأمارات، والظن بالشيء ظنّ بآثاره فرتبوا عليه كلّ الآثار الشرعية وغيرها،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وجود المانع عن وصول الماء إلى البشرة حين الاغتسال، صحّ غسله، لأنّ الأصل عدم المانع والحاجب من وصوله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أُموراً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الحاجب،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ولازمه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البشرة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أي‌رفع الحدث، والثالث متفرع على لازم المستصحب لا على نفسه فرتبوا أثر اللازم على المستصحب ولذلك قلنا في محله يجب على الشاك حين الاغتسال، الفحصُ عن المانع، فهذا الأصل أي‌استصحاب عدم المانع عقيم على مذهب المشهور لأنّه مثبت، كما هو كذلك على المختار في باب الأصل الموضوعي فقد مرّ انّه لا دور له إلّاإحراز الصغرى ولا ينتج إلّا بضم الكبرى وهي مفقودة، إذ لم يدل دليل على أنّه إذا لم يكن الحاجب موجوداً، فالحدث مرتفع بل الموجود إذا غسلت البشرة بعامتها فهو مرتفع</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اتّفق الوارثان على إسلام أحدهما المعين في أوّل شعبان والآخر في غرة رمضان، ولكن اختلفا في موت المورِّث، فادّعى الأوّل انّه توفّي في منتصف شعبان حتى لا يرثه الوارث الثاني لأنّ الكافر لا يرث المسلم، وادّعى الآخر انّه توفّي في منتصف رمضان حتى يرثه، فذهب المحقّق وجماعة قبله وبعده إلى أنّهما يرثان لأصالة حياة المورث إلى غرّة رمضان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يتم إلّاعلى القول بالأصل المثبت، لأنّ موضوع الوراثة أحد الأمرين التاليين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المورّث عن وارث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الوارث في حياة مورثه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موضوع مركب لا يثبته مجرد حياة المورث إلى غرّة رمضان، وإنّما هو حصيلة علوم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إسلام الوارث في الغرّة، وهو ثابت بالوجدان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المورث إلى الغرّة، وهو ثابت بالأصل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موت المورث بعدها وهو لازم الأمرين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فباجتماع هذه الأُمور يحصل الموضوع أي‌موت المورث عن وارث مسلم فلا يكفي الاستصحاب أي‌ثاني الأُمور في تحقّق ذلك الموضوع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الموضوع الثاني، فقد قال الشيخ والمحقّق النائيني بأنّ الأصل غير مثبت، وأوضحه المحقّق النائيني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هو التوارث الناشئ من اجتماع حياة المورث وإسلام الوارث فيندرج في الموضوعات المركبة المحرز أحد جزئيهما بالوجدان، وهو إسلام الوارث في غرّة رمضان، والآخر بالأصل وهو حياة المورث إلى غرّة رمضان، فيجتمعان في الزمان، وهذا يكفي في التوارث ويلزم تنصيف المال بين الوارثين</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اجتماع الجزءين في الزمان غير كاف في تحقّق موضوع الدليل، إذ ليس الدليل كلّ من الجزئين ولو كانا متفرقين، بل الموضوع هو المركب </w:t>
      </w:r>
    </w:p>
    <w:p>
      <w:pPr>
        <w:pStyle w:val="BookText"/>
        <w:rPr/>
      </w:pP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إسلام الوارث مقروناً بحياة المورث، وهو مركب من أُمور ثلاثة وهذا ليس له حالة سابقة، والاقتران لازم الاستصحاب، وهو استصحاب حياة المورث إلى غرّة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لنا علم تكويني بالاقتران لكفى مجرد الاجتماع في الزمان في الحكم بالوراثة ولكنه لازم عقلي لبقاء حياة المورث إلى غرّة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 بخفاء الواسطة أو ظهور اللزوم مما يخرجه من عدم الحجّية إلى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الجاني انّ المجني عليه مات بمرض السِّل، وادّعى الولي انّه مات بسراية الجناية إلى اعضائه الرئيسيّة، فهناك احتمالان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الضمان لأصالة عدم 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المرجع هو عدم الضمان، وأمّا الضمان فهو فرع ثبوت الموضوع في لسان الدليل، والموضوع هو القتل في الدية والقصاص،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مُؤْمِناً خَطَأً فَتَحْرِيرُ رَقَبَةٍ مُؤْمِنَةٍ وَ دِيَةٌ مُسَلَّمَةٌ إِلى أَهْلِهِ إِلاّ أَنْ يَصَّدَّقُوا</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 وقال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قُتِلَ مَظْلُوماً فَقَدْ جَعَلْنا لِوَلِيِّهِ سُلْطاناً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ومن المعلوم انّ ذلك الموضوع البسيط، أي‌القتل لا يثبت باستصحاب عدم سبب آخر، لأنّه لازم عقلي لهذا الاستصحاب كما لا يخفى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 شيء تحت يد شخص آخر فادّعى المالك الضمان وانّه </w:t>
      </w:r>
    </w:p>
    <w:p>
      <w:pPr>
        <w:pStyle w:val="BookText"/>
        <w:rPr/>
      </w:pPr>
      <w:r>
        <w:rPr>
          <w:rFonts w:ascii="Amiri" w:hAnsi="Amiri" w:eastAsia="Amiri" w:cs="Amiri"/>
          <w:color w:val="111111"/>
          <w:sz w:val="28"/>
          <w:sz w:val="28"/>
          <w:szCs w:val="28"/>
          <w:rtl w:val="true"/>
          <w:lang w:bidi="ar-SA"/>
        </w:rPr>
        <w:t>استولى عليه بلا إذن، وادعى الآخر انّه كان أمانة تحت يده فلا ضمان، وقد استدل على الضمان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بعموم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مخصص باليد غير العادية، والتمسّك بالعام في الشبهة المصداقية للمخصّص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بقاعدة المقتضي والمانع، لأنّ اليد مقتض للضمان، والاذن مانع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الدليل على حجّية تلك القاعدة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من أنّ الموضوع للضمان مركب من اليد وعدم إذن صاحب المال، و هما عرضان لمحلين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اليد،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ولا جامع بينهما إلّاالاجتماع في الزمان فيكفي إحراز أحدهما بالأصل والآخر بالوجدان، فاليد محرزة بالوجدان، وعدم الإذن محرز بالأصل، فيتحقق موضوع الضمان</w:t>
      </w:r>
      <w:r>
        <w:rPr>
          <w:rFonts w:eastAsia="Amiri" w:cs="Amiri" w:ascii="Amiri" w:hAnsi="Amiri"/>
          <w:color w:val="111111"/>
          <w:sz w:val="28"/>
          <w:szCs w:val="28"/>
          <w:rtl w:val="true"/>
          <w:lang w:bidi="ar-SA"/>
        </w:rPr>
        <w:t>.</w:t>
      </w:r>
      <w:r>
        <w:rPr>
          <w:rStyle w:val="FootnoteAnchor"/>
          <w:rtl w:val="true"/>
        </w:rPr>
        <w:footnoteReference w:id="14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مسألة الوارث حيث إنّ الموضوع للضمان ليس ذات الأمرين بما هما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بينهما صلة ولا ربط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الموضوع هو الاستيلاء على الشيء المقترن بعدم رضاه، وهذا الأمر المركب ليست له حالة سابقة، وإنّما هو لازم إحراز عدم الرضا بالأصل والاستيلاء بالوجدان في زمان واحد، ولو كان كلّ من الجزءين محرزاً بالعلم فيكون الاقتران محرزاً كذلك، وأمّا إذا كان أحد الجزءين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أي‌عدم 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محرزاً بالأصل، فالاقتران يكون لازماً </w:t>
      </w:r>
    </w:p>
    <w:p>
      <w:pPr>
        <w:pStyle w:val="BookText"/>
        <w:rPr/>
      </w:pPr>
      <w:r>
        <w:rPr>
          <w:rFonts w:ascii="Amiri" w:hAnsi="Amiri" w:eastAsia="Amiri" w:cs="Amiri"/>
          <w:color w:val="111111"/>
          <w:sz w:val="28"/>
          <w:sz w:val="28"/>
          <w:szCs w:val="28"/>
          <w:rtl w:val="true"/>
          <w:lang w:bidi="ar-SA"/>
        </w:rPr>
        <w:t>عقليّاً له فلا يكون حجّة، وقد ذكرنا في مورده انّ الحكم الواحد يحتاج إلى موضوع واحد ولا يكون المتكثران واحداً إلّاإذاكان بينهما صلة وربط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يمكن أن يقال في أنّ صاحب اليد ضامن، هو أن الحكم الطبيعي في الأموال هو الضمان، والقول بعدم الضمان رهن الدليل وله نظائر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بيع الوقف هو البطلان، ولا يجري فيه أصالة الصحة، والقائل بالصحة رهن إثبات مجوز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النظر إلى المرأة هو الحرمة، فالمرأة المرددة بين الأجنبية وغيرها يحرم النظر إليها لهذا الأصل، وإنّما الجواز رهن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اتفقا على إذن المالك، فقال صاحب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مالي بكذا،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وهبتني إياه، فهو محكوم بالضمان لأنّ الأصل في الأموال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النظر فيما أفاده صاحب المصباح حتى أنّه بعد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 عدم البيع مع عدم الهبة،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الأصل الجاري هو عدم الضمان، فانّه غفلة عما ذكرناه من القاعدة في باب الأموال</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بقيت هناك أمثلة ذكرها الشيخ وغيره فلاحظ</w:t>
      </w:r>
      <w:r>
        <w:rPr>
          <w:rFonts w:eastAsia="Amiri" w:cs="Amiri" w:ascii="Amiri" w:hAnsi="Amiri"/>
          <w:color w:val="111111"/>
          <w:sz w:val="28"/>
          <w:szCs w:val="28"/>
          <w:rtl w:val="true"/>
          <w:lang w:bidi="ar-SA"/>
        </w:rPr>
        <w:t xml:space="preserve">. </w:t>
      </w:r>
      <w:bookmarkStart w:id="434" w:name="pg14367_157192"/>
    </w:p>
    <w:p>
      <w:pPr>
        <w:pStyle w:val="BookText"/>
        <w:rPr/>
      </w:pPr>
      <w:bookmarkEnd w:id="434"/>
      <w:r>
        <w:rPr>
          <w:rFonts w:ascii="Amiri" w:hAnsi="Amiri" w:eastAsia="Amiri" w:cs="Amiri"/>
          <w:color w:val="111111"/>
          <w:sz w:val="28"/>
          <w:sz w:val="28"/>
          <w:szCs w:val="28"/>
          <w:rtl w:val="true"/>
          <w:lang w:bidi="ar-SA"/>
        </w:rPr>
        <w:t>تنبيهات</w:t>
      </w:r>
    </w:p>
    <w:p>
      <w:pPr>
        <w:pStyle w:val="Heading5"/>
        <w:numPr>
          <w:ilvl w:val="4"/>
          <w:numId w:val="1"/>
        </w:numPr>
        <w:rPr/>
      </w:pPr>
      <w:bookmarkStart w:id="435" w:name="__RefHeading___Toc7507182_3381743652"/>
      <w:bookmarkStart w:id="436" w:name="_Toc161"/>
      <w:bookmarkEnd w:id="435"/>
      <w:r>
        <w:rPr/>
        <w:t>10</w:t>
      </w:r>
      <w:r>
        <w:rPr>
          <w:rtl w:val="true"/>
        </w:rPr>
        <w:t xml:space="preserve">- </w:t>
      </w:r>
      <w:r>
        <w:rPr>
          <w:rtl w:val="true"/>
        </w:rPr>
        <w:t>فيما خرج عن الأصل المثبت موضوعاً</w:t>
      </w:r>
      <w:bookmarkEnd w:id="436"/>
    </w:p>
    <w:p>
      <w:pPr>
        <w:pStyle w:val="Heading6"/>
        <w:numPr>
          <w:ilvl w:val="5"/>
          <w:numId w:val="1"/>
        </w:numPr>
        <w:rPr/>
      </w:pPr>
      <w:bookmarkStart w:id="437" w:name="__RefHeading___Toc7507184_3381743652"/>
      <w:bookmarkStart w:id="438" w:name="_Toc162"/>
      <w:bookmarkEnd w:id="437"/>
      <w:r>
        <w:rPr>
          <w:rtl w:val="true"/>
        </w:rPr>
        <w:t>اشارة</w:t>
      </w:r>
      <w:bookmarkEnd w:id="438"/>
    </w:p>
    <w:p>
      <w:pPr>
        <w:pStyle w:val="BookText"/>
        <w:rPr/>
      </w:pPr>
      <w:r>
        <w:rPr>
          <w:rFonts w:ascii="Amiri" w:hAnsi="Amiri" w:eastAsia="Amiri" w:cs="Amiri"/>
          <w:color w:val="111111"/>
          <w:sz w:val="28"/>
          <w:sz w:val="28"/>
          <w:szCs w:val="28"/>
          <w:rtl w:val="true"/>
          <w:lang w:bidi="ar-SA"/>
        </w:rPr>
        <w:t>قد عرفت ما استثناه الشيخ الأعظم والمحقّق الخراساني من عدم حجّية الأُصول المثبتة وهو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خفاء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اللزوم أو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وقفت على شرحهما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الموردان استثناء من حكم الأُصول المثبتة دون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ربّما يتوهم أنّها من الأُصول المثبتة وليست منها موضوعاً، وقد أوضح حالها المحقّق الخراساني في التنبيه الثامن والتاسع، ولذلك كان عليه أن لا يفصلهما عن البحوث السابقة لصلتهما بها، وإليك ما أشار إليه في التنبيهين ونذكرها في مقاطع أربعة تبعاً لعبارات الكفاية، وبذلك يدغم التاسع في الثامن، ويكون الجميع تنبيهاً واحداً</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7507186_3381743652"/>
      <w:bookmarkStart w:id="440" w:name="_Toc163"/>
      <w:bookmarkEnd w:id="439"/>
      <w:r>
        <w:rPr>
          <w:rtl w:val="true"/>
        </w:rPr>
        <w:t>أ</w:t>
      </w:r>
      <w:r>
        <w:rPr>
          <w:rtl w:val="true"/>
        </w:rPr>
        <w:t xml:space="preserve">: </w:t>
      </w:r>
      <w:r>
        <w:rPr>
          <w:rtl w:val="true"/>
        </w:rPr>
        <w:t>استصحاب الفرد وترتيب الأثر الكلي عليه</w:t>
      </w:r>
      <w:bookmarkEnd w:id="44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الأثر تارة يترتب على نفس الفرد كإكرام زيد، فإذا شك في بقائه يُستصحب ويترتب عليه حكمه، وأُخرى يترتب عليه باعتبار انطباق عنوان كلي عليه على وجه يكون الموضوع للأثر هو الكلي، لكن يُستصحب الفرد لغاية ترتيب </w:t>
      </w:r>
    </w:p>
    <w:p>
      <w:pPr>
        <w:pStyle w:val="BookText"/>
        <w:rPr/>
      </w:pPr>
      <w:r>
        <w:rPr>
          <w:rFonts w:ascii="Amiri" w:hAnsi="Amiri" w:eastAsia="Amiri" w:cs="Amiri"/>
          <w:color w:val="111111"/>
          <w:sz w:val="28"/>
          <w:sz w:val="28"/>
          <w:szCs w:val="28"/>
          <w:rtl w:val="true"/>
          <w:lang w:bidi="ar-SA"/>
        </w:rPr>
        <w:t>أثر الكلي على الفرد، وقد اختلفت فيه أنظارهم، فمن قائل بعدم الصحة مطلقاً، إلى آخر قائل بالصحة كذلك، إلى ثالث مفصِّل حسب ما يأتي، وهو خيرة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نظريته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الكلي إذاكان منتزعاً من حاق الذات، أو كان حمله على الفرد من قبيل المحمول بالصميمة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استصحاب الفرد و ترتيب أثر الكلي عليه، دون ما إذا كان من قبيل المحمول بالضميمة فلا يصحّ استصحاب الفرد وترتيب أثره عليه، هذا إجمال مرامه في المقطع الأوّل وإليك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الكلي بالنسبة إلى الفرد أو ما ينتزع منه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ينتزع من مقام الذات بما هي هي، كالإنسان بالنسبة إلى أفراده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ينتزع من الشيء لا من حاق ذاته، بل باعتبار طروء حالات عليه على نحو لا يكون بحذائها شيء في الخارج، و ذلك كنسبة الممكن إلى زيد، فهو ينتزع لا من مقام الجنس والفصل بل باعتبار انّ نسبة الماهية إلى الوجود والعدم سواسية، ومع ذلك ليس في مقابل هذه الحيثية مصداق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المحقّق الخراساني مثّل بالملكية والغصبية، والمحقّق الخوئي بالزوجية والولاية وسيوافيك عدم صحّة تلك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ينتزع من الفرد باعتبار طروء حالات عليه يكون بحذائها شيء في الخارج وذلك كالأسود والأبيض اللّذين ينتزعان من الجسم باعتبار عروض البياض والسواد عليه اللّذين لهما حيثية عينية وحقيقة في الخارج وإن كان لا يمكن الإشارة إلى الحيثية منفكة عن الإشارة إلى الجسم بل يكونان موجودين في ضمن شيء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فقد قال المحقّق الخراساني بجريان الاستصحاب في الأوّلين دون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الطبيعي في الخارج عين الفرد فلا اثنينية بينهما في الخارج فاستصحاب بقاء زيد عين استصحاب بقاء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فلأنّه لا وجود للكلي إلّابمنشأ انتزاعه، فالفرد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منشأ الانتزاع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نفس العنوان المنتزع الذي هو الموضوع للحكم فاستصحاب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ملكه أو غصبه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 في استصحاب آثار الملكية والغصبية عليه، ونظير ذلك استصحاب بقاء الولي والزوج فيترتب عليه بقاءً آثار الولاية والزوجية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بالنسبة إلى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فلا يصحّ استصحاب الفرد أي‌الجسم وإثبات عنوان الأسود وترتيب أثر الكلي على الفرد، وذلك لأنّ نسبة الفرد إلى العنوان الكلي كنسبة المباين إلى المباين، فهو أشبه باستصحاب الحياة وإثبات نبات اللحية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كلامه في المقطع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المقطع الثالث صحيح، إنّما الكلام في جريان الاستصحاب في القسمين الأوّلين وترتيب الأثر الكلي على الفرد المستصحب، وذلك أمّا لا حاجة إلى هذا الاستصحاب أو انّه مثبت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جارٍفي القسم الأوّل، وذلك لأنّه إذا كان كل من الفرد والكلي مسبوقاً باليقين فيجري الاستصحاب في كل منهما مباشرة ولا حاجة إلى استصحاب الفرد لغاية إثبات أثر الكلي على الفرد إذ هو أمر لغو</w:t>
      </w:r>
      <w:r>
        <w:rPr>
          <w:rFonts w:eastAsia="Amiri" w:cs="Amiri" w:ascii="Amiri" w:hAnsi="Amiri"/>
          <w:color w:val="111111"/>
          <w:sz w:val="28"/>
          <w:szCs w:val="28"/>
          <w:rtl w:val="true"/>
          <w:lang w:bidi="ar-SA"/>
        </w:rPr>
        <w:t xml:space="preserve">. </w:t>
      </w:r>
      <w:bookmarkStart w:id="441" w:name="pg14367_157195"/>
    </w:p>
    <w:p>
      <w:pPr>
        <w:pStyle w:val="BookText"/>
        <w:rPr/>
      </w:pPr>
      <w:bookmarkEnd w:id="441"/>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فالضابطة صحيحة، ولكن الإشكال في الأمثلة فانّ ما مثل به لهذا القسم من قبيل المحمول بالضميمة وليس من المحمول بالصميمة، لما تبيّن في محله من أنّ الميزان في الخارج المحمول هو ما يكون وضع الموضوع كافياً في وضع المحمول كالإنسان بالنسبة إلى الممكن، وليس المقام كذلك، إذ ليس فرض الموضوع في الخارج كالفرس كافياً في انتزاع الملكية أو الغصبية مالم تنضم إليه حيثية عقلائية، وهي دخول الشيء في حيازته أو خروجه منها مع استيلاء الغير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الزوجية والولاية من قبيل المحمول بالضميمة، لأنّ فرض الإنسان لا يلازم فرض الزوجية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الخلط انّ المحقق الخراساني جعل الضابطة في الفرق بين القسمين الأخيرين وجودَ ما يحاذيه في الخارج وعدمه، فجعل ما لا يحاذيه من المحمول بالصميمة، وما يحاذيه من المحمول بالضميمة، مع أنّ المقياس ليس ذلك، بل المقياس كفاية فرض الموضوع في وضع المحمول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المقطع الأوّل، وإليك الكلام في المقطع الثاني</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7507188_3381743652"/>
      <w:bookmarkStart w:id="443" w:name="_Toc164"/>
      <w:bookmarkEnd w:id="442"/>
      <w:r>
        <w:rPr>
          <w:rtl w:val="true"/>
        </w:rPr>
        <w:t>ب</w:t>
      </w:r>
      <w:r>
        <w:rPr>
          <w:rtl w:val="true"/>
        </w:rPr>
        <w:t xml:space="preserve">: </w:t>
      </w:r>
      <w:r>
        <w:rPr>
          <w:rtl w:val="true"/>
        </w:rPr>
        <w:t>لا فرق بين المجعول بنفسه أو بمنشأ انتزاعه</w:t>
      </w:r>
      <w:bookmarkEnd w:id="44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في الأثر أو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المستصحب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مجعولاً بنفسه، بل يكفي كونه مجعولاً بمنشأ انتزاعه، وعلى ذلك فالجزئية والشرطية والمانعية وإن كانت أُموراً انتزاعية عقلية لكنّها تنتزع من الحكم التكليفي بالشرط أو الجزء أو المانع، 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143"/>
      </w:r>
      <w:r>
        <w:rPr>
          <w:rFonts w:ascii="Amiri" w:hAnsi="Amiri" w:eastAsia="Amiri" w:cs="Amiri"/>
          <w:color w:val="111111"/>
          <w:sz w:val="28"/>
          <w:sz w:val="28"/>
          <w:szCs w:val="28"/>
          <w:rtl w:val="true"/>
          <w:lang w:bidi="ar-SA"/>
        </w:rPr>
        <w:t xml:space="preserve">ينتزع منه الشرطية، فإذا قال </w:t>
      </w:r>
      <w:bookmarkStart w:id="444" w:name="pg14367_157196"/>
    </w:p>
    <w:p>
      <w:pPr>
        <w:pStyle w:val="BookText"/>
        <w:rPr/>
      </w:pPr>
      <w:bookmarkEnd w:id="444"/>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إلّابفاتحة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تصلِّ في جلد ما لا يشرب لبنه، وما لا يؤكل لحمه</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تنتزع منه الجزئيّة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فنفس هذه الأحكام يصحّ أن تقع مصبّاً للاستصحاب، لأنّها أحكام شرعية بمعنى انّ وضعها ورفعها بيد الشارع ولو باعتبار منشأ انتزاعها، كما يصحّ أن تقع أثراً للمستصحب كاستصحاب الجزء والشرط والمانع لغاية ترتب هذه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الجزئية، الشرطية،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 هذه العناوين كاستصحاب جزئية السورة وشرطية الشرط أو مانعية المانع في حال التعذر لا غبار عليه، فتكون النتيجة كونها شرطاً أو جزءاً أو مانعاً مطلقاً في عامة الأحوال حتى حال التعذر فيسقط الأمر بالباقي، إنّما الكلام في جريان استصحاب الفرد و ترتيب أحد هذه الآثار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استصحاب الشرط أو المانع لترتيب الشرطية والمانعية بمثبت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ما ذكره لا يعود إلى معنى صحيح، لأنّ استصحابهما بما هما شرط أو مانع عبارة أُخرى عن استصحاب نفس الشرطية و المانعية، فلا حاجة إلى ذلك الاستصحاب مع جريانه مباشرة في الأثر المترتب عليه أي‌الشرطية والمانعية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حتى إلى استصحاب هذه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الجزئية والشرطية والمانعية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إمكان جريان الاستصحاب في الأحكام التكليفية كاستصحاب وجوب الوضوء ووجوب السورة وحرمة لُبْس غير المأكول في الصلاة</w:t>
      </w:r>
      <w:r>
        <w:rPr>
          <w:rFonts w:eastAsia="Amiri" w:cs="Amiri" w:ascii="Amiri" w:hAnsi="Amiri"/>
          <w:color w:val="111111"/>
          <w:sz w:val="28"/>
          <w:szCs w:val="28"/>
          <w:rtl w:val="true"/>
          <w:lang w:bidi="ar-SA"/>
        </w:rPr>
        <w:t>.</w:t>
      </w:r>
    </w:p>
    <w:p>
      <w:pPr>
        <w:pStyle w:val="Heading6"/>
        <w:numPr>
          <w:ilvl w:val="5"/>
          <w:numId w:val="1"/>
        </w:numPr>
        <w:rPr/>
      </w:pPr>
      <w:bookmarkStart w:id="445" w:name="__RefHeading___Toc7507190_3381743652"/>
      <w:bookmarkStart w:id="446" w:name="_Toc165"/>
      <w:bookmarkEnd w:id="445"/>
      <w:r>
        <w:rPr>
          <w:rtl w:val="true"/>
        </w:rPr>
        <w:t>ج</w:t>
      </w:r>
      <w:r>
        <w:rPr>
          <w:rtl w:val="true"/>
        </w:rPr>
        <w:t xml:space="preserve">: </w:t>
      </w:r>
      <w:r>
        <w:rPr>
          <w:rtl w:val="true"/>
        </w:rPr>
        <w:t>عدم الفرق بين وجود الأثر وعدمه مستصحباً وأثراً</w:t>
      </w:r>
      <w:bookmarkEnd w:id="446"/>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 كون المستصحب أو الأثر المترتب عليه بين أن يكون وجود </w:t>
      </w:r>
    </w:p>
    <w:p>
      <w:pPr>
        <w:pStyle w:val="BookText"/>
        <w:rPr/>
      </w:pPr>
      <w:r>
        <w:rPr>
          <w:rFonts w:ascii="Amiri" w:hAnsi="Amiri" w:eastAsia="Amiri" w:cs="Amiri"/>
          <w:color w:val="111111"/>
          <w:sz w:val="28"/>
          <w:sz w:val="28"/>
          <w:szCs w:val="28"/>
          <w:rtl w:val="true"/>
          <w:lang w:bidi="ar-SA"/>
        </w:rPr>
        <w:t>الحكم الشرعي أو عدمه فكلّ من وجود الحكم الشرعي وعدمه يصلح لأن يكون مستصحباً، كما يصلح أن يكون أثراً مترتباً على الموضوع، فكما أنّ نفس التكليف يقع مستصحباً أو أثراً مترتباً على المستصحب هكذا يكون عدم التكليف وعدم المنع من الفعل، يقع مستصحباً وأثراً مترتباً على المستصحب و ذلك لأنّ الحكم وجوداً وعدماً بيد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إشكال الشيخ على استصحاب البراءة عن التكليف، وحاصل إشكاله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استصحابها إمّا أن يكون بلحاظ نفسه، فالعدم ليس مما تقع عليه يد الجعل التشريعي، وإمّا بلحاظ آثاره من الثواب والعقاب فهي من الآثار العقلية</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وأجاب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نختار الشقّ الأوّل، وهو أنّ الاستصحاب بلحاظ نفسه، وقد عرفت أنّ عدم المنع أيضاًحكم شرعي ولا حاجة في استصحاب الحكم الشرعي إلى ترتيب أثر آخر عليه حتى يقال انّ الثواب والعقاب من الأُمور التكوينية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نختار الشق الثاني لكنّ الأثر العقلي أو العادي إنّما لا يترتب إذا كان أثراً لوجود الشيء واقعاً أو لعدمه كذلك، وأمّا الأثر المترتب على مطلق وجود الشيء أو عدمه ولو في الظاهر فيترتب عليه لكون الأثر لازم أعم وذلك كعدم العقاب فهو ليس من آثار عدم الحكم واقعاً، بل يكفي في عدمه عدم الحكم ظاهراً لاستقلال العقل بقبح العقاب بلا بيان، لأنّ وجود الحكم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وصوله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ترتب الأثر أي‌العقاب، بل عدم وصوله كاف في عدم صحة العقاب سواء أكان الحكم موجوداً في الواقع أو لا، وسيوافيك توضيحه في </w:t>
      </w:r>
      <w:bookmarkStart w:id="447" w:name="pg14367_157198"/>
    </w:p>
    <w:p>
      <w:pPr>
        <w:pStyle w:val="BookText"/>
        <w:rPr/>
      </w:pPr>
      <w:bookmarkEnd w:id="447"/>
      <w:r>
        <w:rPr>
          <w:rFonts w:ascii="Amiri" w:hAnsi="Amiri" w:eastAsia="Amiri" w:cs="Amiri"/>
          <w:color w:val="111111"/>
          <w:sz w:val="28"/>
          <w:sz w:val="28"/>
          <w:szCs w:val="28"/>
          <w:rtl w:val="true"/>
          <w:lang w:bidi="ar-SA"/>
        </w:rPr>
        <w:t>الاستثناء الآتي</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7507192_3381743652"/>
      <w:bookmarkStart w:id="449" w:name="_Toc166"/>
      <w:bookmarkEnd w:id="448"/>
      <w:r>
        <w:rPr>
          <w:rtl w:val="true"/>
        </w:rPr>
        <w:t>د</w:t>
      </w:r>
      <w:r>
        <w:rPr>
          <w:rtl w:val="true"/>
        </w:rPr>
        <w:t xml:space="preserve">: </w:t>
      </w:r>
      <w:r>
        <w:rPr>
          <w:rtl w:val="true"/>
        </w:rPr>
        <w:t>فيما يعد أثراً للوجود الأعم من الواقعي و الظاهري</w:t>
      </w:r>
      <w:bookmarkEnd w:id="449"/>
    </w:p>
    <w:p>
      <w:pPr>
        <w:pStyle w:val="BookText"/>
        <w:rPr/>
      </w:pP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 من أنّه لا يثبت بالاستصحاب الأثر العقلي والعادي، فإنّما هو فيما إذا كان كلّ منهما من آثار وجود المستصحب واقعاً، وأمّا إذا كان أحد ذينك الأثرين من آثار مطلق وجود المستصحب من غير فرق بين وجوده الواقعي أو التعبدي الظاهري، فلا شك أنّه يترتب عليه وإن كان عقلياً أو عادياً وذلك في الأمثلة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ترتب الأجزاء على استصحاب طهارة الثوب في الصلاة و إن تبين بعد عدمها، وذلك لما ثبت من محله من أنّ الشرط في حال الصلاة أعم من الطهارة الواقعية أو الظاهرية، وعليه تكون الصلاة واجدة لشرطها واقعاً، لأنّ الشرط أعم منهما، فيترتب عليه الإجزاء، لأنّه من الآثار العقلية التي ترتب على مطلق وجود الشيء ولو ظاهراً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الموافقة وحرمة المخالفة واستحقاق العقوبة من أنّه يترتب على مطلق الحكم المحرز بدليل شرعي بإحراز الوجوب ولو بالاستصحاب فهو كاف في ترتب هذه الآثار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عرفت في الاستثناء الثالث من أنّ قبح العقوبة من الأحكام العقلية اللازمة لمطلق عدم المنع ولو ظاهراً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رآه المحقّق الخراساني من التنبيه على الموارد التي توهم أنّها من الأصل المثبت وليس منها</w:t>
      </w:r>
      <w:r>
        <w:rPr>
          <w:rFonts w:eastAsia="Amiri" w:cs="Amiri" w:ascii="Amiri" w:hAnsi="Amiri"/>
          <w:color w:val="111111"/>
          <w:sz w:val="28"/>
          <w:szCs w:val="28"/>
          <w:rtl w:val="true"/>
          <w:lang w:bidi="ar-SA"/>
        </w:rPr>
        <w:t xml:space="preserve">. </w:t>
      </w:r>
      <w:bookmarkStart w:id="450" w:name="pg14367_157199"/>
    </w:p>
    <w:p>
      <w:pPr>
        <w:pStyle w:val="BookText"/>
        <w:rPr/>
      </w:pPr>
      <w:bookmarkEnd w:id="450"/>
      <w:r>
        <w:rPr>
          <w:rFonts w:ascii="Amiri" w:hAnsi="Amiri" w:eastAsia="Amiri" w:cs="Amiri"/>
          <w:color w:val="111111"/>
          <w:sz w:val="28"/>
          <w:sz w:val="28"/>
          <w:szCs w:val="28"/>
          <w:rtl w:val="true"/>
          <w:lang w:bidi="ar-SA"/>
        </w:rPr>
        <w:t>التنبيهات</w:t>
      </w:r>
    </w:p>
    <w:p>
      <w:pPr>
        <w:pStyle w:val="Heading5"/>
        <w:numPr>
          <w:ilvl w:val="4"/>
          <w:numId w:val="1"/>
        </w:numPr>
        <w:rPr/>
      </w:pPr>
      <w:bookmarkStart w:id="451" w:name="__RefHeading___Toc7507194_3381743652"/>
      <w:bookmarkStart w:id="452" w:name="_Toc167"/>
      <w:bookmarkEnd w:id="451"/>
      <w:r>
        <w:rPr/>
        <w:t>11</w:t>
      </w:r>
      <w:r>
        <w:rPr>
          <w:rtl w:val="true"/>
        </w:rPr>
        <w:t xml:space="preserve">- </w:t>
      </w:r>
      <w:r>
        <w:rPr>
          <w:rtl w:val="true"/>
        </w:rPr>
        <w:t>في كفاية ترتب الأثر بقاءً‌</w:t>
      </w:r>
      <w:bookmarkEnd w:id="452"/>
    </w:p>
    <w:p>
      <w:pPr>
        <w:pStyle w:val="BookText"/>
        <w:rPr/>
      </w:pPr>
      <w:r>
        <w:rPr>
          <w:rFonts w:ascii="Amiri" w:hAnsi="Amiri" w:eastAsia="Amiri" w:cs="Amiri"/>
          <w:color w:val="111111"/>
          <w:sz w:val="28"/>
          <w:sz w:val="28"/>
          <w:szCs w:val="28"/>
          <w:rtl w:val="true"/>
          <w:lang w:bidi="ar-SA"/>
        </w:rPr>
        <w:t>يشترط في الاستصحاب أن يكون المستصحب حكماً شرعياً أو موضوعاً ذا أثر شرعيّ، وهل يشترط أن يكون كذلك حدوثاً وبقاءً، أو يكفي بقاءً؟ الظاهر هو الثاني، لأنّ الاستصحاب نوع إعمال تعبّد من الشارع وهو رهن ترتب الأثر عليه وكونه مصوناً عن اللغو، وفي مثل هذا يكفي كون المستصحب حكماً شرعياً بقاءً لا حدوثاً، أو ذا أثر شرعي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عدم التكليف، فانّه ليس مجعولاً شرعياً من الأزل إلّاانّه حكم مجعول فيما لا يزال، لما عرفت من أنّ عدم التكليف بقاء مجعول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استصحاب حياة الولد الصغير، فانّه ربّما لا يترتب عليه الأثر المخصوص،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وراثته من أبيه في حياة أبيه إلّاشأناً، فإذا تُوفي الأب تستصحب حياة الولد، ليرثه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الجميع واضح، لأنّ صحة الاستصحاب رهن ترتب الأثر ليصون فعل العاقل عن اللغو، ويكفي في ذلك مطلق الأثر ولو بقاءً فقط، وقد أوضحنا حال المثال الأوّل وقلنا إنّه لا يخلو من إشكال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وحدة القضية المتيقّنة مع المشكوكة كما في مثال عدم القرشية، فانّ المتيقّن منه هو القضية بصورة السالبة بانتفاء الموضوع، والمشكوك هو السالبة</w:t>
      </w:r>
    </w:p>
    <w:p>
      <w:pPr>
        <w:pStyle w:val="BookText"/>
        <w:rPr/>
      </w:pPr>
      <w:r>
        <w:rPr>
          <w:rFonts w:ascii="IRNazanin" w:hAnsi="IRNazanin" w:eastAsia="IRNazanin"/>
          <w:color w:val="111111"/>
          <w:sz w:val="28"/>
          <w:sz w:val="28"/>
          <w:szCs w:val="28"/>
          <w:rtl w:val="true"/>
          <w:lang w:bidi="fa-IR"/>
        </w:rPr>
        <w:t>بانتفاء المحمول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كونه مصداقاً لنقض اليقين بالشك عرفاً، فلو لم يُحكم على المرأة المردّدة بين القرشية وغيرها، بعدم القرشية، لا يقال انّه نقض يقينه بالشك</w:t>
      </w:r>
      <w:r>
        <w:rPr>
          <w:rFonts w:eastAsia="Amiri" w:cs="Amiri" w:ascii="Amiri" w:hAnsi="Amiri"/>
          <w:color w:val="111111"/>
          <w:sz w:val="28"/>
          <w:szCs w:val="28"/>
          <w:rtl w:val="true"/>
          <w:lang w:bidi="ar-SA"/>
        </w:rPr>
        <w:t>.</w:t>
      </w:r>
      <w:bookmarkStart w:id="453" w:name="pg14367_157201"/>
    </w:p>
    <w:p>
      <w:pPr>
        <w:pStyle w:val="BookText"/>
        <w:rPr/>
      </w:pPr>
      <w:bookmarkEnd w:id="453"/>
      <w:r>
        <w:rPr>
          <w:rFonts w:ascii="Amiri" w:hAnsi="Amiri" w:eastAsia="Amiri" w:cs="Amiri"/>
          <w:color w:val="111111"/>
          <w:sz w:val="28"/>
          <w:sz w:val="28"/>
          <w:szCs w:val="28"/>
          <w:rtl w:val="true"/>
          <w:lang w:bidi="ar-SA"/>
        </w:rPr>
        <w:t>التنبيهات</w:t>
      </w:r>
    </w:p>
    <w:p>
      <w:pPr>
        <w:pStyle w:val="Heading5"/>
        <w:numPr>
          <w:ilvl w:val="4"/>
          <w:numId w:val="1"/>
        </w:numPr>
        <w:rPr/>
      </w:pPr>
      <w:bookmarkStart w:id="454" w:name="__RefHeading___Toc7507196_3381743652"/>
      <w:bookmarkStart w:id="455" w:name="_Toc168"/>
      <w:bookmarkEnd w:id="454"/>
      <w:r>
        <w:rPr/>
        <w:t>12</w:t>
      </w:r>
      <w:r>
        <w:rPr>
          <w:rtl w:val="true"/>
        </w:rPr>
        <w:t xml:space="preserve">- </w:t>
      </w:r>
      <w:r>
        <w:rPr>
          <w:rtl w:val="true"/>
        </w:rPr>
        <w:t>في تأخّر الحادث</w:t>
      </w:r>
      <w:bookmarkEnd w:id="455"/>
    </w:p>
    <w:p>
      <w:pPr>
        <w:pStyle w:val="Heading6"/>
        <w:numPr>
          <w:ilvl w:val="5"/>
          <w:numId w:val="1"/>
        </w:numPr>
        <w:rPr/>
      </w:pPr>
      <w:bookmarkStart w:id="456" w:name="__RefHeading___Toc7507198_3381743652"/>
      <w:bookmarkStart w:id="457" w:name="_Toc169"/>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إذا حصل اليقين بوجود الشيء ثمّطرأ الشك في بقائه فالمحكَّم هو استصحاب بقائه، كما أنّه إذا حصل اليقين بعدم الشيء ثمّ طرأ الشكّ في انقلابه إلى الوجود فالمحكّم هو استصحاب عدمه، و أمّا إذا كان وجود الشيء محققاً وكان الكلام في تقدّمه وتأخّره فهنا مقامان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قيس تقدّم الشيء الموجود أو تأخّره إلى أجزاء الزمان، كما إذا مات زيد قطعاً وشك في تحقّقه يوم الخميس أو يوم الجمعة</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قيس وجود الحادث بالنسبة إلى حادث آخر، كما إذا علم بموت المتوارثين و شك في المتقدّم والمتأخر منهما، وله أقسام ستوافيك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الكلام في المقام الأوّل</w:t>
      </w:r>
      <w:r>
        <w:rPr>
          <w:rFonts w:eastAsia="Amiri" w:cs="Amiri" w:ascii="Amiri" w:hAnsi="Amiri"/>
          <w:color w:val="111111"/>
          <w:sz w:val="28"/>
          <w:szCs w:val="28"/>
          <w:rtl w:val="true"/>
          <w:lang w:bidi="ar-SA"/>
        </w:rPr>
        <w:t>:</w:t>
      </w:r>
    </w:p>
    <w:p>
      <w:pPr>
        <w:pStyle w:val="Heading6"/>
        <w:numPr>
          <w:ilvl w:val="5"/>
          <w:numId w:val="1"/>
        </w:numPr>
        <w:rPr/>
      </w:pPr>
      <w:bookmarkStart w:id="458" w:name="__RefHeading___Toc7507200_3381743652"/>
      <w:bookmarkStart w:id="459" w:name="_Toc170"/>
      <w:bookmarkEnd w:id="458"/>
      <w:r>
        <w:rPr>
          <w:rtl w:val="true"/>
        </w:rPr>
        <w:t>المقام الأوّل</w:t>
      </w:r>
      <w:r>
        <w:rPr>
          <w:rtl w:val="true"/>
        </w:rPr>
        <w:t xml:space="preserve">: </w:t>
      </w:r>
      <w:r>
        <w:rPr>
          <w:rtl w:val="true"/>
        </w:rPr>
        <w:t>في القياس إلى أجزاء الزمان</w:t>
      </w:r>
      <w:bookmarkEnd w:id="459"/>
    </w:p>
    <w:p>
      <w:pPr>
        <w:pStyle w:val="BookText"/>
        <w:rPr/>
      </w:pPr>
      <w:r>
        <w:rPr>
          <w:rFonts w:ascii="Amiri" w:hAnsi="Amiri" w:eastAsia="Amiri" w:cs="Amiri"/>
          <w:color w:val="111111"/>
          <w:sz w:val="28"/>
          <w:sz w:val="28"/>
          <w:szCs w:val="28"/>
          <w:rtl w:val="true"/>
          <w:lang w:bidi="ar-SA"/>
        </w:rPr>
        <w:t>إذا علمنا بموت زيد يوم الخميس، أو يوم الجمعة، فهنا موضوعات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موته إلى يوم 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تأخّر موته عن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حدوث موته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أنّ المستصحب هو بقاء حياته، أو عدم موته إلى يوم الجمعة، فتترتب عليه آثار عدم موته أو حياته إلى ذاك الزمان، ولا يثبت به الموضوعان الآخران، لأنّهما لازمان عقليان للمستصحب، لأنّه إذا كان حيّاً إلى فجر يوم الجمعة بحكم الاستصحاب، وعلمنا بموته قطعاً في أحد اليومين يحكم عليه عقلاً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تأخر موته عن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حدوث موته في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انّهما من الآثار العقلية للمستصحب فلا يثبتان به، وبالتالي لا تترتب عليه الآثار المترتبة على ذينك الموضوعين، كما إذا نذر إعطاء درهم إذا تأخر موته عن الخميس أوحدوثه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تصحيح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تأخّر موته عن الخميس وترتيب أثره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بالوجهين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خفاء الواسطة وانّ الأثر المترتب عليها في نظر العرف يترتب على نفس المستصحب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دعوى الملازمة بين التنزيلين، وأنّ التعبّد بعدم موته إلى يوم الجمعة يلازم عرفاً بالتعبد بتأخر موته عن الخميس أو حدوثه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التعبّد بأحد التنزيلين دون التعبّد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حدوث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تصحيحه بالوجه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الحدوث ليس أمراً منتزعاً من الوجود المسبوق بالعدم حتّى يكون</w:t>
      </w:r>
      <w:bookmarkStart w:id="460" w:name="pg14367_157203"/>
    </w:p>
    <w:p>
      <w:pPr>
        <w:pStyle w:val="BookText"/>
        <w:rPr/>
      </w:pPr>
      <w:bookmarkEnd w:id="460"/>
      <w:r>
        <w:rPr>
          <w:rFonts w:ascii="Amiri" w:hAnsi="Amiri" w:eastAsia="Amiri" w:cs="Amiri"/>
          <w:color w:val="111111"/>
          <w:sz w:val="28"/>
          <w:sz w:val="28"/>
          <w:szCs w:val="28"/>
          <w:rtl w:val="true"/>
          <w:lang w:bidi="ar-SA"/>
        </w:rPr>
        <w:t>لازماً عقلياً للأمرين، بل هو أمر مركب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محرز بالأصل، و هو عدم موته إلى يوم الخميس، والآخر بالوجدان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المساعدة مع هذه الوجوه أمر مشكل كما لا يخفى</w:t>
      </w:r>
      <w:r>
        <w:rPr>
          <w:rFonts w:eastAsia="Amiri" w:cs="Amiri" w:ascii="Amiri" w:hAnsi="Amiri"/>
          <w:color w:val="111111"/>
          <w:sz w:val="28"/>
          <w:szCs w:val="28"/>
          <w:rtl w:val="true"/>
          <w:lang w:bidi="ar-SA"/>
        </w:rPr>
        <w:t>.</w:t>
      </w:r>
    </w:p>
    <w:p>
      <w:pPr>
        <w:pStyle w:val="Heading6"/>
        <w:numPr>
          <w:ilvl w:val="5"/>
          <w:numId w:val="1"/>
        </w:numPr>
        <w:rPr/>
      </w:pPr>
      <w:bookmarkStart w:id="461" w:name="__RefHeading___Toc7507202_3381743652"/>
      <w:bookmarkStart w:id="462" w:name="_Toc171"/>
      <w:bookmarkEnd w:id="461"/>
      <w:r>
        <w:rPr>
          <w:rtl w:val="true"/>
        </w:rPr>
        <w:t>المقام الثاني</w:t>
      </w:r>
      <w:r>
        <w:rPr>
          <w:rtl w:val="true"/>
        </w:rPr>
        <w:t xml:space="preserve">: </w:t>
      </w:r>
      <w:r>
        <w:rPr>
          <w:rtl w:val="true"/>
        </w:rPr>
        <w:t>في القياس إلى حادث آخر</w:t>
      </w:r>
      <w:bookmarkEnd w:id="462"/>
    </w:p>
    <w:p>
      <w:pPr>
        <w:pStyle w:val="BookText"/>
        <w:rPr/>
      </w:pPr>
      <w:r>
        <w:rPr>
          <w:rFonts w:ascii="Amiri" w:hAnsi="Amiri" w:eastAsia="Amiri" w:cs="Amiri"/>
          <w:color w:val="111111"/>
          <w:sz w:val="28"/>
          <w:sz w:val="28"/>
          <w:szCs w:val="28"/>
          <w:rtl w:val="true"/>
          <w:lang w:bidi="ar-SA"/>
        </w:rPr>
        <w:t>إذا علمنا بحدوث حادث لكن شككنا في سبقه أو لحوقه أو تقارنه بحادث آخر،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يكون كلّ واحد من الحادثين مجهول التاريخ، وأُخرى أن يكون أحدهما مجهولاً والآخر معلوماً، فهاهنا موضعان من البحث</w:t>
      </w:r>
      <w:r>
        <w:rPr>
          <w:rFonts w:eastAsia="Amiri" w:cs="Amiri" w:ascii="Amiri" w:hAnsi="Amiri"/>
          <w:color w:val="111111"/>
          <w:sz w:val="28"/>
          <w:szCs w:val="28"/>
          <w:rtl w:val="true"/>
          <w:lang w:bidi="ar-SA"/>
        </w:rPr>
        <w:t>.</w:t>
      </w:r>
    </w:p>
    <w:p>
      <w:pPr>
        <w:pStyle w:val="Heading6"/>
        <w:numPr>
          <w:ilvl w:val="5"/>
          <w:numId w:val="1"/>
        </w:numPr>
        <w:rPr/>
      </w:pPr>
      <w:bookmarkStart w:id="463" w:name="__RefHeading___Toc7507204_3381743652"/>
      <w:bookmarkStart w:id="464" w:name="_Toc172"/>
      <w:bookmarkEnd w:id="463"/>
      <w:r>
        <w:rPr>
          <w:rtl w:val="true"/>
        </w:rPr>
        <w:t>الموضع الأوّل</w:t>
      </w:r>
      <w:r>
        <w:rPr>
          <w:rtl w:val="true"/>
        </w:rPr>
        <w:t xml:space="preserve">: </w:t>
      </w:r>
      <w:r>
        <w:rPr>
          <w:rtl w:val="true"/>
        </w:rPr>
        <w:t>فيما جهل تاريخهما</w:t>
      </w:r>
      <w:bookmarkEnd w:id="464"/>
    </w:p>
    <w:p>
      <w:pPr>
        <w:pStyle w:val="BookText"/>
        <w:rPr/>
      </w:pPr>
      <w:r>
        <w:rPr>
          <w:rFonts w:ascii="Amiri" w:hAnsi="Amiri" w:eastAsia="Amiri" w:cs="Amiri"/>
          <w:color w:val="111111"/>
          <w:sz w:val="28"/>
          <w:sz w:val="28"/>
          <w:szCs w:val="28"/>
          <w:rtl w:val="true"/>
          <w:lang w:bidi="ar-SA"/>
        </w:rPr>
        <w:t>إذا كان كلّ من الحادثين مجهول التاريخ، فهو على أقسام أربعة، لأنّ الأثر إمّا يترتب على نوع وجود الحادث عند وجود الحادث الآخر، أو على نوع عدمه عند وجود الحادث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فإمّا أن يترتب على نوع وجود الحادث أو عدمه بالمعنى التام، أو بالمعنى الناقص، فتكون الأقسام أربعة، وإليك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يترتب الأثر على نوع وجود الحادث عند وجود الحادث الآخر على نحو مفاد كان التامة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يترتب الأثر على نوع وجود الحادث عند وجود الحادث الآخر على نحو مفاد كان الناقصة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يترتب الأثر على نوع عدم الحادث عند وجود حادث آخر على نحو مفاد النفي الناقص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يترتب الأثر على نوع عدم الحادث عند وجود حادث آخر على نحو مفاد النفي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هي الأقسام الأربعة للموضع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نتناول كلّ واحد من هذه الأقسام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 الأثر على نوع وجود الحادث عند وجود الحادث الآخر على نحو مفاد كان التامة، وله صور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الأثر على الحالة الخاصة من وجود أحد الحادثين دون الحادث الآخر، وأن يترتب الأثر على حالة واحدة منه كالسبق مثلاً، دون الحالات الأُخر من التقارن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الأثر على الحالة الخاصة لوجود كلّ واحد من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الأثر على الحالتين من أحد الحادثين دون الحادث الآخر، دون أن يقتصر ترتب الأثر على حالة واحدة، بل يترتب على حالتين منه كالسبق والتأخّر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الصور من القسم الأوّل، فلنذكر حكم كلّ صورة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علمنا بموت أخوين أحدهما غير عقيم وله أولاد والآخر عقيم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غير العقيم منهما فيرثه أولاده سواء أكان متقدّماً موته على موت الأخ </w:t>
      </w:r>
    </w:p>
    <w:p>
      <w:pPr>
        <w:pStyle w:val="BookText"/>
        <w:rPr/>
      </w:pPr>
      <w:r>
        <w:rPr>
          <w:rFonts w:ascii="Amiri" w:hAnsi="Amiri" w:eastAsia="Amiri" w:cs="Amiri"/>
          <w:color w:val="111111"/>
          <w:sz w:val="28"/>
          <w:sz w:val="28"/>
          <w:szCs w:val="28"/>
          <w:rtl w:val="true"/>
          <w:lang w:bidi="ar-SA"/>
        </w:rPr>
        <w:t>العقيم أو مقارناً أو متأخراً، فهذا لا يترتب أثر على أية حالة من حالاته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يترتب الأثر على سبق موت الأخ العقيم على ذاك الأخ الذي له ولد، حيث لو سبق موت العقيم على غيره لورثه الأخ ثمّ أولاده، فالأثر يترتب على حالة واحدة من وجود أحد الحادثين دون الآخر فتجري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الأثر مترتباً على مفاد كان التامة كموت الأخ المتقدّم على موت الأخ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سبق موت الأخ العقيم على غيره، فتكون النتيجة انّه لا يرثه غير العقيم لاحتمال تقارنهما أو تأخر موت العقيم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الأثر على نوع وجود كلّ من الحادثين، كما إذا علمنا بموت الولد والوالد، والمفروض انّ سبق موت كلّ واحد على الآخر موضوع للأثر، فلو سبق موت الولد يرثه الوالد، ولو كان العكس يرثه الولد، فقد ذهب المحقّق الخراساني إلى جريان الأصلين، والتساقط لأجل التعارض، فيقال عدم سبق موت الأب على موت الابن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إمّا أن يكون هناك علم بسبق أحد الموتين على الآخر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يتساقط الأصلان للعلم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مانع من جريانهما لعدم العلم بكذبهما لاحتمال تقارن موتهما ويترتب على كلّ أصل أثره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الأثر يترتب على أحد الحادثين لكن دون أن يقتصر على حالة واحدة، بل يترتب على كلتا الحالتين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إذا نذر أحد انّه لو سبق زيد على عمرو فعليه أن يعطيه ديناراً إلى الفقير وان تأخر عن عمرو فعليه أن يعطي درهماً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فقد ذهب المحقّق الخراساني إلى تعارض الأصلين وتساقطهما، فأصالة عدم سبق زيد على عمرو معارضة بأصالة عدم تأخره عنه فيتساقطان، لكن بناء على ما ذكرنا يجري فيه التفصيل السابق في الصورة الثانية، وهو انّه لو علمنا بالسبق والتأخر وانّ زيداً إمّا كان سابقاً على عمرو أو متأخراً عنه ففي ذلك يجري الأصلان فيتعارضان فيسقطان للعلم بكذب أحد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نعلم بوجود أحد الوصفين بل احتملنا التعارض فيجري الأصلان بلا تعارض لاحتمال تقارنهما فلا يجب عليه دفع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القسم الأوّل بصوره الثلاثة، وإليك الكلام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يترتب الأثر على نوع وجود الحادث عند وجود حادث آخر على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المحقّق الخراساني إلى عدم جريانه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مورد هاهنا للاستصحاب، لعدم اليقين السابق فيه بلا 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لم يذكر فيه الصور الثلاث التي ذكرها في القسم الأوّل، وذلك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موت الوالد متقدّماً على موت الابن يرثه الابن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فيه الاستصحاب لعدم اليقين السابق فيه، كما ذكره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موضوعاً للأثر في لسان الدليل، ومستصحباً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موت الوالد السابق على موت الولد الذي يستلزم إرث الولد، فلا شكّ انّه فاقد للحالة السابقة لأنّ القضية موجبة، وصدق الموجبة فرع وجود الموضوع، ولم يكن لنا علم بموت الأب، بل كان العلم متعلّقاً بحياتهما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سلب هذه الموجبة المحصلة،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موت </w:t>
      </w:r>
    </w:p>
    <w:p>
      <w:pPr>
        <w:pStyle w:val="BookText"/>
        <w:rPr/>
      </w:pPr>
      <w:r>
        <w:rPr>
          <w:rFonts w:ascii="Amiri" w:hAnsi="Amiri" w:eastAsia="Amiri" w:cs="Amiri"/>
          <w:color w:val="111111"/>
          <w:sz w:val="28"/>
          <w:sz w:val="28"/>
          <w:szCs w:val="28"/>
          <w:rtl w:val="true"/>
          <w:lang w:bidi="ar-SA"/>
        </w:rPr>
        <w:t>الوالد سابقاً على موت الولد، ومن الواضح أنّ نقيض الموجبة المحصلة هو السالبة المحصلة، وهي لا تحتاج في صدقها إلى الموضوع بل تصدق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للمستصحب حالة سابقة، وهي السالبة المحصلة، وما ليس له حالة سابقة هو الموضوع للأثر، والغاية سلب الموضوع الموصوف لغاية سلب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ترتب الأثر على عدم أحدهما في ظرف حصول الآخر على نحو النفي الناقص كأن يكون موضوع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غير الكر في زمان حدوث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بحدوث الكرية والملاقاة، ولم نعلم المتقدّم و المتأخر فلا يجري فيه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عدم كرية الماء إلى زمان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كون الماء موصوفاً بالعدم المذكور، لأنّه يتوقف على اليقين بكونه موصوفاً بالعدم في وقت ثمّ يُشك في بقائه على ما كان من الوصف المذكور، إذ الماء من الأوّل غير معلوم الاتصاف، لأنّ الوصف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وجد متأخراً عن زمان حدوث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الماء موصوفاً بالعدم المذكور وإن كان متقدّماً أو مقارناً له فهو غير موصوف، وحيث لم يعلم أنّه متأخر أو متقدّم فقد شكّ في اتصافه بذلك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عدم الماء بصورة السالبة بانتفاء الموضوع،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ماء ولا كرّية، فقد انقلب العدم في الماء إلى الوجود ونشك في انقلابه في جانب الكرّية فنستصحب عدم الماء الكرّ، فهو لا يثبت موضوع الأثر، أي الماء غير الكرّ</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مترتباً على عدم وجود حادث عند وجود حادث آخر لكن على مفاد النفي التام كالنجاسة المترتبة على عدم كرّية الماء عند الملاقاة، فقد منع المحقّق الخراساني من جريان الأصل وعلله بعدم اتصال زمان الشكّ بزمان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اختلفت كلمة الشرّاح والمحقّقين في بيان مراده، فقد أوضحه المحقّق النائيني بالبيان التالي بتصرّف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هنا ساعات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ظرف اليقين بعدم الكرّية والملاقاة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ظرف اليقين بتحقّق إحداهما وليس هناك أيُّ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بوجود الكرية والملاقاة، وهذه الساعة هي ظرف الشك، وذلك لأنّ الشكّ في بقاء عدم الكرية إلى زمان الملاقاة لا يحصل إلّابعد العلم بالملاقاة، ولا يحصل العلم بها إلّافي الساعة الثالثة، ويكون الشكّ حاصلاً حين العلم بالملاقاة، وليس إلّاالساعة الثالثة، فتكون الساعة الثانية‌خالية عن اليقين التفصيلي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اليقين التفصيلي أي‌اليقين بأحدهما المعين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فلأنّه فرع حصول المتعلّق،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وباختصار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الشكّ في المتقدّم والمتأخر لا يحصل إلّابعد العلم بحدوث الحادثين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العلم بحدوث الحادثين حاصل في الساعة الثالثة، فيكون موطن الشك هو الساعة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فالاستصحاب يتبع الشك ولا يتقدّم عليه، فاستصحاب عدم تقدّم كلّ إنّما يجري في الساعة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لا يكون زمان الشكّ متصلاً بزمان اليقين، لأنّ موطن اليقين هو الساعة الأُولى و موطن الشكّ هو الساعة الثالثة، فالساعة الثانية تكون فاصلة </w:t>
      </w:r>
      <w:bookmarkStart w:id="465" w:name="pg14367_157209"/>
    </w:p>
    <w:p>
      <w:pPr>
        <w:pStyle w:val="BookText"/>
        <w:rPr/>
      </w:pPr>
      <w:bookmarkEnd w:id="465"/>
      <w:r>
        <w:rPr>
          <w:rFonts w:ascii="Amiri" w:hAnsi="Amiri" w:eastAsia="Amiri" w:cs="Amiri"/>
          <w:color w:val="111111"/>
          <w:sz w:val="28"/>
          <w:sz w:val="28"/>
          <w:szCs w:val="28"/>
          <w:rtl w:val="true"/>
          <w:lang w:bidi="ar-SA"/>
        </w:rPr>
        <w:t>بين اليقين والشكّ</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7507206_3381743652"/>
      <w:bookmarkStart w:id="467" w:name="_Toc173"/>
      <w:bookmarkEnd w:id="466"/>
      <w:r>
        <w:rPr>
          <w:rtl w:val="true"/>
        </w:rPr>
        <w:t>يلاحظ عليه</w:t>
      </w:r>
      <w:bookmarkEnd w:id="4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مفاد 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الكرّية إلى زمان وجود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استصحابه إلى زمان العلم بالملاقاة حتى لا يتحقق الشكّ بهذا النحو إلّافي الساعة الثالثة فتكون الساعة الثانية خالية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استصحابه في كلّ زمان احتمل فيه تحقّق الملاقاة، ومن المعلوم أنّه كما يحتمل تحقّق وجودها في الساعة الثالثة كذلك يحتمل تحقّقها في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نحتمل فرض وجود كلّ منهما في الساعة الثانية، فيكون الشكّ في كلّ من الحادثين متصلاً بيقينه، ويجري استصحاب عدم كلّ منهما في زمان الشكّ في كلّ من الحادثين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دليل على اتصال زمان الشكّ بزمان اليقين، فلو أيقن إنسان بطهارة ثوبه ثمّ أغشي عليه، فلما أفاق شك في بقاء طهارة ثوبه، واحتمل أنّه صار نجساً عندما أغشي عليه، فظرف الشكّ غير متصل بظرف اليقين مع أنّه لا شكّ في استصحابه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 بجريان الاستصحاب في الأمثلة التالية إذا كان الأثر متعلّقاً بالعدم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المرتهن لبيع العين المرهونة ثمّ رجع عن إذنه، وشكّ في تاريخ كلّ من البيع والرجوع عن الاذن، فيجري استصحاب العدم في كلّ منهما فيقال أصالة عدم البيع إلى زمان الإذن أو أصالة عدم صدور الرجوع إلى زمان البيع</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المثال السابق، أي‌استصحاب عدم الكرّية إلى زمان الملاقاة، أو استصحاب عدم الملاقاة إلى زمان الكرّية</w:t>
      </w:r>
      <w:r>
        <w:rPr>
          <w:rFonts w:eastAsia="Amiri" w:cs="Amiri" w:ascii="Amiri" w:hAnsi="Amiri"/>
          <w:color w:val="111111"/>
          <w:sz w:val="28"/>
          <w:szCs w:val="28"/>
          <w:rtl w:val="true"/>
          <w:lang w:bidi="ar-SA"/>
        </w:rPr>
        <w:t xml:space="preserve">. </w:t>
      </w:r>
      <w:bookmarkStart w:id="468" w:name="pg14367_157210"/>
    </w:p>
    <w:p>
      <w:pPr>
        <w:pStyle w:val="BookText"/>
        <w:rPr/>
      </w:pPr>
      <w:bookmarkEnd w:id="468"/>
      <w:r>
        <w:rPr>
          <w:rFonts w:ascii="Amiri" w:hAnsi="Amiri" w:eastAsia="Amiri" w:cs="Amiri"/>
          <w:color w:val="111111"/>
          <w:sz w:val="28"/>
          <w:sz w:val="28"/>
          <w:szCs w:val="28"/>
          <w:rtl w:val="true"/>
          <w:lang w:bidi="ar-SA"/>
        </w:rPr>
        <w:t>ثمّ إنّ المحقّق الخوئي قد أضاف شيئاً إلى بيان أُستاذه،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كان المستصحب في ظرف الشك وهو يوم السبت متيقناً بحدوث الكرّية، ومعه كيف يمكن استصحاب عدمها إلى الزمان الذي يعلم بحدوثها؟ وعليه لا يجري الاستصحاب،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انفصال زمان الشكّ عن زمان اليقين أوّلاً، وتبدّل الحالة السابقة إلى أمر مقطوع به ثانياً ، ومعه لا يكون رفع اليد نقضاً لليقين بالشكّ، بل نقضاً بيقين مثله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الساعة الثالثة ظرف اليقين بنقض الحالة السابقة، ولكنّه لا يضر بالاستصحاب، إذ لا يعني الاستصحاب الحكمَ بعدم الكرّية في الساعة الثالثة، بل الهدف هو إسراؤه إلى الساعة الثانية، وهو يجتمع مع العلم في الكرية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الاستصحاب هو زمان الملاقاة حسب ظرفه الواقعي لا العلم بالملاقاة، فالخلط حصل بين كون استصحاب عدم الكرّيّة إلى حصول العلم بوجود الملاقاة، وبين استصحابه إلى زمان تحقّق الملاقاة، وغاية الاستصحاب هو الثاني دون الأوّل، وليس فيه علم بحصول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التقرير الذي جنح إليه المحقّق النائيني يطابق عبارات الكفاية الواردة بصيغة الإشكال والجواب، ولكنّه لا ينطبق على العبارات الواردة قبل الإشكال والجواب فالذي ينطبق عليه هو تقرير المحقّق المشكيني، حيث قال ما هذا إيضاحه</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507208_3381743652"/>
      <w:bookmarkStart w:id="470" w:name="_Toc174"/>
      <w:bookmarkEnd w:id="469"/>
      <w:r>
        <w:rPr>
          <w:rtl w:val="true"/>
        </w:rPr>
        <w:t>تقرير المحقّق المشكيني لعدم الاتصال</w:t>
      </w:r>
      <w:bookmarkEnd w:id="47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كنت على يقين من طهارتك فشككت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w:t>
      </w:r>
    </w:p>
    <w:p>
      <w:pPr>
        <w:pStyle w:val="BookText"/>
        <w:rPr/>
      </w:pPr>
      <w:r>
        <w:rPr>
          <w:rFonts w:ascii="Amiri" w:hAnsi="Amiri" w:eastAsia="Amiri" w:cs="Amiri"/>
          <w:color w:val="111111"/>
          <w:sz w:val="28"/>
          <w:sz w:val="28"/>
          <w:szCs w:val="28"/>
          <w:rtl w:val="true"/>
          <w:lang w:bidi="ar-SA"/>
        </w:rPr>
        <w:t>اعتبار اتصال زمان الشكّ بزمان اليقين في حرمة نقضه بالشك، فلا يصحّ التمسّك به في الموارد التي لم يحرز فيها اتصال زمان الشكّ بزمان اليقين، سواء أحرز عدم الاتصال بأن توسط يقين ثان بين اليقين الأوّل والشكّ الطارئ، أم شكّ في توسطه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لأنّه يكون من قبيل نقض اليقين بمثله، ولأجل ذلك لو أذعن بوجوب الجلوس إلى الزوال، ثمّ شك في بقائه بعده فلا يصحّ عند القوم استصحاب عدم الوجوب المعلوم أزلاً، لفصل اليقين الثاني بين اليقين الأوّل والشكّ الطارئ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احتمال توسّط يقين ثان بين الأوّل والثاني، يجعله من قبيل الشبهة المصداقية،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مآله إلى الشكّ في أنّه هل هو نقض اليقين باليقين أو بالشكّ ومع هذا لا يصحّ التمسك بالعام، ومورد المثال من قبيل الصورة الثانية، وذلك لأنّ زمان الملاقاة لو كان هو الساعة الثانية لكان زمان الشك في بقاء عدم الكرّيّة متصلاً بزمان اليقين به، وأمّا لو كان هي الساعة الثالثة فلا اتصال في البين، لتخلّل وجود الكرّية حينئذٍ بين المتيقّن والمشكوك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الوجه ينطبق قول المحقّق الخراساني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إحراز اتصال زمان شكه وهو زمان حدوث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بزمان يقينه أي‌اليقين بعدم كلّ من الحادثين، لاحتمال انفصال زمان المشكوك عن زمان المتيقّن باتصال حدوثه أي‌وجود الكرّيّة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تم ذلك يلزم سدّ باب الاستصحاب بتاتاً، إذ ما من استصحاب إلّاويحتمل معه انقلاب المتيقّن فيه إلى ضده في زمان الشكّ، ولولا </w:t>
      </w:r>
      <w:bookmarkStart w:id="471" w:name="pg14367_157212"/>
    </w:p>
    <w:p>
      <w:pPr>
        <w:pStyle w:val="BookText"/>
        <w:rPr/>
      </w:pPr>
      <w:bookmarkEnd w:id="471"/>
      <w:r>
        <w:rPr>
          <w:rFonts w:ascii="Amiri" w:hAnsi="Amiri" w:eastAsia="Amiri" w:cs="Amiri"/>
          <w:color w:val="111111"/>
          <w:sz w:val="28"/>
          <w:sz w:val="28"/>
          <w:szCs w:val="28"/>
          <w:rtl w:val="true"/>
          <w:lang w:bidi="ar-SA"/>
        </w:rPr>
        <w:t>هذا الاحتمال لما حصل الشكّ، فاحتمال حدوث الكرّيّة في الساعة الثانية وانقلاب عدمها إلى نقيضه، لا يضرّ به إذ ليس أزيد من احتمال عدم بقاء المتيقّن وانقلابه إلى ضدّه أو نقيضه الذي هو الحاكم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المعتبر في الاستصحاب وجود يقين وشكّ فعلي، وأنّه لو رجع المستصحب القهقرى لا يقف على متيقّن متضادّ مع المتيقّن السابق، لا أن لا يحتمله، وهذا الشرط حاصل، واحتمال تقدّم الكرّيّة وإن كان حاصلاً لكنّه ليس بأمر متيقّن، بل محتمل، فلا يعتنى به، إذ الاعتناء يستلزم رفع اليد عن الأمر اليقيني بأمر 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منشأ هذا الاشتباه، شدّة اتصال اليقين بالمتيقّن فيكون احتمال انفصال المتيقّن بين زمان اليقين والشكّ، موجباً لزعم احتمال انفصال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ذكره لا ينطبق على أكثر عبارات الكفاية خصوصاً ما ذكره من الإشكال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فقد رفض المحقّق الخراساني الاستصحاب في مجهولي التاريخ في عامّة الأقسام إلّاالصورة الأُولى من القسم الأوّل، وقد عرفت جريانه في عامة صور القسم الأوّل إذا لم يعلم السبق، وجريانه في القسم الثاني والرابع</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7507210_3381743652"/>
      <w:bookmarkStart w:id="473" w:name="_Toc175"/>
      <w:bookmarkEnd w:id="472"/>
      <w:r>
        <w:rPr>
          <w:rtl w:val="true"/>
        </w:rPr>
        <w:t>الموضع الثاني</w:t>
      </w:r>
      <w:r>
        <w:rPr>
          <w:rtl w:val="true"/>
        </w:rPr>
        <w:t xml:space="preserve">: </w:t>
      </w:r>
      <w:r>
        <w:rPr>
          <w:rtl w:val="true"/>
        </w:rPr>
        <w:t>فيما إذا علم تاريخ أحدهما</w:t>
      </w:r>
      <w:bookmarkEnd w:id="473"/>
    </w:p>
    <w:p>
      <w:pPr>
        <w:pStyle w:val="BookText"/>
        <w:rPr/>
      </w:pPr>
      <w:r>
        <w:rPr>
          <w:rFonts w:ascii="Amiri" w:hAnsi="Amiri" w:eastAsia="Amiri" w:cs="Amiri"/>
          <w:color w:val="111111"/>
          <w:sz w:val="28"/>
          <w:sz w:val="28"/>
          <w:szCs w:val="28"/>
          <w:rtl w:val="true"/>
          <w:lang w:bidi="ar-SA"/>
        </w:rPr>
        <w:t>إذا كان أحد الحادثين معلوم التاريخ والآخر مجهوله، فقد قسّمه المحقّق الخراساني إلى أقسام أربعة على غرار مجهولي التاريخ، وإليك البيان</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الأثر مترتباً على حالة من وجود الشيء على نحو مفاد كان التامة، كإرث الولد المترتب على سبق موت الوالد، فإذا كان موت الولد </w:t>
      </w:r>
    </w:p>
    <w:p>
      <w:pPr>
        <w:pStyle w:val="BookText"/>
        <w:rPr/>
      </w:pPr>
      <w:r>
        <w:rPr>
          <w:rFonts w:ascii="Amiri" w:hAnsi="Amiri" w:eastAsia="Amiri" w:cs="Amiri"/>
          <w:color w:val="111111"/>
          <w:sz w:val="28"/>
          <w:sz w:val="28"/>
          <w:szCs w:val="28"/>
          <w:rtl w:val="true"/>
          <w:lang w:bidi="ar-SA"/>
        </w:rPr>
        <w:t>معلوم التاريخ، كما إذا تُوفِّي يوم الجمعة، وموت الوالد مجهوله، فذهب المحقّق الخراساني إلى جريان الاستصحاب فيما إذا كان لأحد الوجودين أثر دون الوجود الآخر ولحالة واحدة منه على النحو الذي سبق في مجهولي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الأثر لواحد من الوجودين، ولحالة واحدة منه يجري الاستصحاب فيه فقط، وفي غيره يتعارضان فيتساقطان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في جريان الاستصحاب في معلوم التاريخ إشكالاً،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موت الولد معلوماً من حيث الزمان فلا إبهام في الخارج، و ليس للاستصحاب دور إلّافي رفع الإبهام، و مع عدمه لا مورد للاستصحاب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موت الولد وإن كان معلوماً من حيث الزمان ولكنّه بالإضافة إلى زمان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فيكفي في صحّة التعبّد ترتب الأثر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الاعتماد على هذا أمام الارتكاز العرفي مشكل، فانّ العرف يستخدم الاستصحاب لكشف الواقع وهو في المقام واضح لا سترة فيه وكونه مجهولاً بالنسبة إلى حادث آخر، لا يجعله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الأثر على حالة لأحد الحادثين بالنسبة إلى الحادث الآخر على نحو كان الناقصة، كترتب الإرث على موت الوالد السابق على موت الولد، فقد تقدّم أنّ المحقّق الخراساني قال بعدم جريان الاستصحاب لعدم الحالة السابقة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كلامه خلطاً بين موضوع الأثر والمستصحب، فالأوّل عبارة عن الموجبة المحصلة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الوالد السابق على موت الولد، ومن المعلوم أنّه فاقد للحالة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المستصحب، فهو عبارة عن نقيض الموجبة المحصلة،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السالبة المحصلة،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موت الوالد السابق على موت الولد، ومن الواضح أنّ السالبة المحصلة تصدق مع عدم الموضوع، مثلاًعندما كان كلّ من الوالد والولد حيّين، يصدق لم يكن موت الوالد سابقاً على موت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انّه انتقضت الحالة السابقة في الموت و بقي الشك في انتقاضها في السبق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ترتب الأثر على عدم الشيء بصورة النفي الناقص، كالماء غير الكرّ إلى زمان الملاقاة، فإذا كان هناك ماء قليل تعاقب عليه حالتان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الكرّيّة والملاقاة بالنجس، وكان زمن الملاقاة يوم الجمعة، فلا يجري الاستصحاب في جانب الكرّيّة، وذلك لعدم الحالة السابقة أي‌الماء غير الكر إلى وقت الملاقاة، والفرق بين هذا القسم وما سبق واضح، لأنّ الموضوع هناك أمر إيجابي يتوجه إليه السبق فيكون المستصحب السالبة المحصّلة، وهذا بخلاف المقام فانّ السلب جزء للموضوع وهو نفس المستصحب،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غير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الأثر شيء والمستصحب شيء آخر بخلاف المقام فكلاهما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انّ المحقّق الخراساني لم يذكر هذا القسم اقتصاراً بما ذكره في القسم الثاني، وقد عرفت الفرق بينهما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ترتب الأثر على الحالة الخاصة من عدم الحادث على وجه النفي التام، كعدم سبق الكرّيّة على الملاقاة التي علم تاريخها، فقد فصل المحقّق الخراساني بين معلوم التاريخ ومجهوله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 معلوم التاريخ لعدم اتصال الشك بزمان اليقين، وجريانه في مجهول التاريخ لاتصال </w:t>
      </w:r>
    </w:p>
    <w:p>
      <w:pPr>
        <w:pStyle w:val="BookText"/>
        <w:rPr/>
      </w:pPr>
      <w:r>
        <w:rPr>
          <w:rFonts w:ascii="Amiri" w:hAnsi="Amiri" w:eastAsia="Amiri" w:cs="Amiri"/>
          <w:color w:val="111111"/>
          <w:sz w:val="28"/>
          <w:sz w:val="28"/>
          <w:szCs w:val="28"/>
          <w:rtl w:val="true"/>
          <w:lang w:bidi="ar-SA"/>
        </w:rPr>
        <w:t>الشكّ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أي‌عدم اتصال زمان الشكّ بزمان اليقين إذا كان أجري الاستصحاب في معلوم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هناك ساعات وفترات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هناك كرّيّة ولا 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مبهمة غير معلومة يحتمل فيه حدوث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نعلم بملاقاة النجس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حدوث الكرّيّة فيها أو الساعة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عدم الملاقاة إلى زمان الكرّيّة إنّما ينفع في صورة واحدة، وهو إذا حدثت الكرّيّة في الساعة الثانية،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بأصالة عدم الملاقاة إلى زمان الكرّيّة، وأمّا إذا حدثت في الساعة الرابعة، فكيف يمكن أن يقال بعدم حدوث الملاقاة إلى زمان الكرّيّة،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الرابعة، مع حدوثها قطعاً في الساعة الثالثة؟</w:t>
      </w:r>
    </w:p>
    <w:p>
      <w:pPr>
        <w:pStyle w:val="BookText"/>
        <w:rPr/>
      </w:pPr>
      <w:r>
        <w:rPr>
          <w:rFonts w:ascii="Amiri" w:hAnsi="Amiri" w:eastAsia="Amiri" w:cs="Amiri"/>
          <w:color w:val="111111"/>
          <w:sz w:val="28"/>
          <w:sz w:val="28"/>
          <w:szCs w:val="28"/>
          <w:rtl w:val="true"/>
          <w:lang w:bidi="ar-SA"/>
        </w:rPr>
        <w:t>فعلى الاحتمال الأوّل لم تنتقض الحالة السابقة في الملاقاة، بخلاف الفرض الثاني حيث نعلم بانتقاضها في الساعة الثالثة، ومع ذلك نستصحبه إلى الساعة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هذا البيان مع قطع النظر عمّا ذكرنا من الإشكال يجري نفس هذا البيان في مجهول التاريخ أيضاً، سواء اعتمدنا في تفسير مراد الكفاية على ما ذكره المحقّق النائيني، أو ما ذكره المحقّق المشكيني</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فرع حصول العلم بكلا الحادثين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الكرّيّة والملاقاة، ولا يحصل العلم بهما إلّافي الساعة الرابعة، فيكون الشكّ في تلك الفترة </w:t>
      </w:r>
    </w:p>
    <w:p>
      <w:pPr>
        <w:pStyle w:val="BookText"/>
        <w:rPr/>
      </w:pPr>
      <w:r>
        <w:rPr>
          <w:rFonts w:ascii="Amiri" w:hAnsi="Amiri" w:eastAsia="Amiri" w:cs="Amiri"/>
          <w:color w:val="111111"/>
          <w:sz w:val="28"/>
          <w:sz w:val="28"/>
          <w:szCs w:val="28"/>
          <w:rtl w:val="true"/>
          <w:lang w:bidi="ar-SA"/>
        </w:rPr>
        <w:t>مع كون اليقين في الساعة الأُولى، فيلزم الفصل بين زماني اليقين والشك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الكرّية لو حدثت في الساعة الرابعة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الكرّيّة إلى زمان الملاقاة الذي هو الساعة الثالثة، وأمّا لو حدثت في الساعة الثانية، كيف يمكن أن يقال الأصل عدم الكرّيّة إلى زمان الملاقاة مع العلم بانتقاض الحالة السابقة في الساعة الثانية؟</w:t>
      </w:r>
    </w:p>
    <w:p>
      <w:pPr>
        <w:pStyle w:val="BookText"/>
        <w:rPr/>
      </w:pPr>
      <w:r>
        <w:rPr>
          <w:rFonts w:ascii="Amiri" w:hAnsi="Amiri" w:eastAsia="Amiri" w:cs="Amiri"/>
          <w:color w:val="111111"/>
          <w:sz w:val="28"/>
          <w:sz w:val="28"/>
          <w:szCs w:val="28"/>
          <w:rtl w:val="true"/>
          <w:lang w:bidi="ar-SA"/>
        </w:rPr>
        <w:t>وعلى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يعود ويخلّص كلامه، بأنّه لا فرق في الصور بين المعلوم والمجهول، وإنّما الفرق بين التام والناقص سواء أكان وجودياً أو عدمياً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ما أردنا من استعراض الأقسام الثمانية التي تعرض إليها المحقّق الخراساني، بقيت هنا تطبيقات</w:t>
      </w:r>
      <w:r>
        <w:rPr>
          <w:rFonts w:eastAsia="Amiri" w:cs="Amiri" w:ascii="Amiri" w:hAnsi="Amiri"/>
          <w:color w:val="111111"/>
          <w:sz w:val="28"/>
          <w:szCs w:val="28"/>
          <w:rtl w:val="true"/>
          <w:lang w:bidi="ar-SA"/>
        </w:rPr>
        <w:t xml:space="preserve">: </w:t>
      </w:r>
      <w:bookmarkStart w:id="474" w:name="pg14367_157217"/>
    </w:p>
    <w:p>
      <w:pPr>
        <w:pStyle w:val="Heading6"/>
        <w:numPr>
          <w:ilvl w:val="5"/>
          <w:numId w:val="1"/>
        </w:numPr>
        <w:rPr/>
      </w:pPr>
      <w:bookmarkStart w:id="475" w:name="__RefHeading___Toc7507212_3381743652"/>
      <w:bookmarkStart w:id="476" w:name="_Toc176"/>
      <w:bookmarkEnd w:id="474"/>
      <w:bookmarkEnd w:id="475"/>
      <w:r>
        <w:rPr>
          <w:rtl w:val="true"/>
        </w:rPr>
        <w:t>تطبيقات</w:t>
      </w:r>
      <w:bookmarkEnd w:id="476"/>
    </w:p>
    <w:p>
      <w:pPr>
        <w:pStyle w:val="BookText"/>
        <w:rPr/>
      </w:pPr>
      <w:r>
        <w:rPr>
          <w:rFonts w:ascii="Amiri" w:hAnsi="Amiri" w:eastAsia="Amiri" w:cs="Amiri"/>
          <w:color w:val="111111"/>
          <w:sz w:val="28"/>
          <w:sz w:val="28"/>
          <w:szCs w:val="28"/>
          <w:rtl w:val="true"/>
          <w:lang w:bidi="ar-SA"/>
        </w:rPr>
        <w:t>يترتب على مسألة تأخّر الحادث فروع مختلفة نذكر قسماً منها، و قبل الإشارة إليها نشير إلى ما أوضحنا حاله في مبحث الاشتغال،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شرائط تنجيز العلم الإجمالي كونه مؤثراً على كلّ تقدير، وموجباً للأثر على كلّ فرض، وإلّا فلو كان مؤثراً على فرض دون فرض آخر، فلا يكون مثل ذلك العلم منجِّزاً للتكليف، لعدم العلم به على كلّ تقدير بل العلم به على تقدير دون تقدير، وهو يساوق الشك دون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فلندرس الفروع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ثوبه نجساً بالدم، وعلم بطروء دم آخر عليه مع غسل الثوب بالماء الطاهر، وتردّد الدم بين كونه بعد الدم الأوّل، أو بعد الغَسْل، فالثوب يكون محكوماً بالطهارة المستصحبة، لأنّ العلم بطروء الدم على الثوب ليس علماً بالسبب المؤثِّر وإنّما هو علم بالسبب المردّد بين الفعلي والشأني، وذلك لأنّه لو طرأ قبل الغسل لا يكون سبباً مؤثراً، لأنّ طروء الدم بعد الدم لا يحدث تكليفاً وإن كان متأخراً عن الغسل فهو مؤثر، فيدور أمره بين المؤثر وغير المؤثر، فلا يكون منجزاً للتكليف</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الطهارة فقد علمنا بطروئها على الثوب بعد الدم مؤثرة سواء كانت </w:t>
      </w:r>
    </w:p>
    <w:p>
      <w:pPr>
        <w:pStyle w:val="BookText"/>
        <w:rPr/>
      </w:pPr>
      <w:r>
        <w:rPr>
          <w:rFonts w:ascii="Amiri" w:hAnsi="Amiri" w:eastAsia="Amiri" w:cs="Amiri"/>
          <w:color w:val="111111"/>
          <w:sz w:val="28"/>
          <w:sz w:val="28"/>
          <w:szCs w:val="28"/>
          <w:rtl w:val="true"/>
          <w:lang w:bidi="ar-SA"/>
        </w:rPr>
        <w:t>بين الدمين أو بعد الدم الثاني فنشكُّ في انتفائها فيحكم بالبقاء ويكون الثوب محكوماً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ثوبه نجساً بالدم، ثمّ علم بطروء نجاسة شديدة كالبول الذي يحتاج إلى الغَسْل مرّتين، وافترضنا غَسْل الثوب مرّة واحدة، وهذا الفرع يختلف عما سبق، لأنّ كلاً من شقِّي العلم الإجمالي مؤثر، وذلك امّا في جانب البول فلأنّه لو كان طرأ على الثوب بعد عروض الدم فقد شدّد حكم الغسْل، لأنّ ملاقي الدم لو غسل مرّة واحدة يطهر، بخلاف ملاقي البول فيحتاج إلى غسلتين، فكذلك لو طرأ البول بعد غسل الثوب مرة واحدة يؤثر أيضاً فيجب غسل الثوب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هوحكم البول، وأمّا الغسل فلو توسط بين الدم والبول فقد ارتفع أثره بطروء البول، ولو تأخّر بعد طروء البول يجب غسل الثوب 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فالأصلان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أي‌أصالة عدم تقدّم البول على الغسل و أصالة عدم تقدم الغسل على البول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ترتب الأثر عليهما يتعارضان فيتساقطان، ولكن لما كان العلم بوجود النجاسة المشدّدة حاصلاً فلا يرتفع اليقين بالنجاسة بالغسل مرّة واحدة، بل يجب الغسل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ماء طاهر قليل، ثمّ‌علم بعروض كلّ من الكرّيّة والنجاسة عليه، وشكّ في تقدّم عروض الكرّية على عروض النجاسة حتى يكون طاهراً، أو تقدّم عروض النجاسة على الكرية حتى يحكم بنجاسته، لأنّ تتميم الماء النجس كرّاً لا يوجب طهارته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جريان الاستصحابين وتساقطهما، لأنّ لكلّ من العلمين أثراً شرعياً، فلو كان عروض الكرّيّة متقدّماً على الملاقاة تثبتت له العاصمية، ولو </w:t>
      </w:r>
    </w:p>
    <w:p>
      <w:pPr>
        <w:pStyle w:val="BookText"/>
        <w:rPr/>
      </w:pPr>
      <w:r>
        <w:rPr>
          <w:rFonts w:ascii="Amiri" w:hAnsi="Amiri" w:eastAsia="Amiri" w:cs="Amiri"/>
          <w:color w:val="111111"/>
          <w:sz w:val="28"/>
          <w:sz w:val="28"/>
          <w:szCs w:val="28"/>
          <w:rtl w:val="true"/>
          <w:lang w:bidi="ar-SA"/>
        </w:rPr>
        <w:t>تأخرت تكون الملاقاة مؤثرة، وكذلك لو كانت الملاقاة متقدمة أثَّرت في النجاسة، ولو كانت متأخرة كان الماء معتصماً لا ينجسه شيء، وهو حكم شرعي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لم ينجسه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فيتعارضان ويتساقطان، ويرجع في مورد الماء إلى قاعدة الطهارة، في جميع الصور سواء أكانا مجهولي التاريخ أو كان أحدهما معلوماً والآخر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والمقام من أمثلة ما يكون الأثر مترتباً على وجود الشيء حسب مفاد كان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المحقّق النائيني ذهب إلى نجاسة الماء في جميع الصور، وحاصل ما أفاده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الماء إذا بلغ قدر كرّ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انّه يعتبر في العاصمية وعدم تأثير الملاقاة، سبقُ الكرّيّة ولو آناً ما، لأنّ الظاهر منه كون الكرّيّة موضوعاً للحكم بعدم تنجيس الملاقاة، وكلّ موضوع لابدّ وأن يكون مقدَّماً على الحكم، فيعتبر في الحكم بعدم تأثير الملاقاة، إحرازُ سبق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هنا 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الكرّيّة إلى زمان الملاقاة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الملاقاة إلى زمان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الأصل الأوّل فيكفي في الحكم بالانفعال، لأنّ مدلوله عدم إحراز الكرّيّة إلى زمان الملاقاة، فتكون النتيجة عدم الموضوع للعاصمية إلى زمانها ويكون مقتضاه نجاسة الماء</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الثاني فهو عقيم لا يثبت عاصمية الماء من التأثر، لأنّها من آثار </w:t>
      </w:r>
    </w:p>
    <w:p>
      <w:pPr>
        <w:pStyle w:val="BookText"/>
        <w:rPr/>
      </w:pPr>
      <w:r>
        <w:rPr>
          <w:rFonts w:ascii="Amiri" w:hAnsi="Amiri" w:eastAsia="Amiri" w:cs="Amiri"/>
          <w:color w:val="111111"/>
          <w:sz w:val="28"/>
          <w:sz w:val="28"/>
          <w:szCs w:val="28"/>
          <w:rtl w:val="true"/>
          <w:lang w:bidi="ar-SA"/>
        </w:rPr>
        <w:t>سبق الكرّيّة على الماء كما هو اللائح من الحديث، ولا يثبت بهذا الأصل، سبقُ الكرّيّة عليها ولا تأخر الملاقاة عن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مترتب على مفاد كان الناقصة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الموصوف بالكرّيّة لا ينجس بالملاقاة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الملاقاة إلى حين الكرّيّة لا يثبت وصف الماء بها حين الملاقاة</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بصدد بيان انّ الكرّيّة تعصم الماء عن الانفعال، وأمّا لزوم سبقها على النجاسة فلا يستفاد من أمثال هذا التركيب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الرطوبة تمنع من اشتعال الحطب، أو انّ الريح تمنع عن اشتعال المصباح، فالمقصود هو بيان التضاد بينهما، لا شرطية سبق الرطوبة والريح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فكما أنّ أصالة عدم الكرّيّة إلى زمان الملاقاة تستلزم الحكم بنجاسة الماء، هكذا أصالة عدم الملاقاة إلى زمان الكرّيّة تستلزم عاصمية الماء من التأثر بالملاقاة، فيتعارضان ويتساقطان، ويكون المرجع جريان قاعدة الطهارة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تطهّر عن حدث وأحدث ولم يعلم حال كلّ منهما من التقدّم والتأخّر، فيقع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على عروض الحالتين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على عروضهما معلومة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تقدير فإمّا أن يكونا مجهولي التاريخ، أو يكون أحدهما معلوماً والآخر مجهولاً، فيقع الكلام في مقامين</w:t>
      </w:r>
      <w:r>
        <w:rPr>
          <w:rFonts w:eastAsia="Amiri" w:cs="Amiri" w:ascii="Amiri" w:hAnsi="Amiri"/>
          <w:color w:val="111111"/>
          <w:sz w:val="28"/>
          <w:szCs w:val="28"/>
          <w:rtl w:val="true"/>
          <w:lang w:bidi="ar-SA"/>
        </w:rPr>
        <w:t xml:space="preserve">: </w:t>
      </w:r>
      <w:bookmarkStart w:id="477" w:name="pg14367_157221"/>
    </w:p>
    <w:p>
      <w:pPr>
        <w:pStyle w:val="Heading6"/>
        <w:numPr>
          <w:ilvl w:val="5"/>
          <w:numId w:val="1"/>
        </w:numPr>
        <w:rPr/>
      </w:pPr>
      <w:bookmarkStart w:id="478" w:name="__RefHeading___Toc7507214_3381743652"/>
      <w:bookmarkStart w:id="479" w:name="_Toc177"/>
      <w:bookmarkEnd w:id="477"/>
      <w:bookmarkEnd w:id="478"/>
      <w:r>
        <w:rPr>
          <w:rtl w:val="true"/>
        </w:rPr>
        <w:t>المقام الأوّل</w:t>
      </w:r>
      <w:r>
        <w:rPr>
          <w:rtl w:val="true"/>
        </w:rPr>
        <w:t xml:space="preserve">: </w:t>
      </w:r>
      <w:r>
        <w:rPr>
          <w:rtl w:val="true"/>
        </w:rPr>
        <w:t>فيما إذا كانت الحالة السابقة مجهولة</w:t>
      </w:r>
      <w:bookmarkEnd w:id="479"/>
    </w:p>
    <w:p>
      <w:pPr>
        <w:pStyle w:val="BookText"/>
        <w:rPr/>
      </w:pPr>
      <w:r>
        <w:rPr>
          <w:rFonts w:ascii="Amiri" w:hAnsi="Amiri" w:eastAsia="Amiri" w:cs="Amiri"/>
          <w:color w:val="111111"/>
          <w:sz w:val="28"/>
          <w:sz w:val="28"/>
          <w:szCs w:val="28"/>
          <w:rtl w:val="true"/>
          <w:lang w:bidi="ar-SA"/>
        </w:rPr>
        <w:t>إذا كانت الحالة السابقة مجهولة وعلم بالطهارة والحدث، فالظاهر جريان الاستصحاب في كلتا الحالتين، سواء أكانتا مجهولتي التاريخ، أو كانت إحداهما معلومة والأُخرى مجهولة، وقد عرفت جريانه في جانب معلوم التاريخ على قول، ويكون المرجع بعد التعارض لزوم إحراز الطهارة الحدثية للصلاة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7507216_3381743652"/>
      <w:bookmarkStart w:id="481" w:name="_Toc178"/>
      <w:bookmarkEnd w:id="480"/>
      <w:r>
        <w:rPr>
          <w:rtl w:val="true"/>
        </w:rPr>
        <w:t>المقام الثاني</w:t>
      </w:r>
      <w:r>
        <w:rPr>
          <w:rtl w:val="true"/>
        </w:rPr>
        <w:t xml:space="preserve">: </w:t>
      </w:r>
      <w:r>
        <w:rPr>
          <w:rtl w:val="true"/>
        </w:rPr>
        <w:t>فيما إذا كانت الحالة السابقة معلومة</w:t>
      </w:r>
      <w:bookmarkEnd w:id="481"/>
    </w:p>
    <w:p>
      <w:pPr>
        <w:pStyle w:val="BookText"/>
        <w:rPr/>
      </w:pPr>
      <w:r>
        <w:rPr>
          <w:rFonts w:ascii="Amiri" w:hAnsi="Amiri" w:eastAsia="Amiri" w:cs="Amiri"/>
          <w:color w:val="111111"/>
          <w:sz w:val="28"/>
          <w:sz w:val="28"/>
          <w:szCs w:val="28"/>
          <w:rtl w:val="true"/>
          <w:lang w:bidi="ar-SA"/>
        </w:rPr>
        <w:t>إذا كانت الحالة السابقة على عروض الحالتين معلومة، فهناك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الحالة السابقة معلومة وكانت الحالتان مجهولتي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الحالة السابقة معلومة، وكان تاريخ إحدى الحالتين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فلنأخذ الصورة الأُولى بالبحث،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اختلفت كلمتهم في حكمها إلى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إحراز الطهارة الحدثية للدخول في الصلاة لتعارض الاستصحابين فلا مناص عن لزوم إحراز الطهارة للدخول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يؤخذ بضد الحالة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المحقّق في المعتبر، وحكي عن المحقّق الثاني وجماعة المختار عندنا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لأنّه إذا كان في أوّل النهار متطهّراً ثمّ علم بطروء الحالتين من الطهارة والنوم يحكم عليه بكونه محدثاً، وذلك للعلم التفصيلي بالحدث وانتقاض </w:t>
      </w:r>
    </w:p>
    <w:p>
      <w:pPr>
        <w:pStyle w:val="BookText"/>
        <w:rPr/>
      </w:pPr>
      <w:r>
        <w:rPr>
          <w:rFonts w:ascii="Amiri" w:hAnsi="Amiri" w:eastAsia="Amiri" w:cs="Amiri"/>
          <w:color w:val="111111"/>
          <w:sz w:val="28"/>
          <w:sz w:val="28"/>
          <w:szCs w:val="28"/>
          <w:rtl w:val="true"/>
          <w:lang w:bidi="ar-SA"/>
        </w:rPr>
        <w:t>الطهارة قطعاً بلا إشكال، إمّا بتوسط النوم بين الطهارتين، أو بوقوعه بعد الطهارة الثانية، وعلى كلّ تقدير يعلم بعروض الحدث، ويشك في ارتفاعه، فيستصحب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استصحاب الطهارة فلا علم بها لا تفصيلاً ولا إجمالاً، فانّ الطهارة المعلومة أوّل النهار قد زالت يقيناً فهو قطعي الارتفاع، وأمّا عروضها مجدّداً بعد النوم فهو مشكوك بالشكّ البدوي، لأنّه يحتمل أن تكون الطهارة الثانية بعد الطهارة الأُولى بلا فاصل زماني، فارتفاع الطهارة قطعي وعروضه مجدداً مشكوك وهو فرع أن تكون الطهارة بعد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النتيجة عمّا سبق إذا عكسنا المثال السابق بأن كان أوّل النهار محدثاً ثمّ علم بطروء الحالتين من الطهارة والنوم، فيحكم بطهارته للعلم بالطهارة تفصيلاً، وذلك للعلم بأنّ الحالة الأُولى قد زالت وانقلبت إلى الحالة الأُخرى أي‌الطهارة، فهي محقّقة الحدوث، وإنّما الشكّ في ارتفاعها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الحدثية فلا علم تفصيلي بها ولا إجمالي للعلم بانّها زالت بالعلم بطروء الطهارة، وعروضها بعد الطهارة مشكوك بدوي، لأنّه رهن أن يكون النوم بعد الطهارة، وهو غير ثابت لاحتمال أن يكون النوم بعد النوم بلا فاصل زماني، وقدعرفت في مقدمة البحث انّ العلم الإجمالي إنّما ينجِّز إذا كان منجزاً على كلّ تقدير، فالنوم في المثال الأوّل منجز على كلّ تقدير سواء وقع بين الطهارتين أو بعد الطهارة الثانية، ولذلك نأخذ به، وقلنا إنّه فيها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الطهارة في المثال الثاني محدثة للأثر على كلّ تقدير سواء وقع بين النومين أو بعد النوم الثاني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غرار هذه القاعدة يجب أن نأخذ بالشق المؤثر على كلّ تقدير للعلم الإجمالي، وليس هو إلّاضدّ الحالة السابقة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استصحاباً آخر لا يمكن إنكاره، مثلاً في المثال الثاني يعلم إجمالاً بوجود الحدث بعد السبب، وإن لم يعلم أنّه من السبب الأوّل أو الثاني، فيستصحب، ومثله في الصورة الأُولى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علماً بالسبب، لا علماً بالسبب المؤثر، إذ لو كان السببان متعاقبين لما كان للسبب الثاني 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الإجمالي بالحدث بعد 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تفصيلي وشك بدوي، إذ الحدث الذي دلّ السبب على وجوده لو كان هو الحدث السابق فقد ارتفع قطعاً وحدوثه بعد الوضوء 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بأنّه يعلم بوجود الحدث بعد السبب الثاني مرجعه إلى القول بأنّه يعلم بطروء الحدث إمّا قبل الوضوء أو بعده، فلو طرأ قبله فقد ارتفع قطعاً، ولو طرأ بعده يكون مؤثراً ولكنّه مشكوك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انّه لو رأى الجنب المغتسل عن جنابته، أثرَ الجنابة في ثوبه، فلا يجب عليه الاغتسال وإن كان يعلم بحدوث الجنابة بعد هذا الأثر، وذلك لأنّ الأثر الحاصل في ثوبه إن كان من الجنابة السابقة فقد ارتفع، وإن كان من الجنابة الجديدة، فهو و إن كان مؤثراً لكنّه مشكوك الحدوث، فليس هناك علم بالجنابة الحادثة بعد ذلك الأثر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الحالة السابقة معلومة، و كان تاريخ أحدهما معلوماً، فالأقوى أنّ حكمها حكم الصورة الأُولى على غرار ما ذكرنا من انحلال العلم الإجمالي،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أوّل النهار محدثاً وعلم بالطهارة في أوّل الظهر وعلم بالنوم امّا قبل الطهارة أو بعدها، فبما أنّ العلم بالنوم ليس علماً بالسبب الفعلي بل اقصاه العلم بوجود الحدث بعده إمّا من السبب السابق أو منه نفسه، </w:t>
      </w:r>
    </w:p>
    <w:p>
      <w:pPr>
        <w:pStyle w:val="BookText"/>
        <w:rPr/>
      </w:pPr>
      <w:r>
        <w:rPr>
          <w:rFonts w:ascii="Amiri" w:hAnsi="Amiri" w:eastAsia="Amiri" w:cs="Amiri"/>
          <w:color w:val="111111"/>
          <w:sz w:val="28"/>
          <w:sz w:val="28"/>
          <w:szCs w:val="28"/>
          <w:rtl w:val="true"/>
          <w:lang w:bidi="ar-SA"/>
        </w:rPr>
        <w:t>والمسبّب الأوّل مقطوع الارتفاع، وحدوثه من السبب الثاني مشكوك، فلا يكون مؤثراً، وهذا بخلاف الطهارة الحاصلة في أوّل الظهر، فالعلم بها علم بالسبب الفعلي، وانّها أزالت الحالة السابقة إمّا بتوسطها بين النوعين أو تعقبها بعد النوم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سيدنا الأُستاذ ذهب في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أحدهما معلومي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التفصيل، وهو أنّه إذا كان المعلوم تاريخه ضداً للحالة السابقة المعلومة كما في المثال السابق، فيؤخذ بالضد حيث كانت الحالة السابقة هي الحدث والمعلوم تاريخه هو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المعلوم تاريخه مماثلاً للحالة السابقة، كما إذا كان المعلوم تاريخه هو الحدث وكانت الحالة السابقة أيضاً هي الحدث يؤخذ بقول المشهور من لزوم إحراز الطهارة، وذلك بحجّة انّ استصحاب الكلي لا مانع عنه، لأنّ الكلي في أوّل الزوال معلوم التحقّق ومحتمل البقاء، لأنّه يعلم في أوّل الظهر انّه محدث فيستصحب كلّي الحدث</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مجال لاستصحاب الكلّي، لأنّه مردّد بين فرد قطعي الارتفاع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مشكوك الحدوث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النوم بعد الطهارة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المقام و بين استصحاب الكلّي من القسم الثالث إذا علمنا بوجود إنسان في الدار ثمّ علمنا خروجه واحتملنا دخول فرد في الدار حين خروجه و مثله المقام، فانّ الحدث الأوّل مقطوع الارتفاع ولكنّه نحتمل ببقائه في ظل الفرد الثاني؟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الموردين واضح، فانّ تقارن الفرد في استصحاب الكلّي محقّق للاستصحاب ولا يضرّ به، ولكن التقارن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تقارن الحدثين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 للعلم بارتفاع الحالة السابقة، واحتمال الانفصال أي‌تحقّق الحدث بعد الطهارة يوجب الفصل بين زوال الفرد الأوّل وتحقّق الفرد الثاني المحتمل وعندئذٍ لا يكون المورد شكّ في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انّه يؤخذ بضدّ الحالة السابقة مثل الصور السابقة، إذ لا علم في أوّل الزوال بالسبب المؤثّر، غايته كونه أمارة على وجود الحدث في هذا الزمان، لكنّه لو كان مستنداً إلى السبب الأوّل، فهو مقطوع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وحدوثه بالسبب الثاني مشكوك فينحلّ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سبب نعلم بكونه محدثاً للأثر على كلّ تقدير يؤخذ بأثره وهو الطهارة في هذا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السبب الذي يؤثّر على تقدير دون تقدير كالنوم، فبما انّه ليس بمنجّز، فلا يصحّ الأخذ بأثره إذ لا 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فروع أُخرى نذكر عناوينها بلا 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ادّعى الزوج الرجوع في عدّة المطلقة الرجعية وادّعت الزوجة تأخّره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ادّعى أحد المتعاملين في بيع الحيوان كون الفسخ في الثلاثة، والآخر كونه بعد انتهاء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أذن المرتهن في البيع ثمّ رجع عن إذنه، وباع الراهن، فاختلفا في كون البيع قبل الرجوع أو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تطهّر وصلّى وعلم بصدور حدث منه وشكّ في تقدّم الحدث على </w:t>
      </w:r>
    </w:p>
    <w:p>
      <w:pPr>
        <w:pStyle w:val="BookText"/>
        <w:rPr/>
      </w:pPr>
      <w:r>
        <w:rPr>
          <w:rFonts w:ascii="Amiri" w:hAnsi="Amiri" w:eastAsia="Amiri" w:cs="Amiri"/>
          <w:color w:val="111111"/>
          <w:sz w:val="28"/>
          <w:sz w:val="28"/>
          <w:szCs w:val="28"/>
          <w:rtl w:val="true"/>
          <w:lang w:bidi="ar-SA"/>
        </w:rPr>
        <w:t>الصلاة أو بعدها إذا لم يمكن إجراء قاعدة الفراغ، لأجل اشتراط الأذكرية المفقودة في المقام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الفروع التي يمكن استخراج أحكامها ممّا ذكرنا</w:t>
      </w:r>
      <w:r>
        <w:rPr>
          <w:rFonts w:eastAsia="Amiri" w:cs="Amiri" w:ascii="Amiri" w:hAnsi="Amiri"/>
          <w:color w:val="111111"/>
          <w:sz w:val="28"/>
          <w:szCs w:val="28"/>
          <w:rtl w:val="true"/>
          <w:lang w:bidi="ar-SA"/>
        </w:rPr>
        <w:t xml:space="preserve">. </w:t>
      </w:r>
      <w:bookmarkStart w:id="482" w:name="pg14367_157227"/>
    </w:p>
    <w:p>
      <w:pPr>
        <w:pStyle w:val="BookText"/>
        <w:rPr/>
      </w:pPr>
      <w:bookmarkEnd w:id="482"/>
      <w:r>
        <w:rPr>
          <w:rFonts w:ascii="Amiri" w:hAnsi="Amiri" w:eastAsia="Amiri" w:cs="Amiri"/>
          <w:color w:val="111111"/>
          <w:sz w:val="28"/>
          <w:sz w:val="28"/>
          <w:szCs w:val="28"/>
          <w:rtl w:val="true"/>
          <w:lang w:bidi="ar-SA"/>
        </w:rPr>
        <w:t>التنبيهات</w:t>
      </w:r>
    </w:p>
    <w:p>
      <w:pPr>
        <w:pStyle w:val="Heading5"/>
        <w:numPr>
          <w:ilvl w:val="4"/>
          <w:numId w:val="1"/>
        </w:numPr>
        <w:rPr/>
      </w:pPr>
      <w:bookmarkStart w:id="483" w:name="__RefHeading___Toc7507218_3381743652"/>
      <w:bookmarkStart w:id="484" w:name="_Toc179"/>
      <w:bookmarkEnd w:id="483"/>
      <w:r>
        <w:rPr/>
        <w:t>13</w:t>
      </w:r>
      <w:r>
        <w:rPr>
          <w:rtl w:val="true"/>
        </w:rPr>
        <w:t xml:space="preserve">- </w:t>
      </w:r>
      <w:r>
        <w:rPr>
          <w:rtl w:val="true"/>
        </w:rPr>
        <w:t>في جريان الاستصحاب في العقائد والمعارف</w:t>
      </w:r>
      <w:bookmarkEnd w:id="484"/>
    </w:p>
    <w:p>
      <w:pPr>
        <w:pStyle w:val="Heading6"/>
        <w:numPr>
          <w:ilvl w:val="5"/>
          <w:numId w:val="1"/>
        </w:numPr>
        <w:rPr/>
      </w:pPr>
      <w:bookmarkStart w:id="485" w:name="__RefHeading___Toc7507220_3381743652"/>
      <w:bookmarkStart w:id="486" w:name="_Toc180"/>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وقبل الخوض في المقصود نذكر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صحّة التعبد بشيء، ترتّب الأثر عليه حتى لا يكون لغواً، والتعبد ببقاء اليقين أو المتيقّن رهن ترتّب الأثر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فالمستصحب إمّا حكم شرعي أو موضوع ذو أثر شرعي من دون فرق بين أن يكون الموضوع خارجياً أو لغويّاً أو اعتقادياً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كاستصحاب حياة زيد، والثاني كاستصحاب ظهور لفظ في معنى ثمّ شك في بقائه، وأمّا الثالث فهذا هو الأمر الباعث لعقد هذا التنبيه وسيتضح لك جريان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المحقّقون إلى أنّ النسبة بين الإيمان واليقين عموم و خصوص من وجه، فربما يكون يقين ولا إيمان بمعنى التسليم القلبي، كما في آل فرعون حيث إنّهم رأوا آيات ربّهم التي جاء بها موسى واستيقنوا بأنّ موسى مرسل من ربّهم ومع ذلك أصرّوا على طغيانهم،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جَحَدُوا بِها وَ اسْتَيْقَنَتْها أَنْفُسُهُمْ ظُلْماً وَ عُلُوًّا فَانْظُرْ كَيْفَ كانَ عاقِبَةُ الْمُفْسِدِينَ</w:t>
      </w:r>
      <w:r>
        <w:rPr>
          <w:rFonts w:eastAsia="Amiri" w:cs="Amiri" w:ascii="Amiri" w:hAnsi="Amiri"/>
          <w:color w:val="111111"/>
          <w:sz w:val="28"/>
          <w:szCs w:val="28"/>
          <w:rtl w:val="true"/>
          <w:lang w:bidi="ar-SA"/>
        </w:rPr>
        <w:t>) .</w:t>
      </w:r>
      <w:r>
        <w:rPr>
          <w:rStyle w:val="FootnoteAnchor"/>
          <w:rtl w:val="true"/>
        </w:rPr>
        <w:footnoteReference w:id="15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سيدنا الأُستاذ يمثل بالإنسان الخائف من الميت، فانّه على يقين بأنّه </w:t>
      </w:r>
    </w:p>
    <w:p>
      <w:pPr>
        <w:pStyle w:val="BookText"/>
        <w:rPr/>
      </w:pPr>
      <w:r>
        <w:rPr>
          <w:rFonts w:ascii="Amiri" w:hAnsi="Amiri" w:eastAsia="Amiri" w:cs="Amiri"/>
          <w:color w:val="111111"/>
          <w:sz w:val="28"/>
          <w:sz w:val="28"/>
          <w:szCs w:val="28"/>
          <w:rtl w:val="true"/>
          <w:lang w:bidi="ar-SA"/>
        </w:rPr>
        <w:t>لا يضر ومع ذلك يخاف منه، بخلاف الغسّال فانّه على يقين وإيمان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يكون إيمان ولا يقين، كما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إِلَى الَّذِينَ أُوتُوا نَصِيباً مِنَ الْكِتابِ يُؤْمِنُونَ بِالْجِبْتِ وَ الطّاغُوتِ وَ يَقُولُونَ لِلَّذِينَ كَفَرُوا هؤُلاءِ أَهْدى مِنَ الَّذِينَ آمَنُوا سَبِيلاً</w:t>
      </w:r>
      <w:r>
        <w:rPr>
          <w:rFonts w:eastAsia="Amiri" w:cs="Amiri" w:ascii="Amiri" w:hAnsi="Amiri"/>
          <w:color w:val="111111"/>
          <w:sz w:val="28"/>
          <w:szCs w:val="28"/>
          <w:rtl w:val="true"/>
          <w:lang w:bidi="ar-SA"/>
        </w:rPr>
        <w:t>)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نزلت الآية في حقّ أهل الكتاب الذين يدّعون انّهم على دين إبراهيم ومع ذلك قالوا إنّ الوثنيين أهدى سبيلاً من المؤمنين، تفوّهوا بتلك الكلمة في جواب سؤال قريش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أميّون لا نعلم، فأيّنا أهدى طريقاً وأقرب إلى الحقّ، أنحن أم محمد؟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واللّه أهدى سبيلاً ممّا عليه محمّد، فنزلت الآية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فقد عقدوا قلوبهم بما تفوّهوا به وقد عبّر عنه سبحانه بالإيمان وكانوا على يقين ببطلان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يجتمعان كما هو واضح</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مضى عند البحث في حجيّة الظن، كفاية الظنّ في الاعتقادات وعدمها، وقد أشبعنا الكلام فيه، فلم يكن هنا حاجة إلى التكرار، لكن الباعث لعقد هذا التنبيه في المناظرة الواقعة بين بعض الفضلاء من السادات و بعض أهل الكتاب في منطقة بين النجف وكربلاء تسمى بذي الكفل حيث تمسّك الكتابي في بقاء شريعته بالاستصحاب، فدار الجدل بينهما بنحو مذكور في الكتب، فصار ذلك سبباً لطرح ذلك في مبحث الاستصحاب، فطرحه القمّي في قوانينه، و الشيخ في فرائده، ومن جاء بعده</w:t>
      </w:r>
      <w:r>
        <w:rPr>
          <w:rFonts w:eastAsia="Amiri" w:cs="Amiri" w:ascii="Amiri" w:hAnsi="Amiri"/>
          <w:color w:val="111111"/>
          <w:sz w:val="28"/>
          <w:szCs w:val="28"/>
          <w:rtl w:val="true"/>
          <w:lang w:bidi="ar-SA"/>
        </w:rPr>
        <w:t xml:space="preserve">. </w:t>
      </w:r>
      <w:bookmarkStart w:id="487" w:name="pg14367_157229"/>
    </w:p>
    <w:p>
      <w:pPr>
        <w:pStyle w:val="BookText"/>
        <w:rPr/>
      </w:pPr>
      <w:bookmarkEnd w:id="487"/>
      <w:r>
        <w:rPr>
          <w:rFonts w:ascii="Amiri" w:hAnsi="Amiri" w:eastAsia="Amiri" w:cs="Amiri"/>
          <w:color w:val="111111"/>
          <w:sz w:val="28"/>
          <w:sz w:val="28"/>
          <w:szCs w:val="28"/>
          <w:rtl w:val="true"/>
          <w:lang w:bidi="ar-SA"/>
        </w:rPr>
        <w:t>إذا عرفت ذلك، فيقع الكلام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ا لأُمور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الاستصحاب في بقاء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انتفاع الكتابي بالتمسّك بالاستصحاب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البحث في كلّ واحد من هذه المقامات</w:t>
      </w:r>
      <w:r>
        <w:rPr>
          <w:rFonts w:eastAsia="Amiri" w:cs="Amiri" w:ascii="Amiri" w:hAnsi="Amiri"/>
          <w:color w:val="111111"/>
          <w:sz w:val="28"/>
          <w:szCs w:val="28"/>
          <w:rtl w:val="true"/>
          <w:lang w:bidi="ar-SA"/>
        </w:rPr>
        <w:t>:</w:t>
      </w:r>
    </w:p>
    <w:p>
      <w:pPr>
        <w:pStyle w:val="Heading6"/>
        <w:numPr>
          <w:ilvl w:val="5"/>
          <w:numId w:val="1"/>
        </w:numPr>
        <w:rPr/>
      </w:pPr>
      <w:bookmarkStart w:id="488" w:name="__RefHeading___Toc7507222_3381743652"/>
      <w:bookmarkStart w:id="489" w:name="_Toc181"/>
      <w:bookmarkEnd w:id="488"/>
      <w:r>
        <w:rPr>
          <w:rtl w:val="true"/>
        </w:rPr>
        <w:t>المقام الأوّل</w:t>
      </w:r>
      <w:r>
        <w:rPr>
          <w:rtl w:val="true"/>
        </w:rPr>
        <w:t xml:space="preserve">: </w:t>
      </w:r>
      <w:r>
        <w:rPr>
          <w:rtl w:val="true"/>
        </w:rPr>
        <w:t>جريان الاستصحاب في الأُمور الاعتقادية</w:t>
      </w:r>
      <w:bookmarkEnd w:id="489"/>
    </w:p>
    <w:p>
      <w:pPr>
        <w:pStyle w:val="BookText"/>
        <w:rPr/>
      </w:pPr>
      <w:r>
        <w:rPr>
          <w:rFonts w:ascii="Amiri" w:hAnsi="Amiri" w:eastAsia="Amiri" w:cs="Amiri"/>
          <w:color w:val="111111"/>
          <w:sz w:val="28"/>
          <w:sz w:val="28"/>
          <w:szCs w:val="28"/>
          <w:rtl w:val="true"/>
          <w:lang w:bidi="ar-SA"/>
        </w:rPr>
        <w:t>إنّ جريان الاستصحاب في الأُمور الاعتقادية مبني على جواز الفصل بين اليقين والعقيدة، وإلّا فلا معنى للاستصحاب في الأُمور التي ينوط وجودها باليقين، وبما انّك عرفت جواز الفصل فنذكر ما ذكره المحقّق الخراساني على وجه الإيجاز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الأُمور الاعتقادية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يكون المطلوب فيها هو الانقياد والتسليم وعقد القلب فقط وإن لم يكن معه يقين، فهذا ما يجوز فيه الاستصحاب موضوعاً وحكماً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سؤال القبر من دين اللّه فشككنا في بقائه على ما كان عليه، فيستصحب انّه من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بوجوب الالتزام بحكم اللّه سبحانه و شككنا في بقاء حكم المتعة من الجواز وعدمه حتى نلتزم به، فيستصحب الجواز استصحاباً حكمياً ويقع موضوعاً لوجوب الالتزام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وقسم آخر يكون المطلوب فيه هو القطع بها ومعرفتها معرفة علمية، فلا </w:t>
      </w:r>
      <w:bookmarkStart w:id="490" w:name="pg14367_157230"/>
    </w:p>
    <w:p>
      <w:pPr>
        <w:pStyle w:val="BookText"/>
        <w:rPr/>
      </w:pPr>
      <w:bookmarkEnd w:id="490"/>
      <w:r>
        <w:rPr>
          <w:rFonts w:ascii="Amiri" w:hAnsi="Amiri" w:eastAsia="Amiri" w:cs="Amiri"/>
          <w:color w:val="111111"/>
          <w:sz w:val="28"/>
          <w:sz w:val="28"/>
          <w:szCs w:val="28"/>
          <w:rtl w:val="true"/>
          <w:lang w:bidi="ar-SA"/>
        </w:rPr>
        <w:t>يجوز الاستصحاب فيها موضوعاً، وإن جاز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كمعرفة الإمام إذا شككنا في بقاء حياته، فلا يثبت بقاء حياته بالاستصحاب وجوب معرفته، لأنّ المطلوب المعرفة اليقينية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لم يعرف إمام زمانه فقد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الإنسان على يقين بوجوب تحصيل العلم بتفاصيل القيامة وشك في بقاء وجوبه، فيستصحب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الأمرين هو أنّ الاكتفاء بالاستصحاب في الأوّل موجب للخلف، إذ اللازم هو معرفة الإمام معرفة يقينيّة والاستصحاب لا يفيد إلّاالظن، بخلاف الثاني، فانّ الاستصحاب يؤيد لزوم المعرفة اليقينية حيث إنّ المستصحب هو لزوم تحصيل اليقين بتفاصيل القيامة فاستصحابه يدعم تحصيل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خلاصة التفصيل في المقام الأوّل</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7507224_3381743652"/>
      <w:bookmarkStart w:id="492" w:name="_Toc182"/>
      <w:bookmarkEnd w:id="491"/>
      <w:r>
        <w:rPr>
          <w:rtl w:val="true"/>
        </w:rPr>
        <w:t>المقام الثاني</w:t>
      </w:r>
      <w:r>
        <w:rPr>
          <w:rtl w:val="true"/>
        </w:rPr>
        <w:t xml:space="preserve">: </w:t>
      </w:r>
      <w:r>
        <w:rPr>
          <w:rtl w:val="true"/>
        </w:rPr>
        <w:t>استصحاب النبوة</w:t>
      </w:r>
      <w:bookmarkEnd w:id="492"/>
    </w:p>
    <w:p>
      <w:pPr>
        <w:pStyle w:val="BookText"/>
        <w:rPr/>
      </w:pPr>
      <w:r>
        <w:rPr>
          <w:rFonts w:ascii="Amiri" w:hAnsi="Amiri" w:eastAsia="Amiri" w:cs="Amiri"/>
          <w:color w:val="111111"/>
          <w:sz w:val="28"/>
          <w:sz w:val="28"/>
          <w:szCs w:val="28"/>
          <w:rtl w:val="true"/>
          <w:lang w:bidi="ar-SA"/>
        </w:rPr>
        <w:t>فقد ذكر المحقّق الخراساني لهذا الاستصحاب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بمعنى بلوغ النفس مرتبة من الكمال يوحى إليها، والنبوّة بهذا المعنى غير قابلة للاستصحاب، لعدم الشك في زوالها بعد بلوغ النفس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كونها أمراً تكوينياً غير قابل للجعل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بمعنى المنصب المجعول للنبيّ كالوكالة للوكيل، والنبوة بهذا المعنى إذا شك في بقائها قابلة للاستصحاب، ولكن يحتاج إلى دليل غير منوط بتلك النبوة، وغير مأخوذ من ذلك الشرع، كما إذا كان الاستصحاب حجّة من </w:t>
      </w:r>
      <w:bookmarkStart w:id="493" w:name="pg14367_157231"/>
    </w:p>
    <w:p>
      <w:pPr>
        <w:pStyle w:val="BookText"/>
        <w:rPr/>
      </w:pPr>
      <w:bookmarkEnd w:id="493"/>
      <w:r>
        <w:rPr>
          <w:rFonts w:ascii="Amiri" w:hAnsi="Amiri" w:eastAsia="Amiri" w:cs="Amiri"/>
          <w:color w:val="111111"/>
          <w:sz w:val="28"/>
          <w:sz w:val="28"/>
          <w:szCs w:val="28"/>
          <w:rtl w:val="true"/>
          <w:lang w:bidi="ar-SA"/>
        </w:rPr>
        <w:t>باب العقل، وإلّا فالشكّ في بقاء النبوة المنصبيّة يلازم الشك في بقاء حجّية الاستصحاب الذي ورد في شريعته، فالتمسّك في بقاء النبوة بالاستصحاب الوارد في دينه مستلزم للدور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النبوة بمعنى استصحاب بعض أحكام شريعة من وصف بالنبوة، وقد عرفت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معنى رابع وهو استصحاب مجموع الأحكام الواردة في الشريعة السابقة، وهذا المعنى قابل للاستصحاب، ولكن يحتاج إلى الدليل في غير نفس الشريعة السابقة فإنّه لا يمكن التمسك به لإثبات بقاء أحكام تلك الشريعة، لأنّ حجّية الاستصحاب من جملة تلك الأحكام، فيلزم التمسّك بالاستصحاب لاستصحاب بقاء نفسه وهو دور واضح</w:t>
      </w:r>
      <w:r>
        <w:rPr>
          <w:rFonts w:eastAsia="Amiri" w:cs="Amiri" w:ascii="Amiri" w:hAnsi="Amiri"/>
          <w:color w:val="111111"/>
          <w:sz w:val="28"/>
          <w:szCs w:val="28"/>
          <w:rtl w:val="true"/>
          <w:lang w:bidi="ar-SA"/>
        </w:rPr>
        <w:t>.</w:t>
      </w:r>
    </w:p>
    <w:p>
      <w:pPr>
        <w:pStyle w:val="Heading6"/>
        <w:numPr>
          <w:ilvl w:val="5"/>
          <w:numId w:val="1"/>
        </w:numPr>
        <w:rPr/>
      </w:pPr>
      <w:bookmarkStart w:id="494" w:name="__RefHeading___Toc7507226_3381743652"/>
      <w:bookmarkStart w:id="495" w:name="_Toc183"/>
      <w:bookmarkEnd w:id="494"/>
      <w:r>
        <w:rPr>
          <w:rtl w:val="true"/>
        </w:rPr>
        <w:t>المقام الثالث</w:t>
      </w:r>
      <w:r>
        <w:rPr>
          <w:rtl w:val="true"/>
        </w:rPr>
        <w:t xml:space="preserve">: </w:t>
      </w:r>
      <w:r>
        <w:rPr>
          <w:rtl w:val="true"/>
        </w:rPr>
        <w:t>هل ينتفع الكتابي بالاستصحاب أو لا؟</w:t>
      </w:r>
      <w:bookmarkEnd w:id="495"/>
    </w:p>
    <w:p>
      <w:pPr>
        <w:pStyle w:val="BookText"/>
        <w:rPr/>
      </w:pPr>
      <w:r>
        <w:rPr>
          <w:rFonts w:ascii="Amiri" w:hAnsi="Amiri" w:eastAsia="Amiri" w:cs="Amiri"/>
          <w:color w:val="111111"/>
          <w:sz w:val="28"/>
          <w:sz w:val="28"/>
          <w:szCs w:val="28"/>
          <w:rtl w:val="true"/>
          <w:lang w:bidi="ar-SA"/>
        </w:rPr>
        <w:t>إن تمسّك الكتابي بالاستصحاب لا يخلو من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لإلزام المسلم، أو لإقناع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فلا ينفع الاستصحاب فيها إلّاإذا ثبتت الأُمور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الخصم شاكاً في منسوخية نبوة النبي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معترفاً بحجّية الاستصحاب في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هناك حالة سابقة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غير موجود، لأنّ المسلم ليس شاكاً في منسوخية النبي السابق، ولا </w:t>
      </w:r>
    </w:p>
    <w:p>
      <w:pPr>
        <w:pStyle w:val="BookText"/>
        <w:rPr/>
      </w:pPr>
      <w:r>
        <w:rPr>
          <w:rFonts w:ascii="Amiri" w:hAnsi="Amiri" w:eastAsia="Amiri" w:cs="Amiri"/>
          <w:color w:val="111111"/>
          <w:sz w:val="28"/>
          <w:sz w:val="28"/>
          <w:szCs w:val="28"/>
          <w:rtl w:val="true"/>
          <w:lang w:bidi="ar-SA"/>
        </w:rPr>
        <w:t>معترفاً بحجّيته في الأُصول، ولا معترفاً بنبوة النبي السابق إلّاعن طريق القرآن الكريم وأخبار النبي صلى الله عليه و آله و سلم، وأمّا التواتر فإنّما ثبت به وجود الكليم والمسيح وادّعائهما النبوة لا صحة نبوتهما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فليس عند المسلم دليل على صحة نبوتهما إلّاأخبار القرآن بأنّهما نبيّان مضت هذه رسالتها ونسخت شريعتهما، ومع ذلك كيف يمكن لليهود استصحاب نبوة الكليم أو المسيح؟</w:t>
      </w:r>
    </w:p>
    <w:p>
      <w:pPr>
        <w:pStyle w:val="BookText"/>
        <w:rPr/>
      </w:pPr>
      <w:r>
        <w:rPr>
          <w:rFonts w:ascii="Amiri" w:hAnsi="Amiri" w:eastAsia="Amiri" w:cs="Amiri"/>
          <w:color w:val="111111"/>
          <w:sz w:val="28"/>
          <w:sz w:val="28"/>
          <w:szCs w:val="28"/>
          <w:rtl w:val="true"/>
          <w:lang w:bidi="ar-SA"/>
        </w:rPr>
        <w:t>وإلى ما ذكرنا ينظر كلام الإمام الرضا عليه السلام في مناظرته مع الجاثليق، حيث سأله الجاثليق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نبوة عيسى وكتابه، وهل يلتزم منها شيئاً؟</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نقرّ بنبوة عيسى وكتابه وما بشّر به أُمته وأقرّت به الحواريون، وكافر بنبوة كلّ عيسى لم يقرّ بنبوة محمّد وكتابه ولم يبشر به أُمّته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هذا كلّه إلزاماً، وأمّا إقناعاً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تمسّكه بالاستصحاب لإقناع نفسه يعرب عن كونه شاكاً والواجب عليه هو الفحص عن نبوة النبي اللاحق، والنظر إلى حالاته ومعجزاته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التمسّك بالاستصحاب رهن وجود الدليل، ثمّ الدليل على حجّيته إمّا نفس الشريعة السابقة أو اللاحقة، فلو كان الأوّل يلزم الدور، لأنّ التمسّك به فرع بقاء الشريعة السابقة، فلو ثبت بقاؤها به لزم الدور، ولو كان الثاني يلزم الخلف، لأنّ التمسّك بحكم شريعته فرع الاعتراف بكونه حقّاً، والاعتراف بها يستلزم منسوخية الشريعة السابقة، وهوخلاف ما يدّعيه المتمسك</w:t>
      </w:r>
      <w:r>
        <w:rPr>
          <w:rFonts w:eastAsia="Amiri" w:cs="Amiri" w:ascii="Amiri" w:hAnsi="Amiri"/>
          <w:color w:val="111111"/>
          <w:sz w:val="28"/>
          <w:szCs w:val="28"/>
          <w:rtl w:val="true"/>
          <w:lang w:bidi="ar-SA"/>
        </w:rPr>
        <w:t xml:space="preserve">. </w:t>
      </w:r>
      <w:bookmarkStart w:id="496" w:name="pg14367_157233"/>
    </w:p>
    <w:p>
      <w:pPr>
        <w:pStyle w:val="BookText"/>
        <w:rPr/>
      </w:pPr>
      <w:bookmarkEnd w:id="496"/>
      <w:r>
        <w:rPr>
          <w:rFonts w:ascii="Amiri" w:hAnsi="Amiri" w:eastAsia="Amiri" w:cs="Amiri"/>
          <w:color w:val="111111"/>
          <w:sz w:val="28"/>
          <w:sz w:val="28"/>
          <w:szCs w:val="28"/>
          <w:rtl w:val="true"/>
          <w:lang w:bidi="ar-SA"/>
        </w:rPr>
        <w:t>التنبيهات</w:t>
      </w:r>
    </w:p>
    <w:p>
      <w:pPr>
        <w:pStyle w:val="Heading5"/>
        <w:numPr>
          <w:ilvl w:val="4"/>
          <w:numId w:val="1"/>
        </w:numPr>
        <w:rPr/>
      </w:pPr>
      <w:bookmarkStart w:id="497" w:name="__RefHeading___Toc7507228_3381743652"/>
      <w:bookmarkStart w:id="498" w:name="_Toc184"/>
      <w:bookmarkEnd w:id="497"/>
      <w:r>
        <w:rPr/>
        <w:t>14</w:t>
      </w:r>
      <w:r>
        <w:rPr>
          <w:rtl w:val="true"/>
        </w:rPr>
        <w:t xml:space="preserve">- </w:t>
      </w:r>
      <w:r>
        <w:rPr>
          <w:rtl w:val="true"/>
        </w:rPr>
        <w:t>في استصحاب حكم المخصص</w:t>
      </w:r>
      <w:bookmarkEnd w:id="498"/>
    </w:p>
    <w:p>
      <w:pPr>
        <w:pStyle w:val="Heading6"/>
        <w:numPr>
          <w:ilvl w:val="5"/>
          <w:numId w:val="1"/>
        </w:numPr>
        <w:rPr/>
      </w:pPr>
      <w:bookmarkStart w:id="499" w:name="__RefHeading___Toc7507230_3381743652"/>
      <w:bookmarkStart w:id="500" w:name="_Toc185"/>
      <w:bookmarkEnd w:id="499"/>
      <w:r>
        <w:rPr>
          <w:rtl w:val="true"/>
        </w:rPr>
        <w:t>اشارة</w:t>
      </w:r>
      <w:bookmarkEnd w:id="500"/>
    </w:p>
    <w:p>
      <w:pPr>
        <w:pStyle w:val="BookText"/>
        <w:rPr/>
      </w:pPr>
      <w:r>
        <w:rPr>
          <w:rFonts w:ascii="Amiri" w:hAnsi="Amiri" w:eastAsia="Amiri" w:cs="Amiri"/>
          <w:color w:val="111111"/>
          <w:sz w:val="28"/>
          <w:sz w:val="28"/>
          <w:szCs w:val="28"/>
          <w:rtl w:val="true"/>
          <w:lang w:bidi="ar-SA"/>
        </w:rPr>
        <w:t>إذا ورد التخصيص على عموم وعلم خروج فرد من تحته في فترة من الزمان، ولكن شكّ في أنّ خروجه يختص بها أو يعمُّ ما بعدها،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وقد خرج منه العقد الغبني، فالمغبون ذو خيار بين الإمضاء والفسخ، فشككنا في أنّ الخيار فوري أو ثابت إلى زمان لا يتضرر البائع من تزلزل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عنوان البحث، وهو مركَّز على ما إذا كان التخصيص زمانياً لا فرديّاً بمعنى عدم إخراج الفرد من تحت العام بتاتاً، بل كان باقياً تحته في فترة وخرج عنه في فترة خاصة كزمان الغبن وشكّ في استمرار حكم المخصص أو عموم حكم العام، كما أنّ محلّ‌الكلام عبارة عمّا إذا لم يكن للمخصص إطلاق، أو عموم أزماني، وإلّا فلا تصل النوبة إلى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أقوال بين المحقّقين سنشير إليها</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7507232_3381743652"/>
      <w:bookmarkStart w:id="502" w:name="_Toc186"/>
      <w:bookmarkEnd w:id="501"/>
      <w:r>
        <w:rPr/>
        <w:t>1</w:t>
      </w:r>
      <w:r>
        <w:rPr>
          <w:rtl w:val="true"/>
        </w:rPr>
        <w:t xml:space="preserve">. </w:t>
      </w:r>
      <w:r>
        <w:rPr>
          <w:rtl w:val="true"/>
        </w:rPr>
        <w:t>الفرق بين كون الزمان قيداً أو ظرفاً</w:t>
      </w:r>
      <w:bookmarkEnd w:id="5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الشيخ إلى ثنائيّة التقسيم وانّ الزمان في جانب العام تارة يُؤخذ قيداً </w:t>
      </w:r>
      <w:bookmarkStart w:id="503" w:name="pg14367_157234"/>
    </w:p>
    <w:p>
      <w:pPr>
        <w:pStyle w:val="BookText"/>
        <w:rPr/>
      </w:pPr>
      <w:bookmarkEnd w:id="503"/>
      <w:r>
        <w:rPr>
          <w:rFonts w:ascii="Amiri" w:hAnsi="Amiri" w:eastAsia="Amiri" w:cs="Amiri"/>
          <w:color w:val="111111"/>
          <w:sz w:val="28"/>
          <w:sz w:val="28"/>
          <w:szCs w:val="28"/>
          <w:rtl w:val="true"/>
          <w:lang w:bidi="ar-SA"/>
        </w:rPr>
        <w:t>للموضوع وأُخرى ظرفاً، والمراد من الأوّل ما إذا كان الفرد في كلّ زمان فرداً خاصاً مغايراً له في الزمان الآخر، فيكون عندئذٍ للفرد الواحد اطاعات وعصيانات حسب اختلاف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الثاني ما إذا كان الزمان غير دخيل في موضوعية الموضوع، وإنّما ذكر لأجل انّ الفعل المادي لا ينفصل عن الزمان، وإلّا فالفرد في الزمان الأوّل نفس الفرد في الزمان الثاني، وكلاهما موضوع واحد، فلا يكون لكلّ فرد إلّاطاعة أو عصيان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إذا كان الزمان في دليل العام قيداً للموضوع يُتمسك بالعام ولا يتمسّك بالاستصحاب، وذلك لأنّ خروجه عن تحت العام في الفترة الثانية تخصيص ثان والأصل عدم التخصيص، حتى لو لم يكن المرجع هو العام لا يصلح الاستصحاب للدليلية لعدم وحدة القضية المتيقّنة مع القضية المشكوكة، لكون الزمان مفرداً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الزمان في جانب العام ظرفاً على نحو يكون خروج الفرد في قطعة أو قطعات من الزمان تخصيصاً واحداً فيتمسك باستصحاب حكم المخصص لوحدة القضية المتيقّنة و المشكوكة، ولا يتمسك بالعام لعدم استلزام الاعراض عنه تخصيصاً زائداً</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7507234_3381743652"/>
      <w:bookmarkStart w:id="505" w:name="_Toc187"/>
      <w:bookmarkEnd w:id="504"/>
      <w:r>
        <w:rPr/>
        <w:t>2</w:t>
      </w:r>
      <w:r>
        <w:rPr>
          <w:rtl w:val="true"/>
        </w:rPr>
        <w:t xml:space="preserve">. </w:t>
      </w:r>
      <w:r>
        <w:rPr>
          <w:rtl w:val="true"/>
        </w:rPr>
        <w:t>رباعية التقسيم</w:t>
      </w:r>
      <w:bookmarkEnd w:id="50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الخراساني إلى رباعيّة التقسيم، وذلك لأنّ المخصص أيضاً كالعام ربما يكون الزمان فيه قيداً وأُخرى ظرفاً مثل دليل العام فتكون الصور أربع</w:t>
      </w:r>
      <w:r>
        <w:rPr>
          <w:rFonts w:eastAsia="Amiri" w:cs="Amiri" w:ascii="Amiri" w:hAnsi="Amiri"/>
          <w:color w:val="111111"/>
          <w:sz w:val="28"/>
          <w:szCs w:val="28"/>
          <w:rtl w:val="true"/>
          <w:lang w:bidi="ar-SA"/>
        </w:rPr>
        <w:t xml:space="preserve">: </w:t>
      </w:r>
      <w:bookmarkStart w:id="506" w:name="pg14367_157235"/>
    </w:p>
    <w:p>
      <w:pPr>
        <w:pStyle w:val="Heading6"/>
        <w:numPr>
          <w:ilvl w:val="5"/>
          <w:numId w:val="1"/>
        </w:numPr>
        <w:rPr/>
      </w:pPr>
      <w:bookmarkStart w:id="507" w:name="__RefHeading___Toc7507236_3381743652"/>
      <w:bookmarkStart w:id="508" w:name="_Toc188"/>
      <w:bookmarkEnd w:id="506"/>
      <w:bookmarkEnd w:id="507"/>
      <w:r>
        <w:rPr>
          <w:rtl w:val="true"/>
        </w:rPr>
        <w:t>الصورة الأُولى</w:t>
      </w:r>
      <w:r>
        <w:rPr>
          <w:rtl w:val="true"/>
        </w:rPr>
        <w:t xml:space="preserve">: </w:t>
      </w:r>
      <w:r>
        <w:rPr>
          <w:rtl w:val="true"/>
        </w:rPr>
        <w:t>أخذ الزمان ظرفاً في العام والخاص</w:t>
      </w:r>
      <w:bookmarkEnd w:id="508"/>
    </w:p>
    <w:p>
      <w:pPr>
        <w:pStyle w:val="BookText"/>
        <w:rPr/>
      </w:pPr>
      <w:r>
        <w:rPr>
          <w:rFonts w:ascii="Amiri" w:hAnsi="Amiri" w:eastAsia="Amiri" w:cs="Amiri"/>
          <w:color w:val="111111"/>
          <w:sz w:val="28"/>
          <w:sz w:val="28"/>
          <w:szCs w:val="28"/>
          <w:rtl w:val="true"/>
          <w:lang w:bidi="ar-SA"/>
        </w:rPr>
        <w:t>إذا كان الزمان مأخوذاً في كلا الجانبين لبيان استمرار الحكم فشك في بقاء حكم المخصِّص بعد مضيِّ الزمان القطعي، فلا يرجع إلى العام لخروجه عنه وعدم استلزام الإعراض عنه تخصيصاً زائداً، ويرجع إلى استصحاب حكم المخصص لوحدة القضيتين حتى لو لم يكن المرجع هو ذاك لا يرجع إلى عموم العام، لخروجه عنه وعوده إليه يتوقف على الدليل</w:t>
      </w:r>
      <w:r>
        <w:rPr>
          <w:rFonts w:eastAsia="Amiri" w:cs="Amiri" w:ascii="Amiri" w:hAnsi="Amiri"/>
          <w:color w:val="111111"/>
          <w:sz w:val="28"/>
          <w:szCs w:val="28"/>
          <w:rtl w:val="true"/>
          <w:lang w:bidi="ar-SA"/>
        </w:rPr>
        <w:t>.</w:t>
      </w:r>
    </w:p>
    <w:p>
      <w:pPr>
        <w:pStyle w:val="Heading6"/>
        <w:numPr>
          <w:ilvl w:val="5"/>
          <w:numId w:val="1"/>
        </w:numPr>
        <w:rPr/>
      </w:pPr>
      <w:bookmarkStart w:id="509" w:name="__RefHeading___Toc7507238_3381743652"/>
      <w:bookmarkStart w:id="510" w:name="_Toc189"/>
      <w:bookmarkEnd w:id="509"/>
      <w:r>
        <w:rPr>
          <w:rtl w:val="true"/>
        </w:rPr>
        <w:t>الصورة الثانية</w:t>
      </w:r>
      <w:r>
        <w:rPr>
          <w:rtl w:val="true"/>
        </w:rPr>
        <w:t xml:space="preserve">: </w:t>
      </w:r>
      <w:r>
        <w:rPr>
          <w:rtl w:val="true"/>
        </w:rPr>
        <w:t>أخذ الزمان قيداً في العام والخاص</w:t>
      </w:r>
      <w:bookmarkEnd w:id="510"/>
    </w:p>
    <w:p>
      <w:pPr>
        <w:pStyle w:val="BookText"/>
        <w:rPr/>
      </w:pPr>
      <w:r>
        <w:rPr>
          <w:rFonts w:ascii="Amiri" w:hAnsi="Amiri" w:eastAsia="Amiri" w:cs="Amiri"/>
          <w:color w:val="111111"/>
          <w:sz w:val="28"/>
          <w:sz w:val="28"/>
          <w:szCs w:val="28"/>
          <w:rtl w:val="true"/>
          <w:lang w:bidi="ar-SA"/>
        </w:rPr>
        <w:t>إذا كان الزمان قيداً في كلّ من العام والخاص، مكثِّراً للحكم، ومفرِّداً للموضوع حسب تعدّد الآنات، فالمرجع هو عموم العام، وذلك لأنّ الفرد في الآن الثاني فرد مستقل كان العام شاملاً له ولم يعلم خروجه فيتمسك بعموم العام، ولا يرجع إلى استصحاب حكم المخصص، لعدم وحدة القضيتين</w:t>
      </w:r>
      <w:r>
        <w:rPr>
          <w:rFonts w:eastAsia="Amiri" w:cs="Amiri" w:ascii="Amiri" w:hAnsi="Amiri"/>
          <w:color w:val="111111"/>
          <w:sz w:val="28"/>
          <w:szCs w:val="28"/>
          <w:rtl w:val="true"/>
          <w:lang w:bidi="ar-SA"/>
        </w:rPr>
        <w:t>.</w:t>
      </w:r>
    </w:p>
    <w:p>
      <w:pPr>
        <w:pStyle w:val="Heading6"/>
        <w:numPr>
          <w:ilvl w:val="5"/>
          <w:numId w:val="1"/>
        </w:numPr>
        <w:rPr/>
      </w:pPr>
      <w:bookmarkStart w:id="511" w:name="__RefHeading___Toc7507240_3381743652"/>
      <w:bookmarkStart w:id="512" w:name="_Toc190"/>
      <w:bookmarkEnd w:id="511"/>
      <w:r>
        <w:rPr>
          <w:rtl w:val="true"/>
        </w:rPr>
        <w:t>الصورة الثالثة</w:t>
      </w:r>
      <w:r>
        <w:rPr>
          <w:rtl w:val="true"/>
        </w:rPr>
        <w:t xml:space="preserve">: </w:t>
      </w:r>
      <w:r>
        <w:rPr>
          <w:rtl w:val="true"/>
        </w:rPr>
        <w:t>أخذ الزمان ظرفاً في العام دون الخاص</w:t>
      </w:r>
      <w:bookmarkEnd w:id="512"/>
    </w:p>
    <w:p>
      <w:pPr>
        <w:pStyle w:val="BookText"/>
        <w:rPr/>
      </w:pPr>
      <w:r>
        <w:rPr>
          <w:rFonts w:ascii="Amiri" w:hAnsi="Amiri" w:eastAsia="Amiri" w:cs="Amiri"/>
          <w:color w:val="111111"/>
          <w:sz w:val="28"/>
          <w:sz w:val="28"/>
          <w:szCs w:val="28"/>
          <w:rtl w:val="true"/>
          <w:lang w:bidi="ar-SA"/>
        </w:rPr>
        <w:t>إذا كان الزمان مأخوذاً لبيان استمرار الحكم في ناحية العام، ولكن قيداً في جانب المخصص حيث يكثِّر الحكم ويفرّد الموضوع فيه، فلا يصحّ التمسّك لا بالعام ولا بالخاص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فلخروجه عنه وعدم استلزام الاعراض عن العام، تخصيصاً جديداً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فلتعدّد القضيتين، المتيقّنة والمشكوكة، لافتراض انّ الزمان قيد يميِّز الفرد في الآن الأوّل عن الفرد في الآن الثاني</w:t>
      </w:r>
      <w:r>
        <w:rPr>
          <w:rFonts w:eastAsia="Amiri" w:cs="Amiri" w:ascii="Amiri" w:hAnsi="Amiri"/>
          <w:color w:val="111111"/>
          <w:sz w:val="28"/>
          <w:szCs w:val="28"/>
          <w:rtl w:val="true"/>
          <w:lang w:bidi="ar-SA"/>
        </w:rPr>
        <w:t xml:space="preserve">. </w:t>
      </w:r>
      <w:bookmarkStart w:id="513" w:name="pg14367_157236"/>
    </w:p>
    <w:p>
      <w:pPr>
        <w:pStyle w:val="Heading6"/>
        <w:numPr>
          <w:ilvl w:val="5"/>
          <w:numId w:val="1"/>
        </w:numPr>
        <w:rPr/>
      </w:pPr>
      <w:bookmarkStart w:id="514" w:name="__RefHeading___Toc7507242_3381743652"/>
      <w:bookmarkStart w:id="515" w:name="_Toc191"/>
      <w:bookmarkEnd w:id="513"/>
      <w:bookmarkEnd w:id="514"/>
      <w:r>
        <w:rPr>
          <w:rtl w:val="true"/>
        </w:rPr>
        <w:t>الصورة الرابعة</w:t>
      </w:r>
      <w:r>
        <w:rPr>
          <w:rtl w:val="true"/>
        </w:rPr>
        <w:t xml:space="preserve">: </w:t>
      </w:r>
      <w:r>
        <w:rPr>
          <w:rtl w:val="true"/>
        </w:rPr>
        <w:t>أخذ الزمان قيداً في العام دون الخاص</w:t>
      </w:r>
      <w:bookmarkEnd w:id="515"/>
    </w:p>
    <w:p>
      <w:pPr>
        <w:pStyle w:val="BookText"/>
        <w:rPr/>
      </w:pPr>
      <w:r>
        <w:rPr>
          <w:rFonts w:ascii="Amiri" w:hAnsi="Amiri" w:eastAsia="Amiri" w:cs="Amiri"/>
          <w:color w:val="111111"/>
          <w:sz w:val="28"/>
          <w:sz w:val="28"/>
          <w:szCs w:val="28"/>
          <w:rtl w:val="true"/>
          <w:lang w:bidi="ar-SA"/>
        </w:rPr>
        <w:t>إذا أخذ الزمان في جانب العام قيداً للموضوع ومفرِّداً له ومكثِّراً له على نحو يكون لكل فرد حسب الآنات طاعة وعصيان ولكن يكون الزمان في جانب المخصِّص لبيان استمرار الحكم، فيرجع إلى العام، لأنّ الاعراض عنه يستلزم تخصيصاً زائداً على التخصيص المتيقّن ولا يرجع إلى استصحاب حكم المخصص، لعدم اجتماع شرائط العمل بالأصل، فانّه حجّة إذا لم يكن هناك دليل اجتهادي، والخاص دليل اجتهادي رافع لموضوع حجّية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فالمحقّق الخراساني خالف الشيخ الأعظم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اكتفى في تجويز استصحاب المخصص بكون الزمان مأخوذاً على نحو الظرفية في جانب العام، مع أنّه غيركاف إلّاإذا كان الزمان مأخوذاً في جانب الخاص أيضاً كذلك، ففي مثله يترك الدليل العام، ويُستصحب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الزمان ظرفاً في جانب العام وقيداً في جانب الخاص فلا يتمسّك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 فلخروج الخاص منه، والاعراض عنه لا يستلزم تخصيصاً زائداً، وأمّا الخاص فلعدم 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خالف المحقّق الخراساني في الصورة الثالثة من الصور الأربع حيث إنّ مقتضى إطلاق كلام الشيخ هو التمسّك بعموم العام، وصريح المحقّق الخراساني عدم التمسك بواحد منهما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حكم المخصص فيما إذا كان الزمان في ناحية </w:t>
      </w:r>
      <w:bookmarkStart w:id="516" w:name="pg14367_157237"/>
    </w:p>
    <w:p>
      <w:pPr>
        <w:pStyle w:val="BookText"/>
        <w:rPr/>
      </w:pPr>
      <w:bookmarkEnd w:id="516"/>
      <w:r>
        <w:rPr>
          <w:rFonts w:ascii="Amiri" w:hAnsi="Amiri" w:eastAsia="Amiri" w:cs="Amiri"/>
          <w:color w:val="111111"/>
          <w:sz w:val="28"/>
          <w:sz w:val="28"/>
          <w:szCs w:val="28"/>
          <w:rtl w:val="true"/>
          <w:lang w:bidi="ar-SA"/>
        </w:rPr>
        <w:t>العام، لبيان الاستمرار إنّما يصحّ إذا كان التخصيص زمانياً، كما إذا ورد التخصيص لا من الأوّل بل بعد فترة، يكون العام منطبقاً على ذلك الفرد ثمّ يعرضه التخصيص في فترة أُخرى كخروج عقد المغبون عند ظهور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التخصيص ابتدائيّاً كما هو الحال في خيار المجلس، فانّ البيّعان بالخيار من زمان عقد البيع، فلو شكّ في بقائه بعد الافتراق الإكراهي، يصحّ التمسك بعموم العام وإن كان الزمان ظرفاً، وإلّا يلزم أن يكون الفرد خارجاً بتاتاً، قبل الإكراه لأجل خيار المجلس المتصل بزمان العقد، و بعده لأجل الاستصحاب، ويكون التخصيص افرادياً لا أزمانياً، وهو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المحقّق الخراساني وافق الشيخ في جميع الصور إلّافي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الزمان ظرفاً في جانب العام وقيداً في جانب الخاص فلا يرجع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التخصيص ابتدائياً، كخروج مجلس الخيار عن تحت الآية، ففي مثله لا يرجع إلى المخصص، بل إلى العام وإن كان الزمان ظرفاً، لأنّ الاعراض عنه يستلزم خروج الفرد عن تحت العام بتاتاً، وهو خلاف الفرض</w:t>
      </w:r>
      <w:r>
        <w:rPr>
          <w:rFonts w:eastAsia="Amiri" w:cs="Amiri" w:ascii="Amiri" w:hAnsi="Amiri"/>
          <w:color w:val="111111"/>
          <w:sz w:val="28"/>
          <w:szCs w:val="28"/>
          <w:rtl w:val="true"/>
          <w:lang w:bidi="ar-SA"/>
        </w:rPr>
        <w:t>.</w:t>
      </w:r>
    </w:p>
    <w:p>
      <w:pPr>
        <w:pStyle w:val="Heading6"/>
        <w:numPr>
          <w:ilvl w:val="5"/>
          <w:numId w:val="1"/>
        </w:numPr>
        <w:rPr/>
      </w:pPr>
      <w:bookmarkStart w:id="517" w:name="__RefHeading___Toc7507244_3381743652"/>
      <w:bookmarkStart w:id="518" w:name="_Toc192"/>
      <w:bookmarkEnd w:id="517"/>
      <w:r>
        <w:rPr/>
        <w:t>3</w:t>
      </w:r>
      <w:r>
        <w:rPr>
          <w:rtl w:val="true"/>
        </w:rPr>
        <w:t xml:space="preserve">. </w:t>
      </w:r>
      <w:r>
        <w:rPr>
          <w:rtl w:val="true"/>
        </w:rPr>
        <w:t>التفريق بين كون الزمان قيداً للمتعلّق أو للحكم</w:t>
      </w:r>
      <w:bookmarkEnd w:id="518"/>
    </w:p>
    <w:p>
      <w:pPr>
        <w:pStyle w:val="BookText"/>
        <w:rPr/>
      </w:pPr>
      <w:r>
        <w:rPr>
          <w:rFonts w:ascii="Amiri" w:hAnsi="Amiri" w:eastAsia="Amiri" w:cs="Amiri"/>
          <w:color w:val="111111"/>
          <w:sz w:val="28"/>
          <w:sz w:val="28"/>
          <w:szCs w:val="28"/>
          <w:rtl w:val="true"/>
          <w:lang w:bidi="ar-SA"/>
        </w:rPr>
        <w:t>ذهب المحقّق النائيني كالشيخ الأعظم إلى أنّ صور المسألة ثنائيّة وفرّق بين كون الزمان قيداً للمتعلّق فالمرجع هو عموم العام، وكونه قيد للحكم فالمرجع هو استصحاب حكم المخصص</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كون مصبِّ العموم الزماني متعلّق الحكم وكان </w:t>
      </w:r>
    </w:p>
    <w:p>
      <w:pPr>
        <w:pStyle w:val="BookText"/>
        <w:rPr/>
      </w:pPr>
      <w:r>
        <w:rPr>
          <w:rFonts w:ascii="Amiri" w:hAnsi="Amiri" w:eastAsia="Amiri" w:cs="Amiri"/>
          <w:color w:val="111111"/>
          <w:sz w:val="28"/>
          <w:sz w:val="28"/>
          <w:szCs w:val="28"/>
          <w:rtl w:val="true"/>
          <w:lang w:bidi="ar-SA"/>
        </w:rPr>
        <w:t>الحكم وارداً على العموم الزماني، فيكون العموم تحت دائرة الحكم، وبين كون مصبِّه نفس الحكم بحيث كان العموم الزماني محمولاً على الحكم وواقعاً فوق دائرة الحكم، فالأوّل مجرى التمسّك بالعام، والثاني مجرى التمسّك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أبداً، وصم إلى الليل، فإذا خرج حال الضرورة والمرض وشكّ بعد ارتفاعهما في جواز الشرب، فيتمسك بعموم الدليل، ولا تصل النوبة إلى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نِساؤُكُمْ حَرْثٌ لَكُمْ فَأْتُوا حَرْثَكُمْ أَنّى شِئْتُمْ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خرجت عنه أيام العادة، فإذا شكّ في خروج غير تلك الفترة فالمحكم هو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هو أنّ الدليل الاجتهادي قد تكفّل لبيان حكم كلّ زمان من أزمنة ظرف وجود متعلّق الحكم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في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وجوب إكرام كلّ فرد من أفراد العلماء في كلّ يوم من أيّام السنة أو الشهر، فكان لكلّ يوم حكمٌ يخصّه لا ربط له باليوم السابق أو اللاحق</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أي‌إذا كان مصبُّ العموم الزماني نفسَ الحكم، فلا مجال للتمسّك فيه بالعموم إذا شكّ في مقدار التخصيص، بل لابدّ من الرجوع إلى الاستصحاب،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 الخمر حرام والحرمة مستمرّة في كل آن آن، و شككنا في بقاء التحريم بعد ارتفاع زمان المرض، والسر في ذلك لأنّ الشكّ في مقدار التخصيص يرجع إلى الشكّ في الحكم، وقد تقدّم أنّ الحكم يكون بمنزلة الموضوع للعموم الزماني ولا يمكن أن يتكفّل العموم الزماني وجود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فيه، لأنّه يكون من قبيل إثبات الموضوع بالحكم، فانّ العموم الزماني </w:t>
      </w:r>
      <w:bookmarkStart w:id="519" w:name="pg14367_157239"/>
    </w:p>
    <w:p>
      <w:pPr>
        <w:pStyle w:val="BookText"/>
        <w:rPr/>
      </w:pPr>
      <w:bookmarkEnd w:id="519"/>
      <w:r>
        <w:rPr>
          <w:rFonts w:ascii="Amiri" w:hAnsi="Amiri" w:eastAsia="Amiri" w:cs="Amiri"/>
          <w:color w:val="111111"/>
          <w:sz w:val="28"/>
          <w:sz w:val="28"/>
          <w:szCs w:val="28"/>
          <w:rtl w:val="true"/>
          <w:lang w:bidi="ar-SA"/>
        </w:rPr>
        <w:t xml:space="preserve">يكون دائماً مشروطاً بوجود الحكم ولا يمكن أن يدل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مستمر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وجود الحكم مع الشكّ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إذا كان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الوفاء بالعقود والوجوب مستمر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زمان العلم بالغبن وشكّ في حكم العام، فلا يصح التمسك، لأنّ الحكم بالاستمرار فرع إحراز الموضوع وهو الحكم مع أنّه مشكوك فلا يستدل بالمحمول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مستمر 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الموضوع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الوفاء</w:t>
      </w:r>
      <w:r>
        <w:rPr>
          <w:rFonts w:eastAsia="Amiri" w:cs="Amiri" w:ascii="Amiri" w:hAnsi="Amiri"/>
          <w:color w:val="111111"/>
          <w:sz w:val="28"/>
          <w:szCs w:val="28"/>
          <w:rtl w:val="true"/>
          <w:lang w:bidi="ar-SA"/>
        </w:rPr>
        <w:t>».</w:t>
      </w:r>
      <w:r>
        <w:rPr>
          <w:rStyle w:val="FootnoteAnchor"/>
          <w:rtl w:val="true"/>
        </w:rPr>
        <w:footnoteReference w:id="158"/>
      </w:r>
    </w:p>
    <w:p>
      <w:pPr>
        <w:pStyle w:val="Heading6"/>
        <w:numPr>
          <w:ilvl w:val="5"/>
          <w:numId w:val="1"/>
        </w:numPr>
        <w:rPr/>
      </w:pPr>
      <w:bookmarkStart w:id="520" w:name="__RefHeading___Toc7507246_3381743652"/>
      <w:bookmarkStart w:id="521" w:name="_Toc193"/>
      <w:bookmarkEnd w:id="520"/>
      <w:r>
        <w:rPr>
          <w:rtl w:val="true"/>
        </w:rPr>
        <w:t>يلاحظ عليه بوجهين</w:t>
      </w:r>
      <w:r>
        <w:rPr>
          <w:rtl w:val="true"/>
        </w:rPr>
        <w:t>:</w:t>
      </w:r>
      <w:bookmarkEnd w:id="521"/>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من التفريق بين الصورتين تقسيم عقلي، لا يلتفت إليه العرف، فهو يتلقّى الزمان قيداً، للمتعلّق وواقعاً تحت دائرة الحكم، لا محمولاً على الحكم و واقعاً فوق دائرة الحكم، فلو كان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متضمناً لعموم زماني فهو من قيود المتعلّق أي‌الوفاء، لا انّه محمول على الوجوب حتى يكون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الوفاء بالعقد واجب وحكمي بالوجوب ثابت في كلّ زمان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مصب العموم الزماني هو الحكم والعموم الزماني محمول عليه،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يرجع إلى وجود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الشكّ فيه لا يثمر العموم الزماني، لأنّه لا يثبت موضوعه، منظور فيه، لأنّ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يكون الطبيعة السارية، أي‌الحكم في كلّ الأحوال، أو الطبيعة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في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يستلزم أخذ الاستمرار في جانب الموضوع فيكون حمل مستمر عليه، مستلزماً للتكرار ويرجع إلى كون القضية من قبيل الضرورة بشرط المحمول</w:t>
      </w:r>
      <w:r>
        <w:rPr>
          <w:rFonts w:eastAsia="Amiri" w:cs="Amiri" w:ascii="Amiri" w:hAnsi="Amiri"/>
          <w:color w:val="111111"/>
          <w:sz w:val="28"/>
          <w:szCs w:val="28"/>
          <w:rtl w:val="true"/>
          <w:lang w:bidi="ar-SA"/>
        </w:rPr>
        <w:t xml:space="preserve">. </w:t>
      </w:r>
      <w:bookmarkStart w:id="522" w:name="pg14367_157240"/>
    </w:p>
    <w:p>
      <w:pPr>
        <w:pStyle w:val="BookText"/>
        <w:rPr/>
      </w:pPr>
      <w:bookmarkEnd w:id="522"/>
      <w:r>
        <w:rPr>
          <w:rFonts w:ascii="Amiri" w:hAnsi="Amiri" w:eastAsia="Amiri" w:cs="Amiri"/>
          <w:color w:val="111111"/>
          <w:sz w:val="28"/>
          <w:sz w:val="28"/>
          <w:szCs w:val="28"/>
          <w:rtl w:val="true"/>
          <w:lang w:bidi="ar-SA"/>
        </w:rPr>
        <w:t>فيبقى الأوّل وهو أمر محرز، لأنّ الحكم بنحو الموجبة الجزئية التي تلازم المهملة محرز قطعاً وإلّا يلزم عدم صدق الآية بتاتاً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7507248_3381743652"/>
      <w:bookmarkStart w:id="524" w:name="_Toc194"/>
      <w:bookmarkEnd w:id="523"/>
      <w:r>
        <w:rPr/>
        <w:t>4</w:t>
      </w:r>
      <w:r>
        <w:rPr>
          <w:rtl w:val="true"/>
        </w:rPr>
        <w:t xml:space="preserve">. </w:t>
      </w:r>
      <w:r>
        <w:rPr>
          <w:rtl w:val="true"/>
        </w:rPr>
        <w:t>المرجع هو العام مطلقاً</w:t>
      </w:r>
      <w:bookmarkEnd w:id="524"/>
    </w:p>
    <w:p>
      <w:pPr>
        <w:pStyle w:val="BookText"/>
        <w:rPr/>
      </w:pPr>
      <w:r>
        <w:rPr>
          <w:rFonts w:ascii="Amiri" w:hAnsi="Amiri" w:eastAsia="Amiri" w:cs="Amiri"/>
          <w:color w:val="111111"/>
          <w:sz w:val="28"/>
          <w:sz w:val="28"/>
          <w:szCs w:val="28"/>
          <w:rtl w:val="true"/>
          <w:lang w:bidi="ar-SA"/>
        </w:rPr>
        <w:t>الحقّ انّ المرجع في ظرف الشكّ هو العام مطلقاً إذا كان الدليل ظاهراً في استمرار الحكم الواحد، وعمومه لجميع الأزمنة فيجب التمسك به في غير ما علم خروجه قطعاً، ويعلم ذلك بتوضيح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العام يتصوّر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قيداً للموضوع بحيث يكون الفرد في كلّ زمان مصداقاً مستقلاً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الزمان مأخوذاً في العام لا بنحو الظرفية ولا بنحو القيدية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قيداً للفرد على نحو العام المجموعي بحيث يكون الفرد في مجموع الأزمنة فرداً واحداً على نحو يكون خروج الفرد في قطعة من الزمان سبباً لانهدام أصل الحكم المتعلّق بذلك الفرد، لأنّ ذلك مقتضى كون الزمان مأخوذاً في جانب الفرد على نحو العام المجموعي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الزمان مأخوذاً في جانب العام على نحو الظرفية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هو القسم الرابع فقط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انّ المرجع هو العام، لاستلزام الاعراض عن العام، التخصيصَ الزائد</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خلو الدليل عن أخذ الزمان فيه لا ظرفاً ولا قيداً </w:t>
      </w:r>
    </w:p>
    <w:p>
      <w:pPr>
        <w:pStyle w:val="BookText"/>
        <w:rPr/>
      </w:pPr>
      <w:r>
        <w:rPr>
          <w:rFonts w:ascii="Amiri" w:hAnsi="Amiri" w:eastAsia="Amiri" w:cs="Amiri"/>
          <w:color w:val="111111"/>
          <w:sz w:val="28"/>
          <w:sz w:val="28"/>
          <w:szCs w:val="28"/>
          <w:rtl w:val="true"/>
          <w:lang w:bidi="ar-SA"/>
        </w:rPr>
        <w:t>خارج عن محط البحث، إذ عندئذٍ لا يتصوّر التخصيص الزماني الذي هو محط البحث، ويكون التخصيص أفرادياً لا أزمانياً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 معلوم، لانّه إذا كان مجموع الأزمنة مأخوذاً بنحو العام المجموعي في مورد فرد من الافراد يكون خروجه في فترة خاصة موجباً لانتفاء الحكم عن الفرد بتاتاً في بقية الأزمنة، وهو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فتعين الباقي وهو أن يكون الزمان ظرفاً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الشيء مطلوباً في زمان كالوفاء بالعقد على نحو يكون له طاعة واحدة وعصيان واحد، كما هو مقتضى كون الزمان ظرفاً ولكنّه على نحو يكون مطلوباً أيضاً لو خالف وعصى، أو خرج بدليل في فترة من الفترات لكن لا مطلوباً بدليل ثان بل بنفس الدليل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انّ الإفطار محرّم في شهر رمضان، فلو أفطر عصياناً يكون الإمساك أيضاً مطلوباً إلى الغروب بنفس الأمر بالصوم لا بأمر آخر، ومثله الوفاء بالعقد فهو مطلوب في تمام الأوقات بحكم كون الزمان ظرفاً، ولكن بما انّ الوفاء بالعقد أساس الحياة فهو مع عدم وجوبه في فترة من الزمان، يكون مطلوباً أيضاً بنفس الكلام السابق لأجل الملاك الذي ذكرناه، فعندئذٍ لو لم يجب الوفاء بالعقد في فترة خاصة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ظهور الغبن، ولكنّه مطلوب حتى بعد ذلك الزمان، وإن لم يكن واجباً بوجوب مستقل مغاير للوجوب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ممّا ذكرنا أنّ المرجع هو العام سواء كان الزمان قيداً أو ظرفاً، وكفى كون الفرد داخلاً فيه من أوّل الأمر وخارجاً عنه في ظرف خاص</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الفرد قد خرج في فترة من الزمان، فعوده إلى تحت العام يحتاج </w:t>
      </w:r>
    </w:p>
    <w:p>
      <w:pPr>
        <w:pStyle w:val="BookText"/>
        <w:rPr/>
      </w:pPr>
      <w:r>
        <w:rPr>
          <w:rFonts w:ascii="Amiri" w:hAnsi="Amiri" w:eastAsia="Amiri" w:cs="Amiri"/>
          <w:color w:val="111111"/>
          <w:sz w:val="28"/>
          <w:sz w:val="28"/>
          <w:szCs w:val="28"/>
          <w:rtl w:val="true"/>
          <w:lang w:bidi="ar-SA"/>
        </w:rPr>
        <w:t>إلى دليل، فما هو جوابكم أمام هذا الدليل؟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مغالطة، وذلك لأنّ التخصيص أزماني لا أفرادي، والفرد لم يخرج من تحت العام بل هو باق تحت العام وإنّما رُفع عنه حكمه في فترة يسيرة من الزمان، فيتمسك بعموم العام في غير تلك الفترة ولا يجوز التمسك بالأصل مع وجود الدليل الاجتهادي</w:t>
      </w:r>
      <w:r>
        <w:rPr>
          <w:rFonts w:eastAsia="Amiri" w:cs="Amiri" w:ascii="Amiri" w:hAnsi="Amiri"/>
          <w:color w:val="111111"/>
          <w:sz w:val="28"/>
          <w:szCs w:val="28"/>
          <w:rtl w:val="true"/>
          <w:lang w:bidi="ar-SA"/>
        </w:rPr>
        <w:t xml:space="preserve">. </w:t>
      </w:r>
      <w:bookmarkStart w:id="525" w:name="pg14367_157243"/>
    </w:p>
    <w:p>
      <w:pPr>
        <w:pStyle w:val="BookText"/>
        <w:rPr/>
      </w:pPr>
      <w:bookmarkEnd w:id="525"/>
      <w:r>
        <w:rPr>
          <w:rFonts w:ascii="Amiri" w:hAnsi="Amiri" w:eastAsia="Amiri" w:cs="Amiri"/>
          <w:color w:val="111111"/>
          <w:sz w:val="28"/>
          <w:sz w:val="28"/>
          <w:szCs w:val="28"/>
          <w:rtl w:val="true"/>
          <w:lang w:bidi="ar-SA"/>
        </w:rPr>
        <w:t>التنبيهات</w:t>
      </w:r>
    </w:p>
    <w:p>
      <w:pPr>
        <w:pStyle w:val="Heading5"/>
        <w:numPr>
          <w:ilvl w:val="4"/>
          <w:numId w:val="1"/>
        </w:numPr>
        <w:rPr/>
      </w:pPr>
      <w:bookmarkStart w:id="526" w:name="__RefHeading___Toc7507250_3381743652"/>
      <w:bookmarkStart w:id="527" w:name="_Toc195"/>
      <w:bookmarkEnd w:id="526"/>
      <w:r>
        <w:rPr/>
        <w:t>15</w:t>
      </w:r>
      <w:r>
        <w:rPr>
          <w:rtl w:val="true"/>
        </w:rPr>
        <w:t xml:space="preserve">- </w:t>
      </w:r>
      <w:r>
        <w:rPr>
          <w:rtl w:val="true"/>
        </w:rPr>
        <w:t>ما هو المراد من الشكّ في الاستصحاب؟</w:t>
      </w:r>
      <w:bookmarkEnd w:id="527"/>
    </w:p>
    <w:p>
      <w:pPr>
        <w:pStyle w:val="BookText"/>
        <w:rPr/>
      </w:pPr>
      <w:r>
        <w:rPr>
          <w:rFonts w:ascii="Amiri" w:hAnsi="Amiri" w:eastAsia="Amiri" w:cs="Amiri"/>
          <w:color w:val="111111"/>
          <w:sz w:val="28"/>
          <w:sz w:val="28"/>
          <w:szCs w:val="28"/>
          <w:rtl w:val="true"/>
          <w:lang w:bidi="ar-SA"/>
        </w:rPr>
        <w:t>قد يطلق الشك ويراد به اعتدال النقيضين عند الإنسان وتساويهما، وهذا هو الشكّ في مصطلح المنطقيّين، وعليه الراغب في مفرداته وعلى هذا تقسم الحالات الطارئة على الإنسان بأربعة أقسام،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والظن، والشكّ، والوهم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ويراد به، خلاف اليقين وعليه الجوهري في صحاحه، وعندئذ يعم الأقسام الثلاثة الأخيرة غير اليقين، وقد استعمل الشكّ في الكتاب العزيز بالمعنى الثاني، أي‌مطلق التردد، في موارد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كُنْتَ فِي شَكٍّ مِمّا أَنْزَلْنا إِلَيْكَ فَسْئَلِ الَّذِينَ يَقْرَؤُنَ الْكِتابَ مِنْ قَبْلِكَ</w:t>
      </w:r>
      <w:r>
        <w:rPr>
          <w:rFonts w:eastAsia="Amiri" w:cs="Amiri" w:ascii="Amiri" w:hAnsi="Amiri"/>
          <w:color w:val="111111"/>
          <w:sz w:val="28"/>
          <w:szCs w:val="28"/>
          <w:rtl w:val="true"/>
          <w:lang w:bidi="ar-SA"/>
        </w:rPr>
        <w:t>) .</w:t>
      </w:r>
      <w:r>
        <w:rPr>
          <w:rStyle w:val="FootnoteAnchor"/>
          <w:rtl w:val="true"/>
        </w:rPr>
        <w:footnoteReference w:id="159"/>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قالَتْ رُسُلُهُمْ أَ فِي اللّهِ شَكٌّ فاطِرِ السَّماواتِ وَ الْأَرْضِ</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إلى غير ذلك من الآيات التي أُريد من الشك مطلق التردد الجامع مع الظن والوهم وتساوي الطرفين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انّ الشكّ الوارد في أخبار الاستصحاب إن أُريد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اعتدال النقيضين في النفس، تختص حجية الاستصحاب بما إذا كان النقيضان على حدّ سواء، ولا يعم ما إذا كان هناك ظن على خلاف الحالة السابقة على وجه تكون </w:t>
      </w:r>
    </w:p>
    <w:p>
      <w:pPr>
        <w:pStyle w:val="BookText"/>
        <w:rPr/>
      </w:pPr>
      <w:r>
        <w:rPr>
          <w:rFonts w:ascii="Amiri" w:hAnsi="Amiri" w:eastAsia="Amiri" w:cs="Amiri"/>
          <w:color w:val="111111"/>
          <w:sz w:val="28"/>
          <w:sz w:val="28"/>
          <w:szCs w:val="28"/>
          <w:rtl w:val="true"/>
          <w:lang w:bidi="ar-SA"/>
        </w:rPr>
        <w:t>الحالة السابقة موهومة وخلافها مظنونة، وأمّا إذا أُريد به مطلق التردد و خلاف اليقين فيعمّ جميع الأحوال إلّا إذا كان هناك يقين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الشيخ في الفرائد</w:t>
      </w:r>
      <w:r>
        <w:rPr>
          <w:rStyle w:val="FootnoteAnchor"/>
          <w:rtl w:val="true"/>
        </w:rPr>
        <w:footnoteReference w:id="161"/>
      </w:r>
      <w:r>
        <w:rPr>
          <w:rFonts w:ascii="Amiri" w:hAnsi="Amiri" w:eastAsia="Amiri" w:cs="Amiri"/>
          <w:color w:val="111111"/>
          <w:sz w:val="28"/>
          <w:sz w:val="28"/>
          <w:szCs w:val="28"/>
          <w:rtl w:val="true"/>
          <w:lang w:bidi="ar-SA"/>
        </w:rPr>
        <w:t>على انّ المراد هو الوجه الثاني، لوجوه ثلاثة أوضحها هو الوجه الثاني،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الرجوع إلى روايات الباب واستظهار المراد بها، حيث إنّ فقرات الصحاح الدالّة على المقصود وهي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حرك في جنبه شيء و هو لا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ظاهره فرض السؤال بما كان معه أمارة النوم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غاية وجوب الوضوء، الاستيقان بالنوم و مجيء أمر بيّن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سوقه في مقام بيان حصر ناقض اليقين في اليقين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الصحيحة الثانية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شيء أوقع عليك وليس ينبغي لك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مجرد الاحتمال مع وروده في مقام إبداء ذلك، كما في المقام فيكون الحكم متفرعاً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مكاتبة القاساني حيث فرّع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للرؤية وأفطر للرؤية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عدم كفاية الظن بدخول رمضان أو شوال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وجه آخر قد سبق منّا عند البحث في روايات الباب وهو أنّ المراد من اليقين، ليس هو اليقين المنطقي،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الجازم المطابق للواقع، بل </w:t>
      </w:r>
    </w:p>
    <w:p>
      <w:pPr>
        <w:pStyle w:val="BookText"/>
        <w:rPr/>
      </w:pPr>
      <w:r>
        <w:rPr>
          <w:rFonts w:ascii="Amiri" w:hAnsi="Amiri" w:eastAsia="Amiri" w:cs="Amiri"/>
          <w:color w:val="111111"/>
          <w:sz w:val="28"/>
          <w:sz w:val="28"/>
          <w:szCs w:val="28"/>
          <w:rtl w:val="true"/>
          <w:lang w:bidi="ar-SA"/>
        </w:rPr>
        <w:t>المراد هو الحجّة الشرعية، وبذلك يعلم معنى الشكّ لأجل التقابل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تنقض الحجّة باللاحجة، ويكون الملاك عدم وجود الحجّة، من دون نظر إلى كون بقاء المتيقّن، راجحاً أو مرجوحاً أو متساوياً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والظن على خلاف المسألة السابقة إذا لم يقم دليل على حجّيته، يدخل تحت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باللاحجة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قام الدليل على عدم حجّيته كالقياس والاستحسان، أو شك في حجّيته، فإنّ الشكّ في الحجّية كاف في الحكم بعدم الحجّية على ما مرّفيكون الجميع داخلاً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أي‌اللاحجة، فلا ينقض بها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استدل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القطعي على تقدير اعتبار الاستصحاب من باب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النوع من الإجماع المحصَّل، ليس بحجة، لاحتمال اعتماد المجمعين على الدليل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الظنّ المخالف للحالة السابقة إمّا أن يكون من الظنون المنهية كالقياس فمعناه انّ وجوده كعدمه، أو يكون من المشكوكة حجّيتها، فرفع اليد عن الحالة السابقة بهذا النوع من الظن، من مقولة نقض اليقين بالشكّ</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 عدم اعتباره لأجل الغاية، أو لعدم الدليل على اعتباره إلى عدم إثبات مظنونه به تعبّداً، لا ترتيب آثار الشكّ عليه مع عدمه</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غُضّ النظر عمّا أقمنا من الدليل على أنّ المراد من الشكّ، هو خلاف اليقين، وصرنا إلى انّ المراد به هو حالة تساوي النقيضين، بكون الظنون غير المعتبرة هادماً لهذه الحالة فهي وإن لم تكن حجّة مثبتة لمظنونه، لكنّها تصلح تكويناً لرفع موضوع الاستصحاب، أعني حالة التساوي بين الأمرين، فكونها هادمة لا يلازم حجّيتها واستعدادها لاثبات متعلّقه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الباحث لغني بما ذكر من تفسير اليقين والشكّ عن ذينك الدليلين، فتدبّر</w:t>
      </w:r>
      <w:r>
        <w:rPr>
          <w:rFonts w:eastAsia="Amiri" w:cs="Amiri" w:ascii="Amiri" w:hAnsi="Amiri"/>
          <w:color w:val="111111"/>
          <w:sz w:val="28"/>
          <w:szCs w:val="28"/>
          <w:rtl w:val="true"/>
          <w:lang w:bidi="ar-SA"/>
        </w:rPr>
        <w:t xml:space="preserve">. </w:t>
      </w:r>
      <w:bookmarkStart w:id="528" w:name="pg14367_157247"/>
    </w:p>
    <w:p>
      <w:pPr>
        <w:pStyle w:val="Heading4"/>
        <w:numPr>
          <w:ilvl w:val="3"/>
          <w:numId w:val="1"/>
        </w:numPr>
        <w:rPr/>
      </w:pPr>
      <w:bookmarkStart w:id="529" w:name="__RefHeading___Toc7507252_3381743652"/>
      <w:bookmarkStart w:id="530" w:name="_Toc196"/>
      <w:bookmarkEnd w:id="528"/>
      <w:bookmarkEnd w:id="529"/>
      <w:r>
        <w:rPr>
          <w:rtl w:val="true"/>
        </w:rPr>
        <w:t>خاتمة في شرائط جريان الاستصحاب أو العمل به</w:t>
      </w:r>
      <w:bookmarkEnd w:id="530"/>
    </w:p>
    <w:p>
      <w:pPr>
        <w:pStyle w:val="Heading5"/>
        <w:numPr>
          <w:ilvl w:val="4"/>
          <w:numId w:val="1"/>
        </w:numPr>
        <w:rPr/>
      </w:pPr>
      <w:bookmarkStart w:id="531" w:name="__RefHeading___Toc7507254_3381743652"/>
      <w:bookmarkStart w:id="532" w:name="_Toc197"/>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ذُكر للاستصحاب شروط وصفها بعضهم بشروط العمل به، وجعلها الشيخ شروطاً لجريانه، والفرق بينهما واضح، حيث إنّها على القول الثاني شرائط تحقّقه ولولاها لا يكون هناك موضوع للاستصحاب، بخلافه على الأوّل فالاستصحاب بدونها متحقق غير انّه لا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انّ أكثرها من شروط جريانه كوحدة الموضوع، واتحاد متعلّقي اليقين والشكّ، وبقاء اليقين في طرف الشكّ، وبعضها كعدم أصل معارض من قبيل شروط العمل، وسيتضح حال الجميع في البحوث التالية</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7507256_3381743652"/>
      <w:bookmarkStart w:id="534" w:name="_Toc198"/>
      <w:bookmarkEnd w:id="533"/>
      <w:r>
        <w:rPr>
          <w:rtl w:val="true"/>
        </w:rPr>
        <w:t>الشرط الأوّل</w:t>
      </w:r>
      <w:r>
        <w:rPr>
          <w:rtl w:val="true"/>
        </w:rPr>
        <w:t xml:space="preserve">: </w:t>
      </w:r>
      <w:r>
        <w:rPr>
          <w:rtl w:val="true"/>
        </w:rPr>
        <w:t>بقاء الموضوع أووحدة القضيّتين</w:t>
      </w:r>
      <w:bookmarkEnd w:id="534"/>
    </w:p>
    <w:p>
      <w:pPr>
        <w:pStyle w:val="Heading6"/>
        <w:numPr>
          <w:ilvl w:val="5"/>
          <w:numId w:val="1"/>
        </w:numPr>
        <w:rPr/>
      </w:pPr>
      <w:bookmarkStart w:id="535" w:name="__RefHeading___Toc7507258_3381743652"/>
      <w:bookmarkStart w:id="536" w:name="_Toc199"/>
      <w:bookmarkEnd w:id="535"/>
      <w:r>
        <w:rPr>
          <w:rtl w:val="true"/>
        </w:rPr>
        <w:t>اشارة</w:t>
      </w:r>
      <w:bookmarkEnd w:id="536"/>
    </w:p>
    <w:p>
      <w:pPr>
        <w:pStyle w:val="BookText"/>
        <w:rPr/>
      </w:pPr>
      <w:r>
        <w:rPr>
          <w:rFonts w:ascii="Amiri" w:hAnsi="Amiri" w:eastAsia="Amiri" w:cs="Amiri"/>
          <w:color w:val="111111"/>
          <w:sz w:val="28"/>
          <w:sz w:val="28"/>
          <w:szCs w:val="28"/>
          <w:rtl w:val="true"/>
          <w:lang w:bidi="ar-SA"/>
        </w:rPr>
        <w:t>وقد عُبِّر عن هذا الشرط تارة ببقاء الموضوع، وأُريد به معروض المستصحب، وأُخرى باتحاد القضية المشكوكة مع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إنّ هنا مقامات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الشرط بقاء الموضوع أووحدة القضيتين؟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الدليل على هذا الشرط؟ </w:t>
      </w:r>
      <w:bookmarkStart w:id="537" w:name="pg14367_157248"/>
    </w:p>
    <w:p>
      <w:pPr>
        <w:pStyle w:val="BookText"/>
        <w:rPr/>
      </w:pPr>
      <w:bookmarkEnd w:id="537"/>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الملاك لوجود هذا الشرط وعدمه؟</w:t>
      </w:r>
    </w:p>
    <w:p>
      <w:pPr>
        <w:pStyle w:val="BookText"/>
        <w:rPr/>
      </w:pPr>
      <w:r>
        <w:rPr>
          <w:rFonts w:ascii="Amiri" w:hAnsi="Amiri" w:eastAsia="Amiri" w:cs="Amiri"/>
          <w:color w:val="111111"/>
          <w:sz w:val="28"/>
          <w:sz w:val="28"/>
          <w:szCs w:val="28"/>
          <w:rtl w:val="true"/>
          <w:lang w:bidi="ar-SA"/>
        </w:rPr>
        <w:t>وإليك الكلام فيها</w:t>
      </w:r>
      <w:r>
        <w:rPr>
          <w:rFonts w:eastAsia="Amiri" w:cs="Amiri" w:ascii="Amiri" w:hAnsi="Amiri"/>
          <w:color w:val="111111"/>
          <w:sz w:val="28"/>
          <w:szCs w:val="28"/>
          <w:rtl w:val="true"/>
          <w:lang w:bidi="ar-SA"/>
        </w:rPr>
        <w:t>:</w:t>
      </w:r>
    </w:p>
    <w:p>
      <w:pPr>
        <w:pStyle w:val="Heading6"/>
        <w:numPr>
          <w:ilvl w:val="5"/>
          <w:numId w:val="1"/>
        </w:numPr>
        <w:rPr/>
      </w:pPr>
      <w:bookmarkStart w:id="538" w:name="__RefHeading___Toc7507260_3381743652"/>
      <w:bookmarkStart w:id="539" w:name="_Toc200"/>
      <w:bookmarkEnd w:id="538"/>
      <w:r>
        <w:rPr>
          <w:rtl w:val="true"/>
        </w:rPr>
        <w:t>المقام الأوّل</w:t>
      </w:r>
      <w:r>
        <w:rPr>
          <w:rtl w:val="true"/>
        </w:rPr>
        <w:t xml:space="preserve">: </w:t>
      </w:r>
      <w:r>
        <w:rPr>
          <w:rtl w:val="true"/>
        </w:rPr>
        <w:t>هل الشرط بقاء الموضوع أووحدة القضّيتين؟</w:t>
      </w:r>
      <w:bookmarkEnd w:id="539"/>
    </w:p>
    <w:p>
      <w:pPr>
        <w:pStyle w:val="BookText"/>
        <w:rPr/>
      </w:pPr>
      <w:r>
        <w:rPr>
          <w:rFonts w:ascii="Amiri" w:hAnsi="Amiri" w:eastAsia="Amiri" w:cs="Amiri"/>
          <w:color w:val="111111"/>
          <w:sz w:val="28"/>
          <w:sz w:val="28"/>
          <w:szCs w:val="28"/>
          <w:rtl w:val="true"/>
          <w:lang w:bidi="ar-SA"/>
        </w:rPr>
        <w:t xml:space="preserve">ذهب الشيخ الأعظم إلى أنّ الشرط هو بقاء الموضوع، والمراد به موضوع المستصحب، فاستصحاب وجود زيد، أو قيامه رهن تحقّق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الزمن اللاحق على النحو الذي كان معروضاً في السابق سواء أكان تحقّقه في السابق بتقرره ذهناً أو لوجوده خارجاً، فزيد بوصف تقرره ذهناً معروض للوجود، وبوجوده خارجاً معروض للقيام</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لو كان مفاد كان التامة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وجود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هو ماهيته التي عرضها الوجود، والتي يصلح لأن يحكم عليها بالوجود والعدم، ولو كان هو مفاد كان الناقصة كحياته فالموضوع هو وجوده الخارجي التي يصلح لأن يحكم عليه بالحياة تارة والموت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اللائح من عبارته انّ المستصحب هو المحمول دون مجموع القضية وهو غير تام، لأنّ المفروض انّ المستصحب هو الذي يتعلّق به اليقين في السابق، وهو لا يتعلّق بالمفرد،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المحمول أو النسبة التصوّرية، وإنّما يتعلّق بمفاد القضية ومفهومها، سواء أكانت مصاغة على نحو مفاد كان التامة نحو كان زيد موجود أو مفاد كان الناقصة نحو كان زيد قائماً، فلابدّ أن يكون المستصحب نفس القضية، لا محمولها ولا النسبة التصوّرية فيها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اشتراط بقاء الموضوع إنّما يصحّ في الوجود الرابط أي‌مفاد كان </w:t>
      </w:r>
      <w:bookmarkStart w:id="540" w:name="pg14367_157249"/>
    </w:p>
    <w:p>
      <w:pPr>
        <w:pStyle w:val="BookText"/>
        <w:rPr/>
      </w:pPr>
      <w:bookmarkEnd w:id="540"/>
      <w:r>
        <w:rPr>
          <w:rFonts w:ascii="Amiri" w:hAnsi="Amiri" w:eastAsia="Amiri" w:cs="Amiri"/>
          <w:color w:val="111111"/>
          <w:sz w:val="28"/>
          <w:sz w:val="28"/>
          <w:szCs w:val="28"/>
          <w:rtl w:val="true"/>
          <w:lang w:bidi="ar-SA"/>
        </w:rPr>
        <w:t>الناقصة كاستصحاب حياة زيد وعدالته القائمتين بوجوده الخارجي، لا في الوجود المحمولي ومفاد كان التامة كوجود زيد، فإذاكان المستصحب هو وجود زيد، فما هو الموضوع وراءه وليس هنا وراء المستصحب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التجأ الشيخ إلى تصوير موضوع لوجوده باسم الماهية والتقرر الذهني، ومن المعلوم انّه فكر فلسفي غير مطروح في الخطابات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اشتراط وحدة الموضوع إمّا هو غير جامع كما في الوجود المحمولي، أو أمر مستدرك كما في الوجود الرابط حيث يغني عنه اشتراط وحدة القضيتين، بخلاف الثانية فانّها تعمّ كلا النحوين من الوجود، فالاولى التعبير عن هذا الشرط بوحدة القضيتين</w:t>
      </w:r>
      <w:r>
        <w:rPr>
          <w:rFonts w:eastAsia="Amiri" w:cs="Amiri" w:ascii="Amiri" w:hAnsi="Amiri"/>
          <w:color w:val="111111"/>
          <w:sz w:val="28"/>
          <w:szCs w:val="28"/>
          <w:rtl w:val="true"/>
          <w:lang w:bidi="ar-SA"/>
        </w:rPr>
        <w:t>.</w:t>
      </w:r>
    </w:p>
    <w:p>
      <w:pPr>
        <w:pStyle w:val="Heading6"/>
        <w:numPr>
          <w:ilvl w:val="5"/>
          <w:numId w:val="1"/>
        </w:numPr>
        <w:rPr/>
      </w:pPr>
      <w:bookmarkStart w:id="541" w:name="__RefHeading___Toc7507262_3381743652"/>
      <w:bookmarkStart w:id="542" w:name="_Toc201"/>
      <w:bookmarkEnd w:id="541"/>
      <w:r>
        <w:rPr>
          <w:rtl w:val="true"/>
        </w:rPr>
        <w:t>المقام الثاني</w:t>
      </w:r>
      <w:r>
        <w:rPr>
          <w:rtl w:val="true"/>
        </w:rPr>
        <w:t xml:space="preserve">: </w:t>
      </w:r>
      <w:r>
        <w:rPr>
          <w:rtl w:val="true"/>
        </w:rPr>
        <w:t>ما هو الدليل على هذا الشرط؟</w:t>
      </w:r>
      <w:bookmarkEnd w:id="542"/>
    </w:p>
    <w:p>
      <w:pPr>
        <w:pStyle w:val="BookText"/>
        <w:rPr/>
      </w:pPr>
      <w:r>
        <w:rPr>
          <w:rFonts w:ascii="Amiri" w:hAnsi="Amiri" w:eastAsia="Amiri" w:cs="Amiri"/>
          <w:color w:val="111111"/>
          <w:sz w:val="28"/>
          <w:sz w:val="28"/>
          <w:szCs w:val="28"/>
          <w:rtl w:val="true"/>
          <w:lang w:bidi="ar-SA"/>
        </w:rPr>
        <w:t>استدل الشيخ على اعتبار هذا الشرط بأنّ نسبة المستصحب إلى الموضوع نسبة العرض إلى موضوعه، فإذا لم يكن الموضوع باقياً وأُريد إبقاء المستصحب فله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العرض بلا موضوع ومحل،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في موضوع غير الموضوع السابق، فيرد عليه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ليس إبقاء لنفس العارض، وانّما هو حكم بحدوث عارض مثله في موضوع جديد، و الحكم بعدم ثبوته لهذا الموضوع الجديد، ليس نقضاً للمتيقّن السابق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يستلزم انتقال العرض الذي هو محال لاستلزامه كون العرض بلا </w:t>
      </w:r>
      <w:bookmarkStart w:id="543" w:name="pg14367_157250"/>
    </w:p>
    <w:p>
      <w:pPr>
        <w:pStyle w:val="BookText"/>
        <w:rPr/>
      </w:pPr>
      <w:bookmarkEnd w:id="543"/>
      <w:r>
        <w:rPr>
          <w:rFonts w:ascii="Amiri" w:hAnsi="Amiri" w:eastAsia="Amiri" w:cs="Amiri"/>
          <w:color w:val="111111"/>
          <w:sz w:val="28"/>
          <w:sz w:val="28"/>
          <w:szCs w:val="28"/>
          <w:rtl w:val="true"/>
          <w:lang w:bidi="ar-SA"/>
        </w:rPr>
        <w:t>موضوع في حالة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ذكره من قبيل إسراء حكم الحقائق إلى الأُمور الاعتبارية، فلو أُريد إثبات وجود العرض تكويناً فهو لا محالة رهن تحقّق الموضوع وإلّا يلزم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بقاء العرض بلا موضوع، أو بقاءه في موضوع آخر، و كلاهما باطلان، و أمّا إذا أُريد به التعبّد ببقاء العرض حتى يترتب عليه الأثر الشرعي فهو رهن عدم العلم بارتفاع الموضوع إذ العلم به يلازم حدوث اليقين بارتفاع المتيقّن ولا يتوقف على إحراز وجود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المستصحب أمراً وجودياً فهو رهن وجود الموضوع، دون ما إذا كان عدمياً كما في السلب التحصيلي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قائماً، فانّ عدم القيام يصدق تارة مع وجود الموضوع، وأُخرى مع عدمه فاستصحاب مثله لا يتوقّف على الموضوع، نعم يتوقّف على 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الاستدلال عليه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صدق الشك في البقاء، و كون رفع اليد نقضاً لليقين السابق فرع وحدة القضيتن، فلو كان هناك تغاير في الموضوع كما إذا تعلّق اليقين بعدالة زيد وشك في عدالة عمرو، أو في المحمول كما إذا تعلّق اليقين بعدالة زيد و الشكّ باجتهاده فلا يعد مثل هذا الشكّ، شكاً في البقاء، ولا رفع اليد، نقضاً لليقين السابق، فانّ صدق الأمرين اللّذين يعدان ركنين للاستصحاب رهن وحدة القضيتين موضوعاً و محمولاً ونسبة، كما لا يخفى</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7507264_3381743652"/>
      <w:bookmarkStart w:id="545" w:name="_Toc202"/>
      <w:bookmarkEnd w:id="544"/>
      <w:r>
        <w:rPr>
          <w:rtl w:val="true"/>
        </w:rPr>
        <w:t>المقام الثالث</w:t>
      </w:r>
      <w:r>
        <w:rPr>
          <w:rtl w:val="true"/>
        </w:rPr>
        <w:t xml:space="preserve">: </w:t>
      </w:r>
      <w:r>
        <w:rPr>
          <w:rtl w:val="true"/>
        </w:rPr>
        <w:t>ما هو الملاك لوحدة القضيتين؟</w:t>
      </w:r>
      <w:bookmarkEnd w:id="5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الشرط لجريان الاستصحاب هو وحدة القضيتين موضوعاً ومحمولاً </w:t>
      </w:r>
      <w:bookmarkStart w:id="546" w:name="pg14367_157251"/>
    </w:p>
    <w:p>
      <w:pPr>
        <w:pStyle w:val="BookText"/>
        <w:rPr/>
      </w:pPr>
      <w:bookmarkEnd w:id="546"/>
      <w:r>
        <w:rPr>
          <w:rFonts w:ascii="Amiri" w:hAnsi="Amiri" w:eastAsia="Amiri" w:cs="Amiri"/>
          <w:color w:val="111111"/>
          <w:sz w:val="28"/>
          <w:sz w:val="28"/>
          <w:szCs w:val="28"/>
          <w:rtl w:val="true"/>
          <w:lang w:bidi="ar-SA"/>
        </w:rPr>
        <w:t>ونسبة، أو كان الشرط بقاء الموضوع، فما هو الملاك لتميّز وحدتهما عن كثرتهما؟ هاهنا احتمالات</w:t>
      </w:r>
      <w:r>
        <w:rPr>
          <w:rFonts w:eastAsia="Amiri" w:cs="Amiri" w:ascii="Amiri" w:hAnsi="Amiri"/>
          <w:color w:val="111111"/>
          <w:sz w:val="28"/>
          <w:szCs w:val="28"/>
          <w:rtl w:val="true"/>
          <w:lang w:bidi="ar-SA"/>
        </w:rPr>
        <w:t>:</w:t>
      </w:r>
    </w:p>
    <w:p>
      <w:pPr>
        <w:pStyle w:val="Heading6"/>
        <w:numPr>
          <w:ilvl w:val="5"/>
          <w:numId w:val="1"/>
        </w:numPr>
        <w:rPr/>
      </w:pPr>
      <w:bookmarkStart w:id="547" w:name="__RefHeading___Toc7507266_3381743652"/>
      <w:bookmarkStart w:id="548" w:name="_Toc203"/>
      <w:bookmarkEnd w:id="547"/>
      <w:r>
        <w:rPr>
          <w:rtl w:val="true"/>
        </w:rPr>
        <w:t>أ</w:t>
      </w:r>
      <w:r>
        <w:rPr>
          <w:rtl w:val="true"/>
        </w:rPr>
        <w:t xml:space="preserve">: </w:t>
      </w:r>
      <w:r>
        <w:rPr>
          <w:rtl w:val="true"/>
        </w:rPr>
        <w:t>الملاك قضاء العقل بأحد الأمرين</w:t>
      </w:r>
      <w:bookmarkEnd w:id="548"/>
    </w:p>
    <w:p>
      <w:pPr>
        <w:pStyle w:val="BookText"/>
        <w:rPr/>
      </w:pPr>
      <w:r>
        <w:rPr>
          <w:rFonts w:ascii="Amiri" w:hAnsi="Amiri" w:eastAsia="Amiri" w:cs="Amiri"/>
          <w:color w:val="111111"/>
          <w:sz w:val="28"/>
          <w:sz w:val="28"/>
          <w:szCs w:val="28"/>
          <w:rtl w:val="true"/>
          <w:lang w:bidi="ar-SA"/>
        </w:rPr>
        <w:t>ربما يحتمل أنّ الملاك هو قضاء العقل بوحدة القضيتين أو كثرتهما، ومن المعلوم أنّ قيود القضايا وشروطها ترجع عند العقل إلى الموضوع وتشكِّل برمتها موضوعاً واحداً،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زيد وسلَّم عليك وأكرمك، فاطعمه، فالموضوع في لسان الدليل وإن كان هو زيد ولكنّه عند العقل هو المركب منه ومن سائر القيود،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الجائي غداً المُسلِم المُكرم،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يقول الحكماء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الجهات التعليلية عند العقل جهات تقييدية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أكرم زيداً لعلمه، فالموضوع زيد العالم لا زيد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ذلك الاحتمال وكان المرجع هو العقل فهو قاض دقيق الملاحظة يجعل كلّ القيود جزء الموضوع، وعندئذٍ يمتنع جريان الاستصحاب في الشبهات الحكمية الكلية، لأنّ الشكّ في بقاء الحكم الكلي نابع عن اختلال قيد من قيود الحكم، فلو كانت القيود محفوظة لما تسرّب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نجاسة الماء المتغيّر إذا زال تغيّره نابع عن زوال التغيّر بنفسه، فهو عند العقل قيد لموضوع الحكم، و مع زواله يكون الموضوع في الآن اللاحق مختلفاً كما تكون القضيتان متعدّدتين فلا يصدق الشك في البقاء، ولا يعد رفع اليد نقضاً لليقين السابق، فيختصّ جريانه بالشبهات الموضوعية كاستصحاب حياته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الاحتمال يختص عدم الجريان بالشبهات الحكمية إذا </w:t>
      </w:r>
      <w:bookmarkStart w:id="549" w:name="pg14367_157252"/>
    </w:p>
    <w:p>
      <w:pPr>
        <w:pStyle w:val="BookText"/>
        <w:rPr/>
      </w:pPr>
      <w:bookmarkEnd w:id="549"/>
      <w:r>
        <w:rPr>
          <w:rFonts w:ascii="Amiri" w:hAnsi="Amiri" w:eastAsia="Amiri" w:cs="Amiri"/>
          <w:color w:val="111111"/>
          <w:sz w:val="28"/>
          <w:sz w:val="28"/>
          <w:szCs w:val="28"/>
          <w:rtl w:val="true"/>
          <w:lang w:bidi="ar-SA"/>
        </w:rPr>
        <w:t>كان الشك فيها، شكاً في المقتضي كالمثال السابق، وأمّا إذا كان الشك في الرافع ذاتاً أو وصفاً فلا يمنع عن جريانه كما أفاده الشيخ الأعظم في فرائده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يجري في الشكّ في الرافع بكلا قسميه أيضاً، لأنّ الموضوع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المتوضئ متطهر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العقل هو المتوضئ الذي لم يصدر منه الحدث يقيناً، وهذا النوع من العلم الذي هو قيد للموضوع مرتفع في الآن اللاحق لكونه شاكاً في صدور الحدث وجوداً أو وصفاً، كما إذا تردّد البلل بين كونه بولاً أو مذيّاً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انّه لو كان الملاك هو قضاء العقل بالوحدة والكثرة فلا يجري في الشبهات الحكمية وإنّما تجري في الشبهات الموضوعية فقط، كما مثّلناه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عصارة الوجه الأوّل، ولكنّه غير صحيح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هو المرجع الوحيد في أحكامه، فهو الحاكم الذي يعيِّن موضوع حكمه وحدوده وسائر خصوصياته، كقولنا العدل حسن والظلم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الأحكام الشرعية الواردة في الكتاب والسنة فالمخاطب فيها هو العقل الحاكم في العرف لا الحاكم في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والعملية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بمعنى الازدراء بالعقل الفلسفي، بل مع ما نكنّ له من التبجيل والتكريم فله مجال واسع في باب المعارف والعقائد، لا الخطابات العرفية التي صدرت لإفهام عامة الناس</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7507268_3381743652"/>
      <w:bookmarkStart w:id="551" w:name="_Toc204"/>
      <w:bookmarkEnd w:id="550"/>
      <w:r>
        <w:rPr>
          <w:rtl w:val="true"/>
        </w:rPr>
        <w:t>ب</w:t>
      </w:r>
      <w:r>
        <w:rPr>
          <w:rtl w:val="true"/>
        </w:rPr>
        <w:t xml:space="preserve">: </w:t>
      </w:r>
      <w:r>
        <w:rPr>
          <w:rtl w:val="true"/>
        </w:rPr>
        <w:t>الملاك هو لسان الدليل</w:t>
      </w:r>
      <w:bookmarkEnd w:id="55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الملاك لإحراز الوحدة أو الكثرة هو ملاحظة لسان الدليل،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فإذا زال تغيّره يرتفع موضوع الدليل، بخلاف ما إذا قال </w:t>
      </w:r>
      <w:bookmarkStart w:id="552" w:name="pg14367_157253"/>
    </w:p>
    <w:p>
      <w:pPr>
        <w:pStyle w:val="BookText"/>
        <w:rPr/>
      </w:pPr>
      <w:bookmarkEnd w:id="5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نجس إذا تغيّر، فزوال التغيّر لا يثبت زوال الموضوع، لأنّه في لسان الدليل هو الماء والمفروض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الاعتماد على لسان الدليل الوارد في مجال الأحكام والأخلاق أمر من الصعوبة بمكان، وذلك لأنّ الرواة لم يلتزموا بنقل ما سمعوه من الإمام بحذافيره وكيفيته، بل كان اهتمامهم منصباً على أداء المفاهيم التي تلقّوها من الإمام سواء أوافقت لفظ الإمام كماً وكيفاً أو لا، ولذلك لما سأل محمد بن مسلم أبا عبد اللّه عليه السلام عن نقل الحديث بالمعنى،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تريد معانيه فلا بأس</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نعم كان الرواة ملتزمين بنقل الخطب والأدعية بنصوصها، لأنّ روعتها تكمن في ألفاظها الناصعة وتراكيبها الخلاّبة، وهذا بخلاف ماله صلة بالأحكام والأخلاق، ولأجل ذلك لا يمكن الاعتماد كلياً على لسان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الاحتمال إنّما يتميّز عن الاحتمال الثالث إذا كان المراد الجمود على ظاهر اللفظ من دون ملاحظة المناسبات بين الموضوع والحكم الموجودة في أذهان العرف، وأمّا مع هذه الملاحظة فهو يرجع إلى الاحتمال الثالث الذي سنذكره</w:t>
      </w:r>
      <w:r>
        <w:rPr>
          <w:rFonts w:eastAsia="Amiri" w:cs="Amiri" w:ascii="Amiri" w:hAnsi="Amiri"/>
          <w:color w:val="111111"/>
          <w:sz w:val="28"/>
          <w:szCs w:val="28"/>
          <w:rtl w:val="true"/>
          <w:lang w:bidi="ar-SA"/>
        </w:rPr>
        <w:t>.</w:t>
      </w:r>
    </w:p>
    <w:p>
      <w:pPr>
        <w:pStyle w:val="Heading6"/>
        <w:numPr>
          <w:ilvl w:val="5"/>
          <w:numId w:val="1"/>
        </w:numPr>
        <w:rPr/>
      </w:pPr>
      <w:bookmarkStart w:id="553" w:name="__RefHeading___Toc7507270_3381743652"/>
      <w:bookmarkStart w:id="554" w:name="_Toc205"/>
      <w:bookmarkEnd w:id="553"/>
      <w:r>
        <w:rPr>
          <w:rtl w:val="true"/>
        </w:rPr>
        <w:t>ج</w:t>
      </w:r>
      <w:r>
        <w:rPr>
          <w:rtl w:val="true"/>
        </w:rPr>
        <w:t xml:space="preserve">: </w:t>
      </w:r>
      <w:r>
        <w:rPr>
          <w:rtl w:val="true"/>
        </w:rPr>
        <w:t>المرجع فهم العرف من الدليل</w:t>
      </w:r>
      <w:bookmarkEnd w:id="55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المرجع هو الدليل الاجتهادي المتكفّل للحكم الأوّلي الكلّي، لكن حسب ما يفهم العرف منه، فسواء أورد،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نجس، أم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ينجس إذا تغيّر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 استظهر العرف حسب المناسبات المغروسة في ذهنه انّ الموضوع هو الماء، والتغيّر علة لعروض النجاسة عليه، ويكفي في السببية وجوده آناً ما، يكون المورد صالحاً للاستصحاب، أخذاً بوحدة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استظهر كون الموضوع هو الماء المقيّد بالتغيّر، فلا يكون صالحاً له، وعلى ضوء ذلك فليس ظاهر الدليل مقياساً للوحدة وخلافها، بل ما يفهمه العرف منه حسب ارتكازه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تستطيع أن تميّز بقاء الموضوع وعدم بقائه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صار الخشب النجس رماداً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صار الخمر خلاً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باع الفرس فبان بغلاً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باع الفرس الأصيل فبان غير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فالعرف يتلقّى الأمثلة الثلاثة الأوّلية انّه من قبيل انتفاء الموضوع واختلاف القضيتين، لأنّ الصورة الجسمية وإن كانت مشتركة لكن المهم هو الصورة النوعية، وأين هي في الرماد والخل والبغل؟ ولكن العقل يقضي في المثال الرابع بخلاف ذلك فيرى الصورة النوعية محفوظة وإنّما الاختلاف في الشرط، وهو كونه أصيلاً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صحّح استصحاب الأحكام الكلية، من عنوان إلى عنوان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 إذا غلى يحرم، كان الموضوع هو خصوص العنب، لكن العرف حسب مرتكزاته وما يتخيل من المناسبات بين الحكم والموضوع يتلقّى الموضوع للحرمة ما يعم الزبيب، ويرى العنبية والزبيبية من حالات الموضوع المتبادلة، بحيث لو لم يكن الزبيب محكوماً بحكم العنب كان من قبيل ارتفاع الحكم بموضوعه</w:t>
      </w:r>
      <w:r>
        <w:rPr>
          <w:rFonts w:eastAsia="Amiri" w:cs="Amiri" w:ascii="Amiri" w:hAnsi="Amiri"/>
          <w:color w:val="111111"/>
          <w:sz w:val="28"/>
          <w:szCs w:val="28"/>
          <w:rtl w:val="true"/>
          <w:lang w:bidi="ar-SA"/>
        </w:rPr>
        <w:t xml:space="preserve">. </w:t>
      </w:r>
      <w:bookmarkStart w:id="555" w:name="pg14367_157255"/>
    </w:p>
    <w:p>
      <w:pPr>
        <w:pStyle w:val="BookText"/>
        <w:rPr/>
      </w:pPr>
      <w:bookmarkEnd w:id="5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المناسبات والارتكازات صحيح، لكن ظرف اعمالها إنّما هوبعد عروض الحكم على العنب الخارجي وحكم عليه بأنّه إذا غلى يحرم، فعندئذٍ يشير إليه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إذا غلى يحرم، والأصل بقاؤه على ما كانت على النحو الذي أوضحناه عند البحث في استصحاب الأحكام التعليقية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اعمال المناسبات قبل تطبيق الحكم على الخارج فممّا لا يقبله فهم العرف، إذ كيف يتحد مفهوم العنب مع مفهوم الزبيب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مفهومان متغايران لا يكون واحد منهما نفس الآخر؟</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أنّ العرف يتلقّى الموضوع أعمّ من العنب والزبيب، لكن لا في مجال الأحكام الكلية، فانّ العناوين الكلية مثار الكثرة، بل يتلقّى بعد تطبيقه على الخارج على وجه تدعوه المناسبات إلى الغاء الخصوصيات، ومن تلك المناسبات هي أنّ الحامل للحكم هو الصورة النوعية المحفوظة في العنب والزبيب، وإنّما اختلفا في الرطوبة والجفاف، نظير ما قلناه في الماء المتغيّر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أسقط الشرط الثاني والثالث لجريان الاستصحاب واكتفى بذكر الشرط الرابع، كما أنّ الشيخ الأعظم أسقط الشرط الثاني فقط، ونحن نذكرمجموع الشروط الثلاثة الباقية لجريان الاستصحاب</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7507272_3381743652"/>
      <w:bookmarkStart w:id="557" w:name="_Toc206"/>
      <w:bookmarkEnd w:id="556"/>
      <w:r>
        <w:rPr>
          <w:rtl w:val="true"/>
        </w:rPr>
        <w:t>الشرط الثاني</w:t>
      </w:r>
      <w:r>
        <w:rPr>
          <w:rtl w:val="true"/>
        </w:rPr>
        <w:t xml:space="preserve">: </w:t>
      </w:r>
      <w:r>
        <w:rPr>
          <w:rtl w:val="true"/>
        </w:rPr>
        <w:t>وحدة متعلّق الشك واليقين</w:t>
      </w:r>
      <w:bookmarkEnd w:id="55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يفترق الاستصحاب عن قاعدة المقتضي والمانع بوحدة متعلّق اليقين والشكّ في الاستصحاب، فالرجل يكون على يقين من وضوئه فيشكّ في نفس الوضوء بقاءً كما هو المتبادر من قوله عليه السلام في صحيحة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فانّه على يقين من </w:t>
      </w:r>
    </w:p>
    <w:p>
      <w:pPr>
        <w:pStyle w:val="BookText"/>
        <w:rPr/>
      </w:pPr>
      <w:r>
        <w:rPr>
          <w:rFonts w:ascii="Amiri" w:hAnsi="Amiri" w:eastAsia="Amiri" w:cs="Amiri"/>
          <w:color w:val="111111"/>
          <w:sz w:val="28"/>
          <w:sz w:val="28"/>
          <w:szCs w:val="28"/>
          <w:rtl w:val="true"/>
          <w:lang w:bidi="ar-SA"/>
        </w:rPr>
        <w:t>وضوئه ولا تنقض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أي‌بالشك فيما تعلّق به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قاعدة المقتضي والمانع التي ابتكرها المحقّق الشيخ محمد هادي الطهراني قدس سره، فانّ متعلّق اليقين فيها، غير متعلّق الشكّ، فالأوّل يتعلّق بالسبب الذي يُعبِّر عنه بالمقتضي، والثاني بالمانع عن تأثيره، كما إذا صبّ الماء على البشرة و يعد صبّ الماء سبباً لغسلها، لولا المانع، وتعلّق الشك بوجود المانع فيها، فالقائل بحجية هذه القاعدة يقول المقتضي محرز بالوجدان وعدم المانع بالأصل فيثبت غَسْل البشرة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إذا رمى إنساناً بالسهم، على وجه لولا المانع لقتله، فاليقين تعلّق بالسبب وهو الرمي، والشكّ بالمانع، فيقال المقتضي محرز بالوجدان وعدم المانع بالأصل فيثبت كونه مقتولاً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سواء أقلنا بحجية تلك القاعدة أم لا، فلا صلة لها بالاستصحاب لوحدة المتعلّقين فيه وتغايرهما في القاعدة، وقد اهمل الشيخ الأعظم هذا الشرط، ووجهه واضح، لأنّ القاعدة من إبداعات تلميذه الطهراني و لم يكن منها أي‌أثر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المحقّق الخراساني فقد أهمله في المقام، لكنّه طرحه في تعليقته على الفرائد وأدّى حقّ المقال</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خصوصيات المورد، وهو لا يلازم كونها بصدد جعل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نفي إيجاب الوضوء مع الشكّ في النوم إنّما هو لتحقيق الشكّ في الوضوء وارتفاعه الّذي يكون صغرى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وحدة متعلّق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بشيء بالشك فيه لا بالشك في رافعه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درر الفوائد</w:t>
      </w:r>
      <w:r>
        <w:rPr>
          <w:rFonts w:eastAsia="Amiri" w:cs="Amiri" w:ascii="Amiri" w:hAnsi="Amiri"/>
          <w:color w:val="111111"/>
          <w:sz w:val="28"/>
          <w:szCs w:val="28"/>
          <w:rtl w:val="true"/>
          <w:lang w:bidi="ar-SA"/>
        </w:rPr>
        <w:t>.</w:t>
      </w:r>
      <w:bookmarkStart w:id="558" w:name="pg14367_157257"/>
    </w:p>
    <w:p>
      <w:pPr>
        <w:pStyle w:val="Heading5"/>
        <w:numPr>
          <w:ilvl w:val="4"/>
          <w:numId w:val="1"/>
        </w:numPr>
        <w:rPr/>
      </w:pPr>
      <w:bookmarkStart w:id="559" w:name="__RefHeading___Toc7507274_3381743652"/>
      <w:bookmarkStart w:id="560" w:name="_Toc207"/>
      <w:bookmarkEnd w:id="558"/>
      <w:bookmarkEnd w:id="559"/>
      <w:r>
        <w:rPr>
          <w:rtl w:val="true"/>
        </w:rPr>
        <w:t>الشرط الثالث</w:t>
      </w:r>
      <w:r>
        <w:rPr>
          <w:rtl w:val="true"/>
        </w:rPr>
        <w:t xml:space="preserve">: </w:t>
      </w:r>
      <w:r>
        <w:rPr>
          <w:rtl w:val="true"/>
        </w:rPr>
        <w:t>بقاء اليقين في ظرف الشك</w:t>
      </w:r>
      <w:bookmarkEnd w:id="560"/>
    </w:p>
    <w:p>
      <w:pPr>
        <w:pStyle w:val="Heading6"/>
        <w:numPr>
          <w:ilvl w:val="5"/>
          <w:numId w:val="1"/>
        </w:numPr>
        <w:rPr/>
      </w:pPr>
      <w:bookmarkStart w:id="561" w:name="__RefHeading___Toc7507276_3381743652"/>
      <w:bookmarkStart w:id="562" w:name="_Toc208"/>
      <w:bookmarkEnd w:id="561"/>
      <w:r>
        <w:rPr>
          <w:rtl w:val="true"/>
        </w:rPr>
        <w:t>اشارة</w:t>
      </w:r>
      <w:bookmarkEnd w:id="562"/>
    </w:p>
    <w:p>
      <w:pPr>
        <w:pStyle w:val="BookText"/>
        <w:rPr/>
      </w:pPr>
      <w:r>
        <w:rPr>
          <w:rFonts w:ascii="Amiri" w:hAnsi="Amiri" w:eastAsia="Amiri" w:cs="Amiri"/>
          <w:color w:val="111111"/>
          <w:sz w:val="28"/>
          <w:sz w:val="28"/>
          <w:szCs w:val="28"/>
          <w:rtl w:val="true"/>
          <w:lang w:bidi="ar-SA"/>
        </w:rPr>
        <w:t>وهذا الشرط أهمله المحقّق الخراساني و ذكره الشيخ بتفصيل، وخلاصة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يعتبر فيه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البقاء دون الحدوث، كما إذا تعلّق اليقين بعدالة زيد يوم الجمعة، وتعلّق الشك بعدالته يوم السبت، فالشك في جميع الأحوال متعلّق بالبقاء دون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اليقين بالحدوث محفوظاً في ظرف الشك في البقاء فهو في وقت واحد يكون مذعناً بعدالة زيد يوم الجمعة، شاكاً في عدالته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الفرق بينه و بين القاعدة، حيث إنّ اليقين فيه يتعلّق بالبقاء، وفي القاعدة بنفس الحدوث، كما أنّ اليقين يكون محفوظاً فيه حالة الشك، بخلافه فيها فانّه يكون زائلاً في ذلك الظرف 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أذعن بعدالة زيد يوم الجمعة، ثمّ سرى الشكّ إلى نفس اليقين فتردد في عدالته في نفس ذلك اليوم، وانّه هل كان علمه مطابقاً للواقع أو كان جهلاً مركباً، فشكّ في أصل العدالة، وبالتالي، زال اليقين بها في ظرف الشك لامتناع اجتماعها مع وحدة متعلّقهماعقلاً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الاستصحاب والقاعدة والفارق بينهما، إذا عرفت هذا فاعلم أنّه يقع الكلام في مقامين</w:t>
      </w:r>
      <w:r>
        <w:rPr>
          <w:rFonts w:eastAsia="Amiri" w:cs="Amiri" w:ascii="Amiri" w:hAnsi="Amiri"/>
          <w:color w:val="111111"/>
          <w:sz w:val="28"/>
          <w:szCs w:val="28"/>
          <w:rtl w:val="true"/>
          <w:lang w:bidi="ar-SA"/>
        </w:rPr>
        <w:t>:</w:t>
      </w:r>
    </w:p>
    <w:p>
      <w:pPr>
        <w:pStyle w:val="Heading6"/>
        <w:numPr>
          <w:ilvl w:val="5"/>
          <w:numId w:val="1"/>
        </w:numPr>
        <w:rPr/>
      </w:pPr>
      <w:bookmarkStart w:id="563" w:name="__RefHeading___Toc7507278_3381743652"/>
      <w:bookmarkStart w:id="564" w:name="_Toc209"/>
      <w:bookmarkEnd w:id="563"/>
      <w:r>
        <w:rPr/>
        <w:t>1</w:t>
      </w:r>
      <w:r>
        <w:rPr>
          <w:rtl w:val="true"/>
        </w:rPr>
        <w:t xml:space="preserve">. </w:t>
      </w:r>
      <w:r>
        <w:rPr>
          <w:rtl w:val="true"/>
        </w:rPr>
        <w:t>إمكان الجمع بينهما ثبوتاً في اللحاظ</w:t>
      </w:r>
      <w:bookmarkEnd w:id="564"/>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انّ عامّة ما ورد من الروايات ناظر إلى الاستصحاب بشهادة موردهما، غير ما ورد في حديث الأربعمائة المروي عن علي عليه السلام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كان على يقين ثمّ شكّ 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هو ناظر إلى الاستصحاب أو قاعدة اليقين أو إلى كليهما؟ فاستفادة حجّية كلا الأمرين فرع إمكان الجمع بينهما ثبوتاً، ولذلك عقدنا بحثاً خاصاً لذلك تبعاً للشيخ الأعظم فقد ذهب الشيخ وغيره إلى امتناع الجمع بينهما لحاظاً، وذكروا هناك وجوهاً نشير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المضيّ في الاستصحاب عبارة عن الحكم ببقاء المتيقّن سابقاً من غير تعرّض لحال حدوثه، والمضي في القاعدة هو الحكم بحدوث ما تيقّن من غير تعرّض للبقاء، فلا تصح إرادة المعنيين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فشكّ فليمض على 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لتغاير معنى المضيّ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ذلك لو استعمل لفظ المضيّ في كلا المعنيين أي‌المضي حدوثاً والمضي بقاء، دونما إذا استعمل في الجامع وهو عدم التوقف لأجل الشكّ وفرضه كالعدم، غير انّه يختلف باختلاف متعلّقه، فلو تعلّق الشكّ بالبقاء يكون معناه الحكم بالبقاء، ولو تعلّق بالحدوث يكون معناه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شمول الحديث للاستصحاب والقاعدة متفرّع على تعدّد اليقين حتى يشمله شمولَ القضية الحقيقية لافرادها المختلفة، ولكن اليقين واحد، لوحدة متعلّقه وهو العدالة، وليس هنا يقينان مختلفان حتى يعمّ الحديثُ عموم القضية، لافرادها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اليقين في الاستصحاب عن اليقين في القاعدة بالعوارض المتأخرة عنه وهو أخذ الزمان قيداً في القاعدة وظرفاً في الاستصحاب، وليس اليقين بتحقق مطلق العدالة يوم الجمعة واليقين بعدالته المقيّدة بيوم الجمعة فردين من اليقين، داخلين تحت عموم الخبر، ضرورة انّ الطوارئ المتأخرة عن اليقين لا توجب تعدّد اليقين مع وحدة المتعلّق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تعدّد اليقين كما يمكن بتعدّد المتعلّق، كما إذا أيقن بعدالة زيد، وفسق عمرو، كذلك يمكن تعدّده فيه باختلاف المحلِّ القائم به وإن كان المتعلّق واحداً كما إذا تعلّق يقين زيد على عدالة شخص مقيّدة بيوم الجمعة، ثمّ شكّ في حدوثها، وتعلّق يقين عمرو على عدالته المطلقة يوم الجمعة وشكّ في بقائها، فلا شكّ انّ هنا فردين من اليقين فيعمّهما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القضايا الحقيقية لافرادها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 مشايخنا العلاّمة الحائري قدس سره و نقله المحقّق الخوئي عن أُستاذه النائيني قدّس سرّهما، ولعلّ‌العلمين تلقياه عن شيخهما السيد الفشاركي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الزمان إمّا يلاحظ قيداً للمتيقّن، أو يلاحظ ظرفاً له، و إمّا أن يُهمل رأساً، فعلى الأوّل ينطبق على القاعدة، لأنّ الشكّ في الحدوث، والبقاء لا يكون ملحوظاً، وعلى الأخيرين ينطبق على الاستصحاب، لأنّ الزمان ملغى فيه وإلّا لم يصدق النقض ولا اتحدت القضيتان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اليقين بمعنى المتيقّن، فيدور كون الزمان قيداً أو ظرفاً ولا يمكن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التفاوت بين القاعدة والاستصحاب بكون الزمان في الأُولى قيداً وفي الآخر ظرفاً أو مهملاً، وكلا الأمرين غير تامين</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اليقين بمعنى نفسه والنقض منسوب إليه وبذلك صحّحنا عموم الروايات للشك في المقتضي، وعند ذلك يصح الزمان ظرفاً مطلقاً، لعدم المعنى لكونه قيداً لليقين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مبني على كون الزمان قيداً في القاعدة، وظرفاً أو غير ملحوظ في الاستصحاب، لكنّه غير صحيح، لأنّ الفرق بينهما يرجع إلى تعلّق الشك في القاعدة بالحدوث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قطع النظر عن البقاء وفي الاستصحاب على البقاء، مع تسليم الحدوث، وتعلّقه بالحدوث ليس بمعنى تقيّده به، بل بمعنى كونه الملحوظ دون غيره، وعدم لحاظ الغير غير كون الملحوظ مقيّداً بعدم لحاظ الغير، فانّك إذا رأيت زيداً اليوم فقد رأيته اليوم لا أمس، لأنّ الرؤية مقيّدة بعدم الرؤية في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تسرّب كون الزمان قيداً في القاعدة من كلام الشيخ الأنصاري كما سبق</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وهو انّ المتيقّن في مورد الاستصحاب مفروض الوجود وإنّما الشكّ في بقائه، وهذا بخلاف مورد القاعدة فانّ المتيقّن فيه ليس بمفروض الوجود، إذ المفروض انّ أصل حدوثه فيه مشكوك، وعليه فلا يمكن التعبد بالمتيقّن في مورد كلّ من الاستصحاب والقاعدة في دليل ضرورة عدم إمكان الجمع بين تصوّر الشيء مفروض الوجود، وتصوّره مشكوكاً فيه في لحاظ واحد لرجوعه إلى الجمع بين المتناقضين</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مبني على تفسير اليقين بمعنى المتيقّن فعند ذاك يأتي ما ذكره من عدم صحة تصوّر الشيء بصورتين متضادتين، وأمّا إذا كان اليقين بمعنى نفسه والنهي متوجهاً إلى نقضه، من دون نظر إلى المتيقّن، فلا مورد للإشكال، إذ ليس لليقين إلّاصورة واحدة، وعند ذاك يشمل الحديث القاعدة و الاستصحاب </w:t>
      </w:r>
      <w:bookmarkStart w:id="565" w:name="pg14367_157261"/>
    </w:p>
    <w:p>
      <w:pPr>
        <w:pStyle w:val="BookText"/>
        <w:rPr/>
      </w:pPr>
      <w:bookmarkEnd w:id="565"/>
      <w:r>
        <w:rPr>
          <w:rFonts w:ascii="Amiri" w:hAnsi="Amiri" w:eastAsia="Amiri" w:cs="Amiri"/>
          <w:color w:val="111111"/>
          <w:sz w:val="28"/>
          <w:sz w:val="28"/>
          <w:szCs w:val="28"/>
          <w:rtl w:val="true"/>
          <w:lang w:bidi="ar-SA"/>
        </w:rPr>
        <w:t xml:space="preserve">بملاك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نظر إلى انّ المتيقّن كان مفروض الوجود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ذكر وجهاً آخر، لعدم إمكان الجمع بين القاعدتين، نقلناه في الدورة السابقة</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والحقّ انّ هذه الوجوه، غير صالحة لإثبات امتناع الجمع بين القاعدة والاستصحاب في لحاظ واحد وانما المهم هو المقام الثاني</w:t>
      </w:r>
      <w:r>
        <w:rPr>
          <w:rFonts w:eastAsia="Amiri" w:cs="Amiri" w:ascii="Amiri" w:hAnsi="Amiri"/>
          <w:color w:val="111111"/>
          <w:sz w:val="28"/>
          <w:szCs w:val="28"/>
          <w:rtl w:val="true"/>
          <w:lang w:bidi="ar-SA"/>
        </w:rPr>
        <w:t>.</w:t>
      </w:r>
    </w:p>
    <w:p>
      <w:pPr>
        <w:pStyle w:val="Heading6"/>
        <w:numPr>
          <w:ilvl w:val="5"/>
          <w:numId w:val="1"/>
        </w:numPr>
        <w:rPr/>
      </w:pPr>
      <w:bookmarkStart w:id="566" w:name="__RefHeading___Toc7507280_3381743652"/>
      <w:bookmarkStart w:id="567" w:name="_Toc210"/>
      <w:bookmarkEnd w:id="566"/>
      <w:r>
        <w:rPr>
          <w:rtl w:val="true"/>
        </w:rPr>
        <w:t>المقام الثاني</w:t>
      </w:r>
      <w:r>
        <w:rPr>
          <w:rtl w:val="true"/>
        </w:rPr>
        <w:t xml:space="preserve">: </w:t>
      </w:r>
      <w:r>
        <w:rPr>
          <w:rtl w:val="true"/>
        </w:rPr>
        <w:t>في تحديد دلالة الرواية</w:t>
      </w:r>
      <w:bookmarkEnd w:id="567"/>
    </w:p>
    <w:p>
      <w:pPr>
        <w:pStyle w:val="BookText"/>
        <w:rPr/>
      </w:pPr>
      <w:r>
        <w:rPr>
          <w:rFonts w:ascii="Amiri" w:hAnsi="Amiri" w:eastAsia="Amiri" w:cs="Amiri"/>
          <w:color w:val="111111"/>
          <w:sz w:val="28"/>
          <w:sz w:val="28"/>
          <w:szCs w:val="28"/>
          <w:rtl w:val="true"/>
          <w:lang w:bidi="ar-SA"/>
        </w:rPr>
        <w:t>قد عرفت إمكان الجمع بين الأمرين ثبوتاً إنّما الكلام في تحديد دلالة الروايات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سابقاً انّ أكثر الروايات الواردة في المقام ظاهر في الاستصحاب لأجل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المورد من مقولة الاستصحاب، كالوضوء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ظهور الروايات في فعلية اليقين ووجوده، وهو كذلك في الاستصحاب دون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يقع الكلام في حديث الخصال، أعني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على يقين فشكّ، فليمض على يقينه، فانّ الشكّ لا ينقض اليقين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يقين فأصابه شك فليمض على يقينه</w:t>
      </w:r>
      <w:r>
        <w:rPr>
          <w:rFonts w:eastAsia="Amiri" w:cs="Amiri" w:ascii="Amiri" w:hAnsi="Amiri"/>
          <w:color w:val="111111"/>
          <w:sz w:val="28"/>
          <w:szCs w:val="28"/>
          <w:rtl w:val="true"/>
          <w:lang w:bidi="ar-SA"/>
        </w:rPr>
        <w:t xml:space="preserve">». </w:t>
      </w:r>
      <w:bookmarkStart w:id="568" w:name="pg14367_157262"/>
    </w:p>
    <w:p>
      <w:pPr>
        <w:pStyle w:val="BookText"/>
        <w:rPr/>
      </w:pPr>
      <w:bookmarkEnd w:id="568"/>
      <w:r>
        <w:rPr>
          <w:rFonts w:ascii="Amiri" w:hAnsi="Amiri" w:eastAsia="Amiri" w:cs="Amiri"/>
          <w:color w:val="111111"/>
          <w:sz w:val="28"/>
          <w:sz w:val="28"/>
          <w:szCs w:val="28"/>
          <w:rtl w:val="true"/>
          <w:lang w:bidi="ar-SA"/>
        </w:rPr>
        <w:t xml:space="preserve">وربما يتوهم ظهوره في القاعدة دون الاستصحاب، لأنّ تخلّل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يعرب عن تأخر الشك عن اليقين، وهو كذلك في القاعدة دون الاستصحاب، إذ من الممكن أن يحصل اليقين والشك فيه معاً، بل يتقدم الشكّ على اليقين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شكّ في أنّ الغالب في الاستصحاب هو تأخر الشكّ‌عن اليقين، وانّ حصولهما معاً، أو تقدّم الشكّ‌على اليقين نادر جداً، وعلى ذلك فيُحمل القيد على الغالب، فيكون القيد غالبياً لا احترازياً، فتتحد الروايات مضموناً وغاية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انّ لجريان الاستصحاب شروطاً قدّمنا ذكر ثلاثة منها،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متعلّق اليقين 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فعلية اليقين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الرابع، وهذا هوالذي ندرسه</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7507282_3381743652"/>
      <w:bookmarkStart w:id="570" w:name="_Toc211"/>
      <w:bookmarkEnd w:id="569"/>
      <w:r>
        <w:rPr>
          <w:rtl w:val="true"/>
        </w:rPr>
        <w:t>الشرط الرابع</w:t>
      </w:r>
      <w:r>
        <w:rPr>
          <w:rtl w:val="true"/>
        </w:rPr>
        <w:t xml:space="preserve">: </w:t>
      </w:r>
      <w:r>
        <w:rPr>
          <w:rtl w:val="true"/>
        </w:rPr>
        <w:t>عدم أمارة في مورده</w:t>
      </w:r>
      <w:bookmarkEnd w:id="570"/>
    </w:p>
    <w:p>
      <w:pPr>
        <w:pStyle w:val="Heading6"/>
        <w:numPr>
          <w:ilvl w:val="5"/>
          <w:numId w:val="1"/>
        </w:numPr>
        <w:rPr/>
      </w:pPr>
      <w:bookmarkStart w:id="571" w:name="__RefHeading___Toc7507284_3381743652"/>
      <w:bookmarkStart w:id="572" w:name="_Toc21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اتّفقت كلمة الأُصوليّين المتأخرين على تقدّم الأمارة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للمتقدّمين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فرق بين كون الشبهة حكمية أو موضوعية، ولكنّهم اختلفوا في وجه التقدّم، فهناك أقوال أو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تقدّمها عليه من باب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المحقّق الخراساني قدس سره، وهو المختار</w:t>
      </w:r>
      <w:r>
        <w:rPr>
          <w:rFonts w:eastAsia="Amiri" w:cs="Amiri" w:ascii="Amiri" w:hAnsi="Amiri"/>
          <w:color w:val="111111"/>
          <w:sz w:val="28"/>
          <w:szCs w:val="28"/>
          <w:rtl w:val="true"/>
          <w:lang w:bidi="ar-SA"/>
        </w:rPr>
        <w:t>.</w:t>
      </w:r>
      <w:bookmarkStart w:id="573" w:name="pg14367_157263"/>
    </w:p>
    <w:p>
      <w:pPr>
        <w:pStyle w:val="BookText"/>
        <w:rPr/>
      </w:pPr>
      <w:bookmarkEnd w:id="57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تقدّمها عليه من باب الحكومة، وهو خيرة الشيخ الأنصاري والمحقّق الخوئي 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 باب التخصيص، أي‌تخصيص دليل حجّية الاستصحاب بدليل حجّية الأمارة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 باب التوفيق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الوجوه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574" w:name="__RefHeading___Toc7507286_3381743652"/>
      <w:bookmarkStart w:id="575" w:name="_Toc213"/>
      <w:bookmarkEnd w:id="574"/>
      <w:r>
        <w:rPr/>
        <w:t>1</w:t>
      </w:r>
      <w:r>
        <w:rPr>
          <w:rtl w:val="true"/>
        </w:rPr>
        <w:t xml:space="preserve">. </w:t>
      </w:r>
      <w:r>
        <w:rPr>
          <w:rtl w:val="true"/>
        </w:rPr>
        <w:t>دليل الأمارة وارد على دليل الاستصحاب</w:t>
      </w:r>
      <w:bookmarkEnd w:id="575"/>
    </w:p>
    <w:p>
      <w:pPr>
        <w:pStyle w:val="BookText"/>
        <w:rPr/>
      </w:pPr>
      <w:r>
        <w:rPr>
          <w:rFonts w:ascii="Amiri" w:hAnsi="Amiri" w:eastAsia="Amiri" w:cs="Amiri"/>
          <w:color w:val="111111"/>
          <w:sz w:val="28"/>
          <w:sz w:val="28"/>
          <w:szCs w:val="28"/>
          <w:rtl w:val="true"/>
          <w:lang w:bidi="ar-SA"/>
        </w:rPr>
        <w:t>إنّ دليل حجّية الأمارة وارد على دليل حجّية الاستصحاب ويتضح ذلك بذكر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النسبة بين دليلي حجّيتهما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كون أحدهما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والخصوص من وجه، فما دلّ على حجّية الأمارة ظاهر في وجوب العمل بها، سواء أوافق مدلُولها مقتضى الاستصحاب أم خالفه، كما أنّ ما دلّ على حجّية الاستصحاب ظاهر في لزوم العمل على وفق الحالة السابقة، سواء أكانت موافقة لمفاد الأمارة أم لا، فلابدّ من العلاج بتقديم أحد الدليلين على الآخر</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نسبة كلّ من الأمارة والاستصحاب بالنسبة إلى المورد، متساوية، فلو كانت المرأة غير ذات بعل وشكّ ثمّ قامت الأمارة على كونها ذات بعل، فلا يمكن استظهار تقدّم أحدهما على الآخر إلّاعن طريق لحاظ دليل حجّيتهما وملاحظة لسانهما، وإلّا فليس في مضمون الأمارة، ومفاد الاستصحاب ما يقتضي تقدّمَ أحدهما على الآخر إذا قلنا بحجّية الاستصحاب من باب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الورود والحكومة من المصطلحات الحديثة، وسيوافيك توضيحهما في مبحث التعادل والترجيح، وموجز القول فيهما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كون أحد الدليلين ناظراً إلى عقد الوضع وكان رافعاً لموضوع الدليل الآخر حقيقة لكن بعناية الشرع، كما هو الحال إذا قيس دليلُ حجّية الأمارة إلى دليل الأُصول العقلية، فانّ موضوع دليل البراءة العقلية مثلاً هو عدم ورود البيان من الشرع، والأمارة التي هي حجّة شرعية رافع لموضوعها حقيقة لكونها بياناً من الشارع في موردها، فهي بيان بعناية الشرع، إذ لولا إضفاء الشارع الحجّيةَ عليها لما كان بياناً واقعاً، بل كان مظنون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الثلاثة،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المحقّق الخراساني إلى كون تقديم دليل الأمارة على دليل الاستصحاب من باب الورود، وأفاد في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اليد عن اليقين السابق بسبب أمارة معتبرة على خلافه، ليس من نقض اليقين بالشك بل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المأخوذ في دليل الاستصحاب ليس صرف الشكّ كما في سائر الأُصول، بل هو مع اليقين السابق، منضماً إلى كون رفع اليد عنه نقضاً لليقين بالشكّ، وإذا دلّ الدليل على حجّية الأمارة، فلا يكون رفع اليد عنه نقضاً له بالشكّ، بل نقضاً باليقين، حيث إنّ الأمارة حجّة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مفادها أمراً ظنيّاً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دليلها وارداً على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هنا مظنة سؤال، و هو انّ هذا البيان لا يتم فيما إذا اتحد مضمونه مع مضمون الأمارة، حيث يعمل على وفق الحالة السابقة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العمل على وفق الحالة السابقة في هذا المورد ليس لأجل أن لا يلزم نقضه بالشك، بل من باب لزوم العمل باليقين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أورد على نفسه بأنّه لم لا يجوز العكس وتقديم دليل الاستصحاب على دليل حجّية الأمارة عن طريق التخصيص، بأن يكون دليل حجّية الاستصحاب مخصِّصاً لدليل حجّية الأمارة؟</w:t>
      </w:r>
    </w:p>
    <w:p>
      <w:pPr>
        <w:pStyle w:val="BookText"/>
        <w:rPr/>
      </w:pPr>
      <w:r>
        <w:rPr>
          <w:rFonts w:ascii="Amiri" w:hAnsi="Amiri" w:eastAsia="Amiri" w:cs="Amiri"/>
          <w:color w:val="111111"/>
          <w:sz w:val="28"/>
          <w:sz w:val="28"/>
          <w:szCs w:val="28"/>
          <w:rtl w:val="true"/>
          <w:lang w:bidi="ar-SA"/>
        </w:rPr>
        <w:t>وأجاب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يصحّ احتماله إلّابوجه دائر، فانّ كونه مخصِّصاً يتوقف على اعتباره معها، وكونه حجة في مقابل الأمارة، واعتباره في هذه الحالة، يتوقف على تخصيص دليل حجّية الأمارة، بدليل حجّية الاستصحاب، هذا هو الدور الصريح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دار الأمر بين تقديم الأمارة على الاستصحاب من باب الورود، وتقديمه على الأمارة من باب التخصيص يلزم الدور، لكون حجّية الأمارة متوقفة على كونها واردة عليه والشرط حاصل، بخلاف حجّية الاستصحاب في مقابلها، فهي متوقفة على كونه مخصصاً، وهو يتوقّف على حجّيته في مقابلها فيدور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أورد على مقالة صاحب الكفاية وقال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الغاية عبارة عن نقض اليقين باليقين، لا بالشك، والأمارة غير مفيدة له، بل الشك موجود في مورد الأمارة، والقول بتعلّق اليقين بحجّية الأمارة دون مضمونها، لا يكفي في تحقّق الغاية، لأنّ الظاهر وحدة متعلّق اليقين، كما إذا تعلّق اليقين السابق بطهارة الثوب والآخر بنجاسته، وأمّا المقام فأحدهما تعلّق بنجاسته والآخر بحجّية البينة، وهما مختلفان متعلّقاً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تعلّق اليقين بحجّية البيّنة، يتولّد منه يقين آخر، بكون </w:t>
      </w:r>
      <w:bookmarkStart w:id="576" w:name="pg14367_157266"/>
    </w:p>
    <w:p>
      <w:pPr>
        <w:pStyle w:val="BookText"/>
        <w:rPr/>
      </w:pPr>
      <w:bookmarkEnd w:id="576"/>
      <w:r>
        <w:rPr>
          <w:rFonts w:ascii="Amiri" w:hAnsi="Amiri" w:eastAsia="Amiri" w:cs="Amiri"/>
          <w:color w:val="111111"/>
          <w:sz w:val="28"/>
          <w:sz w:val="28"/>
          <w:szCs w:val="28"/>
          <w:rtl w:val="true"/>
          <w:lang w:bidi="ar-SA"/>
        </w:rPr>
        <w:t xml:space="preserve">الثوب نجساً شرعاً، فيكون المورد من باب نقض اليقين باليقين، ويكون متعلّقهما أمراً واحداً، إلّاأنّهما يختلفان إيجاباً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القول بالورود عمل العقلاء، حيث لا يعتدّون به مع الأمارة وإنّما يعملون به في مورد الحيرة، وعدم الحيلة بتحصيل الواقع، فإذا كان هناك طريق إليه، يكون الاستصحاب مرتفعاً بارتفاع موضوعه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507288_3381743652"/>
      <w:bookmarkStart w:id="578" w:name="_Toc214"/>
      <w:bookmarkEnd w:id="577"/>
      <w:r>
        <w:rPr/>
        <w:t>2</w:t>
      </w:r>
      <w:r>
        <w:rPr>
          <w:rtl w:val="true"/>
        </w:rPr>
        <w:t xml:space="preserve">. </w:t>
      </w:r>
      <w:r>
        <w:rPr>
          <w:rtl w:val="true"/>
        </w:rPr>
        <w:t>دليل الأمارة حاكم على دليل الاستصحاب</w:t>
      </w:r>
      <w:bookmarkEnd w:id="578"/>
    </w:p>
    <w:p>
      <w:pPr>
        <w:pStyle w:val="BookText"/>
        <w:rPr/>
      </w:pPr>
      <w:r>
        <w:rPr>
          <w:rFonts w:ascii="Amiri" w:hAnsi="Amiri" w:eastAsia="Amiri" w:cs="Amiri"/>
          <w:color w:val="111111"/>
          <w:sz w:val="28"/>
          <w:sz w:val="28"/>
          <w:szCs w:val="28"/>
          <w:rtl w:val="true"/>
          <w:lang w:bidi="ar-SA"/>
        </w:rPr>
        <w:t>ذهب الشيخ الأعظم إلى أنّ تقدّم الأمارة على الاستصحاب من باب الحكومة، وفسّرها في المقام بالعبارة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يحكم الشارع في ضمن دليل بوجوب رفع اليد عمّا يقتضيه الدليل الآخر لولا الدليل الحاكم، أو بوجوب العمل في مورد بحكم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يقتضيه دليله لولا الدليل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جعل نسبة دليل حجية البيّنة إلى دليل حجّية الاستصحاب من قبيل القسم الأوّل،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اعمل بالبيّنة في نجاسة ثوبك، والمفروض انّ الشكّ موجود مع البيّنة على نجاسة الثوب، فانّ الشارع حكم في دليل وجوب العمل بالبيّنة، برفع اليد عن آثار الاحتمال المخالف للبيّنة التي منها استصحاب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الحكومة عبارة عن تصرّف أحد الدليلين في موضوع الدليل الآخر بالتضييق أو التوسعة، ويتحقّق ذلك تارة بنفي الحكم بلسان نفي الموضوع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الولد والوالد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هي رفع الحرمة لكن بادّعاء عدم الموضوع</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وأُخرى بإثبات الموضوع على وجه لولا الحاكم لما يعمّه المحكوم، كما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على البيت 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ناظر إلى سعة ما يدل على اشتراط الصلاة بالطهارة، للطواف،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هذا إذا كان الدليل الحاكم متصرفاً في جانب الموضوع، وربما يكون متصرفاً في عقد الحمل، وهو أيضاً على 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التضييق، والتوسعة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سيوافيك في أوّل مباحث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فحقيقة الحكومة قائمة بلسانه، وهو أن يكون ناظراً إلى دليل المحكوم على وجه لولا الدليل المحكوم لكان جعل الحاكم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الشرط غير موجود في دليل البيّنة بالنسبة إلى الاستصحاب، فلا دليل، حجّيتها ناظر إلى دليل حجّية الاستصحاب، ولا هو من قبيل نفي الحكم بلسان نفي الموضوع، وليس جعل الحجّية لها لغواً، لولا دليل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تقدّم البيّنة على الاستصحاب من باب الورود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الأولى تقرير الورود بشكل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اليقين هو الحجة الشرعية لا اليقين المنطقي، وقد عرفت أنّ الاستصحاب متقوّم بالشك أوّلاً، ووجود الحالة السابقة ثانياً، وتحديد نقض اليقين بيقين آخر، و من المعلوم أنّ رفع اليد عن الاستصحاب ليس من قبيل نقض اليقين بالشكّ، بل من قبيل نقض اليقين باليقين، أي‌نقض الحجّة بالحجّة، فالاستصحاب حجّة حيث لا حجة، فإذا ثبت حجّية الأمارة، فقد حصلت الغاية، وبذلك ارتفع موضوعه، ولو كان المحقّق الخراساني سلك هذا الطريق لكان أحسن</w:t>
      </w:r>
      <w:r>
        <w:rPr>
          <w:rFonts w:eastAsia="Amiri" w:cs="Amiri" w:ascii="Amiri" w:hAnsi="Amiri"/>
          <w:color w:val="111111"/>
          <w:sz w:val="28"/>
          <w:szCs w:val="28"/>
          <w:rtl w:val="true"/>
          <w:lang w:bidi="ar-SA"/>
        </w:rPr>
        <w:t xml:space="preserve">. </w:t>
      </w:r>
      <w:bookmarkStart w:id="579" w:name="pg14367_157268"/>
    </w:p>
    <w:p>
      <w:pPr>
        <w:pStyle w:val="Heading6"/>
        <w:numPr>
          <w:ilvl w:val="5"/>
          <w:numId w:val="1"/>
        </w:numPr>
        <w:rPr/>
      </w:pPr>
      <w:bookmarkStart w:id="580" w:name="__RefHeading___Toc7507290_3381743652"/>
      <w:bookmarkStart w:id="581" w:name="_Toc215"/>
      <w:bookmarkEnd w:id="579"/>
      <w:bookmarkEnd w:id="580"/>
      <w:r>
        <w:rPr/>
        <w:t>3</w:t>
      </w:r>
      <w:r>
        <w:rPr>
          <w:rtl w:val="true"/>
        </w:rPr>
        <w:t xml:space="preserve">. </w:t>
      </w:r>
      <w:r>
        <w:rPr>
          <w:rtl w:val="true"/>
        </w:rPr>
        <w:t>تقديم دليل الأمارة على الاستصحاب من باب التوفيق العرفي</w:t>
      </w:r>
      <w:bookmarkEnd w:id="581"/>
    </w:p>
    <w:p>
      <w:pPr>
        <w:pStyle w:val="BookText"/>
        <w:rPr/>
      </w:pPr>
      <w:r>
        <w:rPr>
          <w:rFonts w:ascii="Amiri" w:hAnsi="Amiri" w:eastAsia="Amiri" w:cs="Amiri"/>
          <w:color w:val="111111"/>
          <w:sz w:val="28"/>
          <w:sz w:val="28"/>
          <w:szCs w:val="28"/>
          <w:rtl w:val="true"/>
          <w:lang w:bidi="ar-SA"/>
        </w:rPr>
        <w:t>ربما يحتمل أن يكون التقديم من باب التوفيق العرفي، فانّ العرف يوفِّق بينهما بتقديم دليل الأمارة على دليل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سلك هذا الطريق المحقّق الخراساني في 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أدلّة الأحكام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التوفيق العرفي فرع وجود ملاك لهذا الوفق، فإن كان الملاك وجود الاطمئنان في مورد البيّنة دون الاستصحاب، فهذا إنّما يتمُّ لو قلنا بحجّية الاستصحاب من باب الظن، فالظن الحاصل في الأمارة أقوى بكثير من الظن الحاصل بالاستصحاب، ولكنّا لا نقول به، لأنّ حجّيته عندنا من باب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الملاك قائماً باللسان، فالملاك القائم باللسان إمّا التخصيص، أو الحكومة، أو الورود، أو الأظهرية، فكان عليه قدس سره أن يصرّح بملاك التوفيق العرفي، وانّه أي‌واحد منها</w:t>
      </w:r>
      <w:r>
        <w:rPr>
          <w:rFonts w:eastAsia="Amiri" w:cs="Amiri" w:ascii="Amiri" w:hAnsi="Amiri"/>
          <w:color w:val="111111"/>
          <w:sz w:val="28"/>
          <w:szCs w:val="28"/>
          <w:rtl w:val="true"/>
          <w:lang w:bidi="ar-SA"/>
        </w:rPr>
        <w:t>.</w:t>
      </w:r>
    </w:p>
    <w:p>
      <w:pPr>
        <w:pStyle w:val="Heading6"/>
        <w:numPr>
          <w:ilvl w:val="5"/>
          <w:numId w:val="1"/>
        </w:numPr>
        <w:rPr/>
      </w:pPr>
      <w:bookmarkStart w:id="582" w:name="__RefHeading___Toc7507292_3381743652"/>
      <w:bookmarkStart w:id="583" w:name="_Toc216"/>
      <w:bookmarkEnd w:id="582"/>
      <w:r>
        <w:rPr/>
        <w:t>4</w:t>
      </w:r>
      <w:r>
        <w:rPr>
          <w:rtl w:val="true"/>
        </w:rPr>
        <w:t xml:space="preserve">. </w:t>
      </w:r>
      <w:r>
        <w:rPr>
          <w:rtl w:val="true"/>
        </w:rPr>
        <w:t>تقديم دليل الأمارة على دليل الاستصحاب من باب التخصيص</w:t>
      </w:r>
      <w:bookmarkEnd w:id="58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يحتمل أن يكون تقديم الأمارة على دليل الاستصحاب من باب التخصيص، أي‌يكون دليلها مخصصاً لدليله،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 إلّاإذا قامت الأمارة فيجوز نقضه به، لكنّه غير صحيح لاستهجان التخصيص، لأنّ عدم نقض اليقين بالشك أمر فطري لا يقبل التخصيص، فدليل الاستصحاب آب عنه</w:t>
      </w:r>
      <w:r>
        <w:rPr>
          <w:rFonts w:eastAsia="Amiri" w:cs="Amiri" w:ascii="Amiri" w:hAnsi="Amiri"/>
          <w:color w:val="111111"/>
          <w:sz w:val="28"/>
          <w:szCs w:val="28"/>
          <w:rtl w:val="true"/>
          <w:lang w:bidi="ar-SA"/>
        </w:rPr>
        <w:t>.</w:t>
      </w:r>
      <w:bookmarkStart w:id="584" w:name="pg14367_157269"/>
    </w:p>
    <w:p>
      <w:pPr>
        <w:pStyle w:val="BookText"/>
        <w:rPr/>
      </w:pPr>
      <w:bookmarkEnd w:id="584"/>
      <w:r>
        <w:rPr>
          <w:rFonts w:ascii="Amiri" w:hAnsi="Amiri" w:eastAsia="Amiri" w:cs="Amiri"/>
          <w:color w:val="111111"/>
          <w:sz w:val="28"/>
          <w:sz w:val="28"/>
          <w:szCs w:val="28"/>
          <w:rtl w:val="true"/>
          <w:lang w:bidi="ar-SA"/>
        </w:rPr>
        <w:t>إلى هنا تم الكلام في الشرط الرابع لجريان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هناك بحوث استطرادية وهي أُمور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نسبة الاستصحاب مع الأُصول العقلية؟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ماهي نسبة الاستصحاب مع الأُصول الشرعية؟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المرجع في تعارض الاستصحابين؟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النسبة بين الاستصحاب والقواعد الأربع؟</w:t>
      </w:r>
    </w:p>
    <w:p>
      <w:pPr>
        <w:pStyle w:val="BookText"/>
        <w:rPr/>
      </w:pPr>
      <w:r>
        <w:rPr>
          <w:rFonts w:ascii="Amiri" w:hAnsi="Amiri" w:eastAsia="Amiri" w:cs="Amiri"/>
          <w:color w:val="111111"/>
          <w:sz w:val="28"/>
          <w:sz w:val="28"/>
          <w:szCs w:val="28"/>
          <w:rtl w:val="true"/>
          <w:lang w:bidi="ar-SA"/>
        </w:rPr>
        <w:t>وقد اختصر المحقّق الخراساني مقالة في البحثَ الأخير، ولكن بسط الشيخ الكلام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ومسلك الشيخ أفضل من مسلك المحقّق الخراساني، إذ الأُصول يجب أن يكون مزيجاً بالفقه حتى يُورث ملكة الاجتهاد في نفس الإنسان، وإليك الكلام فيها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585" w:name="__RefHeading___Toc7507294_3381743652"/>
      <w:bookmarkStart w:id="586" w:name="_Toc217"/>
      <w:bookmarkEnd w:id="585"/>
      <w:r>
        <w:rPr>
          <w:rtl w:val="true"/>
        </w:rPr>
        <w:t>الأوّل</w:t>
      </w:r>
      <w:r>
        <w:rPr>
          <w:rtl w:val="true"/>
        </w:rPr>
        <w:t xml:space="preserve">: </w:t>
      </w:r>
      <w:r>
        <w:rPr>
          <w:rtl w:val="true"/>
        </w:rPr>
        <w:t>النسبة بين الاستصحاب والأصل العقلي</w:t>
      </w:r>
      <w:bookmarkEnd w:id="586"/>
    </w:p>
    <w:p>
      <w:pPr>
        <w:pStyle w:val="BookText"/>
        <w:rPr/>
      </w:pPr>
      <w:r>
        <w:rPr>
          <w:rFonts w:ascii="Amiri" w:hAnsi="Amiri" w:eastAsia="Amiri" w:cs="Amiri"/>
          <w:color w:val="111111"/>
          <w:sz w:val="28"/>
          <w:sz w:val="28"/>
          <w:szCs w:val="28"/>
          <w:rtl w:val="true"/>
          <w:lang w:bidi="ar-SA"/>
        </w:rPr>
        <w:t>إنّ النسبة بين دليل الاستصحاب، ودليل الأُصول العقلية هي الورود، لأنّ موضوع البراءة العقلية هو عدم البيان، وموضوع الاشتغال هو احتمال العقاب في ارتكاب أو ترك أحد الطرفين، وموضوع التخيير هو تساوي الطرفين من حيث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فالاستصحاب بما هو حجّة يكون بياناً للمورد، ومؤمِّناً من العقاب المحتمل، ومرجّحاً لأحد طرفي الاحتمال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المراد من البيان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البيان الواقعي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مؤدّى الاستصحاب، ليس بياناً للحكم الواقعي، بل المراد الحجّة، والاستصحاب حجّة من جانب الشارع</w:t>
      </w:r>
      <w:r>
        <w:rPr>
          <w:rFonts w:eastAsia="Amiri" w:cs="Amiri" w:ascii="Amiri" w:hAnsi="Amiri"/>
          <w:color w:val="111111"/>
          <w:sz w:val="28"/>
          <w:szCs w:val="28"/>
          <w:rtl w:val="true"/>
          <w:lang w:bidi="ar-SA"/>
        </w:rPr>
        <w:t xml:space="preserve">. </w:t>
      </w:r>
      <w:bookmarkStart w:id="587" w:name="pg14367_157270"/>
    </w:p>
    <w:p>
      <w:pPr>
        <w:pStyle w:val="Heading6"/>
        <w:numPr>
          <w:ilvl w:val="5"/>
          <w:numId w:val="1"/>
        </w:numPr>
        <w:rPr/>
      </w:pPr>
      <w:bookmarkStart w:id="588" w:name="__RefHeading___Toc7507296_3381743652"/>
      <w:bookmarkStart w:id="589" w:name="_Toc218"/>
      <w:bookmarkEnd w:id="587"/>
      <w:bookmarkEnd w:id="588"/>
      <w:r>
        <w:rPr>
          <w:rtl w:val="true"/>
        </w:rPr>
        <w:t>الثاني</w:t>
      </w:r>
      <w:r>
        <w:rPr>
          <w:rtl w:val="true"/>
        </w:rPr>
        <w:t xml:space="preserve">: </w:t>
      </w:r>
      <w:r>
        <w:rPr>
          <w:rtl w:val="true"/>
        </w:rPr>
        <w:t>النسبة بين الاستصحاب والأصل الشرعي</w:t>
      </w:r>
      <w:bookmarkEnd w:id="589"/>
    </w:p>
    <w:p>
      <w:pPr>
        <w:pStyle w:val="BookText"/>
        <w:rPr/>
      </w:pPr>
      <w:r>
        <w:rPr>
          <w:rFonts w:ascii="Amiri" w:hAnsi="Amiri" w:eastAsia="Amiri" w:cs="Amiri"/>
          <w:color w:val="111111"/>
          <w:sz w:val="28"/>
          <w:sz w:val="28"/>
          <w:szCs w:val="28"/>
          <w:rtl w:val="true"/>
          <w:lang w:bidi="ar-SA"/>
        </w:rPr>
        <w:t>المراد من الأصل الشرعي، البراءة النقلية كحديث الرفع، وأصالة الطهارة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وأصالة الحليّة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الاستصحاب وارد عليها أو لا؟</w:t>
      </w:r>
    </w:p>
    <w:p>
      <w:pPr>
        <w:pStyle w:val="Heading6"/>
        <w:numPr>
          <w:ilvl w:val="5"/>
          <w:numId w:val="1"/>
        </w:numPr>
        <w:rPr/>
      </w:pPr>
      <w:bookmarkStart w:id="590" w:name="__RefHeading___Toc7507298_3381743652"/>
      <w:bookmarkStart w:id="591" w:name="_Toc219"/>
      <w:bookmarkEnd w:id="590"/>
      <w:r>
        <w:rPr>
          <w:rtl w:val="true"/>
        </w:rPr>
        <w:t>تقدّمه عليها من باب الورود</w:t>
      </w:r>
      <w:bookmarkEnd w:id="591"/>
    </w:p>
    <w:p>
      <w:pPr>
        <w:pStyle w:val="BookText"/>
        <w:rPr/>
      </w:pPr>
      <w:r>
        <w:rPr>
          <w:rFonts w:ascii="Amiri" w:hAnsi="Amiri" w:eastAsia="Amiri" w:cs="Amiri"/>
          <w:color w:val="111111"/>
          <w:sz w:val="28"/>
          <w:sz w:val="28"/>
          <w:szCs w:val="28"/>
          <w:rtl w:val="true"/>
          <w:lang w:bidi="ar-SA"/>
        </w:rPr>
        <w:t>ذهب المحقّق الخراساني إلى أنّ النسبة هي الورود، وهو وإن لم يصرّح بذلك، لكن قال ما يستفاد منه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بينه و بينها هي بعينها النسبة بين الأمارة وبينه، فيقدّم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مورد معه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محذور التخصيص، إلّابوجه دائر في العكس، وعدم محذور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تقدم الاستصحاب على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في الفقرة الثانية واضح، وسيوافيك نقده عند البحث في الأصل السببي و المسببيّ، ولكنّه في الفقرة الأُولى غير واضح، إذ لم يعلم وجه ورود الاستصحاب على هذه الأُصول، لكنّه قدس سره أشار إلى وجهه في تعليقته على الفرائد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في الأُصول الثلاثة هو المشكوك من جميع الجهات الأوّلية والثانوية، فالمشكوك من كلّ جهة، حكمه البراءة والطهارة والحلية، ومع جريان الاستصحاب يرتفع الموضوع حيث يكون معلوم الحكم من حيث العنوان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اليقين بالشك، بخلاف الاستصحاب فانّ الموضوع فيه الشكّ من حيث العنوان الأوّلي، وهو باق بعد جريان الأُصول الثلاثة</w:t>
      </w:r>
      <w:r>
        <w:rPr>
          <w:rFonts w:eastAsia="Amiri" w:cs="Amiri" w:ascii="Amiri" w:hAnsi="Amiri"/>
          <w:color w:val="111111"/>
          <w:sz w:val="28"/>
          <w:szCs w:val="28"/>
          <w:rtl w:val="true"/>
          <w:lang w:bidi="ar-SA"/>
        </w:rPr>
        <w:t>.</w:t>
      </w:r>
      <w:r>
        <w:rPr>
          <w:rStyle w:val="FootnoteAnchor"/>
          <w:rtl w:val="true"/>
        </w:rPr>
        <w:footnoteReference w:id="172"/>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دليل على أنّ الشكّ في دليل الاستصحاب هو الشكّ </w:t>
      </w:r>
      <w:bookmarkStart w:id="592" w:name="pg14367_157271"/>
    </w:p>
    <w:p>
      <w:pPr>
        <w:pStyle w:val="BookText"/>
        <w:rPr/>
      </w:pPr>
      <w:bookmarkEnd w:id="592"/>
      <w:r>
        <w:rPr>
          <w:rFonts w:ascii="Amiri" w:hAnsi="Amiri" w:eastAsia="Amiri" w:cs="Amiri"/>
          <w:color w:val="111111"/>
          <w:sz w:val="28"/>
          <w:sz w:val="28"/>
          <w:szCs w:val="28"/>
          <w:rtl w:val="true"/>
          <w:lang w:bidi="ar-SA"/>
        </w:rPr>
        <w:t>بالعنوان الأوّلي الواقعي، وفي الأُصول هو الشكّ من جهة كلّ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ربما يحصل اليقين بالطهارة النفسانية من خلال الأُصول الشرعية، كجريان أصل الطهارة في الماء و اللباس، فيتوضأ بمثل هذا الماء ويحصل له اليقين بالطهارة الحدثية الظاهريّة، فكيف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الشكّ في موضوع الاستصحاب، الشكّ من جهة العنوان الواقعي، في الحالة اللاحقة مع تبيّنه في الحالة السابقة، مع أنّ الواقع لم يكن مبيّناً سابقاً حتى يُتطلب لاحقاً</w:t>
      </w:r>
      <w:r>
        <w:rPr>
          <w:rFonts w:eastAsia="Amiri" w:cs="Amiri" w:ascii="Amiri" w:hAnsi="Amiri"/>
          <w:color w:val="111111"/>
          <w:sz w:val="28"/>
          <w:szCs w:val="28"/>
          <w:rtl w:val="true"/>
          <w:lang w:bidi="ar-SA"/>
        </w:rPr>
        <w:t>.</w:t>
      </w:r>
    </w:p>
    <w:p>
      <w:pPr>
        <w:pStyle w:val="Heading6"/>
        <w:numPr>
          <w:ilvl w:val="5"/>
          <w:numId w:val="1"/>
        </w:numPr>
        <w:rPr/>
      </w:pPr>
      <w:bookmarkStart w:id="593" w:name="__RefHeading___Toc7507300_3381743652"/>
      <w:bookmarkStart w:id="594" w:name="_Toc220"/>
      <w:bookmarkEnd w:id="593"/>
      <w:r>
        <w:rPr>
          <w:rtl w:val="true"/>
        </w:rPr>
        <w:t>تقدّمه عليها من باب الحكومة</w:t>
      </w:r>
      <w:bookmarkEnd w:id="594"/>
    </w:p>
    <w:p>
      <w:pPr>
        <w:pStyle w:val="BookText"/>
        <w:rPr/>
      </w:pPr>
      <w:r>
        <w:rPr>
          <w:rFonts w:ascii="Amiri" w:hAnsi="Amiri" w:eastAsia="Amiri" w:cs="Amiri"/>
          <w:color w:val="111111"/>
          <w:sz w:val="28"/>
          <w:sz w:val="28"/>
          <w:szCs w:val="28"/>
          <w:rtl w:val="true"/>
          <w:lang w:bidi="ar-SA"/>
        </w:rPr>
        <w:t>ذهب الشيخ الأنصاري إلى أنّ تقدمه عليها من باب الحكومة، وأفاد في وجه ذلك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دليل الاستصحاب بمنزلة معمِّم للنهي السابق بالنسبة إلى الزمان اللاحق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لو كان المانع خمراً وشكّ في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النهي الوارد لابدّ من إبقائه وفرض عمومه للزمان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فمجموع الرواية المذكورة ودليل الاستصحاب بمنزلة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 وكلّ نهي ورد في شيء فلابدّ من تعميمه لأزمنة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الرخصة في الشيء وإطلاقه مغَيّى بورود النهي المحكوم عليه بالدوام وعموم الأزمان، فكانَ مفادُ الاستصحاب نفيَ ما يقتضيه الأصل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مورد الشكّ لولا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المسوق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الحكومة</w:t>
      </w:r>
      <w:r>
        <w:rPr>
          <w:rFonts w:eastAsia="Amiri" w:cs="Amiri" w:ascii="Amiri" w:hAnsi="Amiri"/>
          <w:color w:val="111111"/>
          <w:sz w:val="28"/>
          <w:szCs w:val="28"/>
          <w:rtl w:val="true"/>
          <w:lang w:bidi="ar-SA"/>
        </w:rPr>
        <w:t>.</w:t>
      </w:r>
      <w:r>
        <w:rPr>
          <w:rStyle w:val="FootnoteAnchor"/>
          <w:rtl w:val="true"/>
        </w:rPr>
        <w:footnoteReference w:id="17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رجوع الضمير إلى الشيء نفسه هو ورود النهي عليه بما هو هو، لا بما هو مشكوك الحلية </w:t>
      </w:r>
      <w:bookmarkStart w:id="595" w:name="pg14367_157272"/>
    </w:p>
    <w:p>
      <w:pPr>
        <w:pStyle w:val="BookText"/>
        <w:rPr/>
      </w:pPr>
      <w:bookmarkEnd w:id="595"/>
      <w:r>
        <w:rPr>
          <w:rFonts w:ascii="Amiri" w:hAnsi="Amiri" w:eastAsia="Amiri" w:cs="Amiri"/>
          <w:color w:val="111111"/>
          <w:sz w:val="28"/>
          <w:sz w:val="28"/>
          <w:szCs w:val="28"/>
          <w:rtl w:val="true"/>
          <w:lang w:bidi="ar-SA"/>
        </w:rPr>
        <w:t>والحرمة فلا تشمل الغاية للنهي الوارد عليه بما هو مشكوك، المستفاد من إبقائه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ذكره، يكون الاستصحاب وارداً عليه، لارتفاع الغاية بجريانه وأين هو من حكومة أحد الدليلين على الآخر ونظارته له، برفع حكمه برفع موضوعه، أو بقاء حكمه، بتوسيع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الأمارة واردة على الأُصول لا يلازم ورود الاستصحاب على الأُصول الشرعية الثلاثة، بل لابدّ من تقديمه عليها من التمسّك بأظهرية دليله من أدلّتها، وذلك للتأكيد الوارد في دليل الاستصحاب، ففي الصحيحة الأُولى لزرارة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يستيقن انّه قد نام، حتى يجيء من ذلك من أمر بيّن، وإلّا فإنّه على يقين من وضوئه 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ولو قلنا بأنّ التقديم للتوفيق العرفي لكان أولى، وقد عرفت أنّ من ملاكات التوفيق العرفي هو الأظهرية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ذكره من أنّ تقديم الأُصول على الاستصحاب من باب التخصيص يستلزم الدور، فسيوافيك نقده في البحث التالي</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7507302_3381743652"/>
      <w:bookmarkStart w:id="597" w:name="_Toc221"/>
      <w:bookmarkEnd w:id="596"/>
      <w:r>
        <w:rPr>
          <w:rtl w:val="true"/>
        </w:rPr>
        <w:t>الاستصحاب أمارة حيث لا أمارة</w:t>
      </w:r>
      <w:bookmarkEnd w:id="59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المحقّق الخوئي انّ الاستصحاب أمارة، حيث لا أمارة،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فيه انّه كاشف عن الواقع، ومثبت له في ظرف الشكّ وانّ المجعول فيه هو الطريقية وتتميم الكشف، لأنّ الظاهر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اليقين أبداً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يعتدّ بالشك في حال من الحالات، هو إلغاء احتمال </w:t>
      </w:r>
      <w:bookmarkStart w:id="598" w:name="pg14367_157273"/>
    </w:p>
    <w:p>
      <w:pPr>
        <w:pStyle w:val="BookText"/>
        <w:rPr/>
      </w:pPr>
      <w:bookmarkEnd w:id="598"/>
      <w:r>
        <w:rPr>
          <w:rFonts w:ascii="Amiri" w:hAnsi="Amiri" w:eastAsia="Amiri" w:cs="Amiri"/>
          <w:color w:val="111111"/>
          <w:sz w:val="28"/>
          <w:sz w:val="28"/>
          <w:szCs w:val="28"/>
          <w:rtl w:val="true"/>
          <w:lang w:bidi="ar-SA"/>
        </w:rPr>
        <w:t>الخلاف وفرض المؤدّى ثابتاً واقعاً كما هو كذلك في الأمارات، وهذا بخلاف الأُصول، فانّها ليست كاشفة عن الواقع أصلاً، فانّ المجعول فيها إمّا تنزيل أحد طرفي الشك منزلة الواقع، والبناء والعمل على ثبوته كما في الأُصول المحرزة، وإمّا مجرّد تطبيق العمل على مؤدّى الأصل والجري على طبقه ظاهراً عند الشك</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مؤدّى الأمارة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أفاده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إلغاء احتمال الخلاف وانّ المخاطب ليس بشاك تعبّداً وفرض المؤدّى ثابتاً، ولكن الظاهر من لسان دليل الاستصحاب، حفظ الشكّ وانّه شاكّ، لكنّه لا يعتدّ به، فكم فرق بين إلغاء الشكّ وفرض المؤدّى واقعاً وادّعاء انّك لست بشاك، وبين عدم الاعتداد بالشك مع حفظه، نظير الشكوك التي لا يعتد بها، كالشكّ بعد تجاوز المحلّ مع حفظ كونه شاكاً، وعلى ذلك فلسانه لسان الأصل لا الأمارة</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7507304_3381743652"/>
      <w:bookmarkStart w:id="600" w:name="_Toc222"/>
      <w:bookmarkEnd w:id="599"/>
      <w:r>
        <w:rPr>
          <w:rtl w:val="true"/>
        </w:rPr>
        <w:t>المقام الثالث</w:t>
      </w:r>
      <w:r>
        <w:rPr>
          <w:rtl w:val="true"/>
        </w:rPr>
        <w:t xml:space="preserve">: </w:t>
      </w:r>
      <w:r>
        <w:rPr>
          <w:rtl w:val="true"/>
        </w:rPr>
        <w:t>في تعارض الاستصحابين</w:t>
      </w:r>
      <w:bookmarkEnd w:id="600"/>
    </w:p>
    <w:p>
      <w:pPr>
        <w:pStyle w:val="BookText"/>
        <w:rPr/>
      </w:pPr>
      <w:r>
        <w:rPr>
          <w:rFonts w:ascii="Amiri" w:hAnsi="Amiri" w:eastAsia="Amiri" w:cs="Amiri"/>
          <w:color w:val="111111"/>
          <w:sz w:val="28"/>
          <w:sz w:val="28"/>
          <w:szCs w:val="28"/>
          <w:rtl w:val="true"/>
          <w:lang w:bidi="ar-SA"/>
        </w:rPr>
        <w:t>الترتيب المنطقي أو حفظ المناسبة بين المسائل يقتضي تقديم البحث عن تعارض الاستصحابين على بيان نسبة الاستصحاب مع القواعد الأربع كما صنعه المحقّق الخراساني خلافاً للشيخ، حيث أخّر الأوّل و قدّم الثاني، وبما انّا نمشي على ضوء الكفاية قدّمنا هذا البحث، ثمّ نركز على القواعد الأربع، وبيان النسبة، بعد الفراغ من أحكام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الخوض في المقصود نقدم أُموراً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التعارض والتزاحم اللّذين يجمعهما عنوان التنافي، هو انّ التنافي تارة يكون راجعاً إلى مقام الجعل والإنشاء بحيث يلزم من صدق أحدهما </w:t>
      </w:r>
    </w:p>
    <w:p>
      <w:pPr>
        <w:pStyle w:val="BookText"/>
        <w:rPr/>
      </w:pPr>
      <w:r>
        <w:rPr>
          <w:rFonts w:ascii="Amiri" w:hAnsi="Amiri" w:eastAsia="Amiri" w:cs="Amiri"/>
          <w:color w:val="111111"/>
          <w:sz w:val="28"/>
          <w:sz w:val="28"/>
          <w:szCs w:val="28"/>
          <w:rtl w:val="true"/>
          <w:lang w:bidi="ar-SA"/>
        </w:rPr>
        <w:t>كذب الآخر، ومن تعلّق الإرادة بأحدهما، عدم تعلّقها بالآخر،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 العذرة، وهذا النوع من التعارض في الأمارات يبحث عنه في باب التعارض والترجيح، وأُخرى يكون راجعاً إلى مقام الامتثال من دون تناف في مقام الإنشاء، كإيجاب إنقاذ الغريقين مع أنّه لا يستطيع إلّاإنقاذ أحدهما، فالتنافي هنا يرجع إلى مقام الامتثال من دون تكاذب في مقام الجعل، ولذلك لو ابتلى بهما في وقتين مختلفين لم يكن بينهما أيّ تناف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يبحث عنه في باب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موضوع البحث في المقام هو تنافي الاستصحابين في مقام الإنشاء والجعل، كما إذا علمنا بإصابة قطرة من الدم في أحد الإناءين، فاستصحاب طهارة كلّ من الاناءين، يتنافى مع العلم الإجمالي بنجاسة واحد منهما، فيعلم بكذب أحد الجعلين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هذا الإناء، أو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التنافي بين الأصلين راجعاً إلى مقام الامتثال دون الجعل و الإنشاء، كما إذا ابتلى بإنقاذ النبي والوصي، أو المسلم و الذمّي أو وجوب الصلاة وإزالة النجاسة من المسجد، ولم تسع قدرته أو وقته إلّالأمتثال أحد الأمرين فهو خارج عن محط البحث بعلاج استصحاب وجوبهما مع عدم سعة القدرة لهما، بتقديم ما هو الأهم على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الأصلين المتعارضين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يقع أحد الأصلين في طول الآخر، ويسمّى الأصلان الطوليان، فيكون الشك في بقاء أحدهما ناشئاً من الشكّ في بقاء الآخر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يقع كلّ في عرض الآخر، ويسمّى الأصلان العرضيان، ويكون الشكّ في بقاء كلّ ناشئاً من أمر ثالث خارج عنهما</w:t>
      </w:r>
      <w:r>
        <w:rPr>
          <w:rFonts w:eastAsia="Amiri" w:cs="Amiri" w:ascii="Amiri" w:hAnsi="Amiri"/>
          <w:color w:val="111111"/>
          <w:sz w:val="28"/>
          <w:szCs w:val="28"/>
          <w:rtl w:val="true"/>
          <w:lang w:bidi="ar-SA"/>
        </w:rPr>
        <w:t xml:space="preserve">. </w:t>
      </w:r>
      <w:bookmarkStart w:id="601" w:name="pg14367_157275"/>
    </w:p>
    <w:p>
      <w:pPr>
        <w:pStyle w:val="BookText"/>
        <w:rPr/>
      </w:pPr>
      <w:bookmarkEnd w:id="601"/>
      <w:r>
        <w:rPr>
          <w:rFonts w:ascii="Amiri" w:hAnsi="Amiri" w:eastAsia="Amiri" w:cs="Amiri"/>
          <w:color w:val="111111"/>
          <w:sz w:val="28"/>
          <w:sz w:val="28"/>
          <w:szCs w:val="28"/>
          <w:rtl w:val="true"/>
          <w:lang w:bidi="ar-SA"/>
        </w:rPr>
        <w:t>أمّا الأوّل، كما إذا غُسل الثوب النجس، بماء مستصحب الطهارة، فكلّ من استصحاب طهارة الماء و نجاسة الثوب و إن كانا متناقضين، لكن الشكّ في نجاسة الثوب نابع من الشكّ في طهارة الماء بحيث لو علم شرعاً طهارة الماء، لزال الشكّ من ناحية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كما إذا علمنا بوقوع قطرة دم في الإناءين الطاهرين، فانّ الشك في طهارة كلّ منهما، نابع من أمر ثالث وهو العلم الإجمالي بوقوع قطرة دم فيهما ولولاه لم يكن هنا أي‌شك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في الأصل السببي، هو ما ذكرنا وهو أن يكون الشكّ في أحدهما مسبّباً من الشكّ في الآخر، بحيث لو أُزيل الشك في ناحية السبب لزال الشكّ في ناحية المسبب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يكون الترتب بينهما شرعياً، كما إذا رتّب الشارع إزالة الشك في ناحية الثوب، على طهارة الماء،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ثوب غُسل بماء طاهر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ما إذا كان الترتب عقلياً، كاستصحاب الإنسان الكلّي، فهو يلازم وجود الفرد، لأنّ بقاء الكلّي في ضمن بقاء الفرد، لكنّ الترتّب عقلي لا شرعي حيث يحكم العقل بأنّ الكلّ لا يتحقق إلّافي ضمن 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فلنركِّز البحث على الأصلين الطوليين،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الشيخ الأنصاري على تقديم الأصل السببي بوجوه أربعة، والمحقّق الخراساني بوجه واحد وهو</w:t>
      </w:r>
      <w:r>
        <w:rPr>
          <w:rFonts w:eastAsia="Amiri" w:cs="Amiri" w:ascii="Amiri" w:hAnsi="Amiri"/>
          <w:color w:val="111111"/>
          <w:sz w:val="28"/>
          <w:szCs w:val="28"/>
          <w:rtl w:val="true"/>
          <w:lang w:bidi="ar-SA"/>
        </w:rPr>
        <w:t>:</w:t>
      </w:r>
    </w:p>
    <w:p>
      <w:pPr>
        <w:pStyle w:val="Heading6"/>
        <w:numPr>
          <w:ilvl w:val="5"/>
          <w:numId w:val="1"/>
        </w:numPr>
        <w:rPr/>
      </w:pPr>
      <w:bookmarkStart w:id="602" w:name="__RefHeading___Toc7507306_3381743652"/>
      <w:bookmarkStart w:id="603" w:name="_Toc223"/>
      <w:bookmarkEnd w:id="602"/>
      <w:r>
        <w:rPr>
          <w:rtl w:val="true"/>
        </w:rPr>
        <w:t>تقدّم الأصل السببي على المسببي</w:t>
      </w:r>
      <w:bookmarkEnd w:id="60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الاستصحاب في طرف المسبب موجب لتخصيص الخطاب وجواز نقض اليقين بالشكّ في طرف السبب بعدم ترتيب أثره الشرعي، فانّ من آثار </w:t>
      </w:r>
    </w:p>
    <w:p>
      <w:pPr>
        <w:pStyle w:val="BookText"/>
        <w:rPr/>
      </w:pPr>
      <w:r>
        <w:rPr>
          <w:rFonts w:ascii="Amiri" w:hAnsi="Amiri" w:eastAsia="Amiri" w:cs="Amiri"/>
          <w:color w:val="111111"/>
          <w:sz w:val="28"/>
          <w:sz w:val="28"/>
          <w:szCs w:val="28"/>
          <w:rtl w:val="true"/>
          <w:lang w:bidi="ar-SA"/>
        </w:rPr>
        <w:t>طهارة الماء، طهارةُ الثوب المغسول به ورفع نجاسته، فاستصحاب نجاسة الثوب نقض لليقين بطهارته، بخلاف استصحاب طهارته، إذ لا يلزم منه نقض اليقين بنجاسة الثوب بالشك، بل باليقين بما هو رافع للنجاسة هو غسله بالماء المحكوم شرعاً بطهارته وبالجملة فكلّ من السبب والمسبب وإن كان مورداً للاستصحاب إلّاأنّ الاستصحاب في الأوّل بلا محذور بخلافه في الثاني ففيه محذور التخصيص بلا وجه، إلّابنحو محال فلازمه الأخذ بالاستصحاب السببي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يجر هذا الاستصحاب بوجه، لكان الاستصحاب المسببي جارياً، فانّه لا محذور فيه مع وجود أركانه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ينحلّ إلى دليلين أو تقريرين لدليل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استصحاب نجاسة الثوب أي‌المسبّب، موجب لتخصيص الخطاب وجواز نقض اليقين بالشكّ في جانب 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ويتحقّق ذلك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ترتيب أثره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الثوب، فانّها من آثار طهارة الماء بخلاف استصحاب طهارة الماء، فانّه لا يلزم منه نقض اليقين بنجاسة الثوب بالشكّ، بل باليقين بما هو رافعها وهو غسله بالماء المحكوم بطهارته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تقديم الأصل السببي بلا محذور، و أمّا تقديم الأصل المسببي ففيه التخصيص على وجه دائر، لأنّه يتوقف على اعتبار الأصل المسببي، وهو متوقف على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التقريرين لا يخلو من إشكال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فانّه مبني على أنّ الأصل السببي حجّة بلا كلام وإنّما الشكّ في حجّية الأصل المسببي في مقابل الآخر، فعندئذٍ يصحّ ما أفاد من استصحاب </w:t>
      </w:r>
    </w:p>
    <w:p>
      <w:pPr>
        <w:pStyle w:val="BookText"/>
        <w:rPr/>
      </w:pPr>
      <w:r>
        <w:rPr>
          <w:rFonts w:ascii="Amiri" w:hAnsi="Amiri" w:eastAsia="Amiri" w:cs="Amiri"/>
          <w:color w:val="111111"/>
          <w:sz w:val="28"/>
          <w:sz w:val="28"/>
          <w:szCs w:val="28"/>
          <w:rtl w:val="true"/>
          <w:lang w:bidi="ar-SA"/>
        </w:rPr>
        <w:t>نجاسة الثوب مستلزم لنقض آثاره طهارة الماء التي منها، طهارة الثوب المغسول به بالشكّ، بخلاف استصحاب طهارة الماء فانّه غير مستلزم لنقضه بالشكّ بل باليقين ولكن الكلام في المبنى فانّ الأصلين فردان للعام، لا وجه لتقديم أحدهما على الآخر، فنقض كلّ بالآخر، نقض الشكّ باليقين ولا يختصّذلك بالأصل السببيّ بل يعمّ المسبّبي، فانّ القول بطهارة الثوب نقض لليقين بالنجاسة بالشكّ حيث إنّ طهارة الماء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الشكّ في أحدهما نابعاً عن الآخر يكون شمول العام له مانعاً عن شموله للفرد الآخر الذي دونه في الرتبة، لامتناع شمول حكم العام لفردين متضادين على وجه يكون كلّ مطارداً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يصبح الأصل السببي حجّة بلا منازع في الرتبة المتقدمة ويكون تقديمه على المسببي نقضاً لليقين بالنجاسة باليقين بالطهارة، بخلاف العكس فانّه بعد لم تثبت فرديته وشمول العام له في 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الشيخ الأعظم في الفرائد بتقريرين مختلفين نقلناهما في الدورة السابقة وأجبنا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 الجواب عن تقريره، و ما قررناه هنا هو انّ الرتب العقلية ليست موضوعاً للأحكام الشرعية، حتى يكون شمول العام للمتقدّم رتبة أقدم من شموله للآخر، بل المقياس تحقّقهما في زمان واحد والمفروض انّهما كذلك</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الدليل الثاني للمحقّق الخراساني من حديث التخصيص بلا وجه، فقد اعتمد عليه هو في مقامات ثلاثة، في وجه تقديم الأمارة على الأُصول، وتقديم الاستصحاب على الأُصول الشرعية، وتقديم الأصل السببي على المسببي، ولكنّه صحيح في المورد الأوّل، فانّ تقدم الأمارة على الأُصول مسلم فتقديمها على </w:t>
      </w:r>
      <w:bookmarkStart w:id="604" w:name="pg14367_157278"/>
    </w:p>
    <w:p>
      <w:pPr>
        <w:pStyle w:val="BookText"/>
        <w:rPr/>
      </w:pPr>
      <w:bookmarkEnd w:id="604"/>
      <w:r>
        <w:rPr>
          <w:rFonts w:ascii="Amiri" w:hAnsi="Amiri" w:eastAsia="Amiri" w:cs="Amiri"/>
          <w:color w:val="111111"/>
          <w:sz w:val="28"/>
          <w:sz w:val="28"/>
          <w:szCs w:val="28"/>
          <w:rtl w:val="true"/>
          <w:lang w:bidi="ar-SA"/>
        </w:rPr>
        <w:t>الأصل من باب الورود، بخلاف العكس فانّه من باب التخصيص الدائر بخلاف الموردين الأخيرين، إذ لم يُثبت بعد، تقدم الاستصحاب على الأُصول النقلية، ولا الأصل السببي على المسببي، فالتخصيص في كلّ جانب مستلزم للدور</w:t>
      </w:r>
      <w:r>
        <w:rPr>
          <w:rFonts w:eastAsia="Amiri" w:cs="Amiri" w:ascii="Amiri" w:hAnsi="Amiri"/>
          <w:color w:val="111111"/>
          <w:sz w:val="28"/>
          <w:szCs w:val="28"/>
          <w:rtl w:val="true"/>
          <w:lang w:bidi="ar-SA"/>
        </w:rPr>
        <w:t>.</w:t>
      </w:r>
    </w:p>
    <w:p>
      <w:pPr>
        <w:pStyle w:val="Heading6"/>
        <w:numPr>
          <w:ilvl w:val="5"/>
          <w:numId w:val="1"/>
        </w:numPr>
        <w:rPr/>
      </w:pPr>
      <w:bookmarkStart w:id="605" w:name="__RefHeading___Toc7507308_3381743652"/>
      <w:bookmarkStart w:id="606" w:name="_Toc224"/>
      <w:bookmarkEnd w:id="605"/>
      <w:r>
        <w:rPr>
          <w:rtl w:val="true"/>
        </w:rPr>
        <w:t>ما هو وجه تقديم السببي على المسببي؟</w:t>
      </w:r>
      <w:bookmarkEnd w:id="606"/>
    </w:p>
    <w:p>
      <w:pPr>
        <w:pStyle w:val="BookText"/>
        <w:rPr/>
      </w:pPr>
      <w:r>
        <w:rPr>
          <w:rFonts w:ascii="Amiri" w:hAnsi="Amiri" w:eastAsia="Amiri" w:cs="Amiri"/>
          <w:color w:val="111111"/>
          <w:sz w:val="28"/>
          <w:sz w:val="28"/>
          <w:szCs w:val="28"/>
          <w:rtl w:val="true"/>
          <w:lang w:bidi="ar-SA"/>
        </w:rPr>
        <w:t>إنّ تقديم الأصل السببي على المسببي ليس لأجل مزية في الأوّل على الثاني من حيث هوهو، بل لأجل انّ الأوّل ينقِّح موضوع الدليل الاجتهادي ويكون الحاكم هو عليه، لا الأصل السببي وقد أشار إليه الشيخ الأعظم في ثنايا كلماته، ولكنّه لم يأكد عليه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 انّ نقض يقين النجاسة، بالدليل الدال على انّ كلّ نجس غسل بماء طاهر فقد طهر، وفائدة استصحاب الطهارة إثبات كون الماء طاهراً به</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دور للاستصحاب إلّاإحراز نفس المشكوك شرعاً، فلو كان المحرز حكماً شرعياً يستقل العقل بامتثاله وإطاعته مثل الأحكام المحرزة بالعلم، وإن كان موضوعاً فلابدّ أن يكون موضوعاً لحكم شرعي وإلّا يكون التعبد به أمراً لغواً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انّ استصحاب الحياة، أصل موضوعي يصحّ التعبد بها إذا كان موضوعاً لحكم شرعي، حيث يترتب عليه بقاء زوجته في حبالته، وبقاء أمواله في ملكه، حيث إنّ التسريح لا يتحقّق إلّابأسباب كلّها قطعي الانتفاء إلّاالموت والمفروض ورود التعبد بعدمه، كما أنّ الأموال لا تُقسَّم إلّاإذا صدق له </w:t>
      </w:r>
      <w:bookmarkStart w:id="607" w:name="pg14367_157279"/>
    </w:p>
    <w:p>
      <w:pPr>
        <w:pStyle w:val="BookText"/>
        <w:rPr/>
      </w:pPr>
      <w:bookmarkEnd w:id="607"/>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ورد التعبد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استصحاب العدالة، فانّه يقع موضوعاً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 كلّ عادل، أو من تثق بدينه</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أو لقوله تعالى في مورد الطلاق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أَشْهِدُوا ذَوَيْ عَدْلٍ مِنْكُمْ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وإذا ثبت ببركة الأصل والبينة انّها طلقت عند شهود عدل، تقع المرأة المطلقة عند شهود عدل موضوعاً لقوله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وإذا تربصت ثلاثة قروء تقع المرأة المتربصة ثلاثة قروء موضوعاً لسائر الحجج الشرعية من جواز تزويجها بعد خروج عدتها، وهكذا فلا دور للاستصحاب الموضوعي إلّاأنّه ينقح موضوع الكبريات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تقدّم الأصل السببي على المسببي إنّما هو لأجل انّه يُنقِّح موضوعاً لكبرى شرعية وهي الحاكمة على الأصل المسببي، فاستصحاب طهارة الماء أو الحياة والعدالة كلّها من هذا القبيل، فالأوّل يُنقِّح موضوعاً لمثل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نجس غسل بماء طاهر فهو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نجاسة الثوب فلا يترتب عليه أثر سوى نجاسة الملاقي للدليل الاجتهادي ان ملاقي النجس الرطب، نجس، وأمّا نجاسة الماء الذي غُسل به فليس هناك دليل اجتهادي على نجاسته إلّاانّه غسالة النجس، فهو يطهِّر و إن كان يصير غسالة له</w:t>
      </w:r>
      <w:r>
        <w:rPr>
          <w:rFonts w:eastAsia="Amiri" w:cs="Amiri" w:ascii="Amiri" w:hAnsi="Amiri"/>
          <w:color w:val="111111"/>
          <w:sz w:val="28"/>
          <w:szCs w:val="28"/>
          <w:rtl w:val="true"/>
          <w:lang w:bidi="ar-SA"/>
        </w:rPr>
        <w:t>.</w:t>
      </w:r>
    </w:p>
    <w:p>
      <w:pPr>
        <w:pStyle w:val="Heading6"/>
        <w:numPr>
          <w:ilvl w:val="5"/>
          <w:numId w:val="1"/>
        </w:numPr>
        <w:rPr/>
      </w:pPr>
      <w:bookmarkStart w:id="608" w:name="__RefHeading___Toc7507310_3381743652"/>
      <w:bookmarkStart w:id="609" w:name="_Toc225"/>
      <w:bookmarkEnd w:id="608"/>
      <w:r>
        <w:rPr>
          <w:rtl w:val="true"/>
        </w:rPr>
        <w:t>المقام الثاني</w:t>
      </w:r>
      <w:r>
        <w:rPr>
          <w:rtl w:val="true"/>
        </w:rPr>
        <w:t xml:space="preserve">: </w:t>
      </w:r>
      <w:r>
        <w:rPr>
          <w:rtl w:val="true"/>
        </w:rPr>
        <w:t>إذا كان الشكّ مسبباً من أمر ثالث</w:t>
      </w:r>
      <w:bookmarkEnd w:id="6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الشكّ في كلّ من الموضوعين ناشئاً من أمر ثالث كما هو الحال في </w:t>
      </w:r>
    </w:p>
    <w:p>
      <w:pPr>
        <w:pStyle w:val="BookText"/>
        <w:rPr/>
      </w:pPr>
      <w:r>
        <w:rPr>
          <w:rFonts w:ascii="Amiri" w:hAnsi="Amiri" w:eastAsia="Amiri" w:cs="Amiri"/>
          <w:color w:val="111111"/>
          <w:sz w:val="28"/>
          <w:sz w:val="28"/>
          <w:szCs w:val="28"/>
          <w:rtl w:val="true"/>
          <w:lang w:bidi="ar-SA"/>
        </w:rPr>
        <w:t>الإناءين المشتبهين فانّ الشكّ في طهارة كلّ، مسبب عن العلم الإجمالي بورود النجاسة على واحد منهما، فهناك آراء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جريان الاستصحاب في أطراف العلم الإجمالي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خيرة الشيخ الأنصاري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استلزامه المخالفة العملية القطعية أو الاحتمالية فلا يجري، دونما إذا استلزم مخالفة التزاميّة فيجري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الأصل المحرز وغيره، فلا يجري الأوّل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مختار المحقّق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العلم الوجداني، والعلم المولَّد من إطلاق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الأقوال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الأوّل فقد ذهب الشيخ الأنصاري إلى عدم جريان الأُصول في أطراف العلم الإجمالي قائلاً بأنّه يستلزم تعارض الصدر مع الذيل، لأنّ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 ولكن تنقضه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حكمين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حرمة نقض اليقين بالشكّ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نقض اليقين بيقين مثله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فرض اليقين بارتفاع الحالة السابقة في أحد المستصحبين فلا يجوز ابقاء كلّ منهما تحت عموم حرمة النقض بالشك، لأنّه مستلزم لطرح ذيل الحديث، و هو الحكم بنقض اليقين بمثله</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وقد أورد على استدلال الشيخ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الذيل ورد في الصحيحة الأُولى لزرارة دون الثانية والثالثة، و المحذور إنّما هو في الأُولى دون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المطلق يُقيّد، و المجموع كسبيكة واحدة، تشير إلى مفهوم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القضيتان المذكورتان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وحدة متعلّقها، حتى يكون اليقين الآخر مثل اليقين الأول، فاليقين الأوّل تعلّق بواحد معين دون الثاني حيث تعلّق بأحدهما فلا يكونان مماثلين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ليس في الصحيحة أثر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 صدقه اشتراكُهما في الإذعان والجزم وان تعلّق أحدهما بمعين والآخر بأحدهما لا بعينه، فكلام الشيخ لا يخلو من جودة وإتقان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التفصيل الثاني فهو للمحقّق الخراساني قائلاً بعدم جريانه فيما إذا استلزم المخالفة القطعية، كما إذا كان الاناءان محكومين بالطهارة فعلم بنجاسة أحدهما، فلا يجري فيه لمحذور المخالفة القطعية كما في ارتكاب كلا الطرفين، أو الاحتمالية كما في ارتكاب واحد منها</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يستلزم، كما إذا كان الاناءان نجسين وعلم بوقوع نجاسة في واحد منهما، فالمقتضي موجود، و هو إطلاق الخطاب وشموله لأطراف المعلوم بالإجمال؛ والمانع مفقود، لأجل انّ جريان الاستصحاب في الأطراف لا يوجب إلّاالمخالفة الالتزامية، وهو ليس بمحذور لا شرعاً ولا عقلاً</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وبذلك ظهر روح الفرق بين الشيخ الأنصاري والمحقّق الخراساني فقد اختار الأوّل عدم جريان الأُصول بتاتاً، وانّ العام لا يشمل المتعارضين، ولكن الثاني قال بالشمول ودخولهما تحت العموم، لكنّهما يتساقطان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استلزام المخالفة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بالتكليف على قسمين تارة يكون في المورد علم وجداني، ومن المعلوم انّ مثل هذا العلم لا يقبل الترخيص في طرف واحد فضلاً عن الطرفين، كما إذا علم بإسلام أحد الأخوين الكافرين، فقد علم عندئذ بوجوب صيانة دم المسلم منهما، على نحو لا يقبل النقاش ومعه لا يجوز استصحاب جواز قتلهما، وأُخرى يكون في المورد إطلاق الدليل يعم المعلوم تفصيلاً وإجمالاً، كإطلاق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عن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للخمر المعلوم تفصيلاً وإجمالاً، فمثل هذا التكليف المستفاد من الإطلاق قابل للتقييد بأن يخص الدليل بالخمر المعلوم تفصيلاً دون المعلوم إجمالاً ولا يعد مثل ذلك ترخيصاً في المعصية بل تقييداً للموضوع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الأصل المحرز، فلا يجري في أطراف العلم دون سائر الأُصول والمراد من الأصل، المحرز هو ما يكون المجعول فيها هو البناء العملي على ثبوت الواقع في أحد طرفي الشك كالاستصحاب، وقاعدة الفراغ والتجاوز وأصالة الصحة، والمراد من غيرها ما يكون المجعول فيها هو مجرّد تطبيق العمل على أحد طرفي الشكّ من دون أن يكون البناء متكفّلاً لثبوت الواقع في أحد الطرفين كالبراءة والاحتياط وأصالة الحل والطهارة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 التفصيل انّ التعبد ببقاء الواقع في كلّ واحد من أطراف العلم ينافي العلم الوجداني بعدم بقاء الواقع في أحدهما، وهذا بخلاف الآخر، فانّ المجعول </w:t>
      </w:r>
    </w:p>
    <w:p>
      <w:pPr>
        <w:pStyle w:val="BookText"/>
        <w:rPr/>
      </w:pPr>
      <w:r>
        <w:rPr>
          <w:rFonts w:ascii="Amiri" w:hAnsi="Amiri" w:eastAsia="Amiri" w:cs="Amiri"/>
          <w:color w:val="111111"/>
          <w:sz w:val="28"/>
          <w:sz w:val="28"/>
          <w:szCs w:val="28"/>
          <w:rtl w:val="true"/>
          <w:lang w:bidi="ar-SA"/>
        </w:rPr>
        <w:t>هو مجرّد تطبيق العمل على أحد طرفي الشكّ بلا مانع من التعبد بها في أطراف العلم الإجمالي إذا لم تلزم مخالفة 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عندنا كون الأصل محرزاً أو غير محرز، وليس في أدلّة الاستصحاب ما يشير إلى أنّ العمل من باب البناء العملي على أنّه الواقع، بل الثابت والمفهوم من دليل الاستصحاب عدم جواز نقض اليقين بالشك، وتقدّم الاستصحاب على سائر الأُصول ليس دليلاً على أنّه أصل محرز، بل ملاك التقدّم هو الذي عرفت من قوّة الدلالة في ناحية الاستصحاب دون سائر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مفاد الدليل تنزيل المشكوك منزلة الواقع فيكون أمارة، لا أصلاً، والحال انّه يعامل مع الاستصحاب معاملة الأصل، وإلّا فلا وجه لتسميته أصلاً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يصحّ لنا إجراء الأصل غير المحرز في أطراف العلم الإجمالي إذا لم تلزم مخالفة عملية مع حصول الغاية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انّه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انّه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إلّاأن يقال انّ الغاية هو العلم بنجاسته وحرمته بعينه بقرينة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كليهما الظاهر في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الرابع، وهو الذي اختاره سيّدنا الأُستاذ قدس سره في المقام وفي مبحث القطع والاشتغال،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الإجمالي بالتكليف على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العلم بالتكليف محصول العلم الوجداني على وجه لا يرضى المولى بتركه على فرض وجوده بدئياً، كما هو الحال في مورد الدماء والأعراض والأموال، أو مقروناً بالعلم الإجمالي، كما إذا اشتبه المسلم بالكافر الحربي ففي</w:t>
      </w:r>
    </w:p>
    <w:p>
      <w:pPr>
        <w:pStyle w:val="BookText"/>
        <w:rPr/>
      </w:pPr>
      <w:r>
        <w:rPr>
          <w:rFonts w:ascii="Amiri" w:hAnsi="Amiri" w:eastAsia="Amiri" w:cs="Amiri"/>
          <w:color w:val="111111"/>
          <w:sz w:val="28"/>
          <w:sz w:val="28"/>
          <w:szCs w:val="28"/>
          <w:rtl w:val="true"/>
          <w:lang w:bidi="ar-SA"/>
        </w:rPr>
        <w:t>مثله، لا يجري الأصل للتنافي بين طلب الشيء مطلقاً والترخيص في تركه في بعض الأحايين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العلم بالتكليف حصيلة إطلاق الدليل،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النجس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إنّه يشمل المعلوم بالتفصيل والمعلوم بالإجمال، ففيه يقع الكلام في إمكان الترخيص في مقامين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الثبوت فهل يمكن تقييد الدليل الاجتهادي، بدليل اجتهادي مثله، وتخصيصه بصورة تعلّق العلم التفصيلي بالمكلّف به أو لا؟ والظاهر هو الإمكان بل الوقوع، وورد في غير واحد من أبواب دوران الحكم الشرعي على وجود العلم التفصيلي، وقد قدّمنا بيانها عند البحث عن أدلة البراءة كما هو الحال في الربا والمظالم حيث إنّ المنجز هو العلم التفصيلي لا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الإثبات، فهل هناك دليل على ذلك التقييد، أو لا؟ الظاهر لا، بل الدليل على خلافه، لما ورد في الإناءين المشتبهين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يهريقهما ويتيمّم</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وما ورد في الصحيحة الثانية لزرارة انّي قد علمت انّه قد أصابه الدم و لم أدر أين هو فاغسله؟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من ثوبك الناحية التي ترى أنّه قد أصابها حتى تكون على يقين من طهارتك</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وما ورد في الثوبين المشتبهين من تكرار الصلاة في كلّ منهما على الانفراد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ونظائره يدل على عدم ورود الترخيص في أطراف العلم الإجمالي إلّا </w:t>
      </w:r>
    </w:p>
    <w:p>
      <w:pPr>
        <w:pStyle w:val="BookText"/>
        <w:rPr/>
      </w:pPr>
      <w:r>
        <w:rPr>
          <w:rFonts w:ascii="Amiri" w:hAnsi="Amiri" w:eastAsia="Amiri" w:cs="Amiri"/>
          <w:color w:val="111111"/>
          <w:sz w:val="28"/>
          <w:sz w:val="28"/>
          <w:szCs w:val="28"/>
          <w:rtl w:val="true"/>
          <w:lang w:bidi="ar-SA"/>
        </w:rPr>
        <w:t>القليل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يمكن أن يقال بعدم جريان الأُصول أيضاً في أطراف العلم الإجمالي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انصرافه عن أطراف العلم الإجمالي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عدم انصرافه حصول الغايات المحددة وتخصيص الغاية بالعلم التفصيلي خلاف إطلاق الدليل، وقد عرفت عدم تمامية ما يستظهر من لزوم وحدة متعلّقها التي لا تتحقّق إلّابالعلم التفصيلي</w:t>
      </w:r>
      <w:r>
        <w:rPr>
          <w:rFonts w:eastAsia="Amiri" w:cs="Amiri" w:ascii="Amiri" w:hAnsi="Amiri"/>
          <w:color w:val="111111"/>
          <w:sz w:val="28"/>
          <w:szCs w:val="28"/>
          <w:rtl w:val="true"/>
          <w:lang w:bidi="ar-SA"/>
        </w:rPr>
        <w:t xml:space="preserve">.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القواعد الأربع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الراحمن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خلقه محمّد و آله الطاهرين الهداة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ذيّلنا مبحث الاستصحاب بالبحث عن نسبته إلى الأُصول العقلية والشرعية وكيفية علاج تعارض الاستصحابين، لكن بقي هناك بحث يبيّن نسبة الاستصحاب مع القواعد الأربع،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التجاوز والفراغ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أصالة الصحّة في فعل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أفاض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حقيقة هذه القواعد، ودلائل حجّيتها، و ما يترتّب عليها من الفروع، وناقش جملة من الآراء، ولمّا كان ما أفاده طويل الذيل، مترامي الأطراف، أفردناه بالتأليف على أمل أن يكون نافعاً للفضلاء الكرام و لم آلُ جهداً في تحرير ما أفاده، وتبيين ما قرّره، والمرجو من اللّه تعالى أن يجعله ذخراً في الدارين، انّه بذلك قدير وبالإجابة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حسين الحاج العاملي</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 آل محمّد</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610" w:name="pg14367_157289"/>
    </w:p>
    <w:p>
      <w:pPr>
        <w:pStyle w:val="Heading4"/>
        <w:numPr>
          <w:ilvl w:val="3"/>
          <w:numId w:val="1"/>
        </w:numPr>
        <w:rPr/>
      </w:pPr>
      <w:bookmarkStart w:id="611" w:name="__RefHeading___Toc7507312_3381743652"/>
      <w:bookmarkStart w:id="612" w:name="_Toc226"/>
      <w:bookmarkEnd w:id="610"/>
      <w:bookmarkEnd w:id="611"/>
      <w:r>
        <w:rPr>
          <w:rtl w:val="true"/>
        </w:rPr>
        <w:t>القواعد الأربع</w:t>
      </w:r>
      <w:bookmarkEnd w:id="612"/>
    </w:p>
    <w:p>
      <w:pPr>
        <w:pStyle w:val="Heading5"/>
        <w:numPr>
          <w:ilvl w:val="4"/>
          <w:numId w:val="1"/>
        </w:numPr>
        <w:rPr/>
      </w:pPr>
      <w:bookmarkStart w:id="613" w:name="__RefHeading___Toc7507314_3381743652"/>
      <w:bookmarkStart w:id="614" w:name="_Toc227"/>
      <w:bookmarkEnd w:id="613"/>
      <w:r>
        <w:rPr/>
        <w:t>1</w:t>
      </w:r>
      <w:r>
        <w:rPr>
          <w:rtl w:val="true"/>
        </w:rPr>
        <w:t xml:space="preserve"> </w:t>
      </w:r>
      <w:r>
        <w:rPr>
          <w:rtl w:val="true"/>
        </w:rPr>
        <w:t>قاعدة اليد</w:t>
      </w:r>
      <w:bookmarkEnd w:id="614"/>
    </w:p>
    <w:p>
      <w:pPr>
        <w:pStyle w:val="Heading6"/>
        <w:numPr>
          <w:ilvl w:val="5"/>
          <w:numId w:val="1"/>
        </w:numPr>
        <w:rPr/>
      </w:pPr>
      <w:bookmarkStart w:id="615" w:name="__RefHeading___Toc7507316_3381743652"/>
      <w:bookmarkStart w:id="616" w:name="_Toc228"/>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إنّ الحافز لطرح هذه القاعدة وما يليها من القواعد إنّما هو لبيان النسبة بينها و بين الاستصحاب، وانّه في مورد التعارض هل تقدّم تلك القواعد عليه أو يقدّم الاستصحاب عليها؟ فصار ذلك سبباً لطرح هذه القواعد الأربع في ذيل</w:t>
      </w:r>
    </w:p>
    <w:p>
      <w:pPr>
        <w:pStyle w:val="BookText"/>
        <w:rPr/>
      </w:pPr>
      <w:r>
        <w:rPr>
          <w:rFonts w:ascii="Amiri" w:hAnsi="Amiri" w:eastAsia="Amiri" w:cs="Amiri"/>
          <w:color w:val="111111"/>
          <w:sz w:val="28"/>
          <w:sz w:val="28"/>
          <w:szCs w:val="28"/>
          <w:rtl w:val="true"/>
          <w:lang w:bidi="ar-SA"/>
        </w:rPr>
        <w:t>الاستصحاب في الكتب الأُصولية استطراداً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والقواعد الأربع عبارة 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الصحة في فعل الغير،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أصالة الصحة في فعل النفس،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القواعد أدوات بيد الفقيه في أبواب مختلفة، فلنشرح القاعدة الأُولى،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قاعدة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غير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فالأُولى آية الملكية، والثانية سبب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فقاعدة اليد تشير إلى أنّ الاستيلاء سبب أو دليل الملكية، وعليه سيرة العقلاء؛ كما أنّ القاعدة الثانية تشير إلى أنّ الاستيلاء على مال الغير موجب للضمان، ويدلّ عليه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وكلتا القاعدتين من أدوات القضاء</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فبالأُولى يُعرف المدّعي عن المنكر، وبالثانية يحكم على ضمان من أتلف العين أو المنافع المستوفاة بل غيرها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قاعدة اليد قاعدة فقهية وليست مسألة أُصولية، وتتميّز المسألة الأُصولية عن القاعدة الفقهية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محمول المسألة الأُصولية لا يكون حكماً شرعياً عمليّاً ولا منتزعاً عن أحكام شرعية،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يدلّ على الوجوب، أو النهي يدلّ على التحريم، أو وجود الملازمة بين المقدّمة وذيها في الحكم، فالمحمول في هذه المسائل الثلاث ليس حكماً شرعياً، بخلاف القاعدة الفقهية فالمحمول فيها إمّا حكم شرعي مثل الصلح جائز بين المسلمين؛ أو منتزع من أحكام شرعية عملية،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يضمن بصحيحه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بفاسده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فالمحمول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اليد سبب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آيتها، حكم شرعي إمضائي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كما في الحيازة فإنّه سبب الملكية فتحدث رابطة اعتبارية عقلائية بين المحيز والمحاز ولا تنتفي إلّابالإعراض أو بالنقل بأحد الوجوه الناقلة أو الانتقال القهري كالإرث، والثاني كما في مورد الاستيلاء الحاصل عن سبب شرعي كالإرث والنقل فهو عند الشكّ آية الملكية ودليل عقلائي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المجتهد والمقلّد أمام القاعدة الفقهية سواء، بخلاف المسألة الأُصولية فانّ إجراءها بيد المجتهد دون المقلّد، لأنّ الفحص عن المعارض وتشخيص موارد الأمارات والأُصول من وظائف المجتهد، بخلاف القاعدة الفقهية فانّ العمل بها يعمّ كلا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الميزان أمر غالبي لا دائمي، إذ ليس كلّ قاعدة فقهية رمية لكلّ رامٍ، وربّما يتوقف العمل بها على مؤهّلات لا تتوفر إلّافي المجتهد كما هو غير خفيّ على أهله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المقدّمة، فلندخل في صلب الموضوع ضمنَ مقامات</w:t>
      </w:r>
      <w:r>
        <w:rPr>
          <w:rFonts w:eastAsia="Amiri" w:cs="Amiri" w:ascii="Amiri" w:hAnsi="Amiri"/>
          <w:color w:val="111111"/>
          <w:sz w:val="28"/>
          <w:szCs w:val="28"/>
          <w:rtl w:val="true"/>
          <w:lang w:bidi="ar-SA"/>
        </w:rPr>
        <w:t xml:space="preserve">: </w:t>
      </w:r>
      <w:bookmarkStart w:id="617" w:name="pg14367_157291"/>
    </w:p>
    <w:p>
      <w:pPr>
        <w:pStyle w:val="Heading6"/>
        <w:numPr>
          <w:ilvl w:val="5"/>
          <w:numId w:val="1"/>
        </w:numPr>
        <w:rPr/>
      </w:pPr>
      <w:bookmarkStart w:id="618" w:name="__RefHeading___Toc7507318_3381743652"/>
      <w:bookmarkStart w:id="619" w:name="_Toc229"/>
      <w:bookmarkEnd w:id="617"/>
      <w:bookmarkEnd w:id="618"/>
      <w:r>
        <w:rPr>
          <w:rtl w:val="true"/>
        </w:rPr>
        <w:t>المقام الأوّل ما هو المقصود من اليد في القاعدة؟</w:t>
      </w:r>
      <w:bookmarkEnd w:id="619"/>
    </w:p>
    <w:p>
      <w:pPr>
        <w:pStyle w:val="BookText"/>
        <w:rPr/>
      </w:pPr>
      <w:r>
        <w:rPr>
          <w:rFonts w:ascii="Amiri" w:hAnsi="Amiri" w:eastAsia="Amiri" w:cs="Amiri"/>
          <w:color w:val="111111"/>
          <w:sz w:val="28"/>
          <w:sz w:val="28"/>
          <w:szCs w:val="28"/>
          <w:rtl w:val="true"/>
          <w:lang w:bidi="ar-SA"/>
        </w:rPr>
        <w:t>اليد في اللغة هي الجارحة، ولكنّها استعيرت في المقام للاستيلاء، وما ذلك إلّالأنّ الاستيلاء يتحقّق غالباً باليد دون سائر الأعضاء، ولذلك نرى أنّه سبحانه ينسب المعاصي إلى اليد مع أنّها تتحقّق بغيرها أيضاً،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 وَ أَنَّ اللّهَ لَيْسَ بِظَلاّمٍ لِلْعَبِيدِ</w:t>
      </w:r>
      <w:r>
        <w:rPr>
          <w:rFonts w:eastAsia="Amiri" w:cs="Amiri" w:ascii="Amiri" w:hAnsi="Amiri"/>
          <w:color w:val="111111"/>
          <w:sz w:val="28"/>
          <w:szCs w:val="28"/>
          <w:rtl w:val="true"/>
          <w:lang w:bidi="ar-SA"/>
        </w:rPr>
        <w:t>)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ويوضح ذلك انّ اليد كانت هي الوسيلة الوحيدة لحيازة الأشياء للإنسان البدائي، فكان يصيد باليد ويحوز بها، وبها يجتني الثمرة من الشجرة ويعدّ نفسه أولى، ولذلك نرى أنّ الإمام عليّاً عليه السلام يعبر عن استيلاء المجاهدين على الغنائم بالاجتناء باليد ويقول لعبد اللّه بن زمعة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المال ليس لي ولا لك، فإن شركتَهم في حربهم كان لك مثل حظهم، وإلّا فجَناةُ أيديهم لا يكون لغير أفواههم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صار العقلاء وجعلوا اليد آية الملكية، ويراد منها مطلق الاستيلاء سواء تحقّق باليد الجارحة أو غيرها، مع العلم بأنّ استيلاء كلّ شيء بحسبه، فالاستيلاء على الفرس بالركوب عليه لا بوضع اليد، والاستيلاء على البيت بالإسكان فيه، والاستيلاء على الحديقة والمعدن والسيارة بحسبها، وكلّ ما </w:t>
      </w:r>
      <w:bookmarkStart w:id="620" w:name="pg14367_157292"/>
    </w:p>
    <w:p>
      <w:pPr>
        <w:pStyle w:val="BookText"/>
        <w:rPr/>
      </w:pPr>
      <w:bookmarkEnd w:id="620"/>
      <w:r>
        <w:rPr>
          <w:rFonts w:ascii="Amiri" w:hAnsi="Amiri" w:eastAsia="Amiri" w:cs="Amiri"/>
          <w:color w:val="111111"/>
          <w:sz w:val="28"/>
          <w:sz w:val="28"/>
          <w:szCs w:val="28"/>
          <w:rtl w:val="true"/>
          <w:lang w:bidi="ar-SA"/>
        </w:rPr>
        <w:t>تطورت الحضارة اختلفت أساليب الاستيلاء، و ربما لا يُصدَّق قول المستولي إلّابتسجيل العقار في دائرة ثبت الأملاك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فالملاك هو صدق الاستيلاء العرفي حتى يكون مصداقاً لليد المتسلّطة</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7507320_3381743652"/>
      <w:bookmarkStart w:id="622" w:name="_Toc230"/>
      <w:bookmarkEnd w:id="621"/>
      <w:r>
        <w:rPr>
          <w:rtl w:val="true"/>
        </w:rPr>
        <w:t>المقام الثاني في اعتبار اليد</w:t>
      </w:r>
      <w:bookmarkEnd w:id="622"/>
    </w:p>
    <w:p>
      <w:pPr>
        <w:pStyle w:val="BookText"/>
        <w:rPr/>
      </w:pPr>
      <w:r>
        <w:rPr>
          <w:rFonts w:ascii="Amiri" w:hAnsi="Amiri" w:eastAsia="Amiri" w:cs="Amiri"/>
          <w:color w:val="111111"/>
          <w:sz w:val="28"/>
          <w:sz w:val="28"/>
          <w:szCs w:val="28"/>
          <w:rtl w:val="true"/>
          <w:lang w:bidi="ar-SA"/>
        </w:rPr>
        <w:t>اتّفق العقلاء على حجّية اليد وعليها دعامة الحياة ونظام المعاملات ولو أُلغيت لانهار نظام حياتهم التجاريّ، إذ من المتعذّر أن يقيم كلّ إنسان شاهداً على ملكية ما تحت يده أو أن يسجِّل كل ما يستولي عليه في دائرة رسمية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المحتمل أن تكون الفلسفة الاجتماعية لاعتبار اليد دليلاً على الملكية وأمارة بها، هي انّ الطابع الغالب للاستيلاء في القرون الغابرة كان هو الاستيلاء بأساليب قانونية معترفاً بها عرفياً، وأمّا الاستيلاء ظلماً وعدواناً فلم يكن بتلك الدرجة من الكثرة، فصار ذلك سبباً لإمضاء العقلاء مطلق الاستيلاء وجعله كاشفاً عن الملكية طيلة قرون كما أمضاه الشارع قولاً و تقريراً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المتشرّعة والفقهاء عبْر القرون، فالدليل المهم لكونه كاشفاً عن الملكية هو السيرة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ليس للسيرة لسان، فاستصحاب كونه أمارة أو أصلاً محرزاً أو أصلاً تعبّدياً يتوقف على لحاظ الروايات الممضية لها</w:t>
      </w:r>
      <w:r>
        <w:rPr>
          <w:rFonts w:eastAsia="Amiri" w:cs="Amiri" w:ascii="Amiri" w:hAnsi="Amiri"/>
          <w:color w:val="111111"/>
          <w:sz w:val="28"/>
          <w:szCs w:val="28"/>
          <w:rtl w:val="true"/>
          <w:lang w:bidi="ar-SA"/>
        </w:rPr>
        <w:t xml:space="preserve">. </w:t>
      </w:r>
      <w:bookmarkStart w:id="623" w:name="pg14367_157293"/>
    </w:p>
    <w:p>
      <w:pPr>
        <w:pStyle w:val="Heading6"/>
        <w:numPr>
          <w:ilvl w:val="5"/>
          <w:numId w:val="1"/>
        </w:numPr>
        <w:rPr/>
      </w:pPr>
      <w:bookmarkStart w:id="624" w:name="__RefHeading___Toc7507322_3381743652"/>
      <w:bookmarkStart w:id="625" w:name="_Toc231"/>
      <w:bookmarkEnd w:id="623"/>
      <w:bookmarkEnd w:id="624"/>
      <w:r>
        <w:rPr>
          <w:rtl w:val="true"/>
        </w:rPr>
        <w:t>المقام الثالث في أنّ اليد أمارة</w:t>
      </w:r>
      <w:bookmarkEnd w:id="625"/>
    </w:p>
    <w:p>
      <w:pPr>
        <w:pStyle w:val="BookText"/>
        <w:rPr/>
      </w:pPr>
      <w:r>
        <w:rPr>
          <w:rFonts w:ascii="Amiri" w:hAnsi="Amiri" w:eastAsia="Amiri" w:cs="Amiri"/>
          <w:color w:val="111111"/>
          <w:sz w:val="28"/>
          <w:sz w:val="28"/>
          <w:szCs w:val="28"/>
          <w:rtl w:val="true"/>
          <w:lang w:bidi="ar-SA"/>
        </w:rPr>
        <w:t>قد عرفت أنّ الطابَع الغالب للاستيلاء هو الاستيلاء المشروع، فصار ذلك سبباً لكاشفيته عن الملكية، إلّاإذا كان الغالب عليه عدم الملكية، كما في يد السارقين واللصوص والغاصبين والسماسرة فلا يتعامل معهم معاملة اليد المالكة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السيرة، وأمّا الأخبار فهي على طوائف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اعتبارهامن دون دلالة على كونها أمارة أو أصلاً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يدلّ على أنّها أمارة للملكية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يستظهر منها انّها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دراسة هذه الطوائف</w:t>
      </w:r>
      <w:r>
        <w:rPr>
          <w:rFonts w:eastAsia="Amiri" w:cs="Amiri" w:ascii="Amiri" w:hAnsi="Amiri"/>
          <w:color w:val="111111"/>
          <w:sz w:val="28"/>
          <w:szCs w:val="28"/>
          <w:rtl w:val="true"/>
          <w:lang w:bidi="ar-SA"/>
        </w:rPr>
        <w:t>:</w:t>
      </w:r>
    </w:p>
    <w:p>
      <w:pPr>
        <w:pStyle w:val="Heading6"/>
        <w:numPr>
          <w:ilvl w:val="5"/>
          <w:numId w:val="1"/>
        </w:numPr>
        <w:rPr/>
      </w:pPr>
      <w:bookmarkStart w:id="626" w:name="__RefHeading___Toc7507324_3381743652"/>
      <w:bookmarkStart w:id="627" w:name="_Toc232"/>
      <w:bookmarkEnd w:id="626"/>
      <w:r>
        <w:rPr>
          <w:rtl w:val="true"/>
        </w:rPr>
        <w:t>الطائفة الأُولى</w:t>
      </w:r>
      <w:r>
        <w:rPr>
          <w:rtl w:val="true"/>
        </w:rPr>
        <w:t xml:space="preserve">: </w:t>
      </w:r>
      <w:r>
        <w:rPr>
          <w:rtl w:val="true"/>
        </w:rPr>
        <w:t>ما هي ظاهرة في اعتبارها فقط</w:t>
      </w:r>
      <w:bookmarkEnd w:id="627"/>
    </w:p>
    <w:p>
      <w:pPr>
        <w:pStyle w:val="BookText"/>
        <w:rPr/>
      </w:pPr>
      <w:r>
        <w:rPr>
          <w:rFonts w:ascii="Amiri" w:hAnsi="Amiri" w:eastAsia="Amiri" w:cs="Amiri"/>
          <w:color w:val="111111"/>
          <w:sz w:val="28"/>
          <w:sz w:val="28"/>
          <w:szCs w:val="28"/>
          <w:rtl w:val="true"/>
          <w:lang w:bidi="ar-SA"/>
        </w:rPr>
        <w:t>وهي ثلاث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ولم يأت ببيّنة على ذلك أشتريه؟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وما ذلك إلّالأنّ استيلاء المالك عليه، آية كونه مالكاً له، ولا يُسمع قول مدّعي الحرّية إلّا ببيّنة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السوق </w:t>
      </w:r>
      <w:bookmarkStart w:id="628" w:name="pg14367_157294"/>
    </w:p>
    <w:p>
      <w:pPr>
        <w:pStyle w:val="BookText"/>
        <w:rPr/>
      </w:pPr>
      <w:bookmarkEnd w:id="628"/>
      <w:r>
        <w:rPr>
          <w:rFonts w:ascii="Amiri" w:hAnsi="Amiri" w:eastAsia="Amiri" w:cs="Amiri"/>
          <w:color w:val="111111"/>
          <w:sz w:val="28"/>
          <w:sz w:val="28"/>
          <w:szCs w:val="28"/>
          <w:rtl w:val="true"/>
          <w:lang w:bidi="ar-SA"/>
        </w:rPr>
        <w:t>وأُريد اشتري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إلّاأن يكون لها بيّنة</w:t>
      </w:r>
      <w:r>
        <w:rPr>
          <w:rFonts w:eastAsia="Amiri" w:cs="Amiri" w:ascii="Amiri" w:hAnsi="Amiri"/>
          <w:color w:val="111111"/>
          <w:sz w:val="28"/>
          <w:szCs w:val="28"/>
          <w:rtl w:val="true"/>
          <w:lang w:bidi="ar-SA"/>
        </w:rPr>
        <w:t>».</w:t>
      </w:r>
      <w:r>
        <w:rPr>
          <w:rStyle w:val="FootnoteAnchor"/>
          <w:rtl w:val="true"/>
        </w:rPr>
        <w:footnoteReference w:id="188"/>
      </w:r>
      <w:r>
        <w:rPr>
          <w:rFonts w:ascii="Amiri" w:hAnsi="Amiri" w:eastAsia="Amiri" w:cs="Amiri"/>
          <w:color w:val="111111"/>
          <w:sz w:val="28"/>
          <w:sz w:val="28"/>
          <w:szCs w:val="28"/>
          <w:rtl w:val="true"/>
          <w:lang w:bidi="ar-SA"/>
        </w:rPr>
        <w:t>والاستدلال بها مثله في الرواية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مكاتبة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والقرية لرجل، فأراد صاحب القرية أن يسوق إلى قريته الماء في غير هذا النهر ويعطِّل هذه الرحى، أله ذلك أم لا؟ فوقّع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يتّقي اللّه، ويعمل في ذلك بالمعروف ولا يضرّ أخاه المؤمن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فإنّ وجود الرحى دليل على استيلائه على أنّ له حقّ الانتفاع بالماء</w:t>
      </w:r>
      <w:r>
        <w:rPr>
          <w:rFonts w:eastAsia="Amiri" w:cs="Amiri" w:ascii="Amiri" w:hAnsi="Amiri"/>
          <w:color w:val="111111"/>
          <w:sz w:val="28"/>
          <w:szCs w:val="28"/>
          <w:rtl w:val="true"/>
          <w:lang w:bidi="ar-SA"/>
        </w:rPr>
        <w:t>.</w:t>
      </w:r>
    </w:p>
    <w:p>
      <w:pPr>
        <w:pStyle w:val="Heading6"/>
        <w:numPr>
          <w:ilvl w:val="5"/>
          <w:numId w:val="1"/>
        </w:numPr>
        <w:rPr/>
      </w:pPr>
      <w:bookmarkStart w:id="629" w:name="__RefHeading___Toc7507326_3381743652"/>
      <w:bookmarkStart w:id="630" w:name="_Toc233"/>
      <w:bookmarkEnd w:id="629"/>
      <w:r>
        <w:rPr>
          <w:rtl w:val="true"/>
        </w:rPr>
        <w:t>الطائفة الثانية</w:t>
      </w:r>
      <w:r>
        <w:rPr>
          <w:rtl w:val="true"/>
        </w:rPr>
        <w:t xml:space="preserve">: </w:t>
      </w:r>
      <w:r>
        <w:rPr>
          <w:rtl w:val="true"/>
        </w:rPr>
        <w:t>ما يدلّ على كونها أمارة للملكية</w:t>
      </w:r>
      <w:bookmarkEnd w:id="63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وإن كانت خربة قد جلا عنها أهلها فالذي وجد المال أحقّ به</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له عن أحدهما عليهما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الورق يوجد في دار؟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الدار معمورة فهي لأهلها، وإن كانت خربة فأنت أحقّ بما وجدت</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ولعلّها نفس الرواية السابقة غير انّ المسؤول في الأُولى مشخص وهو أبو جعفر عليه السلام دون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وجد في منزله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فيه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ترى أنّ الإمام فرّق بين الدار غير المختصة لأهلها، فجعل الورق الذي يوجد فيها لقطة، لعدم دلالة اليد في ذلك المكان على المالكية، لكثرة تردّد الأفراد واختلافهم إليها، كالديوانية للعلماء، وبين الصندوق الذي لا يُدْخل غيرُ المالك يدَه فيه فجعله له،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الملكية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يونس بن يعقوب، عن أبي عبد اللّه عليه السلام في امرأة تموت قبل 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 ما كان من متاع الرجال والنساء فهو بينهما، ومن استولى على شيء منه فهو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ترى أنّ الإمام جعل الاستيلاء دليلاً على الملكية، فالضمير المجرور،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مطلق المتاع حتى و إن كان من مختصّات النساء، واللام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للملكية، فالاستيلاء دليل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ولاحظ أيضاً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523/17</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ميراث الأزواج،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اعتمد الإمام فيه على أنّ متاع البيت للمرأة على الشهود الذين رأوا انّ المتاع يهدى علانية من بيت المرأة إلى بيت الزوج لا على اليد</w:t>
      </w:r>
      <w:r>
        <w:rPr>
          <w:rFonts w:eastAsia="Amiri" w:cs="Amiri" w:ascii="Amiri" w:hAnsi="Amiri"/>
          <w:color w:val="111111"/>
          <w:sz w:val="28"/>
          <w:szCs w:val="28"/>
          <w:rtl w:val="true"/>
          <w:lang w:bidi="ar-SA"/>
        </w:rPr>
        <w:t>.</w:t>
      </w:r>
      <w:bookmarkStart w:id="631" w:name="pg14367_157296"/>
    </w:p>
    <w:p>
      <w:pPr>
        <w:pStyle w:val="BookText"/>
        <w:rPr/>
      </w:pPr>
      <w:bookmarkEnd w:id="631"/>
      <w:r>
        <w:rPr>
          <w:rFonts w:ascii="Amiri" w:hAnsi="Amiri" w:eastAsia="Amiri" w:cs="Amiri"/>
          <w:color w:val="111111"/>
          <w:sz w:val="28"/>
          <w:sz w:val="28"/>
          <w:szCs w:val="28"/>
          <w:rtl w:val="true"/>
          <w:lang w:bidi="ar-SA"/>
        </w:rPr>
        <w:t>الملكية مطلقاً حتى في مختصّات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يستدل بالخصوصية إذا لم يكن لأحدهما استيلاء، وعليه فما يختصّ بالرجل فهو له و ما يختصّ بالمرأة فهو لها إلّاإذا استولى أحدهما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الضمير عائداً إلى خصوص متاع البيت المشترك الذي حكم فيه الإمام بالتقسيم بالمناصفة وأنّ الاشتراك دليل على ملكيتهما لولا استيلاء واحد منهما على شيء منه و إلّافهو للمستولي، وعلى ذلك فيستدل بالاستيلاء بعد إخراج ما يختصّ بأحدهما على نفي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ممّن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ترتيب آثار الملكية على ما استولى عليه وانّ هذا المعنى يجتمع مع الأمارية والأصلية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منه انّه ملك له واقعاً لأجل الطريق لا انّه يُبنى على كونه مالكاً ويؤخذ بأحد طرفي الشكّ على أنّه الواقع كما هو حال الأصل المحرز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وقفنا عليه من الروايات الدالة على الملكية، وفي الحوار الذي دار بين الإمام أمير المؤمنين عليه السلام وأبي بكر عندما سأل الإمام عن بيّنته على ملكية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تحت يد الإمام، ما يدلّ على أنّ اليد أمارة الملكية</w:t>
      </w:r>
      <w:r>
        <w:rPr>
          <w:rFonts w:eastAsia="Amiri" w:cs="Amiri" w:ascii="Amiri" w:hAnsi="Amiri"/>
          <w:color w:val="111111"/>
          <w:sz w:val="28"/>
          <w:szCs w:val="28"/>
          <w:rtl w:val="true"/>
          <w:lang w:bidi="ar-SA"/>
        </w:rPr>
        <w:t>.</w:t>
      </w:r>
      <w:r>
        <w:rPr>
          <w:rStyle w:val="FootnoteAnchor"/>
          <w:rtl w:val="true"/>
        </w:rPr>
        <w:footnoteReference w:id="193"/>
      </w:r>
    </w:p>
    <w:p>
      <w:pPr>
        <w:pStyle w:val="Heading6"/>
        <w:numPr>
          <w:ilvl w:val="5"/>
          <w:numId w:val="1"/>
        </w:numPr>
        <w:rPr/>
      </w:pPr>
      <w:bookmarkStart w:id="632" w:name="__RefHeading___Toc7507328_3381743652"/>
      <w:bookmarkStart w:id="633" w:name="_Toc234"/>
      <w:bookmarkEnd w:id="632"/>
      <w:r>
        <w:rPr>
          <w:rtl w:val="true"/>
        </w:rPr>
        <w:t>الطائفة الثالثة</w:t>
      </w:r>
      <w:r>
        <w:rPr>
          <w:rtl w:val="true"/>
        </w:rPr>
        <w:t xml:space="preserve">: </w:t>
      </w:r>
      <w:r>
        <w:rPr>
          <w:rtl w:val="true"/>
        </w:rPr>
        <w:t>ما يستشم منه كونها أصلاً</w:t>
      </w:r>
      <w:bookmarkEnd w:id="633"/>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أنّه في يده ولا أشهد أنّه له، فلعلّه لغيره؟ </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 هو لي وتحلف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تنسبه إلى من صار ملكه من قبله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عليه السلام علّل تنفيذ اليد بأنّه لولاه يلزم العسر والحرج فأنفذها الشارع لرفع الحرج وهذا يناسب كونها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الإمعان في صدر الرواية يعرب عن كونها أمارة عند الإمام، لأنّ شبهة السائل كانت ناشئة عن كون الشهادة مأخوذة من الشهود وهو المعاينة، والذي يعاينه الإنسان كونه في يده لا أنّه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الإمام بأنّه إذا اشتريت منه هل يصحّ لك أن تقول ملكتُ وهل يصحّ أن تحلف على أنّك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جازت الشهادة على ملكية المشتري وجاز الحلف عليها فلِمَ لا تجوز الشهادة على الأصل وهو ملكية البائع مع أنّ ملكية المشتري فرع ثبوتها للبائع، فهل يصح أن يشهد على الفرع دون الأصل؟</w:t>
      </w:r>
    </w:p>
    <w:p>
      <w:pPr>
        <w:pStyle w:val="BookText"/>
        <w:rPr/>
      </w:pPr>
      <w:r>
        <w:rPr>
          <w:rFonts w:ascii="Amiri" w:hAnsi="Amiri" w:eastAsia="Amiri" w:cs="Amiri"/>
          <w:color w:val="111111"/>
          <w:sz w:val="28"/>
          <w:sz w:val="28"/>
          <w:szCs w:val="28"/>
          <w:rtl w:val="true"/>
          <w:lang w:bidi="ar-SA"/>
        </w:rPr>
        <w:t>ولما كان شبهة الراوي في جواز الشهادة على الملكية، لأجل تصوّر انّ الشهادة لا تجوز إلّاعلى الأمر الواقعي وهو بعد لم يثبت أوضح الإمام بأنّ الشهادة تجوز بأحد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الجزمي وهو منتف في المقام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 والاستيلاء بشهادة انّ الرجل بعد الشراء يعرف نفسه مالكاً ويحلف عليه، وليس هذا إلّاكون اليد أمارة عليها في كلا الموردين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تعليل الشهادة على الملكية باختلال أمر الحياة عند عدم التنفيذ، فهو من قبيل الحِكَم لا العلّة، لأنّ الحكمة في اعتبار أكثر الأمارات هو انّ عدم تنفيذها موجب لاختلال النظام، كحجية الظواهر وحجّية قول الثقة وحجّية قول أهل الخبرة و التخصّص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 وذلك مثل الثوب يكون عليك، قد اشتريته وهو سرَقة، أو المملوك عندك ولعلّه حرّ قد باع نفسه، أو خُدِعَ فبيع قهراً، 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 الصدر،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يمكن أن يكون ناظراً إلى قاعدة اليد كما يمكن أن يكون ناظراً إلى أصل البراءة، فلو جعلنا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للمبتدأ يكون دليلاً على قاعدة اليد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مفروض انّه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مفروض انّه باختيارك كالثوب والعبد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حتى تعلم أنّه حرام، وعلى هذا جعل الاستيلاء في ظرف الشك حجة على الملكية وهذا يناسب كونه أصلاً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جعلنا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 و مبتدأً ثانياً، وجعلنا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له، والجار والمجرور،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متعلّقات الخبر، ينطبق على قاعدة البراءة،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لك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ينطبق على أصل البراءة لا على قاعدة اليد</w:t>
      </w:r>
      <w:r>
        <w:rPr>
          <w:rFonts w:eastAsia="Amiri" w:cs="Amiri" w:ascii="Amiri" w:hAnsi="Amiri"/>
          <w:color w:val="111111"/>
          <w:sz w:val="28"/>
          <w:szCs w:val="28"/>
          <w:rtl w:val="true"/>
          <w:lang w:bidi="ar-SA"/>
        </w:rPr>
        <w:t xml:space="preserve">. </w:t>
      </w:r>
      <w:bookmarkStart w:id="634" w:name="pg14367_157299"/>
    </w:p>
    <w:p>
      <w:pPr>
        <w:pStyle w:val="BookText"/>
        <w:rPr/>
      </w:pPr>
      <w:bookmarkEnd w:id="634"/>
      <w:r>
        <w:rPr>
          <w:rFonts w:ascii="Amiri" w:hAnsi="Amiri" w:eastAsia="Amiri" w:cs="Amiri"/>
          <w:color w:val="111111"/>
          <w:sz w:val="28"/>
          <w:sz w:val="28"/>
          <w:szCs w:val="28"/>
          <w:rtl w:val="true"/>
          <w:lang w:bidi="ar-SA"/>
        </w:rPr>
        <w:t>فلو قلنا بالتفسير الأوّل يكون الاستيلاء في ظرف الشكّ موضوعاً للحكم بحلّية التصرّف فيكون أصلاً لا أمارة، إذ لو كان أمارة لكان طارداً للشكّ لا حافظاً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تعيّن التفسير الأوّل فإنّه على خلاف الظاهر، والظاهر هو التفسير الثاني، كما عليه المشهور في تفسير الرواية</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7507330_3381743652"/>
      <w:bookmarkStart w:id="636" w:name="_Toc235"/>
      <w:bookmarkEnd w:id="635"/>
      <w:r>
        <w:rPr>
          <w:rtl w:val="true"/>
        </w:rPr>
        <w:t>المقام الرابع في الاستيلاء على الحقوق</w:t>
      </w:r>
      <w:bookmarkEnd w:id="636"/>
    </w:p>
    <w:p>
      <w:pPr>
        <w:pStyle w:val="BookText"/>
        <w:rPr/>
      </w:pPr>
      <w:r>
        <w:rPr>
          <w:rFonts w:ascii="Amiri" w:hAnsi="Amiri" w:eastAsia="Amiri" w:cs="Amiri"/>
          <w:color w:val="111111"/>
          <w:sz w:val="28"/>
          <w:sz w:val="28"/>
          <w:szCs w:val="28"/>
          <w:rtl w:val="true"/>
          <w:lang w:bidi="ar-SA"/>
        </w:rPr>
        <w:t>قد عرفت أنّ الاستيلاء على العين أمارة الملكية وربّما لا تكون العين ملكاً للمستولي ولكن يكون له حقّ فيها، كحقّ الاختصاص بالخلّ المتبدَّل إلى الخمر، ومثله الميتة،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مالك الخل والحيوان الذي مات حتف أنفه ذو حقّ بالنسبة إلى الخمر وميتة الحيوان، فيكون الاستيلاء على العين دليلاً على الاستيلاء على الحقوق، نظير ذلك، ما رواه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كانت له رحى على نهر قرية، والقرية لرجل، فأراد صاحب القرية أن يسوق إلى قريته الماء في غير هذا النهر ويُعَطّل هذه الرحى، أله ذلك أم لا؟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يتّقي اللّه، ويعمل في ذلك بالمعروف، ولا يضرّ أخاه المؤمن</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فإنّ استيلاء صاحب الرحى على الانتفاع بالماء عرفاً حيث إنّه كان يمرّ عن طريق رحاه يعدّ دليلاً على كونه ذا حق</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جريان الاستيلاء وقاعدة اليد في النسب والأعراض، فلو </w:t>
      </w:r>
      <w:bookmarkStart w:id="637" w:name="pg14367_157300"/>
    </w:p>
    <w:p>
      <w:pPr>
        <w:pStyle w:val="BookText"/>
        <w:rPr/>
      </w:pPr>
      <w:bookmarkEnd w:id="637"/>
      <w:r>
        <w:rPr>
          <w:rFonts w:ascii="Amiri" w:hAnsi="Amiri" w:eastAsia="Amiri" w:cs="Amiri"/>
          <w:color w:val="111111"/>
          <w:sz w:val="28"/>
          <w:sz w:val="28"/>
          <w:szCs w:val="28"/>
          <w:rtl w:val="true"/>
          <w:lang w:bidi="ar-SA"/>
        </w:rPr>
        <w:t>تنازع شخص مع آخر في زوجة تحت يدهما، أو ولد في بيته، فيحكم على الزوجة والولد بأنّها زوجة من هي تحت يده، ومثله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فلسفة اعتبار اليد هو أنّ مناشئ الاستيلاء في العصور السابقة كانت مناشئ صحيحة، خصوصاً بالنسبة إلى الأعراض و الأولاد، فإنّ الاستيلاء على عرض الغير وولده أمر نادر، فاعتبر الاستيلاء على الحقوق وصار دليلاً عليها كما هو الحال في الأعيان</w:t>
      </w:r>
      <w:r>
        <w:rPr>
          <w:rFonts w:eastAsia="Amiri" w:cs="Amiri" w:ascii="Amiri" w:hAnsi="Amiri"/>
          <w:color w:val="111111"/>
          <w:sz w:val="28"/>
          <w:szCs w:val="28"/>
          <w:rtl w:val="true"/>
          <w:lang w:bidi="ar-SA"/>
        </w:rPr>
        <w:t>.</w:t>
      </w:r>
    </w:p>
    <w:p>
      <w:pPr>
        <w:pStyle w:val="Heading6"/>
        <w:numPr>
          <w:ilvl w:val="5"/>
          <w:numId w:val="1"/>
        </w:numPr>
        <w:rPr/>
      </w:pPr>
      <w:bookmarkStart w:id="638" w:name="__RefHeading___Toc7507332_3381743652"/>
      <w:bookmarkStart w:id="639" w:name="_Toc236"/>
      <w:bookmarkEnd w:id="638"/>
      <w:r>
        <w:rPr>
          <w:rtl w:val="true"/>
        </w:rPr>
        <w:t>المقام الخامس الاستيلاء على المنافع</w:t>
      </w:r>
      <w:bookmarkEnd w:id="639"/>
    </w:p>
    <w:p>
      <w:pPr>
        <w:pStyle w:val="BookText"/>
        <w:rPr/>
      </w:pPr>
      <w:r>
        <w:rPr>
          <w:rFonts w:ascii="Amiri" w:hAnsi="Amiri" w:eastAsia="Amiri" w:cs="Amiri"/>
          <w:color w:val="111111"/>
          <w:sz w:val="28"/>
          <w:sz w:val="28"/>
          <w:szCs w:val="28"/>
          <w:rtl w:val="true"/>
          <w:lang w:bidi="ar-SA"/>
        </w:rPr>
        <w:t>إنّ العين رمز المنافع ووجود إجمالي لها ولولا اشتمالها على المنافع لم يرغب أحد في الاستيلاء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صحّة الاستيلاء على المنافع، فهل الاستيلاء على المنافع في طول الاستيلاء على العين أو في عرضها أو لا استيلاء عليها؟</w:t>
      </w:r>
    </w:p>
    <w:p>
      <w:pPr>
        <w:pStyle w:val="BookText"/>
        <w:rPr/>
      </w:pPr>
      <w:r>
        <w:rPr>
          <w:rFonts w:ascii="Amiri" w:hAnsi="Amiri" w:eastAsia="Amiri" w:cs="Amiri"/>
          <w:color w:val="111111"/>
          <w:sz w:val="28"/>
          <w:sz w:val="28"/>
          <w:szCs w:val="28"/>
          <w:rtl w:val="true"/>
          <w:lang w:bidi="ar-SA"/>
        </w:rPr>
        <w:t>فالحقّ هو الأوّل بمعنى أنّ الاستيلاء على العين عند التحليل يُعد استيلاء للمنافع، فمالك العين في ضمن الاستيلاء عليها، مستولٍ عند التحليل على منافعها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العين لمّا كانت رمزاً للمنافع يعدُّ التسلّط عليها تسلّطاً على المنافع في ضمنها، وهذا هو المراد من أنّ الاستيلاء على المنافع في طول الاستيلاء على العين، لا بمعنى أنّ هنا استيلاءين مستقلّين أحدهما بعد الآخر، بل </w:t>
      </w:r>
    </w:p>
    <w:p>
      <w:pPr>
        <w:pStyle w:val="BookText"/>
        <w:rPr/>
      </w:pPr>
      <w:r>
        <w:rPr>
          <w:rFonts w:ascii="Amiri" w:hAnsi="Amiri" w:eastAsia="Amiri" w:cs="Amiri"/>
          <w:color w:val="111111"/>
          <w:sz w:val="28"/>
          <w:sz w:val="28"/>
          <w:szCs w:val="28"/>
          <w:rtl w:val="true"/>
          <w:lang w:bidi="ar-SA"/>
        </w:rPr>
        <w:t>استيلاء واحد على العين ظاهراً وعلى المنافع عند التحليل، فالاستيلاء الثاني هو الوجود التفصيلي للاستيلاء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بعدم إمكان الاستيلاء على المنافع وذلك لأنّ المنفعة من الأُمور التدريجية غير قارّة الذات لا يوجد جزء منها إلّابعد انعدام جزء آخر، ومثل ذلك لا يمكن أن يقع طرفاً للإضافة بينها و بين الإنسان، لامتناع تحقّق الإضافة بين الموجود والمعدوم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يتمّ لو قلنا بأنّ المنافع تقع تحت الاستيلاء في عرض الاستيلاء على العين، وأمّا إذا كان الاستيلاء عليها من خلال الاستيلاء على العين فلا يرد الإشكال، لأنّ مصحّح الاستيلاء على المنافع هو وجود الاستيلاء على العين وكونها رمزاً لوجود المنافع وتحقّقها، وكأنّ العين في نظر العقلاء هو المنافع المتجسّدة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يعلم أنّ الإجارة عبارة عن تسليط الغير على العين لغاية الانتفاع وليس تسليطاً على المنافع مجرّدة عن تسليطه على العين، فصاحب العين يسلّط المستأجر على العين بما هي رمز للمنافع، و بما انّها وجود جمعي لها حتى فيما لو كانت المنفعة من الأعيان كالثمرة على الشجرة والزرع على الأرض فالاستيلاء عليها في ضمن الاستيلاء على العين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الاستيلاء على المنافع إنّما ينفع في مقابل الأجنبي الذي يدّعي ملكية المنافع فيكون المستولي على المنافع منكراً والآخر مدّعياً لا في مقابل المالك فانّ اعتراف المستولي على المنافع بكونه مالكاً يوجب انقلاب الدعوى فيكون المستولي مدّعياً والمالك منكراً</w:t>
      </w:r>
      <w:r>
        <w:rPr>
          <w:rFonts w:eastAsia="Amiri" w:cs="Amiri" w:ascii="Amiri" w:hAnsi="Amiri"/>
          <w:color w:val="111111"/>
          <w:sz w:val="28"/>
          <w:szCs w:val="28"/>
          <w:rtl w:val="true"/>
          <w:lang w:bidi="ar-SA"/>
        </w:rPr>
        <w:t xml:space="preserve">. </w:t>
      </w:r>
      <w:bookmarkStart w:id="640" w:name="pg14367_157302"/>
    </w:p>
    <w:p>
      <w:pPr>
        <w:pStyle w:val="Heading6"/>
        <w:numPr>
          <w:ilvl w:val="5"/>
          <w:numId w:val="1"/>
        </w:numPr>
        <w:rPr/>
      </w:pPr>
      <w:bookmarkStart w:id="641" w:name="__RefHeading___Toc7507334_3381743652"/>
      <w:bookmarkStart w:id="642" w:name="_Toc237"/>
      <w:bookmarkEnd w:id="640"/>
      <w:bookmarkEnd w:id="641"/>
      <w:r>
        <w:rPr>
          <w:rtl w:val="true"/>
        </w:rPr>
        <w:t>المقام السادس إذا شكّ ذو اليد في مالكيته</w:t>
      </w:r>
      <w:bookmarkEnd w:id="642"/>
    </w:p>
    <w:p>
      <w:pPr>
        <w:pStyle w:val="BookText"/>
        <w:rPr/>
      </w:pPr>
      <w:r>
        <w:rPr>
          <w:rFonts w:ascii="Amiri" w:hAnsi="Amiri" w:eastAsia="Amiri" w:cs="Amiri"/>
          <w:color w:val="111111"/>
          <w:sz w:val="28"/>
          <w:sz w:val="28"/>
          <w:szCs w:val="28"/>
          <w:rtl w:val="true"/>
          <w:lang w:bidi="ar-SA"/>
        </w:rPr>
        <w:t>إنّ اليد حجّة لغير ذي اليد في حال الشكّ، إنّما الكلام في اعتبارها بالنسبة إلى نفس صاحب اليد إذا شكّ في كون ما استولى عليه، ملكاً له أو 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اعتبارها عند شكّ المستولي 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انصراف العمومات عن هذه الصورة وقصورها عن الشمول لها، وإلى ذلك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 من اقتضاء اليد الملكية غير ذلك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جميل بن صالح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وجد في بيته ديناراً؟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منزله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أحد يدَه في صندوقه غيره أو يضع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وجه الدلالة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حكم فيما هو في داره الذي لا يعلمه انّه له، مع كونه في يده ومستولياً عليه، انّه ليس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كون ما وجد في الصندوق له، بما يفيد العلم بأنّه ليس لغيره، </w:t>
      </w:r>
    </w:p>
    <w:p>
      <w:pPr>
        <w:pStyle w:val="BookText"/>
        <w:rPr/>
      </w:pPr>
      <w:r>
        <w:rPr>
          <w:rFonts w:ascii="Amiri" w:hAnsi="Amiri" w:eastAsia="Amiri" w:cs="Amiri"/>
          <w:color w:val="111111"/>
          <w:sz w:val="28"/>
          <w:sz w:val="28"/>
          <w:szCs w:val="28"/>
          <w:rtl w:val="true"/>
          <w:lang w:bidi="ar-SA"/>
        </w:rPr>
        <w:t>وذلك من خلال عدم إدخال غيره يده فيه ولم يعلِّله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إبراهيم عليه السلام عن رجل نزل في بعض بيوت مكة فوجد فيه نحواً من سبعين درهماً مدفونة فلم تزل معه ولم يذكرها حتى قدم الكوفة،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 عنها أهل المنزل لعلّهم يعرفونها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يعرفونها،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بها</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شكّ أنّ الدراهم كانت في تصرّف أهل المنزل على ما عرفت، ولو انّهم قالوا انّا لا نعلم أنّها لنا أو لغيرنا، فيصدق انّهم لا يعرفونها فلا يحكم بملكيتها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اليد لا تكفي في حكم ذي اليد لأجلها لنفسه إن لم تعلم ملكيته</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قصور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استولى على شيء منه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يعم صورة الشكّ، وعلى ذلك فالإطلاق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الاستشهاد برواية جميل بن صالح بكلا شقّيها فضعيف</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الشقّ الأول،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الإمام ما وجد في منزله بحكم اللقطة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لأجل عدم اعتبار اليد عند الشك، بل لأجل خصوصية في المنزل حيث إنّه فرض انّه يدخله غيره، وانّه كان كديوانية العلماء أو كالفنادق المؤجّرة والمنازل المعدّة لنزول الزائر، ففي هذه المجالات لا يحكم بالملكية لا لأنّ القاعدة ليست حجّة في </w:t>
      </w:r>
    </w:p>
    <w:p>
      <w:pPr>
        <w:pStyle w:val="BookText"/>
        <w:rPr/>
      </w:pPr>
      <w:r>
        <w:rPr>
          <w:rFonts w:ascii="Amiri" w:hAnsi="Amiri" w:eastAsia="Amiri" w:cs="Amiri"/>
          <w:color w:val="111111"/>
          <w:sz w:val="28"/>
          <w:sz w:val="28"/>
          <w:szCs w:val="28"/>
          <w:rtl w:val="true"/>
          <w:lang w:bidi="ar-SA"/>
        </w:rPr>
        <w:t>ظرف الشكّ، بل لعدم صدق الاستيلاء التام لفرض انّ الدار كانت مفتوحة لكل وارد، فكيف يحكم بكون ما فيه لصاحب الدار؟</w:t>
      </w:r>
    </w:p>
    <w:p>
      <w:pPr>
        <w:pStyle w:val="BookText"/>
        <w:rPr/>
      </w:pPr>
      <w:r>
        <w:rPr>
          <w:rFonts w:ascii="Amiri" w:hAnsi="Amiri" w:eastAsia="Amiri" w:cs="Amiri"/>
          <w:color w:val="111111"/>
          <w:sz w:val="28"/>
          <w:sz w:val="28"/>
          <w:szCs w:val="28"/>
          <w:rtl w:val="true"/>
          <w:lang w:bidi="ar-SA"/>
        </w:rPr>
        <w:t>وأمّا الشقّ الثاني، فانّ تعليل الإمام بكون ما وجد في الصندوق لصاحبه بالاختصاص ليس لكونه مفيداً للعلم، إذ لا ينافي أن يكون الصندوق مختصّاً لصاحبه مع أنّه يضع صاحب الصّندوق فيه أمانات الناس، فمن المحتمل أن يكون الموجود فيه للغير حيث أخذه منه و تركه فيه من دون أن يضع علامة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لأجل أنّ الاستيلاء دليل على الملكية سواء أكانت مفيدة للعلم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رواية جميل بن صالح</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رواية إسحاق بن عمار، فالجواب عنه واضح بالإمعان فيما ذكرناه حول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بيوت مكة يومذاك كان حكمها حكم الفنادق والمضائف، فلا يعدّ الاستيلاء دليلاً على الملكية لصاحب البيت</w:t>
      </w:r>
      <w:r>
        <w:rPr>
          <w:rFonts w:eastAsia="Amiri" w:cs="Amiri" w:ascii="Amiri" w:hAnsi="Amiri"/>
          <w:color w:val="111111"/>
          <w:sz w:val="28"/>
          <w:szCs w:val="28"/>
          <w:rtl w:val="true"/>
          <w:lang w:bidi="ar-SA"/>
        </w:rPr>
        <w:t xml:space="preserve">. </w:t>
      </w:r>
      <w:bookmarkStart w:id="643" w:name="pg14367_157305"/>
    </w:p>
    <w:p>
      <w:pPr>
        <w:pStyle w:val="Heading6"/>
        <w:numPr>
          <w:ilvl w:val="5"/>
          <w:numId w:val="1"/>
        </w:numPr>
        <w:rPr/>
      </w:pPr>
      <w:bookmarkStart w:id="644" w:name="__RefHeading___Toc7507336_3381743652"/>
      <w:bookmarkStart w:id="645" w:name="_Toc238"/>
      <w:bookmarkEnd w:id="643"/>
      <w:bookmarkEnd w:id="644"/>
      <w:r>
        <w:rPr>
          <w:rtl w:val="true"/>
        </w:rPr>
        <w:t>المقام السابع في حجّية اليد فيما إذا علم عنوانها حدوثاً</w:t>
      </w:r>
      <w:bookmarkEnd w:id="645"/>
    </w:p>
    <w:p>
      <w:pPr>
        <w:pStyle w:val="BookText"/>
        <w:rPr/>
      </w:pPr>
      <w:r>
        <w:rPr>
          <w:rFonts w:ascii="Amiri" w:hAnsi="Amiri" w:eastAsia="Amiri" w:cs="Amiri"/>
          <w:color w:val="111111"/>
          <w:sz w:val="28"/>
          <w:sz w:val="28"/>
          <w:szCs w:val="28"/>
          <w:rtl w:val="true"/>
          <w:lang w:bidi="ar-SA"/>
        </w:rPr>
        <w:t>لا شكّ في حجّية اليد إذا لم يعلم حالها حدوثاً واحتمل الاستيلاء عليها بانتقال المال عن مالكه إليه وهذا هو القدر المتيقّن من حجّية اليد فتكون اليد حاكمة على الاستصحاب، أي‌استصحاب كونها باقية في ملك المالك السابق، وسيوافيك بيان كيفية حكومة اليد على الاستصحاب في آخر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علم عنوان حدوثها وكان غير مفيد للملكية، وذلك كما في الصورتين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استولى عليها في حال كونها عادية أو عارية أمانة ولكن يحتمل انتقال المال إليه بناقل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حال اليد عند الاستيلاء ولكن علم أنّه كان قبل الاستيلاء عيناً موقوفة ولكن يحتمل انتقال العين إليه ببعض المجوِّزات لبيع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تعد اليد أمارة الملكية في هاتين الصورتين أو لا؟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فيها المحقّق النائيني بسقوط اليد والعمل بما يقتضيه استصحاب حال اليد، فانّ اليد إنّما تكون أمارة على الملك إذا كانت مجهولة الحال غير معنونة بعنوان الإجارة أو الغصب ونحوهما، واستصحاب حال اليد يوجب تعنونها بعنوان الإجارة أو الغصب، فلا تكون كاشفة عن الملكية</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وحاصل ما أفاده أنّ اليد إنّما تكون أمارة على الملكية إذا لم يعلم حالها والاستصحاب يرفع موضوع اليد ويبيّن حالها فيكون الاستصحاب حاكماً على اليد إذا كان المستصحِب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إنّما يحتج باليد إذا لم يحرز فساد الاستيلاء كالغصب، أو لم يحرز انّه بطبعه غير مقتض للملكية كالعارية، ولو أحرز انّه كان من أوّل الأمر كذلك فلا يحتج باليد على الملكية لقصورها من أوّل الأمر فتسقط اليد عن الاعتبار ويرجع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الاستصحاب على اليد ليس من باب حكومته عليها، بل من باب قصور قاعدة اليد في المقام، لما عرفت من عدم استقرار بناء العقلاء على الملكية في الموارد التي من طبعها عدم الملكية كما هوالمفروض من أنّ الاستيلاء كان استيلاءً عادية أو 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الاستيلاء دليلاً على الملكية، إذ كما يشترط أن لا يكون الاستيلاء محرز الفساد كذلك يشترط أن يكون المستولى عليه بطبعه قابلاً للتملّك، فخرجت العين الموقوفة لأنّها بطبعها غير صالحة للتملّك، واحتمال عروض مجوّز الانتقال شاذ لا يُعبأ به حسب الطبع الغالب</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وسيوافيك في قاعدة أصالة الصحّة انّها إنّما تجري فيما إذا كان المورد غير مقتض للفساد بطبعه وإلّا فلا تجري أصالة الصحّة، مثلاً لو باع شخص العين الموقوفة واحتملنا انّه يبيع بالمجوز الشرعي فلا تجري أصالة الصحّة، لأنّ المورد بطبعه يقتضي الفساد، واحتمال عروض المجوِّز شاذ لا يعبأ به، ومثله المقام فانّ احتمال انتقال العين الموقوفة بمجوّز شرعي إلى صاحب اليد شاذ</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الاستيلاء على الأراضي المفتوحة عنوة فإن قلنا بما جاء في رواية محمد الحلبي من أنّها محبوسة موقوفة في أيدي المسلمين لا يجوز بيعها وشراؤها وإنّما يؤخذ الخراج،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 لمن يدخل في الإسلام بعد اليوم، ولمن لم يخلق بعد</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ولكن احتملنا عروض مجوّز للبيع كالوقف يكون حاله حال الوقف في عدم الاعتبار لليد، ويكون المستولى عليه بالطبع غير قابل له إلّافي فترات خاصّة؛ وأمّا إذا قلنا إنّه ملك للمسلمين ويقبل النقل والانتقال غاية الأمر الناقل هو الولي العام حسب ما اقتضته المصلحة النوعية، فهو يفارق الوقف، لأنّ صلاحية المستولى عليه محرزة ولم يحرز فساد نفس الاستيلاء لكون الحدوث مجهول العنوان حتّى يمنع الاستناد إليه</w:t>
      </w:r>
      <w:r>
        <w:rPr>
          <w:rFonts w:eastAsia="Amiri" w:cs="Amiri" w:ascii="Amiri" w:hAnsi="Amiri"/>
          <w:color w:val="111111"/>
          <w:sz w:val="28"/>
          <w:szCs w:val="28"/>
          <w:rtl w:val="true"/>
          <w:lang w:bidi="ar-SA"/>
        </w:rPr>
        <w:t xml:space="preserve">. </w:t>
      </w:r>
      <w:bookmarkStart w:id="646" w:name="pg14367_157308"/>
    </w:p>
    <w:p>
      <w:pPr>
        <w:pStyle w:val="Heading6"/>
        <w:numPr>
          <w:ilvl w:val="5"/>
          <w:numId w:val="1"/>
        </w:numPr>
        <w:rPr/>
      </w:pPr>
      <w:bookmarkStart w:id="647" w:name="__RefHeading___Toc7507338_3381743652"/>
      <w:bookmarkStart w:id="648" w:name="_Toc239"/>
      <w:bookmarkEnd w:id="646"/>
      <w:bookmarkEnd w:id="647"/>
      <w:r>
        <w:rPr>
          <w:rtl w:val="true"/>
        </w:rPr>
        <w:t>المقام الثامن مدّعي الملكية في مقابل ذي اليد</w:t>
      </w:r>
      <w:bookmarkEnd w:id="648"/>
    </w:p>
    <w:p>
      <w:pPr>
        <w:pStyle w:val="BookText"/>
        <w:rPr/>
      </w:pPr>
      <w:r>
        <w:rPr>
          <w:rFonts w:ascii="Amiri" w:hAnsi="Amiri" w:eastAsia="Amiri" w:cs="Amiri"/>
          <w:color w:val="111111"/>
          <w:sz w:val="28"/>
          <w:sz w:val="28"/>
          <w:szCs w:val="28"/>
          <w:rtl w:val="true"/>
          <w:lang w:bidi="ar-SA"/>
        </w:rPr>
        <w:t>إذا كان لرجل يد على العين فادّعاها آخر، فله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للمدّعي بيّنة على أنّه انتقل من ذي اليد إليه بإحدى المملِّكات الشرعيّة فعندئذٍ تُقدَّم البيّنة على ذي اليد أخذاً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للمدّعي واليمين على من أنكر</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الحاكم عالماً بأنّه كان للمدّعي سابقاً ولكن يحتمل انتقاله إلى ذي اليد بسبب من الأسباب الشرعية، فيقدّم قول ذي اليد ولا عبرة بعلم القاضي، إذ لا منافاة بين علمه بأنّ العين كانت للمدّعي في سالف الزمان، وكونه ملكاً لذي اليد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قامت البيّنة على أنّ العين كانت للمدّعي في سالف الزمان و مع ذلك يحتمل انتقال العين إلى ذي اليد بسبب من الأسباب المملكة، فالحكم في هذه الصورة هو الحكم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بقول ذي اليد ولا عبرة ببيّنة المدّعي، إذ أقصى ما تثبته البيّنة انّه كان مالكاً في سالف الزمان من دون تعرّض للحالة الحاضرة فهي لا تنافي الملكية الفعلية لذي اليد</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واستصحاب بقاء الملكية في كلتا الصورتين مردود لحكومة قاعدة اليد عليه كما سيوافيك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شهدت البيّنة بالملكية الفعلية لكن عُلم أنّ مصدر شهادتها هو الاستصحاب حيث كانت عالمة بملكية المدّعي في سالف الزمان فشكّت واستصحبت بقاء الملكية فشهدت بها بوصف كونها ملكاً فعلاً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كالصورتين الثانية والثالثة إذ لا عبرة بالشهادة لفساد مصدره، إذ لو تمّ الاستصحاب للبيّنة لتم للحاكم أيضاً، و من المعلوم انّ الشهادة على أساس الاستصحاب شهادة زور وتدليس في مقابل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هناك يد لأحد لصحّ للشاهد الاستصحاب والشهادة على أساسه، وبذلك يعلم مفاد ما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تجوز الشهادة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ناظرة إلى عين في يد ثالث لا ادّعاء له عليها ويدّعيها شخصان آخران وكان المال ملكاً لأحدهما سابقاً، فتجوز الشهادة بالملكية الفعلية لذي اليد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أقرّ ذو اليد بكون العين ملكاً للمدّعي في السابق من دون أن يقرّ بانتقالها منه إليه أو إلى غيره، فلا عبرة بهذا الإقرار، لأنّه لا يتجاوز عن علم القاضي بكونها ملكاً للمدّعي في السابق ولا عن قيام البيّنة كذلك، فانّ غاية ما يفيده إقرار المقر هو انّه كان ملكاً للمدّعي في سالف الزمان، ولكنّه لا ينافي كونه ملكاً للمقرّ فعلاً، فاليد حاكمة في هذا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أقرّ ذو اليد بأنّ العين كانت ملكاً للمدّعي ومنه انتقل إليه بأحدى النواقل الشرعيّة، ففي مثل ذلك يكون ذو اليد المقرّ، مدّعياً والمدّعي منكراً، وذلك لأنّ ذا اليد اعترف بكونه ملكاً للمدّعي سابقاً وادّعى انتقاله منه إليه فصار مدّعياً بادّعاء الانتقال فعليه أن يثبت ادّعاءه بالبيّنة أو بالحلف إذا ردّ إليه المنكر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يعلم أنّ الذي صار سبباً للانقلاب هو ادّعاؤه بانتقالها منه إليه </w:t>
      </w:r>
    </w:p>
    <w:p>
      <w:pPr>
        <w:pStyle w:val="BookText"/>
        <w:rPr/>
      </w:pPr>
      <w:r>
        <w:rPr>
          <w:rFonts w:ascii="Amiri" w:hAnsi="Amiri" w:eastAsia="Amiri" w:cs="Amiri"/>
          <w:color w:val="111111"/>
          <w:sz w:val="28"/>
          <w:sz w:val="28"/>
          <w:szCs w:val="28"/>
          <w:rtl w:val="true"/>
          <w:lang w:bidi="ar-SA"/>
        </w:rPr>
        <w:t>وإلّا فمجرّد إقراره بأنّه كان له لا يوجب الانقلاب لما عرفت من أنّ هذا الإقرار يجتمع مع كونه مالكاً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دعوى الانتقال بعد الإقرار بكونه للمدّعي على خلاف الأصل، لأنّ الأصل بقاء ما كان على ما كان، فلا يثبت الانتقال عنه إلّابدليل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من كلمات المشهور أنّ انقلاب الدعوى عند ادّعاء الانتقال وصيرورة المنكر مدّعياً والمدّعي منكراً تام مطلقاً، وعلى جميع المباني المطروحة في تمييز المدّعي عن المنكر، ولكن الظاهر انّ الحكم يختلف حسب اختلاف المباني المذكورة في تمييزهما وإليك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المدّعي من خالف قوله الأصل و المنكر من وافقه، و كان محور الموافقة والمخالفة مآل الدعوى ونتيجتها لا ما يطرح أوّلاً، فالحقّ انقلاب الدعوى وصيرورة المنكر مدّعياً والمدّعي منكراً إذا ادّعى المنكر الانتقال، وذلك لأنّ مصبّ الدعوى و إن كان مالكية المدّعي للعين وإنكار ذي اليد لها، لكن هذا ليس هو المعيار لتمييز المدّعي عن المنكر، بل المقياس هو مآل الدعوى ونتيجتها وهي ادّعاء ذي اليد انتقال العين من المدّعي، إليه، و من المعلوم أنّ الأصل عدم الانتقال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وإن اختلفا في بدء الأمر في مالكية المدّعي وعدمها لكن لما انجرّ النزاع إلى اعتراف المنكر بأنّها كانت له وانّه اشتراها منه، استقرّ النزاع أخيراً على أمر آخر وهو تحقّق الانتقال وعدمه، فذو اليد مدّع للانتقال والطرف المقابل منكر له، وبذلك تنقلب الدعوى</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قلنا بأنّ المدّعي من خالف قوله الأصل والمنكر من وافقه ولكن محور الموافقة والمخالفة مصب الدعوى لا ما انتهت الدعوى إليه، فعند ذلك تبقى </w:t>
      </w:r>
    </w:p>
    <w:p>
      <w:pPr>
        <w:pStyle w:val="BookText"/>
        <w:rPr/>
      </w:pPr>
      <w:r>
        <w:rPr>
          <w:rFonts w:ascii="Amiri" w:hAnsi="Amiri" w:eastAsia="Amiri" w:cs="Amiri"/>
          <w:color w:val="111111"/>
          <w:sz w:val="28"/>
          <w:sz w:val="28"/>
          <w:szCs w:val="28"/>
          <w:rtl w:val="true"/>
          <w:lang w:bidi="ar-SA"/>
        </w:rPr>
        <w:t>الدعوى على حالها، لأنّ المدّعي يدّعي المالكية ولكنّ صاحبَ اليد ينكرها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المدّعي والمنكر من المفاهيم العرفية، والعرف هو المرجع في تمييز أحدهما عن الآخر، والمعيار عنده هو أنّ المدّعي هو الذي لو ترك، تُركت الدعوى بخلاف المنكر، فعلى هذا تبقى الدعوى على حالها وإن ادّعى الانتقال ولا يلزم الانقلاب، وذلك لأنّ ذا اليد لو ترك لم تُترك الدعوى بخلاف الطرف المقابل إذ لو ترك تركت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المدّعي هو من خالف قوله الظاهر والمنكر من وافقه لبقيت الدعوى على حالها ولا يلزم منها الانقلاب، لأنّ الظاهر هو مالكية المستولي على العين سواء أقرّ بمالكية المدّعي سابقاً أو لا، وعلى فرض الإقرار ادّعى انتقاله منه أو لم يدع</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يظهر انّ القول بالانقلاب إنّما يصحّ على الوجه الأوّل دون سائر الوجوه</w:t>
      </w:r>
      <w:r>
        <w:rPr>
          <w:rFonts w:eastAsia="Amiri" w:cs="Amiri" w:ascii="Amiri" w:hAnsi="Amiri"/>
          <w:color w:val="111111"/>
          <w:sz w:val="28"/>
          <w:szCs w:val="28"/>
          <w:rtl w:val="true"/>
          <w:lang w:bidi="ar-SA"/>
        </w:rPr>
        <w:t xml:space="preserve">. </w:t>
      </w:r>
      <w:bookmarkStart w:id="649" w:name="pg14367_157312"/>
    </w:p>
    <w:p>
      <w:pPr>
        <w:pStyle w:val="Heading6"/>
        <w:numPr>
          <w:ilvl w:val="5"/>
          <w:numId w:val="1"/>
        </w:numPr>
        <w:rPr/>
      </w:pPr>
      <w:bookmarkStart w:id="650" w:name="__RefHeading___Toc7507340_3381743652"/>
      <w:bookmarkStart w:id="651" w:name="_Toc240"/>
      <w:bookmarkEnd w:id="649"/>
      <w:bookmarkEnd w:id="650"/>
      <w:r>
        <w:rPr>
          <w:rtl w:val="true"/>
        </w:rPr>
        <w:t>المقام التاسع في تحليل الحوار الدائر بين الإمام والخليفة</w:t>
      </w:r>
      <w:bookmarkEnd w:id="651"/>
    </w:p>
    <w:p>
      <w:pPr>
        <w:pStyle w:val="BookText"/>
        <w:rPr/>
      </w:pPr>
      <w:r>
        <w:rPr>
          <w:rFonts w:ascii="Amiri" w:hAnsi="Amiri" w:eastAsia="Amiri" w:cs="Amiri"/>
          <w:color w:val="111111"/>
          <w:sz w:val="28"/>
          <w:sz w:val="28"/>
          <w:szCs w:val="28"/>
          <w:rtl w:val="true"/>
          <w:lang w:bidi="ar-SA"/>
        </w:rPr>
        <w:t xml:space="preserve">روى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الحوار الذي دار بين الإمام أمير المؤمنين علي عليه السلام والخليفة أبي بكر حيث طلب الثاني من الإمام عليه السلام البيّنة على مالكيته لفدك فأجابه الإمام بما هذا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أتحكم فينا بخلاف حكم اللّه في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 ادّعيتُ أنا فيه، من تسأل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وقد ملكته في حياة رسول اللّه صلى الله عليه و آله و سلم وبعده، ولم تسأل المؤمنين البيّنة على ما ادّعوا عليّ كما سألتني البيّنة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فربما يقال بأنّ الإمام وإن كان مستولياً على فدك وكانت له يد عليها وبذلك كان منكراً والخليفة مدّعياً، و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البيّنة على المدّعي </w:t>
      </w:r>
      <w:bookmarkStart w:id="652" w:name="pg14367_157313"/>
    </w:p>
    <w:p>
      <w:pPr>
        <w:pStyle w:val="BookText"/>
        <w:rPr/>
      </w:pPr>
      <w:bookmarkEnd w:id="652"/>
      <w:r>
        <w:rPr>
          <w:rFonts w:ascii="Amiri" w:hAnsi="Amiri" w:eastAsia="Amiri" w:cs="Amiri"/>
          <w:color w:val="111111"/>
          <w:sz w:val="28"/>
          <w:sz w:val="28"/>
          <w:szCs w:val="28"/>
          <w:rtl w:val="true"/>
          <w:lang w:bidi="ar-SA"/>
        </w:rPr>
        <w:t xml:space="preserve">واليمين على من أنكر، و كان طلب الخليفة البيّنة منه على خلاف القاعدة، ولكن لمّا ادّعى الإمام عليه السلام بأنّه ملك فدك في حياة رسول اللّه صلى الله عليه و آله و سلم، اعترف عندئذ بأنّها كانت ملكاً لرسول اللّه صلى الله عليه و آله و سلم وانّه نحلها له أو لبنته، فصار لازم ذلك الإقرار انقلاب الدعوى وصيرورة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منكراً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مدّعياً والمدّعي منكراً، لأنّ الإمام يدّعي انتقال الملك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تسليم ما رووه من أنّه صلى الله عليه و آله و سلم لا يورِّث، وعندئذٍ كان لمن تقمّص الخلافة طلب البيّنة من الإمام على الانتقال والتمليك في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عنه بوجوه أوضحها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يلزم الانقلاب لو كان الطرف الآخر منكراً لما يدّعيه ذو اليد، لا جاهلاً أو متردّداً،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شاكّين ومترددين في النحل و التمليك لا مدّعين للعدم، وفي مثل ذلك يكون الاستيلاء حجّة ممضاة عند العقلاء والشرع، وليست قضيته مثل ما إذا كان الآخر منكراً للانتقال وذو اليد مدّعياً له</w:t>
      </w:r>
      <w:r>
        <w:rPr>
          <w:rFonts w:eastAsia="Amiri" w:cs="Amiri" w:ascii="Amiri" w:hAnsi="Amiri"/>
          <w:color w:val="111111"/>
          <w:sz w:val="28"/>
          <w:szCs w:val="28"/>
          <w:rtl w:val="true"/>
          <w:lang w:bidi="ar-SA"/>
        </w:rPr>
        <w:t>.</w:t>
      </w:r>
    </w:p>
    <w:p>
      <w:pPr>
        <w:pStyle w:val="Heading6"/>
        <w:numPr>
          <w:ilvl w:val="5"/>
          <w:numId w:val="1"/>
        </w:numPr>
        <w:rPr/>
      </w:pPr>
      <w:bookmarkStart w:id="653" w:name="__RefHeading___Toc7507342_3381743652"/>
      <w:bookmarkStart w:id="654" w:name="_Toc241"/>
      <w:bookmarkEnd w:id="653"/>
      <w:r>
        <w:rPr>
          <w:rtl w:val="true"/>
        </w:rPr>
        <w:t>المقام العاشر مستثنيات قاعدة اليد</w:t>
      </w:r>
      <w:bookmarkEnd w:id="65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سابقاً انّ اعتماد العقلاء على الاستيلاء لأجل انّ الطابَع الغالب عليه هو الملكية، فعلى ذلك فلو كان هناك مورد أو موارد كان الطابَع الغالب عليه هو عدم الملكية، فلا يحتج بهذا الاستيلاء سواء كان استيلاؤه عليه بلا سبب مشروع أو عن سبب مشروع، فالأوّل كيد السارق و الغاصب والمتهم في أمواله، فانّ الغالب على أموالهم هو عدم الملكية، فلا يعد ما تحت أيديهم عند الشكّ ملكاً لهم</w:t>
      </w:r>
      <w:r>
        <w:rPr>
          <w:rFonts w:eastAsia="Amiri" w:cs="Amiri" w:ascii="Amiri" w:hAnsi="Amiri"/>
          <w:color w:val="111111"/>
          <w:sz w:val="28"/>
          <w:szCs w:val="28"/>
          <w:rtl w:val="true"/>
          <w:lang w:bidi="ar-SA"/>
        </w:rPr>
        <w:t xml:space="preserve">. </w:t>
      </w:r>
      <w:bookmarkStart w:id="655" w:name="pg14367_157314"/>
    </w:p>
    <w:p>
      <w:pPr>
        <w:pStyle w:val="BookText"/>
        <w:rPr/>
      </w:pPr>
      <w:bookmarkEnd w:id="655"/>
      <w:r>
        <w:rPr>
          <w:rFonts w:ascii="Amiri" w:hAnsi="Amiri" w:eastAsia="Amiri" w:cs="Amiri"/>
          <w:color w:val="111111"/>
          <w:sz w:val="28"/>
          <w:sz w:val="28"/>
          <w:szCs w:val="28"/>
          <w:rtl w:val="true"/>
          <w:lang w:bidi="ar-SA"/>
        </w:rPr>
        <w:t>والثاني كيد الأُمناء كالسمسار والدلاّل الذي يغلب على الأموال الواقعة تحت يده، كونها لغيره، فلو مات لا تقسم أمواله بين الورثة، ونظيره المال الواقع تحت يد الودعيّ أي‌من يودع الناس أموالهم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حكم جباة الزكاة والخمس ووكلائهم حيث إنّ الغالب على أموالهم كونها للغير، ولذلك لا تُقسّم أموال المرجع الديني بموته بين الورثة، إلى غير ذلك من الموارد التي لا تعدّ اليد أمارة على الملكية</w:t>
      </w:r>
      <w:r>
        <w:rPr>
          <w:rFonts w:eastAsia="Amiri" w:cs="Amiri" w:ascii="Amiri" w:hAnsi="Amiri"/>
          <w:color w:val="111111"/>
          <w:sz w:val="28"/>
          <w:szCs w:val="28"/>
          <w:rtl w:val="true"/>
          <w:lang w:bidi="ar-SA"/>
        </w:rPr>
        <w:t>.</w:t>
      </w:r>
    </w:p>
    <w:p>
      <w:pPr>
        <w:pStyle w:val="Heading6"/>
        <w:numPr>
          <w:ilvl w:val="5"/>
          <w:numId w:val="1"/>
        </w:numPr>
        <w:rPr/>
      </w:pPr>
      <w:bookmarkStart w:id="656" w:name="__RefHeading___Toc7507344_3381743652"/>
      <w:bookmarkStart w:id="657" w:name="_Toc242"/>
      <w:bookmarkEnd w:id="656"/>
      <w:r>
        <w:rPr>
          <w:rtl w:val="true"/>
        </w:rPr>
        <w:t>خاتمة</w:t>
      </w:r>
      <w:bookmarkEnd w:id="657"/>
    </w:p>
    <w:p>
      <w:pPr>
        <w:pStyle w:val="BookText"/>
        <w:rPr/>
      </w:pPr>
      <w:r>
        <w:rPr>
          <w:rFonts w:ascii="Amiri" w:hAnsi="Amiri" w:eastAsia="Amiri" w:cs="Amiri"/>
          <w:color w:val="111111"/>
          <w:sz w:val="28"/>
          <w:sz w:val="28"/>
          <w:szCs w:val="28"/>
          <w:rtl w:val="true"/>
          <w:lang w:bidi="ar-SA"/>
        </w:rPr>
        <w:t>إنّ النسبة بين اعتبار اليد والاستصحاب هو نسبة الأمارة إلى الأصل، و قد مرّ دلالة الروايات على كونها أمارة وعرفت أنّ الأمارة واردة على الأصل، لأنّ لسان الأمارة هو طرد الشك ومكافحته ولسان الأصل هو الحكم مع حفظ الشكّ، فالاستصحاب حكم في ظرف الشكّ بخلاف قاعدة اليد فإنّها أمارة للملكية ورافعة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اعتبار الاستصحاب في مقابل اليد يوجب لغوية القاعدة واختلال النظام المعيشي بين الناس، لأنّ أكثر ما يباع في السوق هو ما كان ملكاً للغير، فلو كان الحاكم عند الشكّ هو الاستصحاب لاختل نظام الحياة الاقتصادية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قاعدة اليد وله الحمد </w:t>
      </w:r>
      <w:bookmarkStart w:id="658" w:name="pg14367_157315"/>
    </w:p>
    <w:p>
      <w:pPr>
        <w:pStyle w:val="BookText"/>
        <w:rPr/>
      </w:pPr>
      <w:bookmarkEnd w:id="658"/>
      <w:r>
        <w:rPr>
          <w:rFonts w:ascii="IRNazanin" w:hAnsi="IRNazanin" w:eastAsia="IRNazanin"/>
          <w:color w:val="111111"/>
          <w:sz w:val="28"/>
          <w:sz w:val="28"/>
          <w:szCs w:val="28"/>
          <w:rtl w:val="true"/>
          <w:lang w:bidi="fa-IR"/>
        </w:rPr>
        <w:t>القواعد الأربع</w:t>
      </w:r>
    </w:p>
    <w:p>
      <w:pPr>
        <w:pStyle w:val="Heading5"/>
        <w:numPr>
          <w:ilvl w:val="4"/>
          <w:numId w:val="1"/>
        </w:numPr>
        <w:rPr/>
      </w:pPr>
      <w:bookmarkStart w:id="659" w:name="__RefHeading___Toc7507346_3381743652"/>
      <w:bookmarkStart w:id="660" w:name="_Toc243"/>
      <w:bookmarkEnd w:id="659"/>
      <w:r>
        <w:rPr/>
        <w:t>2</w:t>
      </w:r>
      <w:r>
        <w:rPr>
          <w:rtl w:val="true"/>
        </w:rPr>
        <w:t xml:space="preserve"> </w:t>
      </w:r>
      <w:r>
        <w:rPr>
          <w:rtl w:val="true"/>
        </w:rPr>
        <w:t>قاعدة التجاوز والفراغ</w:t>
      </w:r>
      <w:bookmarkEnd w:id="660"/>
    </w:p>
    <w:p>
      <w:pPr>
        <w:pStyle w:val="Heading6"/>
        <w:numPr>
          <w:ilvl w:val="5"/>
          <w:numId w:val="1"/>
        </w:numPr>
        <w:rPr/>
      </w:pPr>
      <w:bookmarkStart w:id="661" w:name="__RefHeading___Toc7507348_3381743652"/>
      <w:bookmarkStart w:id="662" w:name="_Toc244"/>
      <w:bookmarkEnd w:id="661"/>
      <w:r>
        <w:rPr>
          <w:rtl w:val="true"/>
        </w:rPr>
        <w:t>اشارة</w:t>
      </w:r>
      <w:bookmarkEnd w:id="662"/>
    </w:p>
    <w:p>
      <w:pPr>
        <w:pStyle w:val="BookText"/>
        <w:rPr/>
      </w:pPr>
      <w:r>
        <w:rPr>
          <w:rFonts w:ascii="Amiri" w:hAnsi="Amiri" w:eastAsia="Amiri" w:cs="Amiri"/>
          <w:color w:val="111111"/>
          <w:sz w:val="28"/>
          <w:sz w:val="28"/>
          <w:szCs w:val="28"/>
          <w:rtl w:val="true"/>
          <w:lang w:bidi="ar-SA"/>
        </w:rPr>
        <w:t>من القواعد الفقهية المهمة قاعدة التجاوز والفراغ ويستخدمها الفقيه في غير واحد من أبواب الفقه، ثمّ إنّ إيضاح مفاد القاعدة وبيان دلائلها وكيفية نسبتها إلى الاستصحاب رهن بيان أُمور</w:t>
      </w:r>
      <w:r>
        <w:rPr>
          <w:rFonts w:eastAsia="Amiri" w:cs="Amiri" w:ascii="Amiri" w:hAnsi="Amiri"/>
          <w:color w:val="111111"/>
          <w:sz w:val="28"/>
          <w:szCs w:val="28"/>
          <w:rtl w:val="true"/>
          <w:lang w:bidi="ar-SA"/>
        </w:rPr>
        <w:t>:</w:t>
      </w:r>
    </w:p>
    <w:p>
      <w:pPr>
        <w:pStyle w:val="Heading6"/>
        <w:numPr>
          <w:ilvl w:val="5"/>
          <w:numId w:val="1"/>
        </w:numPr>
        <w:rPr/>
      </w:pPr>
      <w:bookmarkStart w:id="663" w:name="__RefHeading___Toc7507350_3381743652"/>
      <w:bookmarkStart w:id="664" w:name="_Toc245"/>
      <w:bookmarkEnd w:id="663"/>
      <w:r>
        <w:rPr>
          <w:rtl w:val="true"/>
        </w:rPr>
        <w:t>الأمر الأوّل الفرق بين قاعدتي التجاوز وأصالة الصحّة</w:t>
      </w:r>
      <w:bookmarkEnd w:id="66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تشترك قاعدة التجاوز مع قاعدة أصالة الصحّة في المؤدّى وهو إثبات الصحة للعمل، لكن لو كان الموضوع للصحّة هو فعل نفس المجري يُسمّى قاعدة التجاوز كما إذا شك في صحّة صلاته بعد فراغه، وإن كان الموضوع لها فعل الغير يسمّى بأصالة الصحّة كما إذا شُكَّ في صحّة بيع صدر من الغير وإلى ذلك يشير فخر المحقّقين في إيضاحه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فعل العاقل المكلّف الذي يقصد براءة ذمَّته بفعل صحيح وهو يعلم الكمية والكيفية، الصحّة</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وإنّما عُدّتا قاعدتين لأجل ورود الروايات بكلا العنوانين الظاهرين في التعدّد</w:t>
      </w:r>
      <w:r>
        <w:rPr>
          <w:rFonts w:eastAsia="Amiri" w:cs="Amiri" w:ascii="Amiri" w:hAnsi="Amiri"/>
          <w:color w:val="111111"/>
          <w:sz w:val="28"/>
          <w:szCs w:val="28"/>
          <w:rtl w:val="true"/>
          <w:lang w:bidi="ar-SA"/>
        </w:rPr>
        <w:t xml:space="preserve">. </w:t>
      </w:r>
      <w:bookmarkStart w:id="665" w:name="pg14367_157316"/>
    </w:p>
    <w:p>
      <w:pPr>
        <w:pStyle w:val="Heading6"/>
        <w:numPr>
          <w:ilvl w:val="5"/>
          <w:numId w:val="1"/>
        </w:numPr>
        <w:rPr/>
      </w:pPr>
      <w:bookmarkStart w:id="666" w:name="__RefHeading___Toc7507352_3381743652"/>
      <w:bookmarkStart w:id="667" w:name="_Toc246"/>
      <w:bookmarkEnd w:id="665"/>
      <w:bookmarkEnd w:id="666"/>
      <w:r>
        <w:rPr>
          <w:rtl w:val="true"/>
        </w:rPr>
        <w:t>الأمر الثاني قاعدة التجاوز قاعدة فقهية</w:t>
      </w:r>
      <w:bookmarkEnd w:id="667"/>
    </w:p>
    <w:p>
      <w:pPr>
        <w:pStyle w:val="BookText"/>
        <w:rPr/>
      </w:pPr>
      <w:r>
        <w:rPr>
          <w:rFonts w:ascii="Amiri" w:hAnsi="Amiri" w:eastAsia="Amiri" w:cs="Amiri"/>
          <w:color w:val="111111"/>
          <w:sz w:val="28"/>
          <w:sz w:val="28"/>
          <w:szCs w:val="28"/>
          <w:rtl w:val="true"/>
          <w:lang w:bidi="ar-SA"/>
        </w:rPr>
        <w:t>قد عرفت أنّ القاعدة الفقهية تفترق عن المسألة الأُصولية في جانب المحمول، فالمحمول في الأُولى حكم شرعي تكليفي أو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فالمحمول في المثال الأوّل حكم تكليفي وفي المثال الثاني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المحمول في المسألة الأُصولية، فهو إمّا حكم عقلي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الملازمة بين وجوب المقدّمة وذيها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أمر لغوي أو عرفي نظير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ظاهر في الوجوب، والنهي ظاهر في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يدلّ على الوجوب والنهي على الحرمة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بالمحمول تتميز القاعدة الفقهية عن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فالمحمول في قاعدة التجاوز هو وجوب المضي الملازم للصحة، فالمحمول باعتبار حكم تكليفي وباعتبار آخر حكم 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المعيارين الآخرين في تمييز القاعدة الفقهية عن المسألة الأُصولية، فقاعدة التجاوز قاعدة فقهية، والمعياران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القاعدة الفقهية يستخدمها الفقيه والمقلِّد بعد الإحاطة بحدودها عن طريق التعليم، بخلاف المسألة الأُصولية فإنّ إعمالها يختص بالمجتهد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هذا المعيار فقاعدة التجاوز قاعدة فقهية، لأنّ المقلِّد أيضاً يستعملها </w:t>
      </w:r>
      <w:bookmarkStart w:id="668" w:name="pg14367_157317"/>
    </w:p>
    <w:p>
      <w:pPr>
        <w:pStyle w:val="BookText"/>
        <w:rPr/>
      </w:pPr>
      <w:bookmarkEnd w:id="668"/>
      <w:r>
        <w:rPr>
          <w:rFonts w:ascii="Amiri" w:hAnsi="Amiri" w:eastAsia="Amiri" w:cs="Amiri"/>
          <w:color w:val="111111"/>
          <w:sz w:val="28"/>
          <w:sz w:val="28"/>
          <w:szCs w:val="28"/>
          <w:rtl w:val="true"/>
          <w:lang w:bidi="ar-SA"/>
        </w:rPr>
        <w:t>في شكوكه في الصلاة والطواف والطهارة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القاعدة الفقهية لا تقع في طريق الاستنباط بل يطبق على موردها، كتطبيق الإنسان على زيد في التصوّرات، أو انطباق كلّ نار حارّة على مواردها التصديقية، بخلاف المسألة الأُصولية إذ يستكشف منها آفاق جديدة لم تكن معلومة من ذي قبل لا إجمالاً ولا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بالقول بالملازمة بين المقدّمة وذيها فيستنبط منها وجوب الوضوء أو الغسل أو غير ذلك الذي لم يكن كل واحد معلوماً من ذي قبل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يجب القول بأنّ قاعدة التجاوز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لا يستنبط منها عند الإعمال شيء جديد إلّاتطبيق الأمر المجمل على الأمر المفصّل</w:t>
      </w:r>
      <w:r>
        <w:rPr>
          <w:rFonts w:eastAsia="Amiri" w:cs="Amiri" w:ascii="Amiri" w:hAnsi="Amiri"/>
          <w:color w:val="111111"/>
          <w:sz w:val="28"/>
          <w:szCs w:val="28"/>
          <w:rtl w:val="true"/>
          <w:lang w:bidi="ar-SA"/>
        </w:rPr>
        <w:t>.</w:t>
      </w:r>
    </w:p>
    <w:p>
      <w:pPr>
        <w:pStyle w:val="Heading6"/>
        <w:numPr>
          <w:ilvl w:val="5"/>
          <w:numId w:val="1"/>
        </w:numPr>
        <w:rPr/>
      </w:pPr>
      <w:bookmarkStart w:id="669" w:name="__RefHeading___Toc7507354_3381743652"/>
      <w:bookmarkStart w:id="670" w:name="_Toc247"/>
      <w:bookmarkEnd w:id="669"/>
      <w:r>
        <w:rPr>
          <w:rtl w:val="true"/>
        </w:rPr>
        <w:t>الأمر الثالث مدرك القاعدة ومصدرها</w:t>
      </w:r>
      <w:bookmarkEnd w:id="670"/>
    </w:p>
    <w:p>
      <w:pPr>
        <w:pStyle w:val="BookText"/>
        <w:rPr/>
      </w:pPr>
      <w:r>
        <w:rPr>
          <w:rFonts w:ascii="Amiri" w:hAnsi="Amiri" w:eastAsia="Amiri" w:cs="Amiri"/>
          <w:color w:val="111111"/>
          <w:sz w:val="28"/>
          <w:sz w:val="28"/>
          <w:szCs w:val="28"/>
          <w:rtl w:val="true"/>
          <w:lang w:bidi="ar-SA"/>
        </w:rPr>
        <w:t>قد ورد في المقام روايات في الأبواب التالية تدلّ على اعتبار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الوضوء 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باب الطواف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 نحن نذكر في ذلك أكثر ما وقفنا عليه وفقاً لهذه الأبواب</w:t>
      </w:r>
      <w:r>
        <w:rPr>
          <w:rFonts w:eastAsia="Amiri" w:cs="Amiri" w:ascii="Amiri" w:hAnsi="Amiri"/>
          <w:color w:val="111111"/>
          <w:sz w:val="28"/>
          <w:szCs w:val="28"/>
          <w:rtl w:val="true"/>
          <w:lang w:bidi="ar-SA"/>
        </w:rPr>
        <w:t xml:space="preserve">. </w:t>
      </w:r>
      <w:bookmarkStart w:id="671" w:name="pg14367_157318"/>
    </w:p>
    <w:p>
      <w:pPr>
        <w:pStyle w:val="Heading6"/>
        <w:numPr>
          <w:ilvl w:val="5"/>
          <w:numId w:val="1"/>
        </w:numPr>
        <w:rPr/>
      </w:pPr>
      <w:bookmarkStart w:id="672" w:name="__RefHeading___Toc7507356_3381743652"/>
      <w:bookmarkStart w:id="673" w:name="_Toc248"/>
      <w:bookmarkEnd w:id="671"/>
      <w:bookmarkEnd w:id="672"/>
      <w:r>
        <w:rPr>
          <w:rtl w:val="true"/>
        </w:rPr>
        <w:t>أ</w:t>
      </w:r>
      <w:r>
        <w:rPr>
          <w:rtl w:val="true"/>
        </w:rPr>
        <w:t xml:space="preserve">: </w:t>
      </w:r>
      <w:r>
        <w:rPr>
          <w:rtl w:val="true"/>
        </w:rPr>
        <w:t>ما ورد في باب الوضوء والغسل</w:t>
      </w:r>
      <w:bookmarkEnd w:id="6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ابن أبي يعفور،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 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وذيل الحديث بصدد إعطاء الضابطة الكلّية من دون فرق بين باب الوضوء والصلاة، والمورد لا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الوضوء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شيء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اتّفاقهم على عدم جريان القاعدة في أثناء الوضوء، فلا يكفي التجاوز عن شيء من الوضوء، والدخول في شيء آخر منه في جريان القاعدة بل لابدّ من التجاوز من الوضوء و الدخول في غير الوضوء فلا محيص عن إرجاع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الوضوء، لأنّ التجاوز عن شيء من أجزاء الوضوء لا يكفي في جريان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شرح الحديث في موضعه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ومورد الرواية وإن كان هو الوضوء لكن التعليل بالأمر الارتكازي يجعله قاعدة كلّية تستخدم في عامّة الأبواب</w:t>
      </w:r>
      <w:r>
        <w:rPr>
          <w:rFonts w:eastAsia="Amiri" w:cs="Amiri" w:ascii="Amiri" w:hAnsi="Amiri"/>
          <w:color w:val="111111"/>
          <w:sz w:val="28"/>
          <w:szCs w:val="28"/>
          <w:rtl w:val="true"/>
          <w:lang w:bidi="ar-SA"/>
        </w:rPr>
        <w:t xml:space="preserve">. </w:t>
      </w:r>
      <w:bookmarkStart w:id="674" w:name="pg14367_157319"/>
    </w:p>
    <w:p>
      <w:pPr>
        <w:pStyle w:val="BookText"/>
        <w:rPr/>
      </w:pPr>
      <w:bookmarkEnd w:id="6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بعض ذراعه أو بعض جسده من غسل الجنابة؟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دخله الشكّ وقد دخل في صلاته فليمض في صلاته ولا شيء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75" w:name="__RefHeading___Toc7507358_3381743652"/>
      <w:bookmarkStart w:id="676" w:name="_Toc249"/>
      <w:bookmarkEnd w:id="675"/>
      <w:r>
        <w:rPr>
          <w:rtl w:val="true"/>
        </w:rPr>
        <w:t>ب</w:t>
      </w:r>
      <w:r>
        <w:rPr>
          <w:rtl w:val="true"/>
        </w:rPr>
        <w:t xml:space="preserve">: </w:t>
      </w:r>
      <w:r>
        <w:rPr>
          <w:rtl w:val="true"/>
        </w:rPr>
        <w:t>ما ورد في باب الصلاة</w:t>
      </w:r>
      <w:bookmarkEnd w:id="676"/>
    </w:p>
    <w:p>
      <w:pPr>
        <w:pStyle w:val="BookText"/>
        <w:rPr/>
      </w:pPr>
      <w:r>
        <w:rPr>
          <w:rFonts w:ascii="Amiri" w:hAnsi="Amiri" w:eastAsia="Amiri" w:cs="Amiri"/>
          <w:color w:val="111111"/>
          <w:sz w:val="28"/>
          <w:sz w:val="28"/>
          <w:szCs w:val="28"/>
          <w:rtl w:val="true"/>
          <w:lang w:bidi="ar-SA"/>
        </w:rPr>
        <w:t>ما ذكرنا كان هو الوارد في بابي الوضوء والغسل، وأمّا الوارد في باب الصلاة فهو على طوائف ثلاث</w:t>
      </w:r>
      <w:r>
        <w:rPr>
          <w:rFonts w:eastAsia="Amiri" w:cs="Amiri" w:ascii="Amiri" w:hAnsi="Amiri"/>
          <w:color w:val="111111"/>
          <w:sz w:val="28"/>
          <w:szCs w:val="28"/>
          <w:rtl w:val="true"/>
          <w:lang w:bidi="ar-SA"/>
        </w:rPr>
        <w:t>:</w:t>
      </w:r>
    </w:p>
    <w:p>
      <w:pPr>
        <w:pStyle w:val="Heading6"/>
        <w:numPr>
          <w:ilvl w:val="5"/>
          <w:numId w:val="1"/>
        </w:numPr>
        <w:rPr/>
      </w:pPr>
      <w:bookmarkStart w:id="677" w:name="__RefHeading___Toc7507360_3381743652"/>
      <w:bookmarkStart w:id="678" w:name="_Toc250"/>
      <w:bookmarkEnd w:id="677"/>
      <w:r>
        <w:rPr>
          <w:rtl w:val="true"/>
        </w:rPr>
        <w:t>الطائفة الأُولى</w:t>
      </w:r>
      <w:r>
        <w:rPr>
          <w:rtl w:val="true"/>
        </w:rPr>
        <w:t xml:space="preserve">: </w:t>
      </w:r>
      <w:r>
        <w:rPr>
          <w:rtl w:val="true"/>
        </w:rPr>
        <w:t>ما ورد في المضي بعد خروج الوقت أو دخول الحائل</w:t>
      </w:r>
      <w:bookmarkEnd w:id="67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زرارة والفضيل،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استيقنت أو شككت في وقت فريضة أنّك لم تصلّها، أو في وقت فوتها أنّك لم تصلّها، صلّيتها، وإن شككت بعد ما خرج وقت الفوت وقد دخل حائل فلا إعادة عليك من شكّ حتى تستيقن، فإن استيقنت فعليك أن تصلّيها في أيّ حالة 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وهذا يعرب عن أنّ عدم الاعتناء بالشكّ بعد الوقت من مصاديق القاعدة، ويشعر بذلك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ابن إدريس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من كتاب حريز بن عبد اللّه، عن زرارة،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 يقين بعد حائل، قضاه ومضى على اليقين ويقضي الحائل والشكّ جميعاً، فإن شكّ في الظهر فيما بينه وبين أن يصلّي العصر قضاها، وإن دخله الشكّ بعد أن يصلّي العصر فقد مضت،</w:t>
      </w:r>
      <w:bookmarkStart w:id="679" w:name="pg14367_157320"/>
    </w:p>
    <w:p>
      <w:pPr>
        <w:pStyle w:val="BookText"/>
        <w:rPr/>
      </w:pPr>
      <w:bookmarkEnd w:id="679"/>
      <w:r>
        <w:rPr>
          <w:rFonts w:ascii="Amiri" w:hAnsi="Amiri" w:eastAsia="Amiri" w:cs="Amiri"/>
          <w:color w:val="111111"/>
          <w:sz w:val="28"/>
          <w:sz w:val="28"/>
          <w:szCs w:val="28"/>
          <w:rtl w:val="true"/>
          <w:lang w:bidi="ar-SA"/>
        </w:rPr>
        <w:t>إلّا أن يستيقن، لأنّ العصر حائل فيما بينه و بين الظهر، فلا يدع الحائل لما كان من الشكّ إلّابيقين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والمراد من الحائل في الرواية هو الصلاة المترتبة على الأُخرى كما هو ظاهر، والرواية من أدلّة القول بأنّه لو شكّ في الظهر بعد الإتيان بالعصر لا يجب عليه إتيان الظهر وإن كان الوقت باقياً، لأنّ صلاة العصر صارت حائلاً بينه و بين الظهر فلا يدع الحائل لما كان من الشكّ إلّابيقين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صلاتك وقد أخذت في مستأنف، فليس بشيء، إمض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0" w:name="__RefHeading___Toc7507362_3381743652"/>
      <w:bookmarkStart w:id="681" w:name="_Toc251"/>
      <w:bookmarkEnd w:id="680"/>
      <w:r>
        <w:rPr>
          <w:rtl w:val="true"/>
        </w:rPr>
        <w:t>الطائفة الثانية</w:t>
      </w:r>
      <w:r>
        <w:rPr>
          <w:rtl w:val="true"/>
        </w:rPr>
        <w:t xml:space="preserve">: </w:t>
      </w:r>
      <w:r>
        <w:rPr>
          <w:rtl w:val="true"/>
        </w:rPr>
        <w:t>ما ورد في المضي بعد الفراغ من العمل</w:t>
      </w:r>
      <w:bookmarkEnd w:id="681"/>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مضى من صلاتك و طهورك و ذكرته تذكّراً فامضه، ولا إعادة عليك فيه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والحديث وإن كان يعم الشكّ في الأثناء أيضاً كما سيوافيك في الرقم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ولكنّه في الشكّ في الفراغ عن الصلاة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محمد بن مسلم، عن أبي عبد اللّه عليه السلام في الرجل يشكّ بعد ما</w:t>
      </w:r>
      <w:bookmarkStart w:id="682" w:name="pg14367_157321"/>
    </w:p>
    <w:p>
      <w:pPr>
        <w:pStyle w:val="BookText"/>
        <w:rPr/>
      </w:pPr>
      <w:bookmarkEnd w:id="682"/>
      <w:r>
        <w:rPr>
          <w:rFonts w:ascii="Amiri" w:hAnsi="Amiri" w:eastAsia="Amiri" w:cs="Amiri"/>
          <w:color w:val="111111"/>
          <w:sz w:val="28"/>
          <w:sz w:val="28"/>
          <w:szCs w:val="28"/>
          <w:rtl w:val="true"/>
          <w:lang w:bidi="ar-SA"/>
        </w:rPr>
        <w:t>ينصرف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بعد ما تفرغ من صلاتك فامض ولا تعد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683" w:name="__RefHeading___Toc7507364_3381743652"/>
      <w:bookmarkStart w:id="684" w:name="_Toc252"/>
      <w:bookmarkEnd w:id="683"/>
      <w:r>
        <w:rPr>
          <w:rtl w:val="true"/>
        </w:rPr>
        <w:t>الطائفة الثالثة</w:t>
      </w:r>
      <w:r>
        <w:rPr>
          <w:rtl w:val="true"/>
        </w:rPr>
        <w:t xml:space="preserve">: </w:t>
      </w:r>
      <w:r>
        <w:rPr>
          <w:rtl w:val="true"/>
        </w:rPr>
        <w:t>ما ورد في المضي في أثناء العمل</w:t>
      </w:r>
      <w:bookmarkEnd w:id="684"/>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زرارة بسند 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الإقامة؟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الركوع وقد سجد؟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والرواية وإن وردت في مورد الصلاة لكن المستفاد من مخاطبة الإمام لزرارة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كونها ضابطة كلّية في مجالي العبادات والمعاملات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 وإن شكّ في السجود بعد ما قام فليمض، كلّ شيء</w:t>
      </w:r>
    </w:p>
    <w:p>
      <w:pPr>
        <w:pStyle w:val="BookText"/>
        <w:rPr/>
      </w:pPr>
      <w:r>
        <w:rPr>
          <w:rFonts w:ascii="Amiri" w:hAnsi="Amiri" w:eastAsia="Amiri" w:cs="Amiri"/>
          <w:color w:val="111111"/>
          <w:sz w:val="28"/>
          <w:sz w:val="28"/>
          <w:szCs w:val="28"/>
          <w:rtl w:val="true"/>
          <w:lang w:bidi="ar-SA"/>
        </w:rPr>
        <w:t>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والمتبادر من الذيل الضابطة الكلّية من غير اختصاص بباب الصلاة فضلاً عن اختصاصها بالركوع والسجود وليس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شكّ فيه ممّا قد 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بأقل من ظهور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ضرب القاعدة الكلية وإن كان مصدَّراً بالسؤال عن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محمد بن مسلم،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 الرجل بعد ما صلّى فلم يدر أثلاثاً صلّى أم أربعاً وكان يقينه حين انصرف أنّه كان قد أتمّ لم يعد الصلاة، وكان حين انصرف أقرب إلى الحقّ منه بعد ذلك</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وأنا ساجد فلا أدري ركعت أم لا؟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امض</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أستتمّ قائماً فلا أدري ركعت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 فامض في صلاتك</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 بن مسلم، 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214"/>
      </w:r>
      <w:bookmarkStart w:id="685" w:name="pg14367_157323"/>
    </w:p>
    <w:p>
      <w:pPr>
        <w:pStyle w:val="BookText"/>
        <w:rPr/>
      </w:pPr>
      <w:bookmarkEnd w:id="68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شيء من صلاته بعد أن خرج منه، مضى في صلاته، إذا شكّ في التكبير بعد ما ركع مضى، و إن شكّ في الركوع بعد ما سجد مضى، و إن شكّ في السجود بعد ما قام أو جلس للتشهّد مضى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شككت في أذانك وقد أقمت الصلاة فامض، وإن شككت في الإقامة بعد ما كبّرت فامض،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شككت في القراءة بعد ما ركعت فامض</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وإن شككت في الركوع بعد ما سجدت فامض، وكلّ شيء تشكّ فيه و قد دخلت في حالة أُخرى فامض، ولا تلتفت إلى الشكّ إلّاأن تستيقن، فانّك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استيقنت أنّك</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تركت 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نسيت الحمد حتّى قرأت السورة، ثمّ ذكرت قبل أن تركع، فاقرأ الحمد وأعد</w:t>
      </w:r>
      <w:r>
        <w:rPr>
          <w:rStyle w:val="FootnoteAnchor"/>
          <w:rtl w:val="true"/>
        </w:rPr>
        <w:footnoteReference w:id="217"/>
      </w:r>
      <w:r>
        <w:rPr>
          <w:rFonts w:ascii="Amiri" w:hAnsi="Amiri" w:eastAsia="Amiri" w:cs="Amiri"/>
          <w:color w:val="111111"/>
          <w:sz w:val="28"/>
          <w:sz w:val="28"/>
          <w:szCs w:val="28"/>
          <w:rtl w:val="true"/>
          <w:lang w:bidi="ar-SA"/>
        </w:rPr>
        <w:t>السورة، وإن ركعت فامض على حالتك</w:t>
      </w:r>
      <w:r>
        <w:rPr>
          <w:rFonts w:eastAsia="Amiri" w:cs="Amiri" w:ascii="Amiri" w:hAnsi="Amiri"/>
          <w:color w:val="111111"/>
          <w:sz w:val="28"/>
          <w:szCs w:val="28"/>
          <w:rtl w:val="true"/>
          <w:lang w:bidi="ar-SA"/>
        </w:rPr>
        <w:t>».</w:t>
      </w:r>
      <w:r>
        <w:rPr>
          <w:rStyle w:val="FootnoteAnchor"/>
          <w:rtl w:val="true"/>
        </w:rPr>
        <w:footnoteReference w:id="218"/>
      </w:r>
    </w:p>
    <w:p>
      <w:pPr>
        <w:pStyle w:val="Heading6"/>
        <w:numPr>
          <w:ilvl w:val="5"/>
          <w:numId w:val="1"/>
        </w:numPr>
        <w:rPr/>
      </w:pPr>
      <w:bookmarkStart w:id="686" w:name="__RefHeading___Toc7507366_3381743652"/>
      <w:bookmarkStart w:id="687" w:name="_Toc253"/>
      <w:bookmarkEnd w:id="686"/>
      <w:r>
        <w:rPr>
          <w:rtl w:val="true"/>
        </w:rPr>
        <w:t>ج</w:t>
      </w:r>
      <w:r>
        <w:rPr>
          <w:rtl w:val="true"/>
        </w:rPr>
        <w:t xml:space="preserve">: </w:t>
      </w:r>
      <w:r>
        <w:rPr>
          <w:rtl w:val="true"/>
        </w:rPr>
        <w:t>ما ورد في باب الطواف</w:t>
      </w:r>
      <w:bookmarkEnd w:id="687"/>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طاف بالبيت فلم يدر أستّة طاف أو سبعة، طواف 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خرج وفاته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طاف </w:t>
      </w:r>
      <w:bookmarkStart w:id="688" w:name="pg14367_157324"/>
    </w:p>
    <w:p>
      <w:pPr>
        <w:pStyle w:val="BookText"/>
        <w:rPr/>
      </w:pPr>
      <w:bookmarkEnd w:id="688"/>
      <w:r>
        <w:rPr>
          <w:rFonts w:ascii="Amiri" w:hAnsi="Amiri" w:eastAsia="Amiri" w:cs="Amiri"/>
          <w:color w:val="111111"/>
          <w:sz w:val="28"/>
          <w:sz w:val="28"/>
          <w:szCs w:val="28"/>
          <w:rtl w:val="true"/>
          <w:lang w:bidi="ar-SA"/>
        </w:rPr>
        <w:t>طواف الفريضة فلم يدر ستّة طاف أم سبعة؟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فليعد طوافه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عليه شيئاً والإعادة أحبّ إليّ وأفضل</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وثبوت الحكم في باب الطواف مضافاً إلى ثبوته في أبواب الوضوء والصلاة يشرف الفقيه على كون قاعدة التجاوز والفراغ، قاعدة مطّردة في أبواب الفقه، كما لا يخفى</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7507368_3381743652"/>
      <w:bookmarkStart w:id="690" w:name="_Toc254"/>
      <w:bookmarkEnd w:id="689"/>
      <w:r>
        <w:rPr>
          <w:rtl w:val="true"/>
        </w:rPr>
        <w:t>الأمر الرابع في وحدة القاعدتين أو تعدّدهما</w:t>
      </w:r>
      <w:bookmarkEnd w:id="690"/>
    </w:p>
    <w:p>
      <w:pPr>
        <w:pStyle w:val="BookText"/>
        <w:rPr/>
      </w:pPr>
      <w:r>
        <w:rPr>
          <w:rFonts w:ascii="Amiri" w:hAnsi="Amiri" w:eastAsia="Amiri" w:cs="Amiri"/>
          <w:color w:val="111111"/>
          <w:sz w:val="28"/>
          <w:sz w:val="28"/>
          <w:szCs w:val="28"/>
          <w:rtl w:val="true"/>
          <w:lang w:bidi="ar-SA"/>
        </w:rPr>
        <w:t xml:space="preserve">اختلفت كلمة الأُصوليين المتأخّرين في وحدة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خيرة الشيخ الأنصاري وهي المختار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تعدّد القاعدتين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القائلين بالتعدّد اختلفوا في ملاكه إلى أقوال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قاعدة التجاوز بالشكّ في وجود الشيء، وقاعدة الفراغ بالشكّ في صحّة الشيء، وهذا هو الظاهر من أكثر القائلين بالتعدّد كالمحقّق النائيني والخوئي على اختلاف يسير بين مختاريهما</w:t>
      </w:r>
      <w:r>
        <w:rPr>
          <w:rFonts w:eastAsia="Amiri" w:cs="Amiri" w:ascii="Amiri" w:hAnsi="Amiri"/>
          <w:color w:val="111111"/>
          <w:sz w:val="28"/>
          <w:szCs w:val="28"/>
          <w:rtl w:val="true"/>
          <w:lang w:bidi="ar-SA"/>
        </w:rPr>
        <w:t>.</w:t>
      </w:r>
      <w:r>
        <w:rPr>
          <w:rStyle w:val="FootnoteAnchor"/>
          <w:rtl w:val="true"/>
        </w:rPr>
        <w:footnoteReference w:id="221"/>
      </w:r>
      <w:bookmarkStart w:id="691" w:name="pg14367_157325"/>
    </w:p>
    <w:p>
      <w:pPr>
        <w:pStyle w:val="BookText"/>
        <w:rPr/>
      </w:pPr>
      <w:bookmarkEnd w:id="691"/>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قاعدة التجاوز بالشكّ في الأثناء، وقاعدة الفراغ بالشكّ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قاعدة التجاوز بالدخول في الغير دون الفراغ فلا يشترط فيه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قاعدة التجاوز بالصلاة وعمومية قاعدة الفراغ لعامة أبواب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دراسة الأقوال</w:t>
      </w:r>
      <w:r>
        <w:rPr>
          <w:rFonts w:eastAsia="Amiri" w:cs="Amiri" w:ascii="Amiri" w:hAnsi="Amiri"/>
          <w:color w:val="111111"/>
          <w:sz w:val="28"/>
          <w:szCs w:val="28"/>
          <w:rtl w:val="true"/>
          <w:lang w:bidi="ar-SA"/>
        </w:rPr>
        <w:t>.</w:t>
      </w:r>
    </w:p>
    <w:p>
      <w:pPr>
        <w:pStyle w:val="Heading6"/>
        <w:numPr>
          <w:ilvl w:val="5"/>
          <w:numId w:val="1"/>
        </w:numPr>
        <w:rPr/>
      </w:pPr>
      <w:bookmarkStart w:id="692" w:name="__RefHeading___Toc7507370_3381743652"/>
      <w:bookmarkStart w:id="693" w:name="_Toc255"/>
      <w:bookmarkEnd w:id="692"/>
      <w:r>
        <w:rPr>
          <w:rtl w:val="true"/>
        </w:rPr>
        <w:t>القول الأوّل</w:t>
      </w:r>
      <w:r>
        <w:rPr>
          <w:rtl w:val="true"/>
        </w:rPr>
        <w:t xml:space="preserve">: </w:t>
      </w:r>
      <w:r>
        <w:rPr>
          <w:rtl w:val="true"/>
        </w:rPr>
        <w:t>وحدة القاعدتين</w:t>
      </w:r>
      <w:bookmarkEnd w:id="693"/>
    </w:p>
    <w:p>
      <w:pPr>
        <w:pStyle w:val="BookText"/>
        <w:rPr/>
      </w:pPr>
      <w:r>
        <w:rPr>
          <w:rFonts w:ascii="Amiri" w:hAnsi="Amiri" w:eastAsia="Amiri" w:cs="Amiri"/>
          <w:color w:val="111111"/>
          <w:sz w:val="28"/>
          <w:sz w:val="28"/>
          <w:szCs w:val="28"/>
          <w:rtl w:val="true"/>
          <w:lang w:bidi="ar-SA"/>
        </w:rPr>
        <w:t>يظهر من الأمعان في الروايات انّ الشارع جعل الحالة النفسيّة للعامل التي هي عبارة عن كونه بصدد إفراغ الذمّة، طريقاً إلى إتيانه بالواجب الجامع للأجزاء والشرائط، وإلى ما ذكرنا يشير فخر المحقّقين، وهو انّ الأصل في فعل العاقل المكلّف الذي يقصد براءة ذمّته بفعل صحيح وهو يعلم الكمية والكيفية،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ذلك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موثّقة بكير بن أعين</w:t>
      </w:r>
      <w:r>
        <w:rPr>
          <w:rStyle w:val="FootnoteAnchor"/>
          <w:rtl w:val="true"/>
        </w:rPr>
        <w:footnoteReference w:id="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حين انصرف أقرب إلى الحقّمنه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رواية محمد بن مسلم</w:t>
      </w:r>
      <w:r>
        <w:rPr>
          <w:rStyle w:val="FootnoteAnchor"/>
          <w:rtl w:val="true"/>
        </w:rPr>
        <w:footnoteReference w:id="223"/>
      </w:r>
      <w:r>
        <w:rPr>
          <w:rFonts w:ascii="Amiri" w:hAnsi="Amiri" w:eastAsia="Amiri" w:cs="Amiri"/>
          <w:color w:val="111111"/>
          <w:sz w:val="28"/>
          <w:sz w:val="28"/>
          <w:szCs w:val="28"/>
          <w:rtl w:val="true"/>
          <w:lang w:bidi="ar-SA"/>
        </w:rPr>
        <w:t>إلى غير ذلك من التعاليل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فالمعيار هو كون المكلّف ذاكراً حين العمل وغير ذاكر عند الشكّ، فيؤخذ بالأوّل دون الثاني من غير فرق بين الشكّ في وجود الشيء أو صحته، أي‌سواء أشكّ في قراءة الحمد بعد الدخول في السورة أم في صحّة بعض </w:t>
      </w:r>
      <w:bookmarkStart w:id="694" w:name="pg14367_157326"/>
    </w:p>
    <w:p>
      <w:pPr>
        <w:pStyle w:val="BookText"/>
        <w:rPr/>
      </w:pPr>
      <w:bookmarkEnd w:id="694"/>
      <w:r>
        <w:rPr>
          <w:rFonts w:ascii="Amiri" w:hAnsi="Amiri" w:eastAsia="Amiri" w:cs="Amiri"/>
          <w:color w:val="111111"/>
          <w:sz w:val="28"/>
          <w:sz w:val="28"/>
          <w:szCs w:val="28"/>
          <w:rtl w:val="true"/>
          <w:lang w:bidi="ar-SA"/>
        </w:rPr>
        <w:t>كلماته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جعل القاعدتين مستقلتين لغواً ثبوتاً وإثباتاً بعد اجتماعهما تحت ملاك واحد، وهو كون المكلّف أذكر بعمله حين العمل من حالة الشكّ، فيكون التجاوز عن الشيء على وجه الإطلاق ملاكاً لعدم الاعتداد بالشكّ لملاك الأذكرية حين العمل</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7507372_3381743652"/>
      <w:bookmarkStart w:id="696" w:name="_Toc256"/>
      <w:bookmarkEnd w:id="695"/>
      <w:r>
        <w:rPr>
          <w:rtl w:val="true"/>
        </w:rPr>
        <w:t>القول الثاني</w:t>
      </w:r>
      <w:r>
        <w:rPr>
          <w:rtl w:val="true"/>
        </w:rPr>
        <w:t xml:space="preserve">: </w:t>
      </w:r>
      <w:r>
        <w:rPr>
          <w:rtl w:val="true"/>
        </w:rPr>
        <w:t>تعدّد القاعدتين</w:t>
      </w:r>
      <w:bookmarkEnd w:id="696"/>
    </w:p>
    <w:p>
      <w:pPr>
        <w:pStyle w:val="BookText"/>
        <w:rPr/>
      </w:pPr>
      <w:r>
        <w:rPr>
          <w:rFonts w:ascii="Amiri" w:hAnsi="Amiri" w:eastAsia="Amiri" w:cs="Amiri"/>
          <w:color w:val="111111"/>
          <w:sz w:val="28"/>
          <w:sz w:val="28"/>
          <w:szCs w:val="28"/>
          <w:rtl w:val="true"/>
          <w:lang w:bidi="ar-SA"/>
        </w:rPr>
        <w:t>ثمّ إنّ القائلين بتعدّد القاعدتين اختلفوا في ملاك التعدّد إلى أقوال أربعة كما عرفت، وإليك دراسة هذه الملاكات الأربعة</w:t>
      </w:r>
      <w:r>
        <w:rPr>
          <w:rFonts w:eastAsia="Amiri" w:cs="Amiri" w:ascii="Amiri" w:hAnsi="Amiri"/>
          <w:color w:val="111111"/>
          <w:sz w:val="28"/>
          <w:szCs w:val="28"/>
          <w:rtl w:val="true"/>
          <w:lang w:bidi="ar-SA"/>
        </w:rPr>
        <w:t>.</w:t>
      </w:r>
    </w:p>
    <w:p>
      <w:pPr>
        <w:pStyle w:val="Heading6"/>
        <w:numPr>
          <w:ilvl w:val="5"/>
          <w:numId w:val="1"/>
        </w:numPr>
        <w:rPr/>
      </w:pPr>
      <w:bookmarkStart w:id="697" w:name="__RefHeading___Toc7507374_3381743652"/>
      <w:bookmarkStart w:id="698" w:name="_Toc257"/>
      <w:bookmarkEnd w:id="697"/>
      <w:r>
        <w:rPr>
          <w:rtl w:val="true"/>
        </w:rPr>
        <w:t>الملاك الأوّل للتعدّد</w:t>
      </w:r>
      <w:r>
        <w:rPr>
          <w:rtl w:val="true"/>
        </w:rPr>
        <w:t>:</w:t>
      </w:r>
      <w:bookmarkEnd w:id="698"/>
    </w:p>
    <w:p>
      <w:pPr>
        <w:pStyle w:val="BookText"/>
        <w:rPr/>
      </w:pPr>
      <w:r>
        <w:rPr>
          <w:rFonts w:ascii="Amiri" w:hAnsi="Amiri" w:eastAsia="Amiri" w:cs="Amiri"/>
          <w:color w:val="111111"/>
          <w:sz w:val="28"/>
          <w:sz w:val="28"/>
          <w:szCs w:val="28"/>
          <w:rtl w:val="true"/>
          <w:lang w:bidi="ar-SA"/>
        </w:rPr>
        <w:t>تخصيص قاعدة التجاوز بالشكّ في الوجود، وتخصيص قاعدة الفراغ، بالشكّ في الصحّة، واستدلّوا على اختلاف الملاكين بهذا النحو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متعلّق الشكّ في قاعدة التجاوز إنّما هو وجود الشيء بمفاد كان التامة، ومتعلّقه في قاعدة الفراغ هو وجوده بمفاد كان الناقصة، ولا جامع بينهما فلا يمكن اندراجهما تحت كبرى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هو الأمر الكلّي العام الشامل لكلا الأمرين، وهو أنّ الشكّ بعد التجاوز عن الشيء بوجه عام لا يعتدُّ به، وأمّا كون الشكّ في إحداهما متعلِّقاً بالوجود وفي الأُخرى بالصحّة فهما من خصوصيات الموارد التي لا تلاحظ في إعطاء الضابطة، والملاك هو طروء الشكّ في الشكّ بعد التجاوز عنه، </w:t>
      </w:r>
    </w:p>
    <w:p>
      <w:pPr>
        <w:pStyle w:val="BookText"/>
        <w:rPr/>
      </w:pPr>
      <w:r>
        <w:rPr>
          <w:rFonts w:ascii="Amiri" w:hAnsi="Amiri" w:eastAsia="Amiri" w:cs="Amiri"/>
          <w:color w:val="111111"/>
          <w:sz w:val="28"/>
          <w:sz w:val="28"/>
          <w:szCs w:val="28"/>
          <w:rtl w:val="true"/>
          <w:lang w:bidi="ar-SA"/>
        </w:rPr>
        <w:t>وأمّا ما هو متعلّق الشكّ، فهل هو الوجود أو الصحّة؟ فغير ملحوظة في ضرب القاعدة كما هو الحال في عامة الضوابط، فلو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ممكن فهو زوج تركيبي له ما هية ووجود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لا تهدف إلّاإلى كون الموضوع هو الظاهرة الممكنة وأمّا الخصوصيات من كونه مادياً أو مجرداً فغير ملحوظة في ضرب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الجواب الحقّ عن أصل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أجاب الشيخ الأنصاري بوجه آخر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الشكّ في صحّة الشيء المأتيّ به، حكمه حكم الشكّ في الإتيان بما هوهو، لأنّ مرجعه إلى الشكّ في وجود الشيء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فقد أنكر الشيخ الأنصاري قاعدة الفراغ بالمرّة وأرجعها إلى قاعدة التجاوز، وأنّ الشكّ في صحّة العمل راجع إلى الشكّ في وجود العمل الصحيح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المحقّق النائيني بأنّه ربّما تمسُّ الحاجة لإثبات الصحة بمفاد كان الناقصة، كما في مورد الوضعيّات إذا شكّ في صحّة العقد في باب الأنكحة والبيوع فانّ المفيد هو إثبات صحّة العقد الموجود، لا إثبات وجود العقد الصحيح على الوجه المطلق</w:t>
      </w:r>
      <w:r>
        <w:rPr>
          <w:rFonts w:eastAsia="Amiri" w:cs="Amiri" w:ascii="Amiri" w:hAnsi="Amiri"/>
          <w:color w:val="111111"/>
          <w:sz w:val="28"/>
          <w:szCs w:val="28"/>
          <w:rtl w:val="true"/>
          <w:lang w:bidi="ar-SA"/>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والحقّفي الجواب ما قررناه من أنّ المجعول هو الأمر الكلّي، والخصوصيات معلومة من خارج وغير دخيلة في الضابطة، وأمّا ما أجاب به الشيخ فيرد عليه مضافاً إلى ما ذكره المحقّق النائيني، انّ نفس الإرجاع أمر على خلاف الارتكاز، فانّ للإنسان نوعين من الشكّ تارة يتعلّق بنفس الوجود وأُخرى بوجوده صحيحاً، فلا ملزم لإدغام أحدهما في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متعلّق الشكّ في قاعدة التجاوز إنّما هو أجزاء المركب وفي قاعدة</w:t>
      </w:r>
    </w:p>
    <w:p>
      <w:pPr>
        <w:pStyle w:val="BookText"/>
        <w:rPr/>
      </w:pPr>
      <w:r>
        <w:rPr>
          <w:rFonts w:ascii="Amiri" w:hAnsi="Amiri" w:eastAsia="Amiri" w:cs="Amiri"/>
          <w:color w:val="111111"/>
          <w:sz w:val="28"/>
          <w:sz w:val="28"/>
          <w:szCs w:val="28"/>
          <w:rtl w:val="true"/>
          <w:lang w:bidi="ar-SA"/>
        </w:rPr>
        <w:t xml:space="preserve">الفراغ، هو نفس المركب بما له من الوحدة الاعتبارية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لا يمكن أن يعمّ الكلّ والجزء في مرتبة واحدة بلحاظ واحد، فانّ لحاظ الجزء شيئاً بحيال ذاته، إنّما يكون في الرتبة السابقة على تأليف المركب، لأنّه في مرتبة التأليف لا يكون الجزء شيئاً بحيال ذاته في مقابل الكلّ، بل شيئية الجزء تندك في شيئية الكل، ويكون لحاظه تبعياً فلا يمكن أن يراد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ما يعم الجزء والكلّ، بل إمّا أن يراد الجزء فتختص الرواية بقاعدة التجاوز، وإمّا أن يراد الكلّفتختص بقاعدة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إرادة الجزء والكلّ بلفظ واحد مستلزم لاجتماع اللحاظين المختلفين فيه</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قاعدة الفراغ بالشكّ في وجود الشيء بعد الفراغ عن العمل مع أنّه على مذهب المحقّق الخوئي يعم الشكّ في وجود الشيء بعد الدخول في غيره كالشكّ في قراءة الحمد بعد الدخول في الركوع، فالجزء بوصف الجزئيّة ملحوظ في قاعدة التجاوز وفي قاعدة الفراغ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انّ الموضوع هو الشيء بمعناه الوسيع من دون تقييد بالجزئية والكلّية، وإنّما تعرضانه في مقام التطبيق فهو بإطلاقه يعمُّ القسمين، و قد قلنا في محله إنّ الإطلاق هو رفض القيود لا الجمع بين القيود،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أي‌ذات الشيء لا الشيء المتعنون بالجزئية والكلّية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يلزم التناقض في مدلول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يعمّ الشكّ في الجزء والكلّ، فانّه لو شكّ المصلّي في الحمد و هو في الركوع</w:t>
      </w:r>
    </w:p>
    <w:p>
      <w:pPr>
        <w:pStyle w:val="BookText"/>
        <w:rPr/>
      </w:pPr>
      <w:r>
        <w:rPr>
          <w:rFonts w:ascii="Amiri" w:hAnsi="Amiri" w:eastAsia="Amiri" w:cs="Amiri"/>
          <w:color w:val="111111"/>
          <w:sz w:val="28"/>
          <w:sz w:val="28"/>
          <w:szCs w:val="28"/>
          <w:rtl w:val="true"/>
          <w:lang w:bidi="ar-SA"/>
        </w:rPr>
        <w:t>فباعتبار الشكّ في الحمد بعد ما جاوز محله فلا يجب عليه العود، وباعتبار الشكّ في صحّة الصلاة لم يتجاوز عنها، لأنّه بعد في الأثناء فيجب عليه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الجاري في جانب الجزء حاكم على الأصل الجاري في ناحية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الحكومة انّ الشكّ في صحّة المجموع إذا كان ناشئاً من الشكّ في وجود الجزء في محلّه يكون التعبّد بوجوده رافعاً للشكّفي صحّة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التجاوز في قاعدة التجاوز إنّما يكون بالتجاوز عن محلّ الجزء المشكوك فيه، وفي قاعدة الفراغ إنّما يكون بالتجاوز عن نفس المركب لا عن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التجاوز استعمل في المعنى الجامع الذي يصدق عليه أنّه تجاوز عن الشيء، وأمّا الخصوصيات،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نفس الشيء أو محله، فإنّما هو من خصوصيات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الشيء بمعنى مضيِّ الزمان الذي كان المترقب كون الشيء فيه وهو يجتمع مع التجاوز عن وجوده أو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الوجوه التي أقامها المحقّق النائيني على اختلاف القاعدتين لا تُثبت ما رامه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ضعف ما أفاده المحقّق الخوئي حيث إنّه سلّم إمكان جعل قاعدة واحدة تشمل جميع الموارد، لكن قال بأنّ مقتضى الإثبات هو التعدّد، وذلك لأنّ الشكّ في الشيء بمفاد كان التامّة أثناء العمل أو بعد الفراغ عن العمل هو مورد قاعدة التجاوز، والشكّ في صحّة الأمر الموجود، جزءاً كان </w:t>
      </w:r>
    </w:p>
    <w:p>
      <w:pPr>
        <w:pStyle w:val="BookText"/>
        <w:rPr/>
      </w:pPr>
      <w:r>
        <w:rPr>
          <w:rFonts w:ascii="Amiri" w:hAnsi="Amiri" w:eastAsia="Amiri" w:cs="Amiri"/>
          <w:color w:val="111111"/>
          <w:sz w:val="28"/>
          <w:sz w:val="28"/>
          <w:szCs w:val="28"/>
          <w:rtl w:val="true"/>
          <w:lang w:bidi="ar-SA"/>
        </w:rPr>
        <w:t>المشكوك أو كلاً، هو مورد قاعدة الفراغ،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إنّما هو باختصاص قاعدة الفراغ بالشكّ في الصحّة مع فرض الوجود، واختصاص قاعدة التجاوز بالشكّ في الوجود دون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في تبيين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الروايات الواردة في قاعدة الفراغ بين ما يختص بباب الطهارة، أو بباب الصلاة، أو لا يختص ويعمّ الطهارة و الصلاة وغيرهما، والظاهر من المضيّ فيما له مفهوم عام هو مضيّ‌الشيء المشكوك فيه حقيقة، كروايتي محمد بن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وذكرته تذكّراً فامضه ولا إعادة عليك فيه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فإذا كان اللفظ ظاهراً في مضي نفس الشيء فحمله على مضي محل المشكوك فيه بتقدير لفظ المحلّ أو من باب الاسناد المجازي يحتاج إلى قرينة، فيكون مفادهما، عدم الاعتناء بالشكّ في الشيء بعد مضي هذا الشيء المشكوك ولا يصدق المضي إلّابعد الوجود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فيكون مفادهما قاعدة الفراغ دون قاعدة التجاوز فلو لم يكن في المقام سوى هذين الخبرين لم نستفد منهما قاعدة التجاوز إلّاأنّه هناك، روايتان تدلاّن على تلك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صحيحة زرارة، والثانية موثّقة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المعلوم أنّ المراد من الخروج في الصحيحة هو الخروج عن محلّه، كما أنّ المراد من </w:t>
      </w:r>
      <w:bookmarkStart w:id="699" w:name="pg14367_157331"/>
    </w:p>
    <w:p>
      <w:pPr>
        <w:pStyle w:val="BookText"/>
        <w:rPr/>
      </w:pPr>
      <w:bookmarkEnd w:id="699"/>
      <w:r>
        <w:rPr>
          <w:rFonts w:ascii="Amiri" w:hAnsi="Amiri" w:eastAsia="Amiri" w:cs="Amiri"/>
          <w:color w:val="111111"/>
          <w:sz w:val="28"/>
          <w:sz w:val="28"/>
          <w:szCs w:val="28"/>
          <w:rtl w:val="true"/>
          <w:lang w:bidi="ar-SA"/>
        </w:rPr>
        <w:t>التجاوز هو التجاوز عن محلّه، فيكون مفادهما قاعدة التجاوز بمعنى عدم الاعتناء بالشكّ في شيء عند التجاوز عن محلّه</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وحدة التعبير في كلا الموردين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الصحّة، والشكّ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وحدتهما ثبوتاً وإثباتاً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عند القائل ناظر إلى الشكّ في الصحّة نظير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ناظر عنده إلى الشكّ في 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تصوّر من المانع في مقام الإثبات ليس إلّااختلاف متعلّق المضيّ فهو في قاعدة الفراغ نفس الشيء وفي قاعدة التجاوز محله، والاختلاف في المتعلّق من خصوصيات المورد، فلا مانع من أن يكون الموضوع هو المضي عن الشيء على وجه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مقام التطبيق يختلف بعض المصاديق عن البعض بمضي نفس الشيء أو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الملاك الأوّل كجعل القاعدتين، وأمّا الملاكات الأُخر فإليك دراستها</w:t>
      </w:r>
      <w:r>
        <w:rPr>
          <w:rFonts w:eastAsia="Amiri" w:cs="Amiri" w:ascii="Amiri" w:hAnsi="Amiri"/>
          <w:color w:val="111111"/>
          <w:sz w:val="28"/>
          <w:szCs w:val="28"/>
          <w:rtl w:val="true"/>
          <w:lang w:bidi="ar-SA"/>
        </w:rPr>
        <w:t>:</w:t>
      </w:r>
    </w:p>
    <w:p>
      <w:pPr>
        <w:pStyle w:val="Heading6"/>
        <w:numPr>
          <w:ilvl w:val="5"/>
          <w:numId w:val="1"/>
        </w:numPr>
        <w:rPr/>
      </w:pPr>
      <w:bookmarkStart w:id="700" w:name="__RefHeading___Toc7507376_3381743652"/>
      <w:bookmarkStart w:id="701" w:name="_Toc258"/>
      <w:bookmarkEnd w:id="700"/>
      <w:r>
        <w:rPr>
          <w:rtl w:val="true"/>
        </w:rPr>
        <w:t>الملاك الثاني للتعدّد</w:t>
      </w:r>
      <w:r>
        <w:rPr>
          <w:rtl w:val="true"/>
        </w:rPr>
        <w:t>:</w:t>
      </w:r>
      <w:bookmarkEnd w:id="701"/>
    </w:p>
    <w:p>
      <w:pPr>
        <w:pStyle w:val="BookText"/>
        <w:rPr/>
      </w:pPr>
      <w:r>
        <w:rPr>
          <w:rFonts w:ascii="Amiri" w:hAnsi="Amiri" w:eastAsia="Amiri" w:cs="Amiri"/>
          <w:color w:val="111111"/>
          <w:sz w:val="28"/>
          <w:sz w:val="28"/>
          <w:szCs w:val="28"/>
          <w:rtl w:val="true"/>
          <w:lang w:bidi="ar-SA"/>
        </w:rPr>
        <w:t>تخصيص قاعدة التجاوز بالشك في الأثناء وقاعدة الفراغ بالشكّ بعد العمل</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الملاك غير تام في كلّه، فانّ رواية محمد بن مسلم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 طهورك وذكرته تذكّراً فامضه فلا إعادة عليك فيه</w:t>
      </w:r>
      <w:r>
        <w:rPr>
          <w:rFonts w:eastAsia="Amiri" w:cs="Amiri" w:ascii="Amiri" w:hAnsi="Amiri"/>
          <w:color w:val="111111"/>
          <w:sz w:val="28"/>
          <w:szCs w:val="28"/>
          <w:rtl w:val="true"/>
          <w:lang w:bidi="ar-SA"/>
        </w:rPr>
        <w:t>».</w:t>
      </w:r>
      <w:r>
        <w:rPr>
          <w:rStyle w:val="FootnoteAnchor"/>
          <w:rtl w:val="true"/>
        </w:rPr>
        <w:footnoteReference w:id="230"/>
      </w:r>
      <w:bookmarkStart w:id="702" w:name="pg14367_157332"/>
    </w:p>
    <w:p>
      <w:pPr>
        <w:pStyle w:val="BookText"/>
        <w:rPr/>
      </w:pPr>
      <w:bookmarkEnd w:id="702"/>
      <w:r>
        <w:rPr>
          <w:rFonts w:ascii="Amiri" w:hAnsi="Amiri" w:eastAsia="Amiri" w:cs="Amiri"/>
          <w:color w:val="111111"/>
          <w:sz w:val="28"/>
          <w:sz w:val="28"/>
          <w:szCs w:val="28"/>
          <w:rtl w:val="true"/>
          <w:lang w:bidi="ar-SA"/>
        </w:rPr>
        <w:t>وروايته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يعم الموردين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الأثناء، و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فالروايتان من أدلّة قاعدة الفراغ عند القوم وهو يعم الأثناء أيضاً</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7507378_3381743652"/>
      <w:bookmarkStart w:id="704" w:name="_Toc259"/>
      <w:bookmarkEnd w:id="703"/>
      <w:r>
        <w:rPr>
          <w:rtl w:val="true"/>
        </w:rPr>
        <w:t>الملاك الثالث للتعدّد</w:t>
      </w:r>
      <w:r>
        <w:rPr>
          <w:rtl w:val="true"/>
        </w:rPr>
        <w:t>:</w:t>
      </w:r>
      <w:bookmarkEnd w:id="704"/>
    </w:p>
    <w:p>
      <w:pPr>
        <w:pStyle w:val="BookText"/>
        <w:rPr/>
      </w:pPr>
      <w:r>
        <w:rPr>
          <w:rFonts w:ascii="Amiri" w:hAnsi="Amiri" w:eastAsia="Amiri" w:cs="Amiri"/>
          <w:color w:val="111111"/>
          <w:sz w:val="28"/>
          <w:sz w:val="28"/>
          <w:szCs w:val="28"/>
          <w:rtl w:val="true"/>
          <w:lang w:bidi="ar-SA"/>
        </w:rPr>
        <w:t>اختصاص قاعدة التجاوز بالدخول في الغير دون الفراغ، فهو أيضاً غير ثابت، لما سيوافيك انّ الدخول ليس بشرط مطلقاً إلّاإذا كان محقّقاً للتجاوز، فالدخول في الغير ليس شرطاً مستقلاً وإنّما الميزان هو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تجاوز كلّ شيء بحسبه، فالتجاوز في الشكّ في الوجود يتحقّق بالدخول إلى الغير و التجاوز في الشكّ في الصحّة يتحقّق بنفس الفراغ عن الشيء</w:t>
      </w:r>
      <w:r>
        <w:rPr>
          <w:rFonts w:eastAsia="Amiri" w:cs="Amiri" w:ascii="Amiri" w:hAnsi="Amiri"/>
          <w:color w:val="111111"/>
          <w:sz w:val="28"/>
          <w:szCs w:val="28"/>
          <w:rtl w:val="true"/>
          <w:lang w:bidi="ar-SA"/>
        </w:rPr>
        <w:t>.</w:t>
      </w:r>
    </w:p>
    <w:p>
      <w:pPr>
        <w:pStyle w:val="Heading6"/>
        <w:numPr>
          <w:ilvl w:val="5"/>
          <w:numId w:val="1"/>
        </w:numPr>
        <w:rPr/>
      </w:pPr>
      <w:bookmarkStart w:id="705" w:name="__RefHeading___Toc7507380_3381743652"/>
      <w:bookmarkStart w:id="706" w:name="_Toc260"/>
      <w:bookmarkEnd w:id="705"/>
      <w:r>
        <w:rPr>
          <w:rtl w:val="true"/>
        </w:rPr>
        <w:t>الملاك الرابع للتعدّد</w:t>
      </w:r>
      <w:r>
        <w:rPr>
          <w:rtl w:val="true"/>
        </w:rPr>
        <w:t>:</w:t>
      </w:r>
      <w:bookmarkEnd w:id="706"/>
    </w:p>
    <w:p>
      <w:pPr>
        <w:pStyle w:val="BookText"/>
        <w:rPr/>
      </w:pPr>
      <w:r>
        <w:rPr>
          <w:rFonts w:ascii="Amiri" w:hAnsi="Amiri" w:eastAsia="Amiri" w:cs="Amiri"/>
          <w:color w:val="111111"/>
          <w:sz w:val="28"/>
          <w:sz w:val="28"/>
          <w:szCs w:val="28"/>
          <w:rtl w:val="true"/>
          <w:lang w:bidi="ar-SA"/>
        </w:rPr>
        <w:t>تخصيص قاعدة التجاوز بالصلاة، وعمومية قاعدة الفراغ لسائر أبواب الفقه،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هنا قاعدة واحدة وهي قاعدة التجاوز عن الشيء بعامة أقسامه وانّ الخصوصيات من طوارئ المصاديق، ولا حاجة إلى جعل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مفارقة قاعدة التجاوز عن الفراغ فيما إذا شكّ في أصل التسليم من قبل أن يدخل في شيء آخر، فلا تجري قاعدة التجاوز لعدم التجاوز عن محلّه و تجري قاعدة الفراغ</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عنه واضح، وذلك لأنّه لو كان الشكّ في صحّة السلام تجري </w:t>
      </w:r>
      <w:bookmarkStart w:id="707" w:name="pg14367_157333"/>
    </w:p>
    <w:p>
      <w:pPr>
        <w:pStyle w:val="BookText"/>
        <w:rPr/>
      </w:pPr>
      <w:bookmarkEnd w:id="707"/>
      <w:r>
        <w:rPr>
          <w:rFonts w:ascii="Amiri" w:hAnsi="Amiri" w:eastAsia="Amiri" w:cs="Amiri"/>
          <w:color w:val="111111"/>
          <w:sz w:val="28"/>
          <w:sz w:val="28"/>
          <w:szCs w:val="28"/>
          <w:rtl w:val="true"/>
          <w:lang w:bidi="ar-SA"/>
        </w:rPr>
        <w:t xml:space="preserve">القاعدتان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والفراغ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الشكّ في الوجود لا تجريان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فلعدم التجاوز عن محلّ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فلأنّه لم يحرز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انّه لا ملاك لجعل قاعدتين بعد إمكان التشريع لعامّة الموارد بملاك واحد</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7507382_3381743652"/>
      <w:bookmarkStart w:id="709" w:name="_Toc261"/>
      <w:bookmarkEnd w:id="708"/>
      <w:r>
        <w:rPr>
          <w:rtl w:val="true"/>
        </w:rPr>
        <w:t>الأمر الخامس في اشتراط الدخول في الغير وعدمه</w:t>
      </w:r>
      <w:bookmarkEnd w:id="709"/>
    </w:p>
    <w:p>
      <w:pPr>
        <w:pStyle w:val="BookText"/>
        <w:rPr/>
      </w:pPr>
      <w:r>
        <w:rPr>
          <w:rFonts w:ascii="Amiri" w:hAnsi="Amiri" w:eastAsia="Amiri" w:cs="Amiri"/>
          <w:color w:val="111111"/>
          <w:sz w:val="28"/>
          <w:sz w:val="28"/>
          <w:szCs w:val="28"/>
          <w:rtl w:val="true"/>
          <w:lang w:bidi="ar-SA"/>
        </w:rPr>
        <w:t>هل يكفي التجاوز عن الشيء أو يشترط وراءه، الدخول في الغير؟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الدخول في الغير وراء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 الموضوع للصحّة هو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بصحيحة زرارة</w:t>
      </w:r>
      <w:r>
        <w:rPr>
          <w:rStyle w:val="FootnoteAnchor"/>
          <w:rtl w:val="true"/>
        </w:rPr>
        <w:footnoteReference w:id="232"/>
      </w:r>
      <w:r>
        <w:rPr>
          <w:rFonts w:ascii="Amiri" w:hAnsi="Amiri" w:eastAsia="Amiri" w:cs="Amiri"/>
          <w:color w:val="111111"/>
          <w:sz w:val="28"/>
          <w:sz w:val="28"/>
          <w:szCs w:val="28"/>
          <w:rtl w:val="true"/>
          <w:lang w:bidi="ar-SA"/>
        </w:rPr>
        <w:t>وموثّقة إسماعيل بن جابر</w:t>
      </w:r>
      <w:r>
        <w:rPr>
          <w:rStyle w:val="FootnoteAnchor"/>
          <w:rtl w:val="true"/>
        </w:rPr>
        <w:footnoteReference w:id="233"/>
      </w:r>
      <w:r>
        <w:rPr>
          <w:rFonts w:ascii="Amiri" w:hAnsi="Amiri" w:eastAsia="Amiri" w:cs="Amiri"/>
          <w:color w:val="111111"/>
          <w:sz w:val="28"/>
          <w:sz w:val="28"/>
          <w:szCs w:val="28"/>
          <w:rtl w:val="true"/>
          <w:lang w:bidi="ar-SA"/>
        </w:rPr>
        <w:t>حيث جاء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 دخل في غيره فليمض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وبهما تقيّد سائر الروايات التي لم يرد فيها الدخول في الغير</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نكتة التشريع في المقام هو كون الإنسان حين العمل أقرب إلى الحقّ وأذكر في الإتيان بالعمل على وجهه، وعلى ذلك فتمام الموضوع للقاعدة، كون الفاعل أذكر من حالة الشكّ وانّ المكلّف الذاكر يأتي بما هي الوظيفة فإذا تجاوز عن العمل لا يلتفت إلى شكّه سواء أدخل في الغير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موثّقة ابن أبي يعفور مع أنّه ذكر فيها الدخول في الغير في صدرها، ولكن لم يذكر في الذيل واكتفى بنفس التجاوز،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هذا هو دليل القولين، والحقّ هو القول الثاني، وانّ تمام الموضوع للقاعدة هو التجاوز، غير أنّه لمّا كان الشكّ في وجود الشيء لا في صحّته، يتوقّف التجاوز عنه على الدخول في الغير، يُعتبر فيه الدخول إلى الغير، بخلاف ما إذا كان الشكّ في صحّة الشيء الماضي فانّ الفراغ عنه يكفي في التجاوز وإن لم يدخل في الغير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لو شكّ في أصل التسليم وجوداً فلا يصدق التجاوز عن المحلّ إلّابالدخول في غير حالة الصلاة، وإذا شكّ في صحّته يكفي الفراغ عن التسليم وإن لم يشتغل بعمل غير الصلاة، وأمّا الاستدلال بصحيحة زرارة وإسماعيل بن جابر فليس بتام، لأنّ مصبّ‌القاعدة هو الشكّ في الوجود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و دخلت في غيره</w:t>
      </w:r>
      <w:r>
        <w:rPr>
          <w:rFonts w:eastAsia="Amiri" w:cs="Amiri" w:ascii="Amiri" w:hAnsi="Amiri"/>
          <w:color w:val="111111"/>
          <w:sz w:val="28"/>
          <w:szCs w:val="28"/>
          <w:rtl w:val="true"/>
          <w:lang w:bidi="ar-SA"/>
        </w:rPr>
        <w:t xml:space="preserve">». </w:t>
      </w:r>
      <w:bookmarkStart w:id="710" w:name="pg14367_157335"/>
    </w:p>
    <w:p>
      <w:pPr>
        <w:pStyle w:val="BookText"/>
        <w:rPr/>
      </w:pPr>
      <w:bookmarkEnd w:id="710"/>
      <w:r>
        <w:rPr>
          <w:rFonts w:ascii="Amiri" w:hAnsi="Amiri" w:eastAsia="Amiri" w:cs="Amiri"/>
          <w:color w:val="111111"/>
          <w:sz w:val="28"/>
          <w:sz w:val="28"/>
          <w:szCs w:val="28"/>
          <w:rtl w:val="true"/>
          <w:lang w:bidi="ar-SA"/>
        </w:rPr>
        <w:t>ومثلها صحيحة إسماعيل بن جابر حيث قال أبوجعفر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انّ القاعدة لا تجري في أثناء الوضوء اكتفى في ضرب القاعدة في موثّقة ابن أبي يعفور بنفس التجاوز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إذا كنت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ولمّا كان الشكّ في الوضوء يلازم غالباً الشكّ في صحّة غسل الأعضاء المغسولة، اقتصر فيه بالفراغ عن الوضوء وإن لم يدخل في غيره حتى أنّ الجزء الأخير إذا فرغ منه ثمّ شكّ في صحّته تجري فيه القاعدة</w:t>
      </w:r>
      <w:r>
        <w:rPr>
          <w:rFonts w:eastAsia="Amiri" w:cs="Amiri" w:ascii="Amiri" w:hAnsi="Amiri"/>
          <w:color w:val="111111"/>
          <w:sz w:val="28"/>
          <w:szCs w:val="28"/>
          <w:rtl w:val="true"/>
          <w:lang w:bidi="ar-SA"/>
        </w:rPr>
        <w:t>.</w:t>
      </w:r>
    </w:p>
    <w:p>
      <w:pPr>
        <w:pStyle w:val="Heading6"/>
        <w:numPr>
          <w:ilvl w:val="5"/>
          <w:numId w:val="1"/>
        </w:numPr>
        <w:rPr/>
      </w:pPr>
      <w:bookmarkStart w:id="711" w:name="__RefHeading___Toc7507384_3381743652"/>
      <w:bookmarkStart w:id="712" w:name="_Toc262"/>
      <w:bookmarkEnd w:id="711"/>
      <w:r>
        <w:rPr>
          <w:rtl w:val="true"/>
        </w:rPr>
        <w:t>ما هو المراد من الغير؟</w:t>
      </w:r>
      <w:bookmarkEnd w:id="712"/>
    </w:p>
    <w:p>
      <w:pPr>
        <w:pStyle w:val="BookText"/>
        <w:rPr/>
      </w:pPr>
      <w:r>
        <w:rPr>
          <w:rFonts w:ascii="Amiri" w:hAnsi="Amiri" w:eastAsia="Amiri" w:cs="Amiri"/>
          <w:color w:val="111111"/>
          <w:sz w:val="28"/>
          <w:sz w:val="28"/>
          <w:szCs w:val="28"/>
          <w:rtl w:val="true"/>
          <w:lang w:bidi="ar-SA"/>
        </w:rPr>
        <w:t>لو قلنا بشرطية الدخول في الغير فما هو المراد منه؟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 محلّ تدارك الأجزاء المنسية بحيث لو نسي لما كان له العود فيختص بالأركان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الواجبة الأصلية دون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الذي عدّ في الشرع مترتباً على وجود الشيء المشكوك في لسان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فلا يكفي الذكر المطلق في الصلاة، كما إذا قال في أثناء الحمد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هو مترتباً على وجود الجزء السابق، ولكن يعمّ كلّ جزء واجب أو مستحب جاء في لسان الأدلّة مترتبين على المشكوك كالقنوت بالنسبة إلى السورة والتعقيبات بالنسبة إلى الصلاة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الاحتمال مع تضييق خاص وهو الدخول فيما اعتبر الترتب بين </w:t>
      </w:r>
    </w:p>
    <w:p>
      <w:pPr>
        <w:pStyle w:val="BookText"/>
        <w:rPr/>
      </w:pPr>
      <w:r>
        <w:rPr>
          <w:rFonts w:ascii="Amiri" w:hAnsi="Amiri" w:eastAsia="Amiri" w:cs="Amiri"/>
          <w:color w:val="111111"/>
          <w:sz w:val="28"/>
          <w:sz w:val="28"/>
          <w:szCs w:val="28"/>
          <w:rtl w:val="true"/>
          <w:lang w:bidi="ar-SA"/>
        </w:rPr>
        <w:t>المشكوك والدخول فيه بأن يكون سبق الأوّل على الثاني معتبراً في صحّة الثاني، وترتّب الثاني على الأوّل معتبراً في صحّة الأوّل كأجزاء الصلاة بعضها إلى بعض، والفرق بين هذا والثالث انّه لا يتحقّق المضي للجزء الأخير من الصلاة والوضوء أو الغسل بالدخول في الغير، سواء أكان المدخول فيه أمراً غير عبادي كالأكل والنوم، أم عباديّاً لكن غير مترتب كالتعقيبات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انّ الدخول في الصلاة لا يكفي في الوضوء والغسل، فانّ صحّة الصلاة وإن كانت مشروطة بصحّتهما لكن صحّة الجزء المشكوك من الوضوء كالمسح على الرِجْل اليسرى ليس مشروطاً بصحّة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قياس الشكّ في الشيء بنسيانه لا دليل عليه، بل هو مردود برواية زرارة حيث حكم بالتجاوز عند الشكّ في الأذان في حال الإقامة، أو في التكبير حال القراءة، مع أنّه يجب العود عند صورة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أي‌اختصاص الغير بالواجب الأصلي دون المقدّمات، فقد استدلّ عليه الشيخ الأنصاري برواية إسماعيل بن جابر،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الغير في صحيحة إسماعيل بن جابر إن شكّ في الركوع بعد ما سجد، وإن شكّ في السجود بعد ما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مقام التحديد و مقام التوطئة للقاعدة المقررة بقوله بعد ذلك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السجود والقيام حدّاً للغير الذي يعتبر الدخول فيه، وأنّه لا غير أقرب من الأوّل بالنسبة إلى الركوع، ومن الثاني بالنسبة إلى السجود، إذ لو كان الهويّ للسجود كافياً عند الشكّ في الركوع، والنهوض للقيام كافياً عند الشكّ في السجود، قبح في مقام التوطئة للقاعدة الآتية، التحديد بالسجود والقيام ولم يكن وجه لجزم المشهور بوجوب الالتفات إذا </w:t>
      </w:r>
    </w:p>
    <w:p>
      <w:pPr>
        <w:pStyle w:val="BookText"/>
        <w:rPr/>
      </w:pPr>
      <w:r>
        <w:rPr>
          <w:rFonts w:ascii="Amiri" w:hAnsi="Amiri" w:eastAsia="Amiri" w:cs="Amiri"/>
          <w:color w:val="111111"/>
          <w:sz w:val="28"/>
          <w:sz w:val="28"/>
          <w:szCs w:val="28"/>
          <w:rtl w:val="true"/>
          <w:lang w:bidi="ar-SA"/>
        </w:rPr>
        <w:t>شكّ قبل الاستواء قائماً</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محجوج بالاكتفاء بالهوي إلى الركوع في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عبد الرحمن بن أبي عبد اللّه،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أهوى إلى السجود فلم يدر أركع أم لم يركع؟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والهوي إلى السجود بمعنى الانحدار إلى السجود دون الوصول إليه، وإلّا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سجد فلم يدر أركع أم لم يركع؟</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أستتم قائماً فلا أدري أركعت أم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والمراد من الاستتام قائماً هو رفع رأسه من الانحناء إلى القيام ولكنّه شكّ هل ركع حال انحنائه أو لا؟</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التحديد بالسجود عند الشكّ في الركوع جاء في سؤال زرارة ولم يرد في لسان الإمام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التحديد بالسجود عند الشكّ في الركوع وبالقيام عند الشكّ في السجود وإن ورد في لسان الإمام في رواية إسماعيل بن جابر، لكن عدم التعرض للهويّ في الأوّل وللنهوض في الثاني، لأجل عدم حصول الشكّ في هذه الحالات للإنسان إلّاإذا كان وسواساً وهذا لا يعني عدم كفايتهما إذا طرأ الشكّ وهو </w:t>
      </w:r>
    </w:p>
    <w:p>
      <w:pPr>
        <w:pStyle w:val="BookText"/>
        <w:rPr/>
      </w:pPr>
      <w:r>
        <w:rPr>
          <w:rFonts w:ascii="Amiri" w:hAnsi="Amiri" w:eastAsia="Amiri" w:cs="Amiri"/>
          <w:color w:val="111111"/>
          <w:sz w:val="28"/>
          <w:sz w:val="28"/>
          <w:szCs w:val="28"/>
          <w:rtl w:val="true"/>
          <w:lang w:bidi="ar-SA"/>
        </w:rPr>
        <w:t>إنسان عادي أخذاً بالإطلاقات الواردة في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ذكرنا عدم اعتبار كون المدخول فيه واجباً أصلياً ويكفي كونه واجباً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أبي عبد اللّه رواية أُخرى جاء فيها عدم كفاية النهوض عن السجود،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رفع رأسه عن السجود فشكّ قبل أن يستوي جالساً فلم يدر أسجد أم لم يسجد؟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نهض من سجوده فشكّ قبل أن يستوي قائماً، فلم يدر أسجد أم لم يسجد؟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تثبته الرواية هو الالتزام بالتخصيص في مورد السجود وبقاء الباقي تحت الإطلاق، والقول باشتراك النهوض والهوية في الحكم غير ثابت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بروايتي عبد الرحمن وفضيل بن يسار على كفاية الدخول في الجزء الواجب أصلياً كان أو تبعياً غير تام، وذلك لأنّ الشكّ في الركوع عند الهويّ إلى السجود أو عند رفع رأسه من الإنحناء إلى القيام أمر نادر، والشاك فيه يكون وسواساً، فلعلّ عدم الاعتداد لهذا الوجه لا لكونه دخولاً في الغير بشهادة انّ الإمام قال في رواية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فامض في صلاتك فإنّما ذلك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مطلقاً من الشيطان بالمعنى المراد في الرواية عادياً كان أم غير عادي، وغاية ما هناك أنّ ثمّة إشعاراً بما ذكر وهو لا يقابل الإطلاق</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كفاية الجزء التبعي وإن لم يكن أصلياً</w:t>
      </w:r>
      <w:r>
        <w:rPr>
          <w:rFonts w:eastAsia="Amiri" w:cs="Amiri" w:ascii="Amiri" w:hAnsi="Amiri"/>
          <w:color w:val="111111"/>
          <w:sz w:val="28"/>
          <w:szCs w:val="28"/>
          <w:rtl w:val="true"/>
          <w:lang w:bidi="ar-SA"/>
        </w:rPr>
        <w:t xml:space="preserve">. </w:t>
      </w:r>
      <w:bookmarkStart w:id="713" w:name="pg14367_157339"/>
    </w:p>
    <w:p>
      <w:pPr>
        <w:pStyle w:val="BookText"/>
        <w:rPr/>
      </w:pPr>
      <w:bookmarkEnd w:id="713"/>
      <w:r>
        <w:rPr>
          <w:rFonts w:ascii="Amiri" w:hAnsi="Amiri" w:eastAsia="Amiri" w:cs="Amiri"/>
          <w:color w:val="111111"/>
          <w:sz w:val="28"/>
          <w:sz w:val="28"/>
          <w:szCs w:val="28"/>
          <w:rtl w:val="true"/>
          <w:lang w:bidi="ar-SA"/>
        </w:rPr>
        <w:t>وأمّا الوجه الثالث، أي‌الدخول في الشيء المترتب على المشكوك وإن كان مستحباً فهو أقوى الوجوه أخذاً بالإطلاق، وعلى ذلك لو شكّ في القراءة بعد ما قنت فقد دخل في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الوجه الرابع، فلم أجد وجهاً له، فالأقرب هو ثالث الوجوه</w:t>
      </w:r>
      <w:r>
        <w:rPr>
          <w:rFonts w:eastAsia="IRNazanin" w:cs="IRNazanin"/>
          <w:color w:val="111111"/>
          <w:sz w:val="28"/>
          <w:szCs w:val="28"/>
          <w:rtl w:val="true"/>
          <w:lang w:bidi="fa-IR"/>
        </w:rPr>
        <w:t>.</w:t>
      </w:r>
    </w:p>
    <w:p>
      <w:pPr>
        <w:pStyle w:val="Heading6"/>
        <w:numPr>
          <w:ilvl w:val="5"/>
          <w:numId w:val="1"/>
        </w:numPr>
        <w:rPr/>
      </w:pPr>
      <w:bookmarkStart w:id="714" w:name="__RefHeading___Toc7507386_3381743652"/>
      <w:bookmarkStart w:id="715" w:name="_Toc263"/>
      <w:bookmarkEnd w:id="714"/>
      <w:r>
        <w:rPr>
          <w:rtl w:val="true"/>
        </w:rPr>
        <w:t>الأمر السادس ما هو المراد من المحل؟</w:t>
      </w:r>
      <w:bookmarkEnd w:id="715"/>
    </w:p>
    <w:p>
      <w:pPr>
        <w:pStyle w:val="BookText"/>
        <w:rPr/>
      </w:pPr>
      <w:r>
        <w:rPr>
          <w:rFonts w:ascii="Amiri" w:hAnsi="Amiri" w:eastAsia="Amiri" w:cs="Amiri"/>
          <w:color w:val="111111"/>
          <w:sz w:val="28"/>
          <w:sz w:val="28"/>
          <w:szCs w:val="28"/>
          <w:rtl w:val="true"/>
          <w:lang w:bidi="ar-SA"/>
        </w:rPr>
        <w:t>إذا كان تمام الموضوع هو التجاوز عن الشيء، فلو كان الشكّ في صحّة الشيء الموجود فالتجاوز عنه بمعنى الفراغ عنه، الملازم غالباً للدخول إلى الغير وإن لم يكن مشروطاً به، وأمّا إذا كان الشكّ في وجود الشيء فالتجاوز عن الشيء المشكوك الوجود، هو التجاوز عن محلّه، فيكون التجاوز عن الشيء في القسم الأوّل حقيقيّاً وفي الثاني مجازياً، وقد اختلفت كلماتهم في تفسير المحلّ على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 العرفي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فالمحلّ الشرعي عبارة عمّا جعله الشارع محلاً للجزء، فجعل محل التكبيرة قبل القراءة، وهي قبل الركوع</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من الثاني هو المحل المقرر له بحكم العقل، وقد مثل له الشيخ </w:t>
      </w:r>
    </w:p>
    <w:p>
      <w:pPr>
        <w:pStyle w:val="BookText"/>
        <w:rPr/>
      </w:pPr>
      <w:r>
        <w:rPr>
          <w:rFonts w:ascii="Amiri" w:hAnsi="Amiri" w:eastAsia="Amiri" w:cs="Amiri"/>
          <w:color w:val="111111"/>
          <w:sz w:val="28"/>
          <w:sz w:val="28"/>
          <w:szCs w:val="28"/>
          <w:rtl w:val="true"/>
          <w:lang w:bidi="ar-SA"/>
        </w:rPr>
        <w:t>الأنصاري بالراء الساكنة في التكبيرة بأنّ محلها بعد الباء بلا فصل ولولاه لزم الابتداء بالسكون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الثالث هو الطريقة المألوفة عند العرف في إنجاز العمل الخاص، وذلك كالقراءة فإنّ الفصل الطويل بين المفردات أو الجمل، مرغوب عنه عرفاً، بل يوجب خروج الكلام عن كونه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المعنى الثاني والثالث إلى الأُولى، لأنّه إذا امتنع التلفّظ بالراء الساكنة إلّابوصلها بالباء المفتوحة فهو محلّ شرعي أيضاً، لأنّ الشرع أمرنا بالنطق بالتكبير بالصورة الممكنة كما أمرنا بالقراءة بالطريقة المألوفة، والمراد من العادي ما جرى عليه عادة الفرد أو الناس حيث إنّهم لا يفرّقون بين غسلات الغسل بل يأتون بها متوالياً، فإذا شكّ مغتسل في غسل الجزء الأخير بعد ما خرج من الحمام فقد مضى وقته العادي دون الشرعي، فإذا رجعت المعاني الثلاثة الأُولى إلى شيء واحد فإنّما يقع الكلام في كفاية التجاوز عن المحلّ‌العادي، فهل يكفي في تحقّق التجاوز أو لا؟</w:t>
      </w:r>
    </w:p>
    <w:p>
      <w:pPr>
        <w:pStyle w:val="BookText"/>
        <w:rPr/>
      </w:pPr>
      <w:r>
        <w:rPr>
          <w:rFonts w:ascii="Amiri" w:hAnsi="Amiri" w:eastAsia="Amiri" w:cs="Amiri"/>
          <w:color w:val="111111"/>
          <w:sz w:val="28"/>
          <w:sz w:val="28"/>
          <w:szCs w:val="28"/>
          <w:rtl w:val="true"/>
          <w:lang w:bidi="ar-SA"/>
        </w:rPr>
        <w:t>ذهب سيدنا الأُستاذ تبعاً لعدد من المشايخ بعدم الكفاية،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المحل هو المحل الشرعي لا العادي، لأنّ الشارع المقنن إذا قرر للأشياء محلاً فجعل محل القراءة بعد التكبير وقبل الركوع، وهكذا، ثمّ جعل قانوناً آخر بأن ّ كلّ ما مضى محلّه فامضه، لا يفهم العرف والعقلاء إلّاما هو المحل المقرر الجعلي لا ما صار عادة للأشخاص أو النوع فانّ العادة إنّما تحصل بالعمل وهي لا توجب أن يصير المحلّ‌العادي محلاً للشيء</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يمكن أن يقال بالكفاية في بعض الصور، وذلك لأنّ الملاك هو </w:t>
      </w:r>
    </w:p>
    <w:p>
      <w:pPr>
        <w:pStyle w:val="BookText"/>
        <w:rPr/>
      </w:pPr>
      <w:r>
        <w:rPr>
          <w:rFonts w:ascii="Amiri" w:hAnsi="Amiri" w:eastAsia="Amiri" w:cs="Amiri"/>
          <w:color w:val="111111"/>
          <w:sz w:val="28"/>
          <w:sz w:val="28"/>
          <w:szCs w:val="28"/>
          <w:rtl w:val="true"/>
          <w:lang w:bidi="ar-SA"/>
        </w:rPr>
        <w:t>كون الفاعل أذكر و كونه حين ينصرف أقرب إلى الحقّ، و هذا يقتضي التعميم إلى التجاوز عن المحلّ‌الشرعي أو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 إمّا يستند إلى الغفلة وهي ممنوعة، أو إلى العمد وهو يخالف كونه بصدد إبراء الذمة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يكفي إذا أنجز عملاً وشكّ في كماله ونقصانه، وأمّا إذا احتمل بأنّه لم يأت أصلاً كما شكّ في إتيان صلاة الظهر قبيل الغروب مع جريان عادته على الصلاة في أوّل الوقت فإطلاقات الأدلّة في وجوب الإتيان عند الشكّ في الوقت متقدّمة على إطلاق قاعدة التجاوز</w:t>
      </w:r>
      <w:r>
        <w:rPr>
          <w:rFonts w:eastAsia="Amiri" w:cs="Amiri" w:ascii="Amiri" w:hAnsi="Amiri"/>
          <w:color w:val="111111"/>
          <w:sz w:val="28"/>
          <w:szCs w:val="28"/>
          <w:rtl w:val="true"/>
          <w:lang w:bidi="ar-SA"/>
        </w:rPr>
        <w:t xml:space="preserve">. </w:t>
      </w:r>
      <w:bookmarkStart w:id="716" w:name="pg14367_157342"/>
    </w:p>
    <w:p>
      <w:pPr>
        <w:pStyle w:val="Heading6"/>
        <w:numPr>
          <w:ilvl w:val="5"/>
          <w:numId w:val="1"/>
        </w:numPr>
        <w:rPr/>
      </w:pPr>
      <w:bookmarkStart w:id="717" w:name="__RefHeading___Toc7507388_3381743652"/>
      <w:bookmarkStart w:id="718" w:name="_Toc264"/>
      <w:bookmarkEnd w:id="716"/>
      <w:bookmarkEnd w:id="717"/>
      <w:r>
        <w:rPr>
          <w:rtl w:val="true"/>
        </w:rPr>
        <w:t>الأمر السابع هل المضي عزيمة أو رخصة؟</w:t>
      </w:r>
      <w:bookmarkEnd w:id="718"/>
    </w:p>
    <w:p>
      <w:pPr>
        <w:pStyle w:val="BookText"/>
        <w:rPr/>
      </w:pPr>
      <w:r>
        <w:rPr>
          <w:rFonts w:ascii="Amiri" w:hAnsi="Amiri" w:eastAsia="Amiri" w:cs="Amiri"/>
          <w:color w:val="111111"/>
          <w:sz w:val="28"/>
          <w:sz w:val="28"/>
          <w:szCs w:val="28"/>
          <w:rtl w:val="true"/>
          <w:lang w:bidi="ar-SA"/>
        </w:rPr>
        <w:t>قد تضافر في الروايات الأمر بالمضي</w:t>
      </w:r>
      <w:r>
        <w:rPr>
          <w:rStyle w:val="FootnoteAnchor"/>
          <w:rtl w:val="true"/>
        </w:rPr>
        <w:footnoteReference w:id="241"/>
      </w:r>
      <w:r>
        <w:rPr>
          <w:rFonts w:ascii="Amiri" w:hAnsi="Amiri" w:eastAsia="Amiri" w:cs="Amiri"/>
          <w:color w:val="111111"/>
          <w:sz w:val="28"/>
          <w:sz w:val="28"/>
          <w:szCs w:val="28"/>
          <w:rtl w:val="true"/>
          <w:lang w:bidi="ar-SA"/>
        </w:rPr>
        <w:t>، وعدم الإعادة</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فهل المضي وعدم الإعادة على وجه الرخصة أو على وجه اللزوم؟ الظاهر هو الثاني، لأنّ الظاهر من الروايات هو التعبّد بوقوع المشكوك أو صحته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وعلى هذا يكون الرجوع زيادة بحكم تعبّد الشارع بوجوده أو صحته فيشمله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أضف إلى ذلك النهي عن الإعادة في صحيحة محمد بن مسلم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يعيد ولا شيء عليه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فامض ولا تعد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وأمّا الاستدلال بالأوامر الواردة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فهو ضعيف، لأنّ الأمر في مظانِّ توهم الحظر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المضيِّ وعدم الاعتداد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مثله لا يدلّ الأمر إلّاعلى الجواز</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جواز الإعادة في الطواف</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فيقتصر عليه</w:t>
      </w:r>
      <w:r>
        <w:rPr>
          <w:rFonts w:eastAsia="Amiri" w:cs="Amiri" w:ascii="Amiri" w:hAnsi="Amiri"/>
          <w:color w:val="111111"/>
          <w:sz w:val="28"/>
          <w:szCs w:val="28"/>
          <w:rtl w:val="true"/>
          <w:lang w:bidi="ar-SA"/>
        </w:rPr>
        <w:t xml:space="preserve">. </w:t>
      </w:r>
      <w:bookmarkStart w:id="719" w:name="pg14367_157343"/>
    </w:p>
    <w:p>
      <w:pPr>
        <w:pStyle w:val="Heading6"/>
        <w:numPr>
          <w:ilvl w:val="5"/>
          <w:numId w:val="1"/>
        </w:numPr>
        <w:rPr/>
      </w:pPr>
      <w:bookmarkStart w:id="720" w:name="__RefHeading___Toc7507390_3381743652"/>
      <w:bookmarkStart w:id="721" w:name="_Toc265"/>
      <w:bookmarkEnd w:id="719"/>
      <w:bookmarkEnd w:id="720"/>
      <w:r>
        <w:rPr>
          <w:rtl w:val="true"/>
        </w:rPr>
        <w:t>الأمر الثامن في جريان القاعدة في الأجزاء غير المستقلّة</w:t>
      </w:r>
      <w:bookmarkEnd w:id="721"/>
    </w:p>
    <w:p>
      <w:pPr>
        <w:pStyle w:val="BookText"/>
        <w:rPr/>
      </w:pPr>
      <w:r>
        <w:rPr>
          <w:rFonts w:ascii="Amiri" w:hAnsi="Amiri" w:eastAsia="Amiri" w:cs="Amiri"/>
          <w:color w:val="111111"/>
          <w:sz w:val="28"/>
          <w:sz w:val="28"/>
          <w:szCs w:val="28"/>
          <w:rtl w:val="true"/>
          <w:lang w:bidi="ar-SA"/>
        </w:rPr>
        <w:t>لا شكّ في جريان القاعدة في الأجزاء المستقلة، كالشكّ في الأذان عندما أقام، والشكّ في الركوع بعد ما سجد؛ إنّما الكلام في جريانها في غير المستقلّة من الأجزاء، كالشكّ في الشهادة الأُولى عند ما دخل في الشهادة الثانية، ومثله الشك في بعض فصول الإقامة أو بعض آيات سورة الحمد وقد دخل في غير المشكوك من سائر الفصول والآيات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الشيخ إلى عدم الشمول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عند الفقهاء كون الفاتحة فعلاً واحداً، بل جعل بعضُهم القراءةَ فعلاً واحداً، وقد عرفت النصّ في الروايات على عدم اعتبار الهويّ للسجود، والنهوض للقيام، وممّا يشهد لهذا التوجيه، إلحاق المشهور، الغسلَ والتيمم بالوضوء في هذا الحكم، إذ لا وجه له ظاهراً إلّاملاحظة كون الوضوء أمراً واحداً يُطلب منه أمر واحد غير قابل للتبعيض،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لم يرد على عدم اعتبار الهويّ للسجود، بل ورد على كفايته كما في صحيحة عبد الرحمن بن أبي عبد اللّه</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نعم ورد النصّ على عدم اعتبار النهوض للقيام</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 قد مرّ باختصاصه بالمورد ولا تصحّ تسرية </w:t>
      </w:r>
      <w:bookmarkStart w:id="722" w:name="pg14367_157344"/>
    </w:p>
    <w:p>
      <w:pPr>
        <w:pStyle w:val="BookText"/>
        <w:rPr/>
      </w:pPr>
      <w:bookmarkEnd w:id="722"/>
      <w:r>
        <w:rPr>
          <w:rFonts w:ascii="Amiri" w:hAnsi="Amiri" w:eastAsia="Amiri" w:cs="Amiri"/>
          <w:color w:val="111111"/>
          <w:sz w:val="28"/>
          <w:sz w:val="28"/>
          <w:szCs w:val="28"/>
          <w:rtl w:val="true"/>
          <w:lang w:bidi="ar-SA"/>
        </w:rPr>
        <w:t>حكمه إلى كلّ أمر غير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استظهره من روايات الوضوء وإلحاق الآخرين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الوضوء أمر واحد، يطلب منه أمر واحد غير قابل للتبعيض، يستلزم عدم جريان القاعدة في الصلاة والحج وسائر الأعمال العبادية إلّاإذا ورد النصّ به، لأنّ المطلوب في الصلاة أمر واحد وهو كونها معراج المؤمن، وفي الحجّ أمر واحد وهو العروج والوفود إلى اللّه،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للقاعدة كون الإنسان أذكر حين العمل، وأقرب إلى الحقّمن حالة الشكّ فلا فرق بين الجزء المستقل وغيره، و أقصى ما يمكن أن يقال هو شرطيّة محو صورة العمل عن ذهنه، ولذا لو شكّ في الكلمات المتقاربة لا تجري لحضور صورة العمل في ذهنه بل يعدُّ المصلي انّه في المحل بعدُ</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7507392_3381743652"/>
      <w:bookmarkStart w:id="724" w:name="_Toc266"/>
      <w:bookmarkEnd w:id="723"/>
      <w:r>
        <w:rPr>
          <w:rtl w:val="true"/>
        </w:rPr>
        <w:t>الأمر التاسع جريان القاعدة في الشكّ في صحّة الجزء المأتي به</w:t>
      </w:r>
      <w:bookmarkEnd w:id="72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الأسئلة الواردة في صحيح زرارة</w:t>
      </w:r>
      <w:r>
        <w:rPr>
          <w:rStyle w:val="FootnoteAnchor"/>
          <w:rtl w:val="true"/>
        </w:rPr>
        <w:footnoteReference w:id="252"/>
      </w:r>
      <w:r>
        <w:rPr>
          <w:rFonts w:ascii="Amiri" w:hAnsi="Amiri" w:eastAsia="Amiri" w:cs="Amiri"/>
          <w:color w:val="111111"/>
          <w:sz w:val="28"/>
          <w:sz w:val="28"/>
          <w:szCs w:val="28"/>
          <w:rtl w:val="true"/>
          <w:lang w:bidi="ar-SA"/>
        </w:rPr>
        <w:t>وموثقة إسماعيل بن جابر</w:t>
      </w:r>
      <w:r>
        <w:rPr>
          <w:rStyle w:val="FootnoteAnchor"/>
          <w:rtl w:val="true"/>
        </w:rPr>
        <w:footnoteReference w:id="253"/>
      </w:r>
      <w:r>
        <w:rPr>
          <w:rFonts w:ascii="Amiri" w:hAnsi="Amiri" w:eastAsia="Amiri" w:cs="Amiri"/>
          <w:color w:val="111111"/>
          <w:sz w:val="28"/>
          <w:sz w:val="28"/>
          <w:szCs w:val="28"/>
          <w:rtl w:val="true"/>
          <w:lang w:bidi="ar-SA"/>
        </w:rPr>
        <w:t>و إن كانت ظاهرة في الشكّ في الوجود، لكن الكبرى الواردة فيهما تعمّ الشكّ في الصحّة،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في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وقد دخل في غيره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ومثلهما موثقة ابن أبي يعفور</w:t>
      </w:r>
      <w:r>
        <w:rPr>
          <w:rStyle w:val="FootnoteAnchor"/>
          <w:rtl w:val="true"/>
        </w:rPr>
        <w:footnoteReference w:id="254"/>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bookmarkStart w:id="725" w:name="pg14367_157345"/>
    </w:p>
    <w:p>
      <w:pPr>
        <w:pStyle w:val="BookText"/>
        <w:rPr/>
      </w:pPr>
      <w:bookmarkEnd w:id="725"/>
      <w:r>
        <w:rPr>
          <w:rFonts w:ascii="Amiri" w:hAnsi="Amiri" w:eastAsia="Amiri" w:cs="Amiri"/>
          <w:color w:val="111111"/>
          <w:sz w:val="28"/>
          <w:sz w:val="28"/>
          <w:szCs w:val="28"/>
          <w:rtl w:val="true"/>
          <w:lang w:bidi="ar-SA"/>
        </w:rPr>
        <w:t>حيث فرض الشيء، محقّقاً ثمّ فرض التجاوز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التعليل بالأذكرية والأقربية إلى الحقّ تعمّ القسمين، بل يمكن ادّعاء الأولوية في الشكّ في الصحّة، فإذا جرت القاعدة في الشكّ في أصل الوجود، فأولى أن تكون جارية في الشكّ في الصحّة بعد تسليم أصل الوجود</w:t>
      </w:r>
      <w:r>
        <w:rPr>
          <w:rFonts w:eastAsia="Amiri" w:cs="Amiri" w:ascii="Amiri" w:hAnsi="Amiri"/>
          <w:color w:val="111111"/>
          <w:sz w:val="28"/>
          <w:szCs w:val="28"/>
          <w:rtl w:val="true"/>
          <w:lang w:bidi="ar-SA"/>
        </w:rPr>
        <w:t>.</w:t>
      </w:r>
    </w:p>
    <w:p>
      <w:pPr>
        <w:pStyle w:val="Heading6"/>
        <w:numPr>
          <w:ilvl w:val="5"/>
          <w:numId w:val="1"/>
        </w:numPr>
        <w:rPr/>
      </w:pPr>
      <w:bookmarkStart w:id="726" w:name="__RefHeading___Toc7507394_3381743652"/>
      <w:bookmarkStart w:id="727" w:name="_Toc267"/>
      <w:bookmarkEnd w:id="726"/>
      <w:r>
        <w:rPr>
          <w:rtl w:val="true"/>
        </w:rPr>
        <w:t>الأمر العاشر في جريان القاعدة في الشروط</w:t>
      </w:r>
      <w:bookmarkEnd w:id="727"/>
    </w:p>
    <w:p>
      <w:pPr>
        <w:pStyle w:val="BookText"/>
        <w:rPr/>
      </w:pPr>
      <w:r>
        <w:rPr>
          <w:rFonts w:ascii="Amiri" w:hAnsi="Amiri" w:eastAsia="Amiri" w:cs="Amiri"/>
          <w:color w:val="111111"/>
          <w:sz w:val="28"/>
          <w:sz w:val="28"/>
          <w:szCs w:val="28"/>
          <w:rtl w:val="true"/>
          <w:lang w:bidi="ar-SA"/>
        </w:rPr>
        <w:t>قد عرفت جريان القاعدة في الأجزاء مستقلة كانت أم غير مستقلة، إنّما الكلام في جريانها في الشروط الخارجة عن ماهية المأمور به، الدخيلة في صحّته أو كماله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تقدير فلها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سبباً لعروض عنوان الصلاة أو الظهر على العمل، كالنية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في أثناء العمل في أنّه نوى الصلاة أو لا، أو صلّى بنيّة الظهر أو بنيّة النافلة، فالقول بجريان القاعدة أمر مشكل، لأنّ جريانها فرع إحراز كون العمل موصوفاً بالصلاة، أو بالمأمور به، و أمّا مع الشكّ في أصل العنوان فهو أمر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جريان القاعدة إحراز الموضوع في حال الشكّ، كما إذا رأى نفسه في حال الصلاة أو قاصداً للظهر في تلك الحالة وإن كان العنوان في ظرف الشكّ مشكوكاً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لذات القيد محل شرعيّ، كالأذان والإقامة بالنسبة إلى الصلاة حيث إنّ لهما دخلاً في صحّة الصلاة أو كمالها، فلو شكّ في تحقّقهما في محلّهما بعد التجاوز عنه، لا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هذا القبيل إذا شكّ في الإتيان بالظهر وهو يصلّي العصر، فلا يعتدّ بالشكّ ويبني على أنّ صلاته الفعلية حائزة للشرط، وهو سبق الظهر على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كلّه إذا فرغ من الصلاة، فعليه الإتيان بالظهر، وذلك لأنّ مفاد القاعدة كون صلاة العصر، حائزة للشرط، وأمّا أنّه صلاّها في الواقع ونفس الأمر، فلا تثبته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يعلم أنّ الصحّة الثابتة بالقاعدة، صحّة نسبيّة لا مطلقة، وانّ مفادها، كون صلاة العصر حائزة للشرط، لا انّ ذمّة المصلّي فارغة من صلاة الظهر مع بقاء الوقت، فيشمله إطلاق ما دلّ على وجوب الاعتداد بالشكّ في الشيء قبل دخول الحائل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انّ أصالة الصحّة أصل محرز للواقع، وانّه يُبنى على وجود الشرط في الواقع، ومعه كيف يجب عليه الإتيان بالظهر؟</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وإن كانت أصلاً محرزاً، لكن الإحراز في إطار الشكّ الذي طرأ عليه وهو كون صلاة العصر واجدة للشرط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المحرز هو سبق الظهر على العصر بما انّه شرط لصحة صلاة العصر، وأمّا إحرازها مطلقاً وفراغ ذمّته مطلقاً فلا تثبتة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يكون لذات القيد مكان خاص كالستر والقبلة، ولكن التقيّد بها معتبر من أوّل الصلاة إلى آخرها، فإذا شكّ في الشرط فله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وجود الشرط أي‌التقيّد وقد فرغ من الصلاة، فالصلاة محكومة بالصحة بحكم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الأثناء بالنسبة إلى الركعة السابقة وهو واجد له حين الشكّ، فهي محكومة بالصحّة أيضاً</w:t>
      </w:r>
      <w:r>
        <w:rPr>
          <w:rFonts w:eastAsia="Amiri" w:cs="Amiri" w:ascii="Amiri" w:hAnsi="Amiri"/>
          <w:color w:val="111111"/>
          <w:sz w:val="28"/>
          <w:szCs w:val="28"/>
          <w:rtl w:val="true"/>
          <w:lang w:bidi="ar-SA"/>
        </w:rPr>
        <w:t xml:space="preserve">. </w:t>
      </w:r>
      <w:bookmarkStart w:id="728" w:name="pg14367_157347"/>
    </w:p>
    <w:p>
      <w:pPr>
        <w:pStyle w:val="BookText"/>
        <w:rPr/>
      </w:pPr>
      <w:bookmarkEnd w:id="72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 في الأثناء بالنسبة إلى الركعة السابقة وهو غير واجد له حين الشك، فهي محكومة بالبطلان للعلم بعدم وجود الشرط فعلاً، سواء أصحّت الركعة السابقة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شكّفي الأثناء بالنسبة إلى الركعة السابقة، مع كونه شاكاً أيضاً حين الالتفات، فعليه الفحص فإن أحرز فهو وإلّا تكون محكومة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تبيّن الفرق بين الشكّ في الأذان والإقامة مع كونه في الصلاة، والشكّ في الاستقبال والستر وهو فيها، لأنّ للأوّلين محلاً معيناً، تجاوز عنه حين الشكّ بخلاف الأخيرين فهما معتبران في عامة آنات الصلاة، فالشكّ فيهما بالنسبة إلى الركعة الماضية وإن كان شكاً بعد المحل، لكنّه بالنسبة إلى حين الالتفات شك في المحل، فيجب إحرازه وإلّا يكون العمل محكوماً بالبطلان</w:t>
      </w:r>
      <w:r>
        <w:rPr>
          <w:rFonts w:eastAsia="Amiri" w:cs="Amiri" w:ascii="Amiri" w:hAnsi="Amiri"/>
          <w:color w:val="111111"/>
          <w:sz w:val="28"/>
          <w:szCs w:val="28"/>
          <w:rtl w:val="true"/>
          <w:lang w:bidi="ar-SA"/>
        </w:rPr>
        <w:t>.</w:t>
      </w:r>
    </w:p>
    <w:p>
      <w:pPr>
        <w:pStyle w:val="Heading6"/>
        <w:numPr>
          <w:ilvl w:val="5"/>
          <w:numId w:val="1"/>
        </w:numPr>
        <w:rPr/>
      </w:pPr>
      <w:bookmarkStart w:id="729" w:name="__RefHeading___Toc7507396_3381743652"/>
      <w:bookmarkStart w:id="730" w:name="_Toc268"/>
      <w:bookmarkEnd w:id="729"/>
      <w:r>
        <w:rPr>
          <w:rtl w:val="true"/>
        </w:rPr>
        <w:t>الشكّ في الطهارة الحدثية</w:t>
      </w:r>
      <w:bookmarkEnd w:id="730"/>
    </w:p>
    <w:p>
      <w:pPr>
        <w:pStyle w:val="BookText"/>
        <w:rPr/>
      </w:pPr>
      <w:r>
        <w:rPr>
          <w:rFonts w:ascii="Amiri" w:hAnsi="Amiri" w:eastAsia="Amiri" w:cs="Amiri"/>
          <w:color w:val="111111"/>
          <w:sz w:val="28"/>
          <w:sz w:val="28"/>
          <w:szCs w:val="28"/>
          <w:rtl w:val="true"/>
          <w:lang w:bidi="ar-SA"/>
        </w:rPr>
        <w:t>إذا شكّ في الطهارة الحدثية وهو في أثناء الصلاة، فهل تجري القاعدة أو لا؟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الشرط لصحّة الصلاة، هو الغسلات والمسحات مع قصد القربة، كما هو المتبادر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الطهارة وهو في أثناء الصلاة، فقد شكّ بعد مضي الوقت، فيحكم بأنّ الصلاة حائزة لشرطها ومع ذلك يجب عليه تحصل الطهارة، بالنسبة إلى الصلوات الأُخرى، لما عرفت من أنّ</w:t>
      </w:r>
    </w:p>
    <w:p>
      <w:pPr>
        <w:pStyle w:val="BookText"/>
        <w:rPr/>
      </w:pPr>
      <w:r>
        <w:rPr>
          <w:rFonts w:ascii="Amiri" w:hAnsi="Amiri" w:eastAsia="Amiri" w:cs="Amiri"/>
          <w:color w:val="111111"/>
          <w:sz w:val="28"/>
          <w:sz w:val="28"/>
          <w:szCs w:val="28"/>
          <w:rtl w:val="true"/>
          <w:lang w:bidi="ar-SA"/>
        </w:rPr>
        <w:t>مفاد القاعدة هو الصحّة النسبيّة، وانّ الصلاة واجدة لشرطها، وأمّا أنّ المصلّي متطهّر واقعاً فلا، ولذلك يجب إحرازها بالوجدان أو بالأمارة بالنسبة إلى الصلوات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 الآية بصدد بيان اشتراط الصلاة بالطهارة وإرشاداً إلى شرطيتها لها لا يمنع أن تكون مبيّنة لمحلّها، فيكون حكم الطهارة الحدثية نظير الأذان والإقامة في أنّ محل إحرازها هو قبل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الشرط هو الحالة النفسانية الحاصلة للنفس بالغسلات والمسحات المقرونة بقصد القربة، فهي شرط لمجموع العمل، فيكون حالها حال الستر والقبلة، فمادام المصلّي مشتغلاً بالصلاة، لا يصدق عليه انّه تجاوز عن محلّه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هو الأوّل، أخذاً بظاهر الآية، بل يمكن أن يقال بالصحّة حتى على الوجه الثاني، فإنّ الشرط وإن كان هو الطهارة النفسانية المعتبرة في الصلاة من أوّلها إلى آخرها لكن محلّ إحرازها شرعاً، هو أوّل الصلاة، فالشاكّ في الأثناء قد تجاوز عن المحل الذي أمر الشارع بتحصيله فيه، ولعلّ هذا المقدار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محل التحصيل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صدق التجاوز وإن كان نفس الشرط غير متجاوز عنه</w:t>
      </w:r>
      <w:r>
        <w:rPr>
          <w:rFonts w:eastAsia="Amiri" w:cs="Amiri" w:ascii="Amiri" w:hAnsi="Amiri"/>
          <w:color w:val="111111"/>
          <w:sz w:val="28"/>
          <w:szCs w:val="28"/>
          <w:rtl w:val="true"/>
          <w:lang w:bidi="ar-SA"/>
        </w:rPr>
        <w:t xml:space="preserve">. </w:t>
      </w:r>
      <w:bookmarkStart w:id="731" w:name="pg14367_157349"/>
    </w:p>
    <w:p>
      <w:pPr>
        <w:pStyle w:val="Heading6"/>
        <w:numPr>
          <w:ilvl w:val="5"/>
          <w:numId w:val="1"/>
        </w:numPr>
        <w:rPr/>
      </w:pPr>
      <w:bookmarkStart w:id="732" w:name="__RefHeading___Toc7507398_3381743652"/>
      <w:bookmarkStart w:id="733" w:name="_Toc269"/>
      <w:bookmarkEnd w:id="731"/>
      <w:bookmarkEnd w:id="732"/>
      <w:r>
        <w:rPr>
          <w:rtl w:val="true"/>
        </w:rPr>
        <w:t>الأمر الحادي عشر في خروج الطهارات الثلاث عن حريم القاعدة</w:t>
      </w:r>
      <w:bookmarkEnd w:id="733"/>
    </w:p>
    <w:p>
      <w:pPr>
        <w:pStyle w:val="BookText"/>
        <w:rPr/>
      </w:pPr>
      <w:r>
        <w:rPr>
          <w:rFonts w:ascii="Amiri" w:hAnsi="Amiri" w:eastAsia="Amiri" w:cs="Amiri"/>
          <w:color w:val="111111"/>
          <w:sz w:val="28"/>
          <w:sz w:val="28"/>
          <w:szCs w:val="28"/>
          <w:rtl w:val="true"/>
          <w:lang w:bidi="ar-SA"/>
        </w:rPr>
        <w:t>حكى غير واحد الاتفاق على خروج أجزاء الطهارات الثلاث عن حريم القاعدة، وانّ الشكّ في الأثناء، موجب لبطلانها، وقد ورد النصّ في الوضوء وأُلحق به الغسل والتيمم، ومن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زرارة،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فلم تدر أغسلت ذراعيك أم لا، فأعد عليهما وعلى جميع ما شككت فيه أنّك لم تغسله و تمسحه، ممّا سمّى اللّه، ما دُمت في حال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قمت عن الوضوء، وفرغت منه، وقد صرت في حال أُخرى في الصلاة، أو في غيرها، فشككت في بعض ما سمّى اللّه ممّا أوجب اللّه عليك فيه وضوءه، لا شيء عليك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في مسح رأسك فأصبت في لحيتك بللاً فامسح بها عليه، وعلى ظهر قدميك، فإن لم تُصب بللاً فلا تنقض الوضوء بالشكّ، وامض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تيقّنت أنّك لم تتمّ وضوءك فأعد على ما تركت يقيناً، حتّى تأتي على الوضوء</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ودلالة الرواية على المطلب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في الفقرة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w:t>
      </w:r>
    </w:p>
    <w:p>
      <w:pPr>
        <w:pStyle w:val="BookText"/>
        <w:rPr/>
      </w:pPr>
      <w:r>
        <w:rPr>
          <w:rFonts w:ascii="Amiri" w:hAnsi="Amiri" w:eastAsia="Amiri" w:cs="Amiri"/>
          <w:color w:val="111111"/>
          <w:sz w:val="28"/>
          <w:sz w:val="28"/>
          <w:szCs w:val="28"/>
          <w:rtl w:val="true"/>
          <w:lang w:bidi="ar-SA"/>
        </w:rPr>
        <w:t>شككت في مسح رأسك فأصبت في لحتيك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فيها شكّ بعد الفراغ، والمسح ببلل اللحية استحبابي، بقرينة قوله في الفقرة الرابعة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تصب بللاً، فلا تنقض الوضوء بالشكّ وامض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المضيّ في الصلاة قرينة على حدوث الشكّ في تلك الحالة، إنّما هو بعد التجاوز عن المحلّ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موثّقة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ودلالته بالمفهوم حيث خصّ السائل السؤال ببعد الوضوء وجاء الجواب على طبق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التخصيص في كلام السائل تكون دلالتها على الرجوع في الأثناء ضعيفة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مرسلة أبي يحيى الواسطي،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أغسل وجهي ثمّ أغسل يدي ويشكّكني الشيطان أنّي لم أغسل ذراعي ويدي؟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برد الماء على ذراعك فلا تعد</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الشكّ في الأثناء مشمولاً للقاعدة، لما تمسّك الإمام في الحكم بعدم العود بالأمارة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الرواية ملاحظتان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مرسلة لا يصحّ الاحتجاج بها</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أثناء الوضوء مشمول لقاعدة التجاوز، وأمّا أنّ الإمام لم يتمسّك بها بل تمسّك بالأمارة الظنيّة، فإنّما هو لأجل إزالة شكّ السائل الّذي كان كثير الشكّ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ويشكّكني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يكون التمسّك بها دليلاً على عدم جريان القاعدة في الأثناء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موثّقة ابن أبي يعفور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الشيخ في عداد ما يدلّ على لزوم الالتفات إذا شكّ في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والرواية جديرة بالبحث صدراً وذيلاً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الصدر، أعني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رجع الضمير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كفاية التجاوز عن محلّ غسل العضو، وإن لم يفرغ من الوضوء، فيكون مخالفاً لما سبق من الروايات والإجماع المدّعى؛ وإن رجع إلى الوضوء كان الصدر موافقاً لما مرّ من روايتي زرارة وأبي يحيى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ولعلّهما قرينتان منفصلتان على تعيّن عود الضمير إلى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فالصدر خال عن الإشكال، إنّما الإشكال في الذيل، فانّ الضمير فيه يرجع إلى الشيء المشكوك من الوضوء، والشيء المشكوك هو غسل أحد الأعضاء، فلازم ذلك كفاية التجاوز عن الشيء المشكوك وإن لم يفرغ عن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يخالف الروايات السابقة والإجماع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أساطين العلم كالشيخ الأعظم</w:t>
      </w:r>
      <w:r>
        <w:rPr>
          <w:rStyle w:val="FootnoteAnchor"/>
          <w:rtl w:val="true"/>
        </w:rPr>
        <w:footnoteReference w:id="258"/>
      </w:r>
      <w:r>
        <w:rPr>
          <w:rFonts w:ascii="Amiri" w:hAnsi="Amiri" w:eastAsia="Amiri" w:cs="Amiri"/>
          <w:color w:val="111111"/>
          <w:sz w:val="28"/>
          <w:sz w:val="28"/>
          <w:szCs w:val="28"/>
          <w:rtl w:val="true"/>
          <w:lang w:bidi="ar-SA"/>
        </w:rPr>
        <w:t>، وغيره الإجابة عن الإشكال ولكن الأولى في الإجابة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الذيل بإطلاقه يدلّ على كفاية التجاوز عن الشيء المشكوك وله مصداقان</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التجاوز عنه بالاشتغال بعضو من أعضاء الوضوء</w:t>
      </w:r>
      <w:r>
        <w:rPr>
          <w:rFonts w:eastAsia="IRNazanin" w:cs="IRNazanin"/>
          <w:color w:val="111111"/>
          <w:sz w:val="28"/>
          <w:szCs w:val="28"/>
          <w:rtl w:val="true"/>
          <w:lang w:bidi="fa-IR"/>
        </w:rPr>
        <w:t xml:space="preserve">. </w:t>
      </w:r>
      <w:bookmarkStart w:id="734" w:name="pg14367_157352"/>
    </w:p>
    <w:p>
      <w:pPr>
        <w:pStyle w:val="BookText"/>
        <w:rPr/>
      </w:pPr>
      <w:bookmarkEnd w:id="734"/>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التجاوز عنه والدخول في عمل غير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الإطلاق كفاية كلا التجاوزين إلّاأنّه يقيّد بما عرفت من الأدلّة على عدم كفاية الاشتغال بعضو من أعضاء الوضوء، بل لابدّ من الدخول في عمل آخر، وليس هذا إخراجاً للمورد بل تقييداً للمطلق</w:t>
      </w:r>
      <w:r>
        <w:rPr>
          <w:rFonts w:eastAsia="Amiri" w:cs="Amiri" w:ascii="Amiri" w:hAnsi="Amiri"/>
          <w:color w:val="111111"/>
          <w:sz w:val="28"/>
          <w:szCs w:val="28"/>
          <w:rtl w:val="true"/>
          <w:lang w:bidi="ar-SA"/>
        </w:rPr>
        <w:t>.</w:t>
      </w:r>
    </w:p>
    <w:p>
      <w:pPr>
        <w:pStyle w:val="Heading6"/>
        <w:numPr>
          <w:ilvl w:val="5"/>
          <w:numId w:val="1"/>
        </w:numPr>
        <w:rPr/>
      </w:pPr>
      <w:bookmarkStart w:id="735" w:name="__RefHeading___Toc7507400_3381743652"/>
      <w:bookmarkStart w:id="736" w:name="_Toc270"/>
      <w:bookmarkEnd w:id="735"/>
      <w:r>
        <w:rPr>
          <w:rtl w:val="true"/>
        </w:rPr>
        <w:t>الأمر الثاني عشر في اختصاص القاعدة بالإخلال عن سهو</w:t>
      </w:r>
      <w:bookmarkEnd w:id="736"/>
    </w:p>
    <w:p>
      <w:pPr>
        <w:pStyle w:val="BookText"/>
        <w:rPr/>
      </w:pPr>
      <w:r>
        <w:rPr>
          <w:rFonts w:ascii="Amiri" w:hAnsi="Amiri" w:eastAsia="Amiri" w:cs="Amiri"/>
          <w:color w:val="111111"/>
          <w:sz w:val="28"/>
          <w:sz w:val="28"/>
          <w:szCs w:val="28"/>
          <w:rtl w:val="true"/>
          <w:lang w:bidi="ar-SA"/>
        </w:rPr>
        <w:t>لو احتمل كون الترك مستنداً إلى العمد، فهل يقع مجرى للقاعدة أو لا؟ يظهر من الشيخ كونه مجرى لها، قال في ذيل الموضع السابع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استفادة الحكم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بمنزلة صغرى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أذكر فلا يترك ممّا يعتبر في صحّة عمله الذي يريد براءة ذمّته، لأنّ الترك سهواً خلاف فرض الذكر وعمداً خلاف إرادة الإبراء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الأذكرية إنّما تعالج احتمال الترك سهواً لا احتمال تركه عمداً بشهادة انّ كثيراً من الذاكرين يتركون الواجب، أصلَه وفرعَه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أحرز انّه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الأذكرية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إبراء الذمّة عن يقين لماذا لا تجري القاعدة؟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ذلك يوجب الاستغناء عن القاعدة، لأنّ إحراز ذلك لا يجتمع مع احتمال ترك الجزء عمداً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يؤيد اختصاص القاعدة بصورة احتمال الترك سهواً وعدم عمومها لاحتمال الترك عمداً هو ارتكاز العقلاء، فإنّهم لا يعتدون بالشكّ فيما إذا كان احتمال الترك مستنداً إلى السهو لا إلى العمد فربما يكون ذلك الارتكاز قرينة لعدم الإطلاق الوارد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فلو احتمل ترك الجزء عمداً يجب الرجوع إلى القواعد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لو احتمل ترك الجزء عمداً، يجب عليه إعادة الواجب إذا كان الوقت باقياً دونما إذا خرج الوقت فانّ المرجع فيه هو البراءة عن القضاء، لما تُقرر في محلّه من أنّ القضاء بأمر جديد وهو مشكوك بعدُ، لا بالأمر الأوّل الذي سقط بخروج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القضاء في الصورة الثانية أيضاً بأصالة عدم الإتيان بالواجب في وقته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الاستصحاب لا يثبت عنوان الفوت الذي هو أمر وجودي وموضوع لوجوب القضاء في الأدلّة، بل هو من العناوين اللازمة للمستصحب</w:t>
      </w:r>
      <w:r>
        <w:rPr>
          <w:rFonts w:eastAsia="Amiri" w:cs="Amiri" w:ascii="Amiri" w:hAnsi="Amiri"/>
          <w:color w:val="111111"/>
          <w:sz w:val="28"/>
          <w:szCs w:val="28"/>
          <w:rtl w:val="true"/>
          <w:lang w:bidi="ar-SA"/>
        </w:rPr>
        <w:t xml:space="preserve">. </w:t>
      </w:r>
      <w:bookmarkStart w:id="737" w:name="pg14367_157354"/>
    </w:p>
    <w:p>
      <w:pPr>
        <w:pStyle w:val="Heading6"/>
        <w:numPr>
          <w:ilvl w:val="5"/>
          <w:numId w:val="1"/>
        </w:numPr>
        <w:rPr/>
      </w:pPr>
      <w:bookmarkStart w:id="738" w:name="__RefHeading___Toc7507402_3381743652"/>
      <w:bookmarkStart w:id="739" w:name="_Toc271"/>
      <w:bookmarkEnd w:id="737"/>
      <w:bookmarkEnd w:id="738"/>
      <w:r>
        <w:rPr>
          <w:rtl w:val="true"/>
        </w:rPr>
        <w:t>الأمر الثالث عشر اختصاص القاعدة بالشكّ الحادث بعد العمل</w:t>
      </w:r>
      <w:bookmarkEnd w:id="739"/>
    </w:p>
    <w:p>
      <w:pPr>
        <w:pStyle w:val="BookText"/>
        <w:rPr/>
      </w:pPr>
      <w:r>
        <w:rPr>
          <w:rFonts w:ascii="Amiri" w:hAnsi="Amiri" w:eastAsia="Amiri" w:cs="Amiri"/>
          <w:color w:val="111111"/>
          <w:sz w:val="28"/>
          <w:sz w:val="28"/>
          <w:szCs w:val="28"/>
          <w:rtl w:val="true"/>
          <w:lang w:bidi="ar-SA"/>
        </w:rPr>
        <w:t>إنّ مصبّ القاعدة هو الشكّ الطارئ بعد مضي العمل، وأمّا لو كان الشكّ موجوداً قبل العمل لكنّه ذهل عنه ثمّ التفت إلى الشكّ السابق بعد العمل، فلا تجري فيه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أحكام الصور المترتبة عليه</w:t>
      </w:r>
      <w:r>
        <w:rPr>
          <w:rFonts w:eastAsia="Amiri" w:cs="Amiri" w:ascii="Amiri" w:hAnsi="Amiri"/>
          <w:color w:val="111111"/>
          <w:sz w:val="28"/>
          <w:szCs w:val="28"/>
          <w:rtl w:val="true"/>
          <w:lang w:bidi="ar-SA"/>
        </w:rPr>
        <w:t>.</w:t>
      </w:r>
    </w:p>
    <w:p>
      <w:pPr>
        <w:pStyle w:val="Heading6"/>
        <w:numPr>
          <w:ilvl w:val="5"/>
          <w:numId w:val="1"/>
        </w:numPr>
        <w:rPr/>
      </w:pPr>
      <w:bookmarkStart w:id="740" w:name="__RefHeading___Toc7507404_3381743652"/>
      <w:bookmarkStart w:id="741" w:name="_Toc272"/>
      <w:bookmarkEnd w:id="740"/>
      <w:r>
        <w:rPr>
          <w:rtl w:val="true"/>
        </w:rPr>
        <w:t>الصورة الأُولى‌</w:t>
      </w:r>
      <w:bookmarkEnd w:id="741"/>
    </w:p>
    <w:p>
      <w:pPr>
        <w:pStyle w:val="BookText"/>
        <w:rPr/>
      </w:pPr>
      <w:r>
        <w:rPr>
          <w:rFonts w:ascii="Amiri" w:hAnsi="Amiri" w:eastAsia="Amiri" w:cs="Amiri"/>
          <w:color w:val="111111"/>
          <w:sz w:val="28"/>
          <w:sz w:val="28"/>
          <w:szCs w:val="28"/>
          <w:rtl w:val="true"/>
          <w:lang w:bidi="ar-SA"/>
        </w:rPr>
        <w:t>لو كان المكلّف محدِثاً وشكّ في ارتفاعها ثمّ غفل ودخل الصلاة وأتمها فشكّ في صحّتها ولا يحتمل انّه توضأ بين الشكّ والصلاة، فلا تجري قاعدة الفراغ، لأنّ مجراها هو الشكّ الحادث، والشكّ بعد الصلاة في المقام، هو نفس الشكّ الموجود قبل الصلاة، لكنّه غفل عنه عبْر الصلاة ثمّ عاد الشكّ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بعد عدم جريان القاعدة هو قاعدة الاشتغال ولزوم إفراغ الذمّة بإعادة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المرجع استصحاب الحدث والنتيجة على كلا الوجهين واحدة، وهو عدم جواز الاقتصار بالصلاة السابقة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سيّدنا الأُستاذ إلى أنّ المرجع هو قاعدة الاشتغال ولا يجري استصحاب الحدث في حال الغفلة عن الشكّ، لأنّ حجّية الاستصحاب متوقفة على الشكّ الفعلي الذي يكون ملتفتاً إليه ليكون الاستصحاب مستنداً للفاعل في عمله كما هو الشأن في كلية الحجج عقلاً، وعلى ذلك لا يكون الاستصحاب حجّة </w:t>
      </w:r>
      <w:bookmarkStart w:id="742" w:name="pg14367_157355"/>
    </w:p>
    <w:p>
      <w:pPr>
        <w:pStyle w:val="BookText"/>
        <w:rPr/>
      </w:pPr>
      <w:bookmarkEnd w:id="742"/>
      <w:r>
        <w:rPr>
          <w:rFonts w:ascii="Amiri" w:hAnsi="Amiri" w:eastAsia="Amiri" w:cs="Amiri"/>
          <w:color w:val="111111"/>
          <w:sz w:val="28"/>
          <w:sz w:val="28"/>
          <w:szCs w:val="28"/>
          <w:rtl w:val="true"/>
          <w:lang w:bidi="ar-SA"/>
        </w:rPr>
        <w:t>وجارياً في حال الغفلة عن الشكّ أو اليقين</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الشكّ ليس معدوماً في النفس بل مخزون فيها وموجود بالفعل لكنّه غافل عنه، وهذا المقدار من الشكّ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من أنّ الالتفات إلى الشكّ شرط لحجّية الاستصحاب والمفروض انّه غير ملتفت إليه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المصلّي وإن كان غير ملتفت إلى شكّه لكن المجتهد الذي يريد الإفتاء في المسألة يتّخذ يقين ذلك المصلّي وشكّه موضوعاً للحكم بعدم جواز نقض يقينه بالشك وينوب عنه في الاستصحاب فيكون محكوماً بكونه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فالقاعدتان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الاشتغال واستصحاب الحدث، جاريتان وإن كانت النتيجة واحدة</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7507406_3381743652"/>
      <w:bookmarkStart w:id="744" w:name="_Toc273"/>
      <w:bookmarkEnd w:id="743"/>
      <w:r>
        <w:rPr>
          <w:rtl w:val="true"/>
        </w:rPr>
        <w:t>الصورة الثانية</w:t>
      </w:r>
      <w:bookmarkEnd w:id="744"/>
    </w:p>
    <w:p>
      <w:pPr>
        <w:pStyle w:val="BookText"/>
        <w:rPr/>
      </w:pPr>
      <w:r>
        <w:rPr>
          <w:rFonts w:ascii="Amiri" w:hAnsi="Amiri" w:eastAsia="Amiri" w:cs="Amiri"/>
          <w:color w:val="111111"/>
          <w:sz w:val="28"/>
          <w:sz w:val="28"/>
          <w:szCs w:val="28"/>
          <w:rtl w:val="true"/>
          <w:lang w:bidi="ar-SA"/>
        </w:rPr>
        <w:t>تلك الصورة ولكنّه يحتمل انّه توضأ بين الشكّ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 إلى أنّه تجري قاعدة الفراغ، لكون الشكّ الحادث بعد الصلاة ليس نفس الشكّ الموجود المغفول عنه قبلها، بل طرأ لأجل احتمال انّه توضّأ وصلّى فلا يزيد حكمه عمّا إذا علم بالحدث واحتمل بعد الفراغ من الصلاة، انّه توضأ وصلّى، فكما تجري القاعدة هناك فهكذا المقام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أركان استصحاب الحدث تامة في المقام لما عرفت من أنّ اليقين والشكّ موجودان في خزانة النفس وإن كان الإنسان غافلاً عنهما، وهذا </w:t>
      </w:r>
      <w:bookmarkStart w:id="745" w:name="pg14367_157356"/>
    </w:p>
    <w:p>
      <w:pPr>
        <w:pStyle w:val="BookText"/>
        <w:rPr/>
      </w:pPr>
      <w:bookmarkEnd w:id="745"/>
      <w:r>
        <w:rPr>
          <w:rFonts w:ascii="Amiri" w:hAnsi="Amiri" w:eastAsia="Amiri" w:cs="Amiri"/>
          <w:color w:val="111111"/>
          <w:sz w:val="28"/>
          <w:sz w:val="28"/>
          <w:szCs w:val="28"/>
          <w:rtl w:val="true"/>
          <w:lang w:bidi="ar-SA"/>
        </w:rPr>
        <w:t>المقدار من الوجود لهما كافٍ في حكم المجتهد بحرمة نقض اليقين بالشكّ وصيرورته محكوماً بالحدث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والشكّ الحادث بعد الصلاة وإن كان شكّاً جديداً مسوِّغاً لجريان قاعدة التجاوز وحاكماً على الاستصحاب الجاري بعد الصلاة، لكن الاستصحاب الجاري قبل الصلاة حاكم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أفاده من أنّ حكمه لا يزيد على ما إذا علم بالحدث واحتمل بعد الفراغ من الصلاة انّه توضّأ وصلّى، فغير تام، للفرق بين المقيس والمقيس عليه، لعدم اكتمال أركان استصحاب الحدث في الثاني دون الأوّل، لأنّه ليس في المقيس عليه إلّااليقين فقط وهو غير كاف في الاستصحاب فتجري القاعدة، بخلاف المقيس إذ فيه وراء اليقين وجود الشكّ و إن ذهل عنه بعده فيجري الاستصحاب قبل الصلاة ويكون حاكماً على القاعدة الجارية بعدها</w:t>
      </w:r>
      <w:r>
        <w:rPr>
          <w:rFonts w:eastAsia="Amiri" w:cs="Amiri" w:ascii="Amiri" w:hAnsi="Amiri"/>
          <w:color w:val="111111"/>
          <w:sz w:val="28"/>
          <w:szCs w:val="28"/>
          <w:rtl w:val="true"/>
          <w:lang w:bidi="ar-SA"/>
        </w:rPr>
        <w:t>.</w:t>
      </w:r>
    </w:p>
    <w:p>
      <w:pPr>
        <w:pStyle w:val="Heading6"/>
        <w:numPr>
          <w:ilvl w:val="5"/>
          <w:numId w:val="1"/>
        </w:numPr>
        <w:rPr/>
      </w:pPr>
      <w:bookmarkStart w:id="746" w:name="__RefHeading___Toc7507408_3381743652"/>
      <w:bookmarkStart w:id="747" w:name="_Toc274"/>
      <w:bookmarkEnd w:id="746"/>
      <w:r>
        <w:rPr>
          <w:rtl w:val="true"/>
        </w:rPr>
        <w:t>الصورة الثالثة</w:t>
      </w:r>
      <w:bookmarkEnd w:id="74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متطهّراً ثمّ شكّ في الطهارة وذهل وصلّى وشك بعدها، فالاستصحاب قبل الصلاة وبعدها والقاعدة متوافقة المضمون ولا تترتب ثمرة عملية عليه لتعيين ما هو المرجع</w:t>
      </w:r>
      <w:r>
        <w:rPr>
          <w:rFonts w:eastAsia="Amiri" w:cs="Amiri" w:ascii="Amiri" w:hAnsi="Amiri"/>
          <w:color w:val="111111"/>
          <w:sz w:val="28"/>
          <w:szCs w:val="28"/>
          <w:rtl w:val="true"/>
          <w:lang w:bidi="ar-SA"/>
        </w:rPr>
        <w:t xml:space="preserve">. </w:t>
      </w:r>
      <w:bookmarkStart w:id="748" w:name="pg14367_157357"/>
    </w:p>
    <w:p>
      <w:pPr>
        <w:pStyle w:val="Heading6"/>
        <w:numPr>
          <w:ilvl w:val="5"/>
          <w:numId w:val="1"/>
        </w:numPr>
        <w:rPr/>
      </w:pPr>
      <w:bookmarkStart w:id="749" w:name="__RefHeading___Toc7507410_3381743652"/>
      <w:bookmarkStart w:id="750" w:name="_Toc275"/>
      <w:bookmarkEnd w:id="748"/>
      <w:bookmarkEnd w:id="749"/>
      <w:r>
        <w:rPr>
          <w:rtl w:val="true"/>
        </w:rPr>
        <w:t>الأمر الرابع عشر في اختصاص القاعدة بالذاكر دون الغافل القطعي</w:t>
      </w:r>
      <w:bookmarkEnd w:id="750"/>
    </w:p>
    <w:p>
      <w:pPr>
        <w:pStyle w:val="BookText"/>
        <w:rPr/>
      </w:pPr>
      <w:r>
        <w:rPr>
          <w:rFonts w:ascii="Amiri" w:hAnsi="Amiri" w:eastAsia="Amiri" w:cs="Amiri"/>
          <w:color w:val="111111"/>
          <w:sz w:val="28"/>
          <w:sz w:val="28"/>
          <w:szCs w:val="28"/>
          <w:rtl w:val="true"/>
          <w:lang w:bidi="ar-SA"/>
        </w:rPr>
        <w:t>الظاهر اختصاص القاعدة بمن اشتغل بالعمل عن ذُكر إجمالي ولكنّه يحتمل عروض الغفلة عليه فيترك الجزء والشرط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علم بغفلته حين العمل ولكنّه يحتمل انطباق العمل على الواقع من باب الصدفة والاتّفاق، كما لو توضّأ ولم يحرّك خاتمه ولكن يحتمل وصول الماء إلى تحته صدفة، فلا تجري القاعدة، بل مجراه ما إذا كان انطباق العمل على الواقع معلولاً لكونه مريداً لإبراء ذمّته، لا لانطباقه عليه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تعالج الشكّ النابع من احتمال عروض الغفلة، وأمّا الشكّ النابع من واقع تكوينيّ،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اتصال الخاتم بالاصبع على نحو يمنع من وصول الماء أو لا يمنع؟ فلا تعالجه، لأنّ الوصول وعدمه ليس له صلة بالأذكرية والأقربية، بل نسبته وعدمه إليهما على وجه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القاعدة ما إذا لم تكن صورة العمل محفوظة حتى يختلف حال المكلّف إلى حين العمل وحين الشكّ، وأمّا إذا كانت صورة العمل محفوظة على وجه يكون شاكاً في كلتا الحالتين، فلا تكون مجرى للقاعدة وفي المقام لو التفت حين العمل بأنّه اغتسل من غير تحريك لخاتمه يشك كشكّه بعد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 أُمور</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العامل حين العمل أذكر وأقرب إلى الحقّ من حين الشكّ، وهذا يستلزم أن تكون الحالتان مختلفتين من حيث الذكر والقرب إلى </w:t>
      </w:r>
    </w:p>
    <w:p>
      <w:pPr>
        <w:pStyle w:val="BookText"/>
        <w:rPr/>
      </w:pPr>
      <w:r>
        <w:rPr>
          <w:rFonts w:ascii="Amiri" w:hAnsi="Amiri" w:eastAsia="Amiri" w:cs="Amiri"/>
          <w:color w:val="111111"/>
          <w:sz w:val="28"/>
          <w:sz w:val="28"/>
          <w:szCs w:val="28"/>
          <w:rtl w:val="true"/>
          <w:lang w:bidi="ar-SA"/>
        </w:rPr>
        <w:t>الحقّ، وأمّا إذا ساوت الحالتان كما في المقام فلا تجري فيها القاعدة، وذلك لأنّ الشكّ لا يختص بوقت الفراغ عن العمل بل يعمّ حينه فلو ألفته أحد حين العمل إلى كيفية عمله 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بهذه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كلتا الحالتين شاك وليس في أحدهما أذكر، واحتمال كون الأقربية من قبيل الحِكَم، لا مناط الحُكم وملاكه يكفي في صرف إطلاق الأدلّة عن هذه الصورة ولا يلزم العلم بكونهما ملاكين أو مناطين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لو صلّى إلى جانب من دون تحقيق وفحص، ثمّ شكّ بعد الفراغ في أنّ الجهة التي صلّى إليها هل كانت قبلة أو لا؟ لا تجري قاعدة الفراغ، لتساوي الحالتين في الأذكرية والأقربية، ولو صحّت صلاته وكانت الجهة قبلة، فإنّما صحّت من باب الصدفة والاتفاق، لا من باب انّه بصدد إبراء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لو توضأ من أحد الإناءين المشتبهين، فلا تجري قاعدة الفراغ، لأنّه لو صادف كونه ماءً مطلقاً، فإنّما هو من باب الصدفة لا من باب كونه مريداً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وباختصار انّ الظاهر من الروايات انّ الحكم بالصحّة يجب أن يكون نابعاً من سعيه لإبراء ذمّته لا من باب احتمال كون المأتي به مطابقاً للواقع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من الروايات انّ مورد القاعدة عبارة عمّا لو كان الشكّ نابعاً من الجهل بكيفية العمل على وجه لو ارتفع الجهل، لارتفع الشكّ، وأمّا إذا كان الشكّ طارئاً حتى مع العلم بكيفية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يعلم بأنّه لم يحرك خاتمه و مع ذلك يشكّ في وصول الماء، فلا تجري القاعدة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القاعدة وإن لم ترد إمضاءً لما في يد العرف حتى تتبعه سعة </w:t>
      </w:r>
    </w:p>
    <w:p>
      <w:pPr>
        <w:pStyle w:val="BookText"/>
        <w:rPr/>
      </w:pPr>
      <w:r>
        <w:rPr>
          <w:rFonts w:ascii="Amiri" w:hAnsi="Amiri" w:eastAsia="Amiri" w:cs="Amiri"/>
          <w:color w:val="111111"/>
          <w:sz w:val="28"/>
          <w:sz w:val="28"/>
          <w:szCs w:val="28"/>
          <w:rtl w:val="true"/>
          <w:lang w:bidi="ar-SA"/>
        </w:rPr>
        <w:t>وضيقاً كحجّية خبر الواحد، ولكنّها وردت في موضع فيه حكم العقلاء بعدم الالتفات، وبما انّ حكمهم مختص بما إذا كان المكلف ملتفتاً حين العمل إلى الحكم والموضوع وكان بصدد أداء ما في الذمّة ولكن يحتمل عروض الغفلة على التفاته، فيحكم بعدم الاعتناء ولا يعم ما إذا كان غافلاً حين العمل و لكن يحتمل انطباقه على الواقع صدفة ومن غير 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مقتضى القاعدة، نعم ربما يظهر من بعض الروايات عدم وجوب الاعتناء إذا أتى بالعمل غفلة وساوت الحالتان من حيث الأذكرية وهي رواية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الخاتم إذا اغتسلت؟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حوّله من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تُديره، فإن نسيت حتى تقوم في الصلاة فلا آمرك أن تعيد الصلاة</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ورواه الصدوق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 الرجل خاتم فليدوّره في الوضوء ويحوّله عند الغسل،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نسيت حتى تقوم في الصلاة فلا أمرك أن تعيد</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عنه المحقّق الخوئي بعدم دلالة الخبر على المدّعى إذ ليس فيه ما يدل على أنّ السؤال أيضاً كان من جهة الشكّ في وصول الماء، وانّ الحكم بالتحويل والإدارة إنّما كان من هذه الجهة، بل ظاهره كون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والإدارة في الوضوء مطلوباً في نفسه لا لرفع الشكّ في وصول الماء، وإلّا لم يكن لذكر خصوص التحويل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 والإدارة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لكفاية العكس أيضاً في إيصال الماء، بل يكفي كلّ واحد من التحويل والإدارة فيهما، فاعتبار هذه </w:t>
      </w:r>
    </w:p>
    <w:p>
      <w:pPr>
        <w:pStyle w:val="BookText"/>
        <w:rPr/>
      </w:pPr>
      <w:r>
        <w:rPr>
          <w:rFonts w:ascii="Amiri" w:hAnsi="Amiri" w:eastAsia="Amiri" w:cs="Amiri"/>
          <w:color w:val="111111"/>
          <w:sz w:val="28"/>
          <w:sz w:val="28"/>
          <w:szCs w:val="28"/>
          <w:rtl w:val="true"/>
          <w:lang w:bidi="ar-SA"/>
        </w:rPr>
        <w:t>الخصوصية يشهد بكونهما مطلوبين في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ليس الخبر راجعاً إلى الشكّ في وصول الماء، فإذا شكّ في وصول الماء يجب تحصيل العلم بوصوله بنزع الخاتم أو تحريكه</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احتمال عقلي لا يتبادر من الرواية، فانّ المتبادر من الأمر بالتحويل والتدوير لكونها مقدّمتين لاغتسال ما تحت الخاتم، فالسؤال عن نسيان التحويل والتدوير يرجع إلى الشكّ في اغتسال ما تحته والأمر بعدم الإعادة يرجع إلى الحكم بالصحة مع الشكّ في الانغسال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وتوضحه رواية العمركي، عن علي بن جعفر في نفس الباب</w:t>
      </w:r>
      <w:r>
        <w:rPr>
          <w:rStyle w:val="FootnoteAnchor"/>
          <w:rtl w:val="true"/>
        </w:rPr>
        <w:footnoteReference w:id="263"/>
      </w:r>
      <w:r>
        <w:rPr>
          <w:rFonts w:ascii="Amiri" w:hAnsi="Amiri" w:eastAsia="Amiri" w:cs="Amiri"/>
          <w:color w:val="111111"/>
          <w:sz w:val="28"/>
          <w:sz w:val="28"/>
          <w:szCs w:val="28"/>
          <w:rtl w:val="true"/>
          <w:lang w:bidi="ar-SA"/>
        </w:rPr>
        <w:t>، فاحتمال كون السؤال عن الوجوب النفسي والجواب عن نفيهما خلاف المتبادر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التعبير في الوضوء بالتدوير وفي الغسل بالتحويل، فلعلّ كون الإسباغ في الغسل آكد من الوضوء، فاكتفى في الأوّل بالتدوير وأمر في الثاني بالتحويل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السند غير وافٍ لإثبات الحكم، لأنّ الحسين بن أبي العلاء لم يوثّق و إن كان ممدوحاً وله إحدى وعشرين رواية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و يحتمل انّ الإمام شاهد الخاتم و لم ير انّه مانع من الانغسال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انّه لا يمكن الاحتجاج بهذه الرواية في مورد يكون الحكم فيه على خلاف القاعدة</w:t>
      </w:r>
      <w:r>
        <w:rPr>
          <w:rFonts w:eastAsia="Amiri" w:cs="Amiri" w:ascii="Amiri" w:hAnsi="Amiri"/>
          <w:color w:val="111111"/>
          <w:sz w:val="28"/>
          <w:szCs w:val="28"/>
          <w:rtl w:val="true"/>
          <w:lang w:bidi="ar-SA"/>
        </w:rPr>
        <w:t xml:space="preserve">. </w:t>
      </w:r>
      <w:bookmarkStart w:id="751" w:name="pg14367_157361"/>
    </w:p>
    <w:p>
      <w:pPr>
        <w:pStyle w:val="Heading6"/>
        <w:numPr>
          <w:ilvl w:val="5"/>
          <w:numId w:val="1"/>
        </w:numPr>
        <w:rPr/>
      </w:pPr>
      <w:bookmarkStart w:id="752" w:name="__RefHeading___Toc7507412_3381743652"/>
      <w:bookmarkStart w:id="753" w:name="_Toc276"/>
      <w:bookmarkEnd w:id="751"/>
      <w:bookmarkEnd w:id="752"/>
      <w:r>
        <w:rPr>
          <w:rtl w:val="true"/>
        </w:rPr>
        <w:t>الأمر الخامس عشر في كون الشكّ في الانطباق نابعاً من احتمال طروء السهو</w:t>
      </w:r>
      <w:bookmarkEnd w:id="753"/>
    </w:p>
    <w:p>
      <w:pPr>
        <w:pStyle w:val="BookText"/>
        <w:rPr/>
      </w:pPr>
      <w:r>
        <w:rPr>
          <w:rFonts w:ascii="Amiri" w:hAnsi="Amiri" w:eastAsia="Amiri" w:cs="Amiri"/>
          <w:color w:val="111111"/>
          <w:sz w:val="28"/>
          <w:sz w:val="28"/>
          <w:szCs w:val="28"/>
          <w:rtl w:val="true"/>
          <w:lang w:bidi="ar-SA"/>
        </w:rPr>
        <w:t>الظاهر من الروايات انّ مصبّ القاعدة هو الشكّ في انطباق العمل للمأمور به وعدمه من أجل احتمال طروءالسهو و النسيان على المكلّف أثناء العمل، وأمّا إذا كان الشكّ في الانطباق معلولاً للجهل بحكم اللّه الشرعي فهو خارج عن مصب الروايات، والفرق بين هذا المقام والمقام السابق بعد اشتراكهما انّ الصحة في الموردين مسندة إلى الصدفة الخارجة عن الاختيار، هو انّ الشكّ في الصحّة هناك معلول الجهل بكيفية الموضوع وفي المقام نتيجة الجهل بالحكم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جاهلاً بوجوب القصر على المسافر فصلّى ثمّ شكّ في أنّه أتمّ أو قصر، فهو بطبع الحال يُتم، ولكن يحتمل التقصير لعلّة من العلل، كزعم أنّ ما بيده ركعة رابعة مع أنّها كانت ثانية، أو تقصير إمامه صلاته وهو تبعه صدفة، أو غير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اعتقد أنّ المسافر مخيّر بين التمام والقصر، ويحتمل أنّه اختار القصر لكونه أخف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صلّى باعتقاد انّه لا تجب السورة أو جلسة الاستراحة بين السجدتين وغفل عن صورة العمل، فلا يدري هل صلّى مع السورة أو لا؟ أو هل صلّى مع الاستراحة بين السجدتين أو لا؟ فهو بطبع الحال يصلّي بلا سورة أو جلسة </w:t>
      </w:r>
    </w:p>
    <w:p>
      <w:pPr>
        <w:pStyle w:val="BookText"/>
        <w:rPr/>
      </w:pPr>
      <w:r>
        <w:rPr>
          <w:rFonts w:ascii="Amiri" w:hAnsi="Amiri" w:eastAsia="Amiri" w:cs="Amiri"/>
          <w:color w:val="111111"/>
          <w:sz w:val="28"/>
          <w:sz w:val="28"/>
          <w:szCs w:val="28"/>
          <w:rtl w:val="true"/>
          <w:lang w:bidi="ar-SA"/>
        </w:rPr>
        <w:t>الاستراحة لكنّه يحتمل انّه صلّى معهما لعلّة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قامت البيّنة على أنّ الجهة الخاصة قبلة فصلّى إليها، ثمّ تبيّن فسق الشاهدين، فشكّ في صحّة الصلاة وانطباقها على المأمور به، لاحتمال كذب قولهما أو عمل بخبر الواحد، ثمّ تبيّن كون الراوي ضعيفاً أو الخبر معارضاً بأقوى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عدم جريان القاعدة هو انّ مصبّه ما إذا كان مقتضى طبع العمل هو الصحّة بحكم ذاكرية العامل لا ما إذا كان الفساد راجحاً والصحّة مرجوحة كما في المثال الأوّل، أو كان احتمال الصحة والفساد متساويين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القاعدة ما إذا كان الشكّ نابعاً من أمر واحد، وهو عروض الغفلة على وجه لولاه لما كان هناك شكّ بخلاف المقام، فإنّ الشكّ فيه ليس نابعاً عن عروض الغفلة بل من الجهل بكيفية الموضوع، كما في مسألة الخاتم أو الجهل بالحكم كما في المقام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المحقّق الهمداني إلى جريان القاعدة في هذا القسم من الشكّ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العمدة في حمل الأعمال الماضية الصادرة من المكلّف على الصحيح، هي السيرة القطعية، وأنّه لولا ذلك لاختلّ نظام المعاش والمعاد، ولم يقم للمسلمين سوق، فضلاً عن لزوم العسر والحرج المنفيين في الشريعة، إذ ما من أحد إذا التفت إلى أعماله الصادرة منه في الأعصار المتقدمة من عباداته ومعاملاته إلّاويشكّ في كثير منها، لأجل الجهل بأحكامها واقترانها بأُمور لو كان ملتفتاً إليها لكان شاكاً، فلو لم يحمل عملهم على الصحيح وبنى على الاعتناء بالشكّ الناشئ من الجهل بالحكم ونظائره، لضاق عليهم العيش، وهذا الدليل وإن كان لبيّاً يشكل استفادة عموم المدعى منه، إلّاأنّه يعلم منه عدم انحصار الحمل على </w:t>
      </w:r>
    </w:p>
    <w:p>
      <w:pPr>
        <w:pStyle w:val="BookText"/>
        <w:rPr/>
      </w:pPr>
      <w:r>
        <w:rPr>
          <w:rFonts w:ascii="Amiri" w:hAnsi="Amiri" w:eastAsia="Amiri" w:cs="Amiri"/>
          <w:color w:val="111111"/>
          <w:sz w:val="28"/>
          <w:sz w:val="28"/>
          <w:szCs w:val="28"/>
          <w:rtl w:val="true"/>
          <w:lang w:bidi="ar-SA"/>
        </w:rPr>
        <w:t>الصحيح بظاهر الحال، فلا يجوز رفع اليد عن الأخبار المطلقة بسبب التعليل المستفاد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جعله قرينة على التصرّف في سائر الأخبار فرع استفادة العلية المنحصرة منه والمفروض عدم الانحصار هذا مع أنّ دلالته عليه في حدّ ذاته لا يخلو من تأمّل فلا ينبغي الاستشكال في جريان القاعدة في جميع موارد الشكّ</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عدم جريان القاعدة الاختلال في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فلأنّه لا يترتب على الشكّ في صحّة العبادات لأجل الجهل بأحكامها سوى احتمال القضاء، وبما انّه بأمر جديد وهو بعد مشكوك لا يلزم منه الحرج وإن لم تجر القاعدة، واستصحاب عدم الإتيان بالمأمور به في ظرفه لا يثبت عنوان دليل القضاء في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العنوانان متلازمان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ففي قسم الزكوات والأخماس لا يلزم الحرج وإن لم تجر القاعدة، لأنّ الغالب دفعهما إلى مراجع الدين وأصحاب الفتيا أو وكلائهم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المعاملات بالمعنى الأخصّ فلا يلزم من عدم جريان القاعدة الحرج إذا شكّ في فساد المعاملات، وذلك لأنّ أقصى ما يمكن أن يقال جريان استصحاب عدم تحقّق العقد الجامع، وهو إمّا فاقد للحالة السابقة إذا كان بنحو النفي الناقص، أو مثبت إذا كان بنحو النفي التام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فرض جريان الأصلين وإثبات الفساد فالرضاء بالتصرف من الطرفين كاف في المقام حيث إنّهما راضيان بالتصرّف سواء أصحت المعاملة أم لا، وأمّا احتمال البطلان في الأحوال الشخصية لأجل الجهل بالأحكام فقليل، لأنّ المتصدّي لها غالباً هم العلماء والعارفون بالأحكام</w:t>
      </w:r>
      <w:r>
        <w:rPr>
          <w:rFonts w:eastAsia="Amiri" w:cs="Amiri" w:ascii="Amiri" w:hAnsi="Amiri"/>
          <w:color w:val="111111"/>
          <w:sz w:val="28"/>
          <w:szCs w:val="28"/>
          <w:rtl w:val="true"/>
          <w:lang w:bidi="ar-SA"/>
        </w:rPr>
        <w:t xml:space="preserve">. </w:t>
      </w:r>
      <w:bookmarkStart w:id="754" w:name="pg14367_157364"/>
    </w:p>
    <w:p>
      <w:pPr>
        <w:pStyle w:val="Heading6"/>
        <w:numPr>
          <w:ilvl w:val="5"/>
          <w:numId w:val="1"/>
        </w:numPr>
        <w:rPr/>
      </w:pPr>
      <w:bookmarkStart w:id="755" w:name="__RefHeading___Toc7507414_3381743652"/>
      <w:bookmarkStart w:id="756" w:name="_Toc277"/>
      <w:bookmarkEnd w:id="754"/>
      <w:bookmarkEnd w:id="755"/>
      <w:r>
        <w:rPr>
          <w:rtl w:val="true"/>
        </w:rPr>
        <w:t>الأمر السادس عشر في تقدّم القاعدة على الاستصحاب</w:t>
      </w:r>
      <w:bookmarkEnd w:id="756"/>
    </w:p>
    <w:p>
      <w:pPr>
        <w:pStyle w:val="BookText"/>
        <w:rPr/>
      </w:pPr>
      <w:r>
        <w:rPr>
          <w:rFonts w:ascii="Amiri" w:hAnsi="Amiri" w:eastAsia="Amiri" w:cs="Amiri"/>
          <w:color w:val="111111"/>
          <w:sz w:val="28"/>
          <w:sz w:val="28"/>
          <w:szCs w:val="28"/>
          <w:rtl w:val="true"/>
          <w:lang w:bidi="ar-SA"/>
        </w:rPr>
        <w:t>لا شكّ في تقدّم قاعدة التجاوز، على الاستصحاب بشهادة انّ الإمام قدّمها عليها في صحيحتي زرارة</w:t>
      </w:r>
      <w:r>
        <w:rPr>
          <w:rStyle w:val="FootnoteAnchor"/>
          <w:rtl w:val="true"/>
        </w:rPr>
        <w:footnoteReference w:id="266"/>
      </w:r>
      <w:r>
        <w:rPr>
          <w:rFonts w:ascii="Amiri" w:hAnsi="Amiri" w:eastAsia="Amiri" w:cs="Amiri"/>
          <w:color w:val="111111"/>
          <w:sz w:val="28"/>
          <w:sz w:val="28"/>
          <w:szCs w:val="28"/>
          <w:rtl w:val="true"/>
          <w:lang w:bidi="ar-SA"/>
        </w:rPr>
        <w:t>و إسماعيل بن جابر</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لأنّ الأصل انّ المصلّي لم يؤذن، ولم يُقم ولم يركع ولم يسجد، مع أنّ الإمام أمر بعدم الاعتداد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 تقدّمهاعليه، وقد ذكر في ذلك 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رائحة الأمارية في القاعدة، لكونه حين العمل أذكر</w:t>
      </w:r>
      <w:r>
        <w:rPr>
          <w:rFonts w:eastAsia="Amiri" w:cs="Amiri" w:ascii="Amiri" w:hAnsi="Amiri"/>
          <w:color w:val="111111"/>
          <w:sz w:val="28"/>
          <w:szCs w:val="28"/>
          <w:rtl w:val="true"/>
          <w:lang w:bidi="ar-SA"/>
        </w:rPr>
        <w:t>.</w:t>
      </w:r>
      <w:r>
        <w:rPr>
          <w:rStyle w:val="FootnoteAnchor"/>
          <w:rtl w:val="true"/>
        </w:rPr>
        <w:footnoteReference w:id="268"/>
      </w:r>
      <w:r>
        <w:rPr>
          <w:rFonts w:ascii="IRNazanin" w:hAnsi="IRNazanin" w:eastAsia="IRNazanin"/>
          <w:color w:val="111111"/>
          <w:sz w:val="28"/>
          <w:sz w:val="28"/>
          <w:szCs w:val="28"/>
          <w:rtl w:val="true"/>
          <w:lang w:bidi="fa-IR"/>
        </w:rPr>
        <w:t>أو أقرب إلى الحقّ</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من زمان الشكّ، وفي رواية عبد الرحمان بن أبي عبد اللّه</w:t>
      </w:r>
      <w:r>
        <w:rPr>
          <w:rStyle w:val="FootnoteAnchor"/>
          <w:rtl w:val="true"/>
        </w:rPr>
        <w:footnoteReference w:id="270"/>
      </w:r>
      <w:r>
        <w:rPr>
          <w:rFonts w:ascii="Amiri" w:hAnsi="Amiri" w:eastAsia="Amiri" w:cs="Amiri"/>
          <w:color w:val="111111"/>
          <w:sz w:val="28"/>
          <w:sz w:val="28"/>
          <w:szCs w:val="28"/>
          <w:rtl w:val="true"/>
          <w:lang w:bidi="ar-SA"/>
        </w:rPr>
        <w:t>الإخبار عن تحقّق المشكوك حيث سئل أبا عبد اللّه عليه السلام عمّن أهوى إلى السجود ولم يدر أركع أو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الإخبار عن تحقّق المشكوك آية انّ القاعدة طريق إلى إحراز الواقع ولا دليل له سوى كونه بصدد إبراء الذمّة، وكأنّ أصالة عدم طروء الغفلة أمارة عقلائية إلى تحقّق الواقع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لولا تقديم القاعدة على الاستصحاب تلزم لغوية القاعدة أو اختصاصها بموارد نادرة، وذلك لأنّ الحالة السابقة إمّا هي الصحّة أو الفساد أو مجهولة لأجل تعاقب الحالتين، كما إذا توضّأ وأحدث ولم يعلم المتقدّم منهما ولا المتأخّر، ولم تكن الحالة المتقدّمة عليهما معلومة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فالقاعدة في الصورة الأُولى غير محتاجة إليها، لأنّ المفروض انّ الحالة </w:t>
      </w:r>
    </w:p>
    <w:p>
      <w:pPr>
        <w:pStyle w:val="BookText"/>
        <w:rPr/>
      </w:pPr>
      <w:r>
        <w:rPr>
          <w:rFonts w:ascii="Amiri" w:hAnsi="Amiri" w:eastAsia="Amiri" w:cs="Amiri"/>
          <w:color w:val="111111"/>
          <w:sz w:val="28"/>
          <w:sz w:val="28"/>
          <w:szCs w:val="28"/>
          <w:rtl w:val="true"/>
          <w:lang w:bidi="ar-SA"/>
        </w:rPr>
        <w:t>السابقة هي الصحّة، فلو قدّم الاستصحاب على القاعدة في الصورة الثانية يلزم اختصاصها بالصورة الثالثة وهي نادرة جداً، ولا معنى لتشريع قاعدة على التفصيل لمورد نادر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لسان القاعدة لسان رفع الشكّ ولسان الاستصحاب هو الحكم بإبقاء اليقين في ظرف الشكّ فيقدّم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أو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قد ركع</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وأمّا الثاني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يفترض وجود اليقين والشكّ ثمّ يحكم بإبقاء اليقين لا على إلغاء الشكّ، فيكون تقدّم القاعدة على الاستصحاب من باب الحكومة كتقدم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أحكام 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 الحكومة هو كون تشريع الحاكم لغواً لولا تشريع المحكوم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أدلّة تحريم الربا، فلولا التحريم لكان تشريع الربا بين الزوج والزوجة أمراً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الحكومة مصطلحاً شرعياً حتى نبحث في تحديدها بل يكفي في الحكومة كون أحد الدليلين متصرفاً في موضوع الدليل الآخر بالتوسعة والضيق سواء أكان تشريع الحاكم من دون تشريع المحكوم لغواً أو لا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يتصور انّ التقديم من باب التخصيص، لأنّ أغلب موارد العمل بالقاعدة يكون مورداً لجريان الاستصحاب</w:t>
      </w:r>
      <w:r>
        <w:rPr>
          <w:rFonts w:eastAsia="Amiri" w:cs="Amiri" w:ascii="Amiri" w:hAnsi="Amiri"/>
          <w:color w:val="111111"/>
          <w:sz w:val="28"/>
          <w:szCs w:val="28"/>
          <w:rtl w:val="true"/>
          <w:lang w:bidi="ar-SA"/>
        </w:rPr>
        <w:t>.</w:t>
      </w:r>
      <w:r>
        <w:rPr>
          <w:rStyle w:val="FootnoteAnchor"/>
          <w:rtl w:val="true"/>
        </w:rPr>
        <w:footnoteReference w:id="27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لسان المخصص لسان إخراج الموضوع عن الحكم مع التحفّظ عليه؛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فالدليل الثاني يسلِّم كون الفاسق عالماً وواقعاً تحت موضوع العام إلّاأنّه خارج عنه حكماً، و هذا بخلاف لسان القاعدة، فانّ لسانها نفي الموضوع بلحاظ نفي حكمه؛ كما هو الظاهر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bookmarkStart w:id="757" w:name="pg14367_157367"/>
    </w:p>
    <w:p>
      <w:pPr>
        <w:pStyle w:val="BookText"/>
        <w:rPr/>
      </w:pPr>
      <w:bookmarkEnd w:id="757"/>
      <w:r>
        <w:rPr>
          <w:rFonts w:ascii="IRNazanin" w:hAnsi="IRNazanin" w:eastAsia="IRNazanin"/>
          <w:color w:val="111111"/>
          <w:sz w:val="28"/>
          <w:sz w:val="28"/>
          <w:szCs w:val="28"/>
          <w:rtl w:val="true"/>
          <w:lang w:bidi="fa-IR"/>
        </w:rPr>
        <w:t>القواعد الأربع</w:t>
      </w:r>
    </w:p>
    <w:p>
      <w:pPr>
        <w:pStyle w:val="Heading5"/>
        <w:numPr>
          <w:ilvl w:val="4"/>
          <w:numId w:val="1"/>
        </w:numPr>
        <w:rPr/>
      </w:pPr>
      <w:bookmarkStart w:id="758" w:name="__RefHeading___Toc7507416_3381743652"/>
      <w:bookmarkStart w:id="759" w:name="_Toc278"/>
      <w:bookmarkEnd w:id="758"/>
      <w:r>
        <w:rPr/>
        <w:t>3</w:t>
      </w:r>
      <w:r>
        <w:rPr>
          <w:rtl w:val="true"/>
        </w:rPr>
        <w:t xml:space="preserve"> </w:t>
      </w:r>
      <w:r>
        <w:rPr>
          <w:rtl w:val="true"/>
        </w:rPr>
        <w:t>أصالة الصحة في فعل الغير</w:t>
      </w:r>
      <w:bookmarkEnd w:id="759"/>
    </w:p>
    <w:p>
      <w:pPr>
        <w:pStyle w:val="Heading6"/>
        <w:numPr>
          <w:ilvl w:val="5"/>
          <w:numId w:val="1"/>
        </w:numPr>
        <w:rPr/>
      </w:pPr>
      <w:bookmarkStart w:id="760" w:name="__RefHeading___Toc7507418_3381743652"/>
      <w:bookmarkStart w:id="761" w:name="_Toc279"/>
      <w:bookmarkEnd w:id="760"/>
      <w:r>
        <w:rPr>
          <w:rtl w:val="true"/>
        </w:rPr>
        <w:t>اشارة</w:t>
      </w:r>
      <w:bookmarkEnd w:id="761"/>
    </w:p>
    <w:p>
      <w:pPr>
        <w:pStyle w:val="BookText"/>
        <w:rPr/>
      </w:pPr>
      <w:r>
        <w:rPr>
          <w:rFonts w:ascii="Amiri" w:hAnsi="Amiri" w:eastAsia="Amiri" w:cs="Amiri"/>
          <w:color w:val="111111"/>
          <w:sz w:val="28"/>
          <w:sz w:val="28"/>
          <w:szCs w:val="28"/>
          <w:rtl w:val="true"/>
          <w:lang w:bidi="ar-SA"/>
        </w:rPr>
        <w:t>والغرض من طرح هذه القاعدة بيان نسبتها إلى الاستصحاب، ولكن انجرّ الكلام إلى البحث عن مفاد القاعدة ودلائلها وبعض الأُمور المترتبة عليها،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تحقيق ما ذكر يستلزم تبيين أُمور</w:t>
      </w:r>
      <w:r>
        <w:rPr>
          <w:rFonts w:eastAsia="Amiri" w:cs="Amiri" w:ascii="Amiri" w:hAnsi="Amiri"/>
          <w:color w:val="111111"/>
          <w:sz w:val="28"/>
          <w:szCs w:val="28"/>
          <w:rtl w:val="true"/>
          <w:lang w:bidi="ar-SA"/>
        </w:rPr>
        <w:t>:</w:t>
      </w:r>
    </w:p>
    <w:p>
      <w:pPr>
        <w:pStyle w:val="Heading6"/>
        <w:numPr>
          <w:ilvl w:val="5"/>
          <w:numId w:val="1"/>
        </w:numPr>
        <w:rPr/>
      </w:pPr>
      <w:bookmarkStart w:id="762" w:name="__RefHeading___Toc7507420_3381743652"/>
      <w:bookmarkStart w:id="763" w:name="_Toc280"/>
      <w:bookmarkEnd w:id="762"/>
      <w:r>
        <w:rPr>
          <w:rtl w:val="true"/>
        </w:rPr>
        <w:t>الأوّل</w:t>
      </w:r>
      <w:r>
        <w:rPr>
          <w:rtl w:val="true"/>
        </w:rPr>
        <w:t xml:space="preserve">: </w:t>
      </w:r>
      <w:r>
        <w:rPr>
          <w:rtl w:val="true"/>
        </w:rPr>
        <w:t>ما هي الصلة بين أصالة الصحّة وقاعدة التجاوز؟</w:t>
      </w:r>
      <w:bookmarkEnd w:id="763"/>
    </w:p>
    <w:p>
      <w:pPr>
        <w:pStyle w:val="BookText"/>
        <w:rPr/>
      </w:pPr>
      <w:r>
        <w:rPr>
          <w:rFonts w:ascii="Amiri" w:hAnsi="Amiri" w:eastAsia="Amiri" w:cs="Amiri"/>
          <w:color w:val="111111"/>
          <w:sz w:val="28"/>
          <w:sz w:val="28"/>
          <w:szCs w:val="28"/>
          <w:rtl w:val="true"/>
          <w:lang w:bidi="ar-SA"/>
        </w:rPr>
        <w:t xml:space="preserve">إنّ حملَ فعل الفاعل المختار على الصحّة، أصل عقلائي، فتارة يكون المجْرى فعل الإنسان نفسه فيطلق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التجاوز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وأُخرى يكون المجرى فعل الغير فيطلق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فكلتا القاعدتين ترجعان في الواقع إلى أصل واحد هو حمل فعل الفاعل المختار على الصحة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اعتبار التجاوز عن المحل في قاعدة التجاوز دون المقام فلا يجعلهما قاعدتين مستقلتين، لأنّ موضوع الأصل في كلا المقامين هو الشكّ في صحّة العمل وهو فرع غيبوبة صورة العمل عن الذهن ولا تغيب صورة العمل عن النفس في فعل الإنسان نفسه إلّابعد التجاوز عنه؛ و هذا بخلاف فعل الغير، </w:t>
      </w:r>
      <w:bookmarkStart w:id="764" w:name="pg14367_157368"/>
    </w:p>
    <w:p>
      <w:pPr>
        <w:pStyle w:val="BookText"/>
        <w:rPr/>
      </w:pPr>
      <w:bookmarkEnd w:id="764"/>
      <w:r>
        <w:rPr>
          <w:rFonts w:ascii="Amiri" w:hAnsi="Amiri" w:eastAsia="Amiri" w:cs="Amiri"/>
          <w:color w:val="111111"/>
          <w:sz w:val="28"/>
          <w:sz w:val="28"/>
          <w:szCs w:val="28"/>
          <w:rtl w:val="true"/>
          <w:lang w:bidi="ar-SA"/>
        </w:rPr>
        <w:t>فانّ الغيبة متحقّقة مطلقاً سواء أكان الشكّ في الأثناء أم بعد الانتهاء من العمل لعدم وقوف الإنسان على سرائر الأشخاص</w:t>
      </w:r>
      <w:r>
        <w:rPr>
          <w:rFonts w:eastAsia="Amiri" w:cs="Amiri" w:ascii="Amiri" w:hAnsi="Amiri"/>
          <w:color w:val="111111"/>
          <w:sz w:val="28"/>
          <w:szCs w:val="28"/>
          <w:rtl w:val="true"/>
          <w:lang w:bidi="ar-SA"/>
        </w:rPr>
        <w:t>.</w:t>
      </w:r>
    </w:p>
    <w:p>
      <w:pPr>
        <w:pStyle w:val="Heading6"/>
        <w:numPr>
          <w:ilvl w:val="5"/>
          <w:numId w:val="1"/>
        </w:numPr>
        <w:rPr/>
      </w:pPr>
      <w:bookmarkStart w:id="765" w:name="__RefHeading___Toc7507422_3381743652"/>
      <w:bookmarkStart w:id="766" w:name="_Toc281"/>
      <w:bookmarkEnd w:id="765"/>
      <w:r>
        <w:rPr>
          <w:rtl w:val="true"/>
        </w:rPr>
        <w:t>الثاني</w:t>
      </w:r>
      <w:r>
        <w:rPr>
          <w:rtl w:val="true"/>
        </w:rPr>
        <w:t xml:space="preserve">: </w:t>
      </w:r>
      <w:r>
        <w:rPr>
          <w:rtl w:val="true"/>
        </w:rPr>
        <w:t>في مفاد أصالة الصحّة</w:t>
      </w:r>
      <w:bookmarkEnd w:id="766"/>
    </w:p>
    <w:p>
      <w:pPr>
        <w:pStyle w:val="BookText"/>
        <w:rPr/>
      </w:pPr>
      <w:r>
        <w:rPr>
          <w:rFonts w:ascii="Amiri" w:hAnsi="Amiri" w:eastAsia="Amiri" w:cs="Amiri"/>
          <w:color w:val="111111"/>
          <w:sz w:val="28"/>
          <w:sz w:val="28"/>
          <w:szCs w:val="28"/>
          <w:rtl w:val="true"/>
          <w:lang w:bidi="ar-SA"/>
        </w:rPr>
        <w:t>إنّ لأصالة الصحّة في حقّ الغير 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الظن بالمؤمن والاعتقاد الجميل في حقّه من دون أن ينسبه إلى اعتقاد فاسد أو صدور عمل فاسد، وهذا من التكاليف الإسلامية التي دعا إليها القرآن و السنّة،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اجْتَنِبُوا كَثِيراً مِنَ الظَّنِّ إِنَّ بَعْضَ الظَّنِّ إِثْمٌ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وأمّا السنّة فقد ورد في المقام روايات نذكر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إبراهيم بن عمر اليماني،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انماث الإيمان في قلبه كما ينماث الملح في الماء</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المختار،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تظنن بكلمة خرجت من أخيك سوءاً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27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عليه السلام أنّه قال لمحمد بن 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سمعك وبصرك عن أخيك، فإن شهد عندك خمسون قسامة، وقال لك قولاً، فصدِّقه وكذِّبهم</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وليس المراد من تكذيبهم وتصديق الأخ إلّاحسن الاعتقاد بالأخ المؤمن بأنّه صادق في تكذيبه مع حسن الاعتقاد بالقسامة، بالحكم بصدقهم في اعتقادهم؛ وأمّا ترتيب الأثر على قول الأخ أو القسامة، فخارج عن مصبّ الروايات، فهذه الأدلّة ناظرة إلى حكم أخلاقي لا صلة له بالحكم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الأثر على الفعل الصادر من الغير بمعنى فرض فعله مطابقاً للواقع، فإذا فرض دوران العقد الصادر منه بين كونه صحيحاً أو فاسداً لا على وجه قبيح، بل كان الأمران في حقّه مباحين لكن أحدهما فاسد والآخر صحيح يحمل على القسم الصحيح، كبيع الراهن العين المرتهنة مع رجوع المرتهن عن إذنه وعدم علم الراهن به، فدار بين كونه قبل رجوع المرتهن عن الإذن واقعاً أو بعده، فانّ كلا البيعين بحكم جهل الراهن أمر حسن، لكن يترتب الأثر على أحدهما، وهو البيع قبل الرجوع، لا على الآخر و هو البيع بعد الرجوع، فيحمل على الفرد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يفترق المعنيان، فإنّ أصالة الصحة بالمعنى الأوّل، أي‌عدم صدور الفعل القبيح عن الفاعل، تجري في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قبل الرجوع والبيع بعده، لفرض جهل الراهن البائع بالرجوع</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أصالة الصحّة بالمعنى الثاني فيختص جريانها بصورة واحدة، وهي البيع قبل رجوع المرتهن، وأصالة الصحة بهذا المعنى رهن دليل آخر، ولا يكفيها ما ورد حول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سنحيل دراسته إلى الأمر الثالث</w:t>
      </w:r>
      <w:r>
        <w:rPr>
          <w:rFonts w:eastAsia="Amiri" w:cs="Amiri" w:ascii="Amiri" w:hAnsi="Amiri"/>
          <w:color w:val="111111"/>
          <w:sz w:val="28"/>
          <w:szCs w:val="28"/>
          <w:rtl w:val="true"/>
          <w:lang w:bidi="ar-SA"/>
        </w:rPr>
        <w:t xml:space="preserve">. </w:t>
      </w:r>
      <w:bookmarkStart w:id="767" w:name="pg14367_157370"/>
    </w:p>
    <w:p>
      <w:pPr>
        <w:pStyle w:val="Heading6"/>
        <w:numPr>
          <w:ilvl w:val="5"/>
          <w:numId w:val="1"/>
        </w:numPr>
        <w:rPr/>
      </w:pPr>
      <w:bookmarkStart w:id="768" w:name="__RefHeading___Toc7507424_3381743652"/>
      <w:bookmarkStart w:id="769" w:name="_Toc282"/>
      <w:bookmarkEnd w:id="767"/>
      <w:bookmarkEnd w:id="768"/>
      <w:r>
        <w:rPr>
          <w:rtl w:val="true"/>
        </w:rPr>
        <w:t>الثالث</w:t>
      </w:r>
      <w:r>
        <w:rPr>
          <w:rtl w:val="true"/>
        </w:rPr>
        <w:t xml:space="preserve">: </w:t>
      </w:r>
      <w:r>
        <w:rPr>
          <w:rtl w:val="true"/>
        </w:rPr>
        <w:t>الدليل على أصالة الصحّة بمعنى ترتيب الأثر الشرعيّ‌</w:t>
      </w:r>
      <w:bookmarkEnd w:id="769"/>
    </w:p>
    <w:p>
      <w:pPr>
        <w:pStyle w:val="BookText"/>
        <w:rPr/>
      </w:pPr>
      <w:r>
        <w:rPr>
          <w:rFonts w:ascii="Amiri" w:hAnsi="Amiri" w:eastAsia="Amiri" w:cs="Amiri"/>
          <w:color w:val="111111"/>
          <w:sz w:val="28"/>
          <w:sz w:val="28"/>
          <w:szCs w:val="28"/>
          <w:rtl w:val="true"/>
          <w:lang w:bidi="ar-SA"/>
        </w:rPr>
        <w:t>استدلّ الفقهاء منهم المحقّق النراقي في عوائده</w:t>
      </w:r>
      <w:r>
        <w:rPr>
          <w:rStyle w:val="FootnoteAnchor"/>
          <w:rtl w:val="true"/>
        </w:rPr>
        <w:footnoteReference w:id="278"/>
      </w:r>
      <w:r>
        <w:rPr>
          <w:rFonts w:ascii="Amiri" w:hAnsi="Amiri" w:eastAsia="Amiri" w:cs="Amiri"/>
          <w:color w:val="111111"/>
          <w:sz w:val="28"/>
          <w:sz w:val="28"/>
          <w:szCs w:val="28"/>
          <w:rtl w:val="true"/>
          <w:lang w:bidi="ar-SA"/>
        </w:rPr>
        <w:t>والشيخ الأعظم في الفرائد على حجّية أصالة الصحة بالمعنى الثاني بوجوه، غير انّ الدليل الوحيد الذي يمكن أن يتمسّك به هو السيرة العقلائية على حمل فعل الغير على الصحة، بل مطلق حمل الفعل الصادر عن الفاعل المختار على الصحّة ليعمّ فعل النفس وفعل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اتخاذ العقلاء هذا الأصل سنّة في الحياة، هو ملاحظة طبع العمل الصادر عن إنسان مريد يعمل لغاية،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الانتفاع بعمله آجلاً وعاجلاً، ومقتضى ذلك إيجاد العمل صحيحاً لا فاسداً، كاملاً لا ناقصاً، وإلّا يلزم نقض الغرض والفعل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الصحّة هي الأصل في الطبيعة دون المعيب فإذا بُشِّر أحد برزق الولد يتبادر الولد السويّ، أو إذا باع دابّة معينة، يحمل على الصحيح، لأنّ الأصل في الطبيعة هو الصحّة والنقص أمر طارئ عليه ولا يعدل عنه إلّابقرينة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الصحّة هي الأساس في فعل الإنسان فيحمل على الصحة، وذلك لأنّ الأصل في الفعل الصادر من الفاعل المختار الهادف، هو صحّة الفعل، والفاسد أمر طارئ نابع من الغفلة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الأصل المحقّق بين العقلاء، وعليه السيرة المتشرّعة بما هم عقلاء، وعلى ضوئهم مشى الفقهاء في الأحكام الشرعية، فانّك لا تجد بين القدامى من الفقهاء عنواناً لهذا الأصل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الصحّة في فعل 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لكنّهم بما هم عقلاء تبعوا في أحكامهم الأصلَ الدارج بينهم، وإليك سرد طائفة من الأحكام المبنيّة على الأصل المذكور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قام المسلم بغَسْل الميت وتكفينه والصلاة عليه ودفنه، أو قام بغسل الأواني واللحوم المتنجّسة، يحمل فعله على الصحة ويسقط التكليف عن الغير، ولا يحتاج إلى إحراز الصحّة بالعلم والبيّنة، بل لو شكّ يكفي في ترتّب الأثر كون الفعل صادراً عن المسلم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أذّن أحد المأمومين أو أقام، يسقط التكليف عن الغير، وإن شكّفي صحّة ما أتى به، يحمل على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ناب المسلم عن رجل في الحجّ والعمرة أو في جزء من أعمالهما، وشُكّ في صحّة العمل المأتي به يُحمل على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خرص الجابي في مورد الصدقات على الصحة إذا شكّ في صحّته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ذبح الذابح على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يحمل عمل الوكلاء في الزواج والصلاة والبيع والشراء والإجارة عليها، ومثله فعل الأولياء كالأب والجدّ في النكاح، كما يحمل اتجارهم بمال اليتيم على الصحّة، ومثله حمل عمل المتولّي للأوقاف عليها، إلى غير ذلك من الموارد التي يقف عليها المتتبع في الفقه، كيف، والأصل في باب التنازع هو الصحّة، والبيّنة على من يدّعي الخلاف، ويؤيد إجماع الفقهاء والسيرة ما ورد في بعض الأبواب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ذم الخوارج لكثرة السؤال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البزنطي مضمراً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 السوق فيشري جبّة فرا، لا يدرى أذكيّة هي أم غير ذكيّة، أيصلّي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عليكم المسألة، انّ أبا جعفر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الخوارج ضيّقوا على أنفسهم بجهالتهم، انّ الدّين </w:t>
      </w:r>
    </w:p>
    <w:p>
      <w:pPr>
        <w:pStyle w:val="BookText"/>
        <w:rPr/>
      </w:pPr>
      <w:r>
        <w:rPr>
          <w:rFonts w:ascii="Amiri" w:hAnsi="Amiri" w:eastAsia="Amiri" w:cs="Amiri"/>
          <w:color w:val="111111"/>
          <w:sz w:val="28"/>
          <w:sz w:val="28"/>
          <w:szCs w:val="28"/>
          <w:rtl w:val="true"/>
          <w:lang w:bidi="ar-SA"/>
        </w:rPr>
        <w:t>أوسع من ذلك</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في الجلود المشتراة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إسماعيل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جلود الفرا يشتريها الرجل في سوق من أسواق الجبل، أيسأل عن ذكاته إذا كان البائع مسلماً غير عارف؟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أنتم أن تسألوا عنه إذا رأيتم المشركين يبيعون ذلك، وإذا رأيتم يصلّون فيه فلا تسألوا عنه</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وربما يتوهّم انّ جواز الاشتراء مستند إلى سوق المسلم أو يده ولا صلة للرواية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السوق واليد إشارة إلى حال البائع بما انّه مسلم، وهو لا يقوم إلّابعمل صحيح، فإذا جُرّد المورد عن اليد والسوق يجوز الاشتراء أيضاً لكون البائع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النراقي ممّن رفض كلّية القاعدة وذهب إلى أنّ العمل في بعض الموارد لأدلّة خاصّة واستدل على مقصوده بالروايتين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جمّال اسْتُكري منه إبل وبُعث معه بزيت إلى أرض، فزعم أنّ بعض زقاق الزيت انخرق فاهراق ما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أخذ الزيت،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انخرق، ولكنّه لا يصدّق إلّاببيّنة عادلة</w:t>
      </w:r>
      <w:r>
        <w:rPr>
          <w:rFonts w:eastAsia="Amiri" w:cs="Amiri" w:ascii="Amiri" w:hAnsi="Amiri"/>
          <w:color w:val="111111"/>
          <w:sz w:val="28"/>
          <w:szCs w:val="28"/>
          <w:rtl w:val="true"/>
          <w:lang w:bidi="ar-SA"/>
        </w:rPr>
        <w:t>».</w:t>
      </w:r>
      <w:r>
        <w:rPr>
          <w:rStyle w:val="FootnoteAnchor"/>
          <w:rtl w:val="true"/>
        </w:rPr>
        <w:footnoteReference w:id="281"/>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انّ الجمّال يمكن أن يأخذ الزيت، ويقول انخرق </w:t>
      </w:r>
    </w:p>
    <w:p>
      <w:pPr>
        <w:pStyle w:val="BookText"/>
        <w:rPr/>
      </w:pPr>
      <w:r>
        <w:rPr>
          <w:rFonts w:ascii="Amiri" w:hAnsi="Amiri" w:eastAsia="Amiri" w:cs="Amiri"/>
          <w:color w:val="111111"/>
          <w:sz w:val="28"/>
          <w:sz w:val="28"/>
          <w:szCs w:val="28"/>
          <w:rtl w:val="true"/>
          <w:lang w:bidi="ar-SA"/>
        </w:rPr>
        <w:t>الزُّقّ فلا يُصدَّق قوله إلّامع البيّنة، وهذا صريح في عدم حمل قوله على الصدق</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الأصل فيما إذا صدر من الفاعل فعل له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الأوّل دون الثاني، وليس مورده تصديق ادّعاء كلّ من يدّعي شيئاً ينتهي إلى ضرر الغير، فليس الأصل صحّة قول كلِّ مسلم ولو انتهى إلى ضرر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أصلاً آخر هو أخصّ من حمل فعل الغير على الصحة وهو ضمان الأجير إلّاإذا ثبتت أمانته والمقام داخل في هذا الأصل، وبما انّه أخصّ يقدّم على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يضمن القصّار والصائغ يحتاط به على أموال الناس، وكان أبو جعفر عليه السلام يتفضّل عليه إذا كان مأموناً</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وروى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والقصّار؟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كانا مأمونين، فأمّا إذا اتُّهما ضمنا حسب ما قدمنا</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وقد ظهر بذلك انّ مورد الرواية خارج عن مصبّ قاعدة أصالة الصحة في فعل الغير أوّلاً، ومحكوم بقاعدة أُخرى من ضمان الأجير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عمّار، عن أبي عبد اللّه عليه السلام في حديث أنّه سئل عن الرجل يأتي بالشراب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مطبوخ على 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مسلماً ورعاً مؤمناً فلا </w:t>
      </w:r>
      <w:bookmarkStart w:id="770" w:name="pg14367_157374"/>
    </w:p>
    <w:p>
      <w:pPr>
        <w:pStyle w:val="BookText"/>
        <w:rPr/>
      </w:pPr>
      <w:bookmarkEnd w:id="770"/>
      <w:r>
        <w:rPr>
          <w:rFonts w:ascii="Amiri" w:hAnsi="Amiri" w:eastAsia="Amiri" w:cs="Amiri"/>
          <w:color w:val="111111"/>
          <w:sz w:val="28"/>
          <w:sz w:val="28"/>
          <w:szCs w:val="28"/>
          <w:rtl w:val="true"/>
          <w:lang w:bidi="ar-SA"/>
        </w:rPr>
        <w:t>بأس أن يشرب</w:t>
      </w:r>
      <w:r>
        <w:rPr>
          <w:rFonts w:eastAsia="Amiri" w:cs="Amiri" w:ascii="Amiri" w:hAnsi="Amiri"/>
          <w:color w:val="111111"/>
          <w:sz w:val="28"/>
          <w:szCs w:val="28"/>
          <w:rtl w:val="true"/>
          <w:lang w:bidi="ar-SA"/>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اشتراط الإسلام والورع والإيمان لأجل كون الفاعل متّهماً وإلّا فيقبل، وتدلّ على ذلك عدّة من الروايات المفصّلة بين المستحلّ وغيره، فيشرب في الثاني دون الأوّل، وإليك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يهدي إليّ البختج من غير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ممّن يستحلُّ المسكر فلا تشربه، وإن كان ممّن لا يستحل فاشربه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ومثله رواية معاوية بن عمّار، عن أبي عبد اللّه عليه السلام</w:t>
      </w:r>
      <w:r>
        <w:rPr>
          <w:rFonts w:eastAsia="Amiri" w:cs="Amiri" w:ascii="Amiri" w:hAnsi="Amiri"/>
          <w:color w:val="111111"/>
          <w:sz w:val="28"/>
          <w:szCs w:val="28"/>
          <w:rtl w:val="true"/>
          <w:lang w:bidi="ar-SA"/>
        </w:rPr>
        <w:t>.</w:t>
      </w:r>
      <w:r>
        <w:rPr>
          <w:rStyle w:val="FootnoteAnchor"/>
          <w:rtl w:val="true"/>
        </w:rPr>
        <w:footnoteReference w:id="287"/>
      </w:r>
    </w:p>
    <w:p>
      <w:pPr>
        <w:pStyle w:val="Heading6"/>
        <w:numPr>
          <w:ilvl w:val="5"/>
          <w:numId w:val="1"/>
        </w:numPr>
        <w:rPr/>
      </w:pPr>
      <w:bookmarkStart w:id="771" w:name="__RefHeading___Toc7507426_3381743652"/>
      <w:bookmarkStart w:id="772" w:name="_Toc283"/>
      <w:bookmarkEnd w:id="771"/>
      <w:r>
        <w:rPr>
          <w:rtl w:val="true"/>
        </w:rPr>
        <w:t>كلمة أخيرة للمحقّق النراقي</w:t>
      </w:r>
      <w:bookmarkEnd w:id="77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ويكفيك في عدم الكلية ما ترى من اشتراطهم في الشهادة، العدالة، والتعدّد، وانضمام الحلف والاكتفاء في سقوط الدعوى عن ورثة الميت بيمين نفي العلم، والحكم بسقوطها مع عدم دعوى العلم على الوارث، وبلزوم الحلف فيما يدّعيه أحد ممّا هو موقوف على قصده، ونحو ذلك، ولا يعلم في الموارد التي يكون الحكم فيها موافقاً للقاعدة انّه لأجل ما تقتضيه تلك القاعدة، بل لعلّه إنّما هو لخصوص المورد أو علة أُخرى</w:t>
      </w:r>
      <w:r>
        <w:rPr>
          <w:rFonts w:eastAsia="Amiri" w:cs="Amiri" w:ascii="Amiri" w:hAnsi="Amiri"/>
          <w:color w:val="111111"/>
          <w:sz w:val="28"/>
          <w:szCs w:val="28"/>
          <w:rtl w:val="true"/>
          <w:lang w:bidi="ar-SA"/>
        </w:rPr>
        <w:t>.</w:t>
      </w:r>
      <w:r>
        <w:rPr>
          <w:rStyle w:val="FootnoteAnchor"/>
          <w:rtl w:val="true"/>
        </w:rPr>
        <w:footnoteReference w:id="288"/>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مصبّ القاعدة ليس هو تصديق كلّ مدّع في عامّة الحالات عادلاً كان أم فاسقاً، واحداً كان أو متعدّداً، انضم الحلف إلى قوله أو لا، بل المراد </w:t>
      </w:r>
      <w:bookmarkStart w:id="773" w:name="pg14367_157375"/>
    </w:p>
    <w:p>
      <w:pPr>
        <w:pStyle w:val="BookText"/>
        <w:rPr/>
      </w:pPr>
      <w:bookmarkEnd w:id="773"/>
      <w:r>
        <w:rPr>
          <w:rFonts w:ascii="Amiri" w:hAnsi="Amiri" w:eastAsia="Amiri" w:cs="Amiri"/>
          <w:color w:val="111111"/>
          <w:sz w:val="28"/>
          <w:sz w:val="28"/>
          <w:szCs w:val="28"/>
          <w:rtl w:val="true"/>
          <w:lang w:bidi="ar-SA"/>
        </w:rPr>
        <w:t>انّه إذا صدر فعل عن إنسان مختار لغاية خاصة فيحمل على الفرد الصحيح منه دون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الأمثلة خارج عن هذا الموضوع، إذ ليس المدّعى انّه يُسمع دعوى كلّ مدّع في حقّ الآخرين بمجرّد الشهادة، وإنّما موردها فعل صادر من فاعل مختار له وجهان صحيح وغير صحيح، فيحمل على الصحيح من دون أن يقع ذريعة لتصديق أحد وتكذيب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فإنكار هذا الأصل بين العقلاء والمتشرّعة والفقه غير تامّ</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7507428_3381743652"/>
      <w:bookmarkStart w:id="775" w:name="_Toc284"/>
      <w:bookmarkEnd w:id="774"/>
      <w:r>
        <w:rPr>
          <w:rtl w:val="true"/>
        </w:rPr>
        <w:t>الأمر الرابع هل المراد هو الصحّة عند الفاعل أو الحامل؟</w:t>
      </w:r>
      <w:bookmarkEnd w:id="775"/>
    </w:p>
    <w:p>
      <w:pPr>
        <w:pStyle w:val="BookText"/>
        <w:rPr/>
      </w:pPr>
      <w:r>
        <w:rPr>
          <w:rFonts w:ascii="Amiri" w:hAnsi="Amiri" w:eastAsia="Amiri" w:cs="Amiri"/>
          <w:color w:val="111111"/>
          <w:sz w:val="28"/>
          <w:sz w:val="28"/>
          <w:szCs w:val="28"/>
          <w:rtl w:val="true"/>
          <w:lang w:bidi="ar-SA"/>
        </w:rPr>
        <w:t>هل أصالة الصحّة تثبت كون العمل صحيحاً عند الفاعل والعامل، أو تثبت كونه صحيحاً عند الحامل؟ ويعبر عن الأوّل بالصحّة الفاعلية، وعن الثاني بالصحّة الواقعية، لأنّ الحامل يتصور انّ ما يعتقده هو الواقع، فهنا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التعليل هو الصحّة عند الفاعل لما قرّر من أنّ الفاعل المريد الهادف لا يترك ما هو المؤثر في العمل عمداً لكونه نقضاً للغرض، ولا سهواً لكونه نادراً، فلو اعتمدنا في أصالة الصحّة على هذا التعليل، فلا يثبت إلّا كون العمل صحيحاً عند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الغرض الذي لأجله أُسِّس الأصل هو ترتيب الآثار الواقعية عند الحامل، والمفروض انّ الأثر مترتب على العمل الصحيح عنده لا عند الفاعل</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وجود التنافي بين التعليل والغرض الذي أُسِّس لأجله </w:t>
      </w:r>
    </w:p>
    <w:p>
      <w:pPr>
        <w:pStyle w:val="BookText"/>
        <w:rPr/>
      </w:pPr>
      <w:r>
        <w:rPr>
          <w:rFonts w:ascii="Amiri" w:hAnsi="Amiri" w:eastAsia="Amiri" w:cs="Amiri"/>
          <w:color w:val="111111"/>
          <w:sz w:val="28"/>
          <w:sz w:val="28"/>
          <w:szCs w:val="28"/>
          <w:rtl w:val="true"/>
          <w:lang w:bidi="ar-SA"/>
        </w:rPr>
        <w:t>الأصل، ومع ذلك لا محيص إلّاعن تقديم الثاني وإلّا يكون الأصل قاصراً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تختلف أحكام الصور من حيث إثبات الصحّة وعدمه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وقف الحامل على أنّ العامل جاهل بأحكام عمله من حيث الصحّة والفساد لأجل الجهل بالحكم أو الموضوع، فلو جاء به صحيحاً فإنّما وقع ذلك صدفة لا لكون الصحّة مقتضى طبع العمل الصادر عن الفاعل المريد الهادف، فلا تجري هنا أصالة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يجهل الحامل بحال العامل من حيث العلم بالحكم والموضوع وعدمه، والظاهر جريان أصالة الصحّة لوجود السيرة حيث إنّ بناء الناس على حمل عمل الآخرين على الصحّة من دون تفحّص وتفتيش عن علمهم بالموضوعات والأحكام، وعدمه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يعلم الحامل بعلم العامل بعمله حكماً وموضوعاً، وله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 الموافقة بينهما في موارد الصحّة والبطلان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يجهل حاله من حيث الموافقة والمخالفة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 مخالفته مع الحامل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فيجري في الأُولى لوجود الموافقة، كما يجري في الصورة الثانية للجهل بالمخالفة، وقد علمت أنّ الناس يحملون عمل الآخرين على الصحّة من دون تفتيش عن كونهم عالمين أو جاهلين، وعلى فرض كونهم عالمين كونهم موافقين للحامل أو مخالفين</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لا يجري في الصورة الثالثة، لأنّ الصحّة هنا ليست مقتضى طبع إرادة </w:t>
      </w:r>
    </w:p>
    <w:p>
      <w:pPr>
        <w:pStyle w:val="BookText"/>
        <w:rPr/>
      </w:pPr>
      <w:r>
        <w:rPr>
          <w:rFonts w:ascii="Amiri" w:hAnsi="Amiri" w:eastAsia="Amiri" w:cs="Amiri"/>
          <w:color w:val="111111"/>
          <w:sz w:val="28"/>
          <w:sz w:val="28"/>
          <w:szCs w:val="28"/>
          <w:rtl w:val="true"/>
          <w:lang w:bidi="ar-SA"/>
        </w:rPr>
        <w:t>الفاعل المريد، بل لو صحّت وكان العمل موافقاً للصحيح عند الحامل فإنّما هو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بين عقيدتي الحامل والفاعل تباين، كما إذا اعتقد العامل بوجوب القصر في السفر أي‌أربعة فراسخ وإن لم يرجع ليومه و اعتقد الآخر وجوب الإتمام في هذه الصورة فلا تجري أصالة الصحّة، وذلك لأنّ وقوع العمل صحيحاً حسب نظر الحامل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السهو والغفلة، وإلّا فهو بطبع الحال يصلّي قصراً حسب ما يعتقد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بين العقيدتين تخالف لا بالتباين، كما إذا اعتقد الفاعل بجواز الجهر والمخافتة في صلاة ظهر يوم الجمعة، واعتقد الحامل بوجوب خصوص المخافتة، فهل تجري أصالة الصحّة أو لا؟ الظاهر هو الثاني، لأنّ وقوع العمل صحيحاً حسب نظر الحامل ليس نتيجة إرادة الفاعل المريد الهادف، بل نتيجة الصدفة بأن يختار من طرفي التخيير ما هو الموافق لنظر الحامل</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الإحاطة بأحكام هذه الصور تُميّز الموارد التي تجري فيها أصالة الصحّة عمّا لا تجري</w:t>
      </w:r>
      <w:r>
        <w:rPr>
          <w:rFonts w:eastAsia="Amiri" w:cs="Amiri" w:ascii="Amiri" w:hAnsi="Amiri"/>
          <w:color w:val="111111"/>
          <w:sz w:val="28"/>
          <w:szCs w:val="28"/>
          <w:rtl w:val="true"/>
          <w:lang w:bidi="ar-SA"/>
        </w:rPr>
        <w:t xml:space="preserve">. </w:t>
      </w:r>
      <w:bookmarkStart w:id="776" w:name="pg14367_157378"/>
    </w:p>
    <w:p>
      <w:pPr>
        <w:pStyle w:val="Heading6"/>
        <w:numPr>
          <w:ilvl w:val="5"/>
          <w:numId w:val="1"/>
        </w:numPr>
        <w:rPr/>
      </w:pPr>
      <w:bookmarkStart w:id="777" w:name="__RefHeading___Toc7507430_3381743652"/>
      <w:bookmarkStart w:id="778" w:name="_Toc285"/>
      <w:bookmarkEnd w:id="776"/>
      <w:bookmarkEnd w:id="777"/>
      <w:r>
        <w:rPr>
          <w:rtl w:val="true"/>
        </w:rPr>
        <w:t>الأمر الخامس عدم جريان الأصل إلّابعد إحراز الموضوع</w:t>
      </w:r>
      <w:bookmarkEnd w:id="778"/>
    </w:p>
    <w:p>
      <w:pPr>
        <w:pStyle w:val="BookText"/>
        <w:rPr/>
      </w:pPr>
      <w:r>
        <w:rPr>
          <w:rFonts w:ascii="Amiri" w:hAnsi="Amiri" w:eastAsia="Amiri" w:cs="Amiri"/>
          <w:color w:val="111111"/>
          <w:sz w:val="28"/>
          <w:sz w:val="28"/>
          <w:szCs w:val="28"/>
          <w:rtl w:val="true"/>
          <w:lang w:bidi="ar-SA"/>
        </w:rPr>
        <w:t>نقل الشيخ الأعظم عن المحقّق الثاني انّ الأصل في العقود، الصحة، لكن بعد استكمال أركانها ليتحقّق وجود العقد، أمّا قبله فلا وجود له، وخصّ جريانها على ما إذا حصل الاتفاق على حصول جميع الأُمور المعتبرة في العقد من الإيجاب والقبول الكاملين وجريانهما على العوضين المعتبرين، ووقع الاختلاف في شرط مفسد، فالقول قول مدّعي الصحّة بيقينه، لأنّه الموافق للأصل</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وعلى ضوء ذلك فلا يجري الأصل في المسائل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ادّعى المشتري أنّه اشترى العبد، والبائع أنّه باع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 الضامن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وأنا غير بالغ، وقال المضمون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وأنت بالغ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قال الضامن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وأنا مجنون، وقال المضمون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ضمنتَ وأنت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على ما ذكره بأنّه إذا كان مصبُّ الأصل ما إذا أحرز الموضوع بتمام قيوده وحدوده وكان الشكّ ممحَّضاً في الاشتراط بالشرط الفاسد يكون الأصل عديم الفائدة، إذ يكفي عندئذٍ الاستصحاب، وهو أصالة عدم الاشتراط صحيحاً كان الشرط أم فاسداً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أورد الشيخ على نظريّة المحقّق الثاني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بما إذا شكّ المشتري في أنّ الذي اشتراه هل اشتراه في حال صغره أو لا؟ فهو يبني على الصحّة اتفاقاً، مع أنّه شكّ قبل العلم باستكمال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بأنّه ماذا يريد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وجود للعقد قبل استكمال أركانه؟ فإن أراد الوجود الشرعي فهو عين الصحّة، وإن أراد الوجود العرفي فهو متحقّق مع الشكّ بل مع القطع بعدم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إنّما يتمّ إذا شكّ في بلوغ الفاعل ولم يكن هناك طرف آخر معلوم البلوغ تستلزم صحّةُ فعله، صحّةَ فعل هذا الفاعل، كما إذا كان قائماً بطرف واحد كالإبراء والإيصاء فشكّ في أنّه صدر في حال البلوغ أو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قائماً بشخصين فشكّ في ركن العقد كأحد العوضين أو في أهليّة أحد طرفي العقد، فيمكن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الظاهر من الفاعل في الأوّل، ومن الطرف الآخر في الثاني أنّه لا يتصرّف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الضمان، فلو فرض وقوعه بغير إذن من المديون ولا قبول من الغريم فشك في بلوغ الضامن حينه وعدمه فلا يصحّ استكشاف صحّته من الطرف الآخر لعدم وجوده، وأمّا إذا كان مع إذن واحد منهما أوكليهما فيصحّ استكشاف صحّته، من الحكم بصحّة عمل الطرف الآخر</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وقفت على مختار المحقّق الثاني كما عرفت خيرة الشيخ الأنصاري، وبين القولين بون شاسع، حيث إنّ الأوّل لا يقول بجريان الأصل إلّابعد إحراز الموضوع للصحّة عند الشرع بعامة قيوده وشروطه، وكان الشكّ نابعاً من اشتراط شرط مفسد وعدمه، ومن المعلوم انّ تخصيص الأصل بهذه الصورة </w:t>
      </w:r>
    </w:p>
    <w:p>
      <w:pPr>
        <w:pStyle w:val="BookText"/>
        <w:rPr/>
      </w:pPr>
      <w:r>
        <w:rPr>
          <w:rFonts w:ascii="Amiri" w:hAnsi="Amiri" w:eastAsia="Amiri" w:cs="Amiri"/>
          <w:color w:val="111111"/>
          <w:sz w:val="28"/>
          <w:sz w:val="28"/>
          <w:szCs w:val="28"/>
          <w:rtl w:val="true"/>
          <w:lang w:bidi="ar-SA"/>
        </w:rPr>
        <w:t>يوجب كونه غير مؤثر في باب المعاملات إلّانادراً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الشيخ الأنصاري يقول بجريان الأصل مطلقاً سواء أحرز الموضوع أم لا، وسواء أحرزت صورة العمل أو لا، وعند ذلك يفقد الأصل الضابطة التي تُميز موقف الأصل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يجب التنبيه على تلك الضابطة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أصل عقلائي لا يتمسّك به العقلاء إلّابعد إحراز الموضوع عرفاً، الذي ربما يكون هو موضوعاً للصحة والفساد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مورد أحرز الفقيه وجود الموضوع وكان قابلاً للحكم عليه بالصحة والفساد يجري الأصل،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مقتضى الأصل هو حمل الموضوع على القسم الصحيح دون الفاسد، فيكون أصل الموضوع محرزاً بالوجدان وصحته محرزة بالأصل، وبذلك تقدر على تمييز ما يجري فيه الأصل عمّا لا يجري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كون البائع أو الضامن أو غيرهما عاقلاً أو مجنوناً حين البيع أو الضمان أو لا؟ فلا تجري أصالة الصحّة، لأنّ موضوعها هو العقد الذي يوصف بالصحة تارة وبالفساد أُخرى، والشكّ في كون البائع عاقلاً أو مجنوناً شكّ في وجود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 هل كان هناك عقد أو لا، فكيف يكون محكوماً بالصحة، بخلاف ما إذا أحرز انّ العقد صدر من المميّز لكن شكّ في بلوغه فيما انّ عقد المميّز موضوع للصحة والفاسد يحمل على القسم الصحيح وهو كونه مميّزاً بالغاً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رأينا إنساناً في حالة الركوع وشككنا في أنّه ركع لأجل الصلاة أو لأخذ شيء من الأرض فلا تجري فيه أصالة الصحّة، لعدم إحراز الموضوع، وهو كونه بصدد إقامة الصلاة، وإلى ذلك يشير قول الشيخ في الأمر الرابع حيث قال</w:t>
      </w:r>
      <w:r>
        <w:rPr>
          <w:rFonts w:eastAsia="Amiri" w:cs="Amiri" w:ascii="Amiri" w:hAnsi="Amiri"/>
          <w:color w:val="111111"/>
          <w:sz w:val="28"/>
          <w:szCs w:val="28"/>
          <w:rtl w:val="true"/>
          <w:lang w:bidi="ar-SA"/>
        </w:rPr>
        <w:t xml:space="preserve">: </w:t>
      </w:r>
      <w:bookmarkStart w:id="779" w:name="pg14367_157381"/>
    </w:p>
    <w:p>
      <w:pPr>
        <w:pStyle w:val="BookText"/>
        <w:rPr/>
      </w:pPr>
      <w:bookmarkEnd w:id="779"/>
      <w:r>
        <w:rPr>
          <w:rFonts w:ascii="Amiri" w:hAnsi="Amiri" w:eastAsia="Amiri" w:cs="Amiri"/>
          <w:color w:val="111111"/>
          <w:sz w:val="28"/>
          <w:sz w:val="28"/>
          <w:szCs w:val="28"/>
          <w:rtl w:val="true"/>
          <w:lang w:bidi="ar-SA"/>
        </w:rPr>
        <w:t>لو شوهد من يأتي بصورة عمل من صلاة أو طهارة أو نسك حج ولم يعلم قصده تحقّق هذه العبادات، لم يحمل على ذلك</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أحرز انّ الفاعل بصدد الغَسل وشككنا في أنّه بصدد الغسل بعنوان التطهير أو الغسل بعنوان النظافة لا تجري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علمنا بصدور الإيجاب من الموجب وشككنا في صدور القبول من القابل، فأصالة الصحّة من الموجب لا يقتضي إلّاصحّة نفس الإيجاب بما هوهو بمعنى انّه لو انظمّ إليه القبول لتم العقد، ولا تنتج أصالة الصحة من جانب الإيجاب وجود العقد، حتى يحمل على الصحة، لعدم إحراز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المحرز فإنّما هو جزء العقد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تمامه، و قد سبق انّ الثابت بأصالة الصحّة في فعل النفس هو الصحّة النسبية، فلاحظ</w:t>
      </w:r>
      <w:r>
        <w:rPr>
          <w:rFonts w:eastAsia="Amiri" w:cs="Amiri" w:ascii="Amiri" w:hAnsi="Amiri"/>
          <w:color w:val="111111"/>
          <w:sz w:val="28"/>
          <w:szCs w:val="28"/>
          <w:rtl w:val="true"/>
          <w:lang w:bidi="ar-SA"/>
        </w:rPr>
        <w:t>.</w:t>
      </w:r>
    </w:p>
    <w:p>
      <w:pPr>
        <w:pStyle w:val="Heading6"/>
        <w:numPr>
          <w:ilvl w:val="5"/>
          <w:numId w:val="1"/>
        </w:numPr>
        <w:rPr/>
      </w:pPr>
      <w:bookmarkStart w:id="780" w:name="__RefHeading___Toc7507432_3381743652"/>
      <w:bookmarkStart w:id="781" w:name="_Toc286"/>
      <w:bookmarkEnd w:id="780"/>
      <w:r>
        <w:rPr>
          <w:rtl w:val="true"/>
        </w:rPr>
        <w:t>تفصيل للمحقّق النائيني</w:t>
      </w:r>
      <w:bookmarkEnd w:id="781"/>
    </w:p>
    <w:p>
      <w:pPr>
        <w:pStyle w:val="BookText"/>
        <w:rPr/>
      </w:pPr>
      <w:r>
        <w:rPr>
          <w:rFonts w:ascii="Amiri" w:hAnsi="Amiri" w:eastAsia="Amiri" w:cs="Amiri"/>
          <w:color w:val="111111"/>
          <w:sz w:val="28"/>
          <w:sz w:val="28"/>
          <w:szCs w:val="28"/>
          <w:rtl w:val="true"/>
          <w:lang w:bidi="ar-SA"/>
        </w:rPr>
        <w:t>ثمّ إنّ المحقّق النائيني ذكر تفصيلاً آخر،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دليل أصالة الصحّة في العقود هو الإجماع، والقدر المتيقن منه ما إذا كان الشكّ في الصحّة والفساد مسبباً عن الشكّ في تأثير العقد للنقل والانتقال بعد الفراغ عن سلطنة العاقد لإيجاد المعاملة من حيث نفسه ومن حيث المال المعقود عليه</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أهلية العاقد لإيجاد المعاملة، وقابلية المعقود عليه للنقل والانتقال إنّما يكون مأخوذاً في عَقْدِ وَضع أصالةِ الصحة، فلا محلّ لها إلّابعد إحراز أهلية العاقد وقابلية المعقود عليه، فأصالة الصحّة إنّما تجري إذا كان الشكّ راجعاً إلى ناحية السبب من حيث كونه واجداً للشرائط المعتبرة أو فاقداً له، وأمّا </w:t>
      </w:r>
    </w:p>
    <w:p>
      <w:pPr>
        <w:pStyle w:val="BookText"/>
        <w:rPr/>
      </w:pPr>
      <w:r>
        <w:rPr>
          <w:rFonts w:ascii="Amiri" w:hAnsi="Amiri" w:eastAsia="Amiri" w:cs="Amiri"/>
          <w:color w:val="111111"/>
          <w:sz w:val="28"/>
          <w:sz w:val="28"/>
          <w:szCs w:val="28"/>
          <w:rtl w:val="true"/>
          <w:lang w:bidi="ar-SA"/>
        </w:rPr>
        <w:t>لو كان الشكّ راجعاً إلى أهلية العاقد أو قابلية المعقود عليه للنقل والانتقال، فالمرجع هو سائر الأُصول العملية حسب ما يقتضيه المقام</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متين فيما إذا كان الشكّ في قابلية العاقد أو المعقود عليه موجباً للشكّ في صدق الموضوع وصدق القدر المشترك بين الصحة والفساد، كما إذا شكّ في عقد العاقد أو تميّزه أو شكّ في كون المبيع ما يملك عرفاً أو لا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الموضوع محرزاً عرفاً وكان الشكّ في تحقّق الشروط التي اعتبرها الشارع دون العرف، كما إذا شكّ في بلوغ العاقد أو كون المبيع ممّا لا يتملك شرعاً كالخمر وإن كان متملّكاً عرفاً، فلا وجه لعدم الجريان أخذاً بالضابطة الماضية من أنّ الإنسان المريد المختار الذي يعمل لغرض خاص، لا يصدر إلّاعن عمل صحيح فيترتب عليه انّه كان بالغاً و انّ المعقود عليه متملكاً شرعاً</w:t>
      </w:r>
      <w:r>
        <w:rPr>
          <w:rFonts w:eastAsia="Amiri" w:cs="Amiri" w:ascii="Amiri" w:hAnsi="Amiri"/>
          <w:color w:val="111111"/>
          <w:sz w:val="28"/>
          <w:szCs w:val="28"/>
          <w:rtl w:val="true"/>
          <w:lang w:bidi="ar-SA"/>
        </w:rPr>
        <w:t xml:space="preserve">. </w:t>
      </w:r>
      <w:bookmarkStart w:id="782" w:name="pg14367_157383"/>
    </w:p>
    <w:p>
      <w:pPr>
        <w:pStyle w:val="Heading6"/>
        <w:numPr>
          <w:ilvl w:val="5"/>
          <w:numId w:val="1"/>
        </w:numPr>
        <w:rPr/>
      </w:pPr>
      <w:bookmarkStart w:id="783" w:name="__RefHeading___Toc7507434_3381743652"/>
      <w:bookmarkStart w:id="784" w:name="_Toc287"/>
      <w:bookmarkEnd w:id="782"/>
      <w:bookmarkEnd w:id="783"/>
      <w:r>
        <w:rPr>
          <w:rtl w:val="true"/>
        </w:rPr>
        <w:t>الأمر السادس الغاية إثبات الأثر المطلوب</w:t>
      </w:r>
      <w:bookmarkEnd w:id="784"/>
    </w:p>
    <w:p>
      <w:pPr>
        <w:pStyle w:val="BookText"/>
        <w:rPr/>
      </w:pPr>
      <w:r>
        <w:rPr>
          <w:rFonts w:ascii="Amiri" w:hAnsi="Amiri" w:eastAsia="Amiri" w:cs="Amiri"/>
          <w:color w:val="111111"/>
          <w:sz w:val="28"/>
          <w:sz w:val="28"/>
          <w:szCs w:val="28"/>
          <w:rtl w:val="true"/>
          <w:lang w:bidi="ar-SA"/>
        </w:rPr>
        <w:t>إنّ الغاية من جريان الأصل هو إثبات الأثر المطلوب من كلّ شيء، فأصالة الصحّة في الإيجاب لا تثبت إلّا صحّة نفس الإيجاب بمعنى انّه لو انضم إليه القبول لتم العقد في مقابل الإيجاب الباطل، وأمّا أنّه هل انضم إليه القبول أو لا؟ فلا تثبته أصالة الصحّة، وهذا هو الذي مرّ ذكره في قاعدة التجاوز من انّه لا يثبت بها إلّاالصحّة النسبية لا المطلقة، وبذلك تقف على أحكام الصور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شكّ في تحقّق القبض في معاملة الصرف و السلم، فأصالة صحة العقد لا تثبت تحقّقه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شكّ في إجازة المالك بعد صدور العقد من الفضول، فصحّة العقد الفضولي لا تثبت تحقّق الإجازة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إذن المرتهن في البيع لا تثبت وقوع البيع قبل الرجوع إذا علمنا بوقوع البيع ورجوع المرتهن عن إذنه وشككنا في كونه قبل البيع أو بعده، كما أنّ صحّة الرجوع لا تثبت كون البيع بعده 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هنا فروع ذكرها الشيخ تحت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الوقف مدّعياً وجود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باع غير الولي مال اليتيم مدّعياً حصول الغبطة</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الفضولي إجازة المالك حين بيعه للآخر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الظاهر انّ هذه المسائل داخلة تحت الأمر الخامس حيث حكما بعدم جريان أصالة الصحة إلّاعند إحراز الموضوع، وهو غير محرز في المقام لعدم إحراز المسوغ في الوقف والغبطة في بيع مال اليتيم، وإذن المالك في بيع ماله، وكان على الشيخ طرح هذه الأمثلة تحت الأمر الخامس لا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انّ عدم جريان الأصل لاختصاصه بما إذا كان طبع العمل مقتضياً للصحّة وكان الفاسد أمراً طارئاً، وأمّا الأمثلة فالأمر فيها على العكس، فانّ الأصل في هذه الموارد هو الفساد والصحّة أمر عرضي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عدم جريان الأصل في بيع الخمر والكلب والخنزير والسلاح في العدوان وغير ذلك</w:t>
      </w:r>
      <w:r>
        <w:rPr>
          <w:rFonts w:eastAsia="Amiri" w:cs="Amiri" w:ascii="Amiri" w:hAnsi="Amiri"/>
          <w:color w:val="111111"/>
          <w:sz w:val="28"/>
          <w:szCs w:val="28"/>
          <w:rtl w:val="true"/>
          <w:lang w:bidi="ar-SA"/>
        </w:rPr>
        <w:t xml:space="preserve">. </w:t>
      </w:r>
      <w:bookmarkStart w:id="785" w:name="pg14367_157385"/>
    </w:p>
    <w:p>
      <w:pPr>
        <w:pStyle w:val="Heading6"/>
        <w:numPr>
          <w:ilvl w:val="5"/>
          <w:numId w:val="1"/>
        </w:numPr>
        <w:rPr/>
      </w:pPr>
      <w:bookmarkStart w:id="786" w:name="__RefHeading___Toc7507436_3381743652"/>
      <w:bookmarkStart w:id="787" w:name="_Toc288"/>
      <w:bookmarkEnd w:id="785"/>
      <w:bookmarkEnd w:id="786"/>
      <w:r>
        <w:rPr>
          <w:rtl w:val="true"/>
        </w:rPr>
        <w:t>الأمر السابع شرطية إحراز العمل في جريان الأصل</w:t>
      </w:r>
      <w:bookmarkEnd w:id="787"/>
    </w:p>
    <w:p>
      <w:pPr>
        <w:pStyle w:val="BookText"/>
        <w:rPr/>
      </w:pPr>
      <w:r>
        <w:rPr>
          <w:rFonts w:ascii="Amiri" w:hAnsi="Amiri" w:eastAsia="Amiri" w:cs="Amiri"/>
          <w:color w:val="111111"/>
          <w:sz w:val="28"/>
          <w:sz w:val="28"/>
          <w:szCs w:val="28"/>
          <w:rtl w:val="true"/>
          <w:lang w:bidi="ar-SA"/>
        </w:rPr>
        <w:t>قد سبق انّ مجرى الأصل هو العمل الصادر من إنسان عامل مريد لغرض دنيوي أو أُخروي، فلا تجري إلّافي مورد العمل المحرز وجوده، في ظرفه، سواء أكان ظرف العمل هو الماضي أو الحاضر أو المستقبل، وبذلك تظهر كيفية جريان الأصل فيما إذا استأجر إنساناً للحجّ والعمرة، و شك فيه، فهنا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أصل الإتيان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قصده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من جهة الإخلال ببعض الشرائط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الصورتان الأُوليان فلا يجري فيهما الأصل، نعم لو كان المخبر عادلاً وقلنا بحجّية الخبر الواحد في الموضوعات يقبل قوله لكونه خبراً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الصورة الأخيرة فالظاهر جريان الأصل فيه ويحكم بالصحّة، ويُلزم الموجر بدفع الأُجرة، غير أنّه يظهر من الشيخ الأنصاري التفصيل بين دفع الأُجرة وحصول البراءة حيث قال بلزوم دفع الأُجرة وعدم حصول البراءة، فقال 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للفعل النائب عنوانين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فعل من أفعال النائب، ولذا تجب عليه مراعاة أجزاء الواجب وشروطه، وبهذا الاعتماد يترتب عليه جميع آثار صدور الفعل الصحيح منه، مثل استحقاق الأُجرة وجواز استئجاره ثانياً بناء على اشتراط فراغ ذمة الأجير في صحّة </w:t>
      </w:r>
    </w:p>
    <w:p>
      <w:pPr>
        <w:pStyle w:val="BookText"/>
        <w:rPr/>
      </w:pPr>
      <w:r>
        <w:rPr>
          <w:rFonts w:ascii="Amiri" w:hAnsi="Amiri" w:eastAsia="Amiri" w:cs="Amiri"/>
          <w:color w:val="111111"/>
          <w:sz w:val="28"/>
          <w:sz w:val="28"/>
          <w:szCs w:val="28"/>
          <w:rtl w:val="true"/>
          <w:lang w:bidi="ar-SA"/>
        </w:rPr>
        <w:t>استئجاره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فعل للمنوب عنه حيث إنّه بمنزلة الفاعل بالتسبّب أو الآلة وكان الفعل بعد قصد النيابة والبدليّة قائماً بالمنوب عنه، وبهذا الاعتبار يراعى فيه القصر والإتمام في الصلاة، والتمتع والقران في الحجّ، والترتيب في الفرائض، والصحة من الحيثية الأُولى لا تثبت الصحّة من هذه الحيثية الثانية، بل لا بد من إحراز صدور الفعل الصحيح عنه على وجه التسبّب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فعل الغير يسقط التكليف عنه من حيث إنّه فعل الغير كفت أصالة الصحّة في السقوط، كما في الصلاة على الميت وإن كان إنّما يسقط التكليف عنه من حيث اعتبار كونه فعلاً له ولو على وجه التسبيب، كما إذا كلّف بتحصيل فعل بنفسه أو ببدن غيره كما في استنابة العاجز للحج لم تنفع أصالة الصحّة في سقوطه، بل يجب التفكيك بين أثري الفعل من الحيثيتين فيحكم باستحقاق الفاعل الأُجرة وعدم براءة ذمة المنوب عنه من الحجّ وكما في استئجار الوليّللعمل عن الميت</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وحاصل كلامه انّ في مورد النيابة عملين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المباشري القائم بالفاعل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التسبّبي للمنوب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موضوع لأداء الأُجرة، و بما انّه أمر ثابت، يجب أن تدفع الأُجرة للنائب في ظرف الشكّ أيضاً، لأصالة الصحّة في عمله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فهو عمل للمنوب عنه ولا تجري فيه أصالة الصحّة، لأنّ </w:t>
      </w:r>
    </w:p>
    <w:p>
      <w:pPr>
        <w:pStyle w:val="BookText"/>
        <w:rPr/>
      </w:pPr>
      <w:r>
        <w:rPr>
          <w:rFonts w:ascii="Amiri" w:hAnsi="Amiri" w:eastAsia="Amiri" w:cs="Amiri"/>
          <w:color w:val="111111"/>
          <w:sz w:val="28"/>
          <w:sz w:val="28"/>
          <w:szCs w:val="28"/>
          <w:rtl w:val="true"/>
          <w:lang w:bidi="ar-SA"/>
        </w:rPr>
        <w:t>موضوعه فعل الغير، وهو في المقام فعل نفس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ما ذكره من أنّه ليس في العمل النيابيّ إلّاأمر واحد وهو قيام الغير بالعمل المتعلّق بالغير لغاية إفراغ ذمّته، وهذا موضوع لكلا الأثرين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دفع الأُجرة، و براءة ذمّة المنوب عنه عمّا تعلّق بذّمته، فلو جرت أصالة الصحّة في المقام لترتّب عليه كلا الأثرين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تفسير النيابة بتنزيل النائب نفسه بمنزلة المنوب عنه، وفعلَه وطاعَته، منزلة فعلِه وطاعتِه؛ فهو تفسير ذوقيّ لم يدلّ على صحّته دليل شرعي، والعجب انّ سيّد مشايخنا البروجردي قدس سره كان يفتي على هذا المبنى بعدم جواز الاقتداء بإمام يصلّي الفرائض نيابة عن الميت، وذلك لأنّ النائب ينزّل نفسه منزلة الميت، فكأنّه الميت الذي يصلّي، الّذي لا يجوز الاقتداء به</w:t>
      </w:r>
      <w:r>
        <w:rPr>
          <w:rFonts w:eastAsia="Amiri" w:cs="Amiri" w:ascii="Amiri" w:hAnsi="Amiri"/>
          <w:color w:val="111111"/>
          <w:sz w:val="28"/>
          <w:szCs w:val="28"/>
          <w:rtl w:val="true"/>
          <w:lang w:bidi="ar-SA"/>
        </w:rPr>
        <w:t xml:space="preserve">. </w:t>
      </w:r>
      <w:bookmarkStart w:id="788" w:name="pg14367_157388"/>
    </w:p>
    <w:p>
      <w:pPr>
        <w:pStyle w:val="Heading6"/>
        <w:numPr>
          <w:ilvl w:val="5"/>
          <w:numId w:val="1"/>
        </w:numPr>
        <w:rPr/>
      </w:pPr>
      <w:bookmarkStart w:id="789" w:name="__RefHeading___Toc7507438_3381743652"/>
      <w:bookmarkStart w:id="790" w:name="_Toc289"/>
      <w:bookmarkEnd w:id="788"/>
      <w:bookmarkEnd w:id="789"/>
      <w:r>
        <w:rPr>
          <w:rtl w:val="true"/>
        </w:rPr>
        <w:t>الأمر الثامن أصالة الصحّة أمارة أو أصل</w:t>
      </w:r>
      <w:bookmarkEnd w:id="790"/>
    </w:p>
    <w:p>
      <w:pPr>
        <w:pStyle w:val="BookText"/>
        <w:rPr/>
      </w:pPr>
      <w:r>
        <w:rPr>
          <w:rFonts w:ascii="Amiri" w:hAnsi="Amiri" w:eastAsia="Amiri" w:cs="Amiri"/>
          <w:color w:val="111111"/>
          <w:sz w:val="28"/>
          <w:sz w:val="28"/>
          <w:szCs w:val="28"/>
          <w:rtl w:val="true"/>
          <w:lang w:bidi="ar-SA"/>
        </w:rPr>
        <w:t>إنّ القضاء الباتّ في المقام يتوقف على دراسة أدلّة أصالة الصحّة، فانّ مفادها يختلف حسب اختلاف أدلّتها،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بحجيّتها من باب دفع العسر والحرج ولغاية حفظ النظام، تُصبح أصالة الصحّة أصلاً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قلنا بحجيتها من باب السيرة المستمرّة بين العقلاء المستندة إلى أصل، وهو انّ الإنسان العاقل المريد لغاية دنيوية أو دينية لا يقوم إلّابالعمل الصحيح لا الفاسد، فتصبح أصالة الصحة أمارة من الأمارات، فيكون قيام الفاعل المريد للعمل لأجل غرض، طريقاً إلى استكشاف صحته، وإلى ذلك الوجه يرجع ما قلنا من أنّ طبع العمل يقتضي أن يكون صحيحاً، وذلك لأنّ اقتضاء طبع العمل، الصحةَ رهن إرادة الفاعل المريد لغاية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تترتب على ذلك ثمرة عملية، وما ربّما يتوهّم من أنّ ثمرة البحث هو حجّية مثبتاتها على الأمارية دون الأصل،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يدلّ دليل على حجّية مثبتات الأمارات على الإطلاق إلّاالبيّنة وخبر الواحد، وفي غير هذين الموردين لم يدلّ دليل على التعبُّد بلوازمها العرفية أو العقلية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لو شككنا في أنّ الشراء الصادر من الغير كان ممّا لا يملك أو ممّا يملكه من الدرهم المعين، فأصالة الصحّة لا تثبت خروج الدرهم من ملكه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وخلاصة الكلام في حجّية الأمارات في مثبتاتها انّ طريقية الأمارة إذا كانت قوية بحيث لا ينفك التعبّد بالملزوم عرفاً عن التعبّد بلازمه تكون الأمارة حجّة في لوازمها، كما في البيّنة و خبر الواحد؛ وأمّا إذا كانت طريقيته خفيفة كالظنون الحاصلة من قاعدة اليد والفراغ و أصالة الصحّة، فلا يعد التعبّد بالملزوم، تعبداً باللازم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اشتهر بين المتأخرين من أنّ مثبتات الأمارات حجّة دون الأُصول ليس على إطلاقها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يكون الأصل أو الأمارة الضعيفة منقِّحاً لموضوع الدليل الاجتهادي فيترتب عليه الأثر، لا بفضل الأصل أو الأمارة الضعيفة، بل بفضل الدليل الاجتهادي الذي أخذ موضوعه من الأصل أو الأمارة الضعيفة، وهذا خارج عن مثبتات الأُصول والأمارات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طُلّقت المرأة وشككنا في صحّة طلاقها، جرت أصالة الصحة وثبت صحّة الطلاق، و عندئذٍ تصبح المرأة المطلقة صغرى،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فيجب عليها الاعتداد، فإذا خرجت من العدة يشملها الدليل الاجتهادي الآخر المسوّغ لتزويج المرأة المطلّقة التي انتهت عدتها، وهكذا</w:t>
      </w:r>
      <w:r>
        <w:rPr>
          <w:rFonts w:eastAsia="Amiri" w:cs="Amiri" w:ascii="Amiri" w:hAnsi="Amiri"/>
          <w:color w:val="111111"/>
          <w:sz w:val="28"/>
          <w:szCs w:val="28"/>
          <w:rtl w:val="true"/>
          <w:lang w:bidi="ar-SA"/>
        </w:rPr>
        <w:t xml:space="preserve">.... </w:t>
      </w:r>
      <w:bookmarkStart w:id="791" w:name="pg14367_157390"/>
    </w:p>
    <w:p>
      <w:pPr>
        <w:pStyle w:val="Heading6"/>
        <w:numPr>
          <w:ilvl w:val="5"/>
          <w:numId w:val="1"/>
        </w:numPr>
        <w:rPr/>
      </w:pPr>
      <w:bookmarkStart w:id="792" w:name="__RefHeading___Toc7507440_3381743652"/>
      <w:bookmarkStart w:id="793" w:name="_Toc290"/>
      <w:bookmarkEnd w:id="791"/>
      <w:bookmarkEnd w:id="792"/>
      <w:r>
        <w:rPr>
          <w:rtl w:val="true"/>
        </w:rPr>
        <w:t>الأمر التاسع تقدّم أصالة الصحّة على استصحاب الفساد</w:t>
      </w:r>
      <w:bookmarkEnd w:id="793"/>
    </w:p>
    <w:p>
      <w:pPr>
        <w:pStyle w:val="BookText"/>
        <w:rPr/>
      </w:pPr>
      <w:r>
        <w:rPr>
          <w:rFonts w:ascii="Amiri" w:hAnsi="Amiri" w:eastAsia="Amiri" w:cs="Amiri"/>
          <w:color w:val="111111"/>
          <w:sz w:val="28"/>
          <w:sz w:val="28"/>
          <w:szCs w:val="28"/>
          <w:rtl w:val="true"/>
          <w:lang w:bidi="ar-SA"/>
        </w:rPr>
        <w:t>إنّ أصالة الصحّة مقدّمة على الاستصحاب سواء أكانت أمارة أم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بأنّها أمارة، فلأنّها مزيلة للشك؛ وأمّا على القول بأنّها أصل، فللزوم اللغوية لو قُدِّم الاستصحابُ على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في العبادات والمعاملات هو الفساد، وذلك انّ سبب الشكّ فيهما إذا كانت الشبهة موضوعيّة هو احتمال تخلّف شرط أو جزء عن المشروط والمركب، والأصل عدم اقترانهما بالكلّ فتكون المعاملة محكومة بالفساد، والعبادة محكومة بوجوب الإعادة وبقاء اشتغال الذمّة، فلو قُدّم الاستصحاب على أصالة الصحّة يلزم أن لا يكون لأصالة الصحّة دور في باب المعاملات والعبادات، وهذا هو معنى لغويتها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الشكّ في الصحّة نابعاً عن احتمال اقتران المانع والقاطع، فمقتضى الأصل وإن كان عدمهما وتكون النتيجة صحّةَ العبادة والمعاملة، ولكن عند ذاك لا حاجة إلى أصالة الصحّة، فتُصبح أصالة الصحّة أصلاً قليل الفائدة أو عادمها، وذلك لأنّه بين مبتلى بمعارَض يقدّم عليه و بين خال عن المعارض لكن الفقيه في غنى عن مراجعتها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ويؤيدما ذكرناه انّ سيرة العلماء والمتشرّعة على تقدّم أصالة الصحّة على الاستصحاب</w:t>
      </w:r>
      <w:r>
        <w:rPr>
          <w:rFonts w:eastAsia="Amiri" w:cs="Amiri" w:ascii="Amiri" w:hAnsi="Amiri"/>
          <w:color w:val="111111"/>
          <w:sz w:val="28"/>
          <w:szCs w:val="28"/>
          <w:rtl w:val="true"/>
          <w:lang w:bidi="ar-SA"/>
        </w:rPr>
        <w:t xml:space="preserve">. </w:t>
      </w:r>
      <w:bookmarkStart w:id="794" w:name="pg14367_157391"/>
    </w:p>
    <w:p>
      <w:pPr>
        <w:pStyle w:val="Heading6"/>
        <w:numPr>
          <w:ilvl w:val="5"/>
          <w:numId w:val="1"/>
        </w:numPr>
        <w:rPr/>
      </w:pPr>
      <w:bookmarkStart w:id="795" w:name="__RefHeading___Toc7507442_3381743652"/>
      <w:bookmarkStart w:id="796" w:name="_Toc291"/>
      <w:bookmarkEnd w:id="794"/>
      <w:bookmarkEnd w:id="795"/>
      <w:r>
        <w:rPr>
          <w:rtl w:val="true"/>
        </w:rPr>
        <w:t>الأمر العاشر ما خرج عن تحت القاعدة</w:t>
      </w:r>
      <w:bookmarkEnd w:id="796"/>
    </w:p>
    <w:p>
      <w:pPr>
        <w:pStyle w:val="BookText"/>
        <w:rPr/>
      </w:pPr>
      <w:r>
        <w:rPr>
          <w:rFonts w:ascii="Amiri" w:hAnsi="Amiri" w:eastAsia="Amiri" w:cs="Amiri"/>
          <w:color w:val="111111"/>
          <w:sz w:val="28"/>
          <w:sz w:val="28"/>
          <w:szCs w:val="28"/>
          <w:rtl w:val="true"/>
          <w:lang w:bidi="ar-SA"/>
        </w:rPr>
        <w:t>إنّ أصالة الصحّة أصل يحتج بها في أبواب الفقه قاطبة، لكن بشرط أن لا يكون طبع العمل مقتضياً للفساد وإلّا فلا تجري، ولهذه الضابطة فروع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الوقف مع احتمال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مال اليتيم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البائع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العين المرهونة بدعوى إذن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في المكان المغصوب مع احتمال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الصلاة في الثوب المتنجس مع احتمال المسوِّغ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مال الغير فضولاً بادّعاء صدور الإجازة بعد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المكيل والموزون بادّعاء انّه كاله أو وزنه في مدة لا تسعهما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الموارد التي يتوقف العقلاء عن إجراء أصالة الصحّة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انّ الاعتماد على أصالة الصحّة في هذه الموارد يوجب الهرج والمرج، ويدع الباب مفتوحاً أمام المفسدين والمنحرفين، فيقومون ببيع أموال الناس بحجّة إذنهم وإجازتهم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وللسيد الطباطبائي قدس سره كلام في كتاب الوقف من ملحقات العروة ما هذا نصه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باع الموقوف عليه أو الناظر، العين الموقوفة ولم يعلم أنّ بيعه كان مع </w:t>
      </w:r>
    </w:p>
    <w:p>
      <w:pPr>
        <w:pStyle w:val="BookText"/>
        <w:rPr/>
      </w:pPr>
      <w:r>
        <w:rPr>
          <w:rFonts w:ascii="Amiri" w:hAnsi="Amiri" w:eastAsia="Amiri" w:cs="Amiri"/>
          <w:color w:val="111111"/>
          <w:sz w:val="28"/>
          <w:sz w:val="28"/>
          <w:szCs w:val="28"/>
          <w:rtl w:val="true"/>
          <w:lang w:bidi="ar-SA"/>
        </w:rPr>
        <w:t>وجود المسوّغ أو لا، الظاهر عدم جريان قاعدة الحمل على الصحّة، فلو لم يثبت المسوّغ يجوز للبطون اللاحقة الانتزاع من يد المشتري، فهو كما لو باع شخص مال غيره مع عدم كونه في يده ولم يعلم كونه وكيلاً عن ذلك الغير فانّه لا يصحّ ترتيب أثر البيع عليه، ودعوى الموقوف عليه أو الناظر وجود المسوّغ لا تكفي في الحكم بصحّة الشراء ولا يجوز مع عدم العلم به الشراء منهما</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تمّ الكلام حول قاعدة أصالة الصحّة بفضل اللّه سبحانه، وبقي البحث حول قاعدة القرعة، وبها يكون ختام القواعد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تحرير الرسالة بيد العبد محمد حسين الحاج العاملي</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المشرّفة </w:t>
      </w:r>
      <w:bookmarkStart w:id="797" w:name="pg14367_157393"/>
    </w:p>
    <w:p>
      <w:pPr>
        <w:pStyle w:val="BookText"/>
        <w:rPr/>
      </w:pPr>
      <w:bookmarkEnd w:id="797"/>
      <w:r>
        <w:rPr>
          <w:rFonts w:ascii="IRNazanin" w:hAnsi="IRNazanin" w:eastAsia="IRNazanin"/>
          <w:color w:val="111111"/>
          <w:sz w:val="28"/>
          <w:sz w:val="28"/>
          <w:szCs w:val="28"/>
          <w:rtl w:val="true"/>
          <w:lang w:bidi="fa-IR"/>
        </w:rPr>
        <w:t>القواعد الأربع</w:t>
      </w:r>
    </w:p>
    <w:p>
      <w:pPr>
        <w:pStyle w:val="Heading5"/>
        <w:numPr>
          <w:ilvl w:val="4"/>
          <w:numId w:val="1"/>
        </w:numPr>
        <w:rPr/>
      </w:pPr>
      <w:bookmarkStart w:id="798" w:name="__RefHeading___Toc7507444_3381743652"/>
      <w:bookmarkStart w:id="799" w:name="_Toc292"/>
      <w:bookmarkEnd w:id="798"/>
      <w:r>
        <w:rPr/>
        <w:t>4</w:t>
      </w:r>
      <w:r>
        <w:rPr>
          <w:rtl w:val="true"/>
        </w:rPr>
        <w:t xml:space="preserve"> </w:t>
      </w:r>
      <w:r>
        <w:rPr>
          <w:rtl w:val="true"/>
        </w:rPr>
        <w:t>القرعة</w:t>
      </w:r>
      <w:bookmarkEnd w:id="799"/>
    </w:p>
    <w:p>
      <w:pPr>
        <w:pStyle w:val="Heading6"/>
        <w:numPr>
          <w:ilvl w:val="5"/>
          <w:numId w:val="1"/>
        </w:numPr>
        <w:rPr/>
      </w:pPr>
      <w:bookmarkStart w:id="800" w:name="__RefHeading___Toc7507446_3381743652"/>
      <w:bookmarkStart w:id="801" w:name="_Toc293"/>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القرعة في اللّغة بمعنى الدقّ و الضرب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قرع الباب 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فارس في 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الإقراع والمقارعة من المساهمة، وسمِّيت بذلك لأنّها شيء كأنّه يُضرَب، يقال قارعتُ فلاناً 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أصابتني القرعة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أدلّتها ومفادها وحدودها ضمن أُمور</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7507448_3381743652"/>
      <w:bookmarkStart w:id="803" w:name="_Toc294"/>
      <w:bookmarkEnd w:id="802"/>
      <w:r>
        <w:rPr>
          <w:rtl w:val="true"/>
        </w:rPr>
        <w:t>الأوّل</w:t>
      </w:r>
      <w:r>
        <w:rPr>
          <w:rtl w:val="true"/>
        </w:rPr>
        <w:t xml:space="preserve">: </w:t>
      </w:r>
      <w:r>
        <w:rPr>
          <w:rtl w:val="true"/>
        </w:rPr>
        <w:t>القرعة قاعدة عقلائية</w:t>
      </w:r>
      <w:bookmarkEnd w:id="803"/>
    </w:p>
    <w:p>
      <w:pPr>
        <w:pStyle w:val="BookText"/>
        <w:rPr/>
      </w:pPr>
      <w:r>
        <w:rPr>
          <w:rFonts w:ascii="Amiri" w:hAnsi="Amiri" w:eastAsia="Amiri" w:cs="Amiri"/>
          <w:color w:val="111111"/>
          <w:sz w:val="28"/>
          <w:sz w:val="28"/>
          <w:szCs w:val="28"/>
          <w:rtl w:val="true"/>
          <w:lang w:bidi="ar-SA"/>
        </w:rPr>
        <w:t>القرعة قاعدة عقلائية يتمسّك بها العقلاء عند انغلاق جميع أبواب الحلول وانسداد جميع الطرق، وتشهد بذلك الآيات والروايات حيث إنّ عبّاد بني إسرائيل ساهموا في تعيين من يكفل مريم بنت عمران، كما أنّ أهل السفينة ساهموا لتشخيص العبد العاصي أو تعيين واحد من الركاب لإلقائه في البحر بغية تخفيف السفينة، إلى غير ذلك من الموارد التي ستمر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القرعة من القواعد العقلائية تكون الآيات والروايات الواردة حولها إمضاءً لما بأيديهم كماً و كيفاً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تتبع سيرة العقلاء في موارد القرعة يقف على أنّهم يقارعون بشرط أمرين</w:t>
      </w:r>
      <w:r>
        <w:rPr>
          <w:rFonts w:eastAsia="Amiri" w:cs="Amiri" w:ascii="Amiri" w:hAnsi="Amiri"/>
          <w:color w:val="111111"/>
          <w:sz w:val="28"/>
          <w:szCs w:val="28"/>
          <w:rtl w:val="true"/>
          <w:lang w:bidi="ar-SA"/>
        </w:rPr>
        <w:t xml:space="preserve">: </w:t>
      </w:r>
      <w:bookmarkStart w:id="804" w:name="pg14367_157394"/>
    </w:p>
    <w:p>
      <w:pPr>
        <w:pStyle w:val="BookText"/>
        <w:rPr/>
      </w:pPr>
      <w:bookmarkEnd w:id="804"/>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انغلاق أبواب الحلول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المورد من قبيل التنازع أو التزاحم، فلو كان هناك عموم في أبواب القرعة يُحمل على ذلك المورد، وبذلك يعلم انّه لا يصحّ الإقراع في الإناءين المشتبهين، ولا في القبلة المشتبهة بين الجوانب الأربعة، أو بين الإمامين اللّذين نعلم بعدالة واحد منهما،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يحمل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القرعة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السيرة العقلائية كالقرينة المتصلة بهذه المطلقات تمنع عن انعقاد إطلاقاتها في غير ذلك الباب، وبذلك يُصبح العمل بالقرعة في غير مورد التنازع والتزاحم أمراً فارغاً عن الدليل، لأنّ السيرة مختصة بذلك الباب والإطلاقات منزلة عليها، فيكون الإقراع في غير هذا الإطار متوقّفاً على الدليل</w:t>
      </w:r>
      <w:r>
        <w:rPr>
          <w:rFonts w:eastAsia="Amiri" w:cs="Amiri" w:ascii="Amiri" w:hAnsi="Amiri"/>
          <w:color w:val="111111"/>
          <w:sz w:val="28"/>
          <w:szCs w:val="28"/>
          <w:rtl w:val="true"/>
          <w:lang w:bidi="ar-SA"/>
        </w:rPr>
        <w:t>.</w:t>
      </w:r>
    </w:p>
    <w:p>
      <w:pPr>
        <w:pStyle w:val="Heading6"/>
        <w:numPr>
          <w:ilvl w:val="5"/>
          <w:numId w:val="1"/>
        </w:numPr>
        <w:rPr/>
      </w:pPr>
      <w:bookmarkStart w:id="805" w:name="__RefHeading___Toc7507450_3381743652"/>
      <w:bookmarkStart w:id="806" w:name="_Toc295"/>
      <w:bookmarkEnd w:id="805"/>
      <w:r>
        <w:rPr>
          <w:rtl w:val="true"/>
        </w:rPr>
        <w:t>الثاني</w:t>
      </w:r>
      <w:r>
        <w:rPr>
          <w:rtl w:val="true"/>
        </w:rPr>
        <w:t xml:space="preserve">: </w:t>
      </w:r>
      <w:r>
        <w:rPr>
          <w:rtl w:val="true"/>
        </w:rPr>
        <w:t>القرعة في الكتاب العزيز</w:t>
      </w:r>
      <w:bookmarkEnd w:id="806"/>
    </w:p>
    <w:p>
      <w:pPr>
        <w:pStyle w:val="BookText"/>
        <w:rPr/>
      </w:pPr>
      <w:r>
        <w:rPr>
          <w:rFonts w:ascii="Amiri" w:hAnsi="Amiri" w:eastAsia="Amiri" w:cs="Amiri"/>
          <w:color w:val="111111"/>
          <w:sz w:val="28"/>
          <w:sz w:val="28"/>
          <w:szCs w:val="28"/>
          <w:rtl w:val="true"/>
          <w:lang w:bidi="ar-SA"/>
        </w:rPr>
        <w:t>جاء في محكم التنزيل حديث الإقراع مرّتين كما سيوافيك، والاستدلال بالآيات الحاكية لها على أساس انّ القرآن كتاب هداية، فلو كانت القرعة أمراً منبوذاً لشجبها القرآن، ولا يقتصر على مجرّد نقلها من بني إسرائيل أو من الآخرين بلا نقد ولا ردّ، فانّ النقل بلا ردّ آية انّه سنّة مرضيّة عند اللّه تعالى، وبذلك يصبح الكتاب دليلاً على صحّة القرعة من هذه الزاوية لا من زاوية استصحاب أحكام الشرائع السابقة، وإنّما نحتاج إلى الاستصحاب إذا ثبت الحكم فيها عن غير طريق القرآن، وإلّا فلو نقل القرآن حكماً أو سنّة بلا رد ولا شجب فيؤخذ به من دون حاجة إلى الاستصحاب، وهذه ضابطة كلّية فاغتنمها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القرآن الكريم حديث القرعة في موردين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تعيين كفيل مريم عليهما السلام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 إِلَيْكَ وَ ما كُنْتَ لَدَيْهِمْ إِذْ يُلْقُونَ أَقْلامَهُمْ أَيُّهُمْ يَكْفُلُ مَرْيَمَ وَ ما كُنْتَ لَدَيْهِمْ إِذْ يَخْتَصِمُونَ</w:t>
      </w:r>
      <w:r>
        <w:rPr>
          <w:rFonts w:eastAsia="Amiri" w:cs="Amiri" w:ascii="Amiri" w:hAnsi="Amiri"/>
          <w:color w:val="111111"/>
          <w:sz w:val="28"/>
          <w:szCs w:val="28"/>
          <w:rtl w:val="true"/>
          <w:lang w:bidi="ar-SA"/>
        </w:rPr>
        <w:t>)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الرواية دلالة على أنّهم بلغوا في التشاحّ عليها إلى حد الخصومة، وفي وقت التشاحّ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حين ولادتها وحمل أُمّها إيّاها إلى الكنيسة، فتشاحّوا في الذي يحضنها ويكفل تربيتها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وقت كبرها وعجز زكريا عن تربيتها، وفي هذه الآية دلالة على أنّ للقرعة مدخلاً في تمييز الحقوق</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والخصوصية الحافّة بالمقام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تقارعوا في مورد التزاحم حيث إنّ كلّ واحد من عبّاد الكنيسة كان يتبنّى حضانتها لنفسه، لينال شرف ذلك، فاتفقوا على المساهمة، فخرج السهم باسم خير الكفلاء 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تقارعوا في مجهول ليس له واقع محفوظ، معلوم واقعاً ومجهول ظاهراً، وهذا يدلّ على أنّ القرعة لا تختص بما إذا كان له واقع معلوم، بل تستخدم فيما إذا لم يكن كذلك، لأجل تعيّن الحقّ في واحد منهم، لعدم إمكان التقسيم بينهم أو قيام الجميع به</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المساهمة في تعيين من يُلقى في البحر،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يُونُسَ لَمِنَ </w:t>
      </w:r>
    </w:p>
    <w:p>
      <w:pPr>
        <w:pStyle w:val="BookText"/>
        <w:rPr/>
      </w:pPr>
      <w:r>
        <w:rPr>
          <w:rFonts w:ascii="Amiri" w:hAnsi="Amiri" w:eastAsia="Amiri" w:cs="Amiri"/>
          <w:color w:val="111111"/>
          <w:sz w:val="28"/>
          <w:sz w:val="28"/>
          <w:szCs w:val="28"/>
          <w:rtl w:val="true"/>
          <w:lang w:bidi="ar-SA"/>
        </w:rPr>
        <w:t xml:space="preserve">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r>
        <w:rPr>
          <w:rStyle w:val="FootnoteAnchor"/>
          <w:rtl w:val="true"/>
        </w:rPr>
        <w:footnoteReference w:id="298"/>
      </w:r>
      <w:r>
        <w:rPr>
          <w:rFonts w:ascii="Amiri" w:hAnsi="Amiri" w:eastAsia="Amiri" w:cs="Amiri"/>
          <w:color w:val="111111"/>
          <w:sz w:val="28"/>
          <w:sz w:val="28"/>
          <w:szCs w:val="28"/>
          <w:rtl w:val="true"/>
          <w:lang w:bidi="ar-SA"/>
        </w:rPr>
        <w:t xml:space="preserve">والمساهمة في الآية بمعنى المقارعة مأخوذة من إلقاء السهام،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الزلق ويطلق على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جاءت القصة أيضاً في سورة القلم من دون إشارة إلى المساهمة،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تَكُنْ كَصاحِبِ الْحُوتِ إِذْ نادى وَ هُوَ مَكْظُومٌ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تَدارَكَهُ نِعْمَةٌ مِنْ رَبِّهِ لَنُبِذَ بِالْعَراءِ وَ هُوَ مَذْمُومٌ</w:t>
      </w:r>
      <w:r>
        <w:rPr>
          <w:rFonts w:eastAsia="Amiri" w:cs="Amiri" w:ascii="Amiri" w:hAnsi="Amiri"/>
          <w:color w:val="111111"/>
          <w:sz w:val="28"/>
          <w:szCs w:val="28"/>
          <w:rtl w:val="true"/>
          <w:lang w:bidi="ar-SA"/>
        </w:rPr>
        <w:t>)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سبب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السفينة اجتثت، فقال الملاّحون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عبداً آبقاً، فإنّ من عادة السفينة إذا كان فيها آبق لا تجري، فلذلك اقترعوا، فوقعت القرعة على يونس ثلاث مرات</w:t>
      </w:r>
      <w:r>
        <w:rPr>
          <w:rFonts w:eastAsia="Amiri" w:cs="Amiri" w:ascii="Amiri" w:hAnsi="Amiri"/>
          <w:color w:val="111111"/>
          <w:sz w:val="28"/>
          <w:szCs w:val="28"/>
          <w:rtl w:val="true"/>
          <w:lang w:bidi="ar-SA"/>
        </w:rPr>
        <w:t>.</w:t>
      </w:r>
      <w:r>
        <w:rPr>
          <w:rStyle w:val="FootnoteAnchor"/>
          <w:rtl w:val="true"/>
        </w:rPr>
        <w:footnoteReference w:id="30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الظاهر انّ الإلقاء كان لأجل إيجاد الخفّة في السفينة، و يشهد على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المورد ممّا هو معلوم واقعاً ومجهول ظاهراً، بخلاف الثاني فيكون من قبيل المردّد واقعاً وظاهراً، فتعيّن العبد الآبق من قبيل الأوّل بخلاف طلب الخفة بإلقاء شخص في البحر من قبيل الثاني، وعلى كلّ تقدير فالمورد من قبيل تزاحم الحقوق، أي‌من قبيل تزاحم مصلحة الجميع مع مصلحة الفرد، فالأمر دائر بين غرق الجميع أو غرق واحد منهم فالثاني هو المتيقّن ويتمسّك في تعيين الفرد بالقرعة</w:t>
      </w:r>
      <w:r>
        <w:rPr>
          <w:rFonts w:eastAsia="Amiri" w:cs="Amiri" w:ascii="Amiri" w:hAnsi="Amiri"/>
          <w:color w:val="111111"/>
          <w:sz w:val="28"/>
          <w:szCs w:val="28"/>
          <w:rtl w:val="true"/>
          <w:lang w:bidi="ar-SA"/>
        </w:rPr>
        <w:t xml:space="preserve">. </w:t>
      </w:r>
      <w:bookmarkStart w:id="807" w:name="pg14367_157397"/>
    </w:p>
    <w:p>
      <w:pPr>
        <w:pStyle w:val="Heading6"/>
        <w:numPr>
          <w:ilvl w:val="5"/>
          <w:numId w:val="1"/>
        </w:numPr>
        <w:rPr/>
      </w:pPr>
      <w:bookmarkStart w:id="808" w:name="__RefHeading___Toc7507452_3381743652"/>
      <w:bookmarkStart w:id="809" w:name="_Toc296"/>
      <w:bookmarkEnd w:id="807"/>
      <w:bookmarkEnd w:id="808"/>
      <w:r>
        <w:rPr>
          <w:rtl w:val="true"/>
        </w:rPr>
        <w:t>الثالث</w:t>
      </w:r>
      <w:r>
        <w:rPr>
          <w:rtl w:val="true"/>
        </w:rPr>
        <w:t xml:space="preserve">: </w:t>
      </w:r>
      <w:r>
        <w:rPr>
          <w:rtl w:val="true"/>
        </w:rPr>
        <w:t>القرعة في السنّة الشريفة</w:t>
      </w:r>
      <w:bookmarkEnd w:id="809"/>
    </w:p>
    <w:p>
      <w:pPr>
        <w:pStyle w:val="BookText"/>
        <w:rPr/>
      </w:pPr>
      <w:r>
        <w:rPr>
          <w:rFonts w:ascii="Amiri" w:hAnsi="Amiri" w:eastAsia="Amiri" w:cs="Amiri"/>
          <w:color w:val="111111"/>
          <w:sz w:val="28"/>
          <w:sz w:val="28"/>
          <w:szCs w:val="28"/>
          <w:rtl w:val="true"/>
          <w:lang w:bidi="ar-SA"/>
        </w:rPr>
        <w:t>وردت القرعة في السنّة الشريفة وفيها روايات بصدد إعطاء الضابطة الكلية، كما فيها روايات خاصة لموارد معينة، وإليك بيان كلتا الطائفتين</w:t>
      </w:r>
      <w:r>
        <w:rPr>
          <w:rFonts w:eastAsia="Amiri" w:cs="Amiri" w:ascii="Amiri" w:hAnsi="Amiri"/>
          <w:color w:val="111111"/>
          <w:sz w:val="28"/>
          <w:szCs w:val="28"/>
          <w:rtl w:val="true"/>
          <w:lang w:bidi="ar-SA"/>
        </w:rPr>
        <w:t>:</w:t>
      </w:r>
    </w:p>
    <w:p>
      <w:pPr>
        <w:pStyle w:val="Heading6"/>
        <w:numPr>
          <w:ilvl w:val="5"/>
          <w:numId w:val="1"/>
        </w:numPr>
        <w:rPr/>
      </w:pPr>
      <w:bookmarkStart w:id="810" w:name="__RefHeading___Toc7507454_3381743652"/>
      <w:bookmarkStart w:id="811" w:name="_Toc297"/>
      <w:bookmarkEnd w:id="810"/>
      <w:r>
        <w:rPr>
          <w:rtl w:val="true"/>
        </w:rPr>
        <w:t>الروايات العامّة في القرعة</w:t>
      </w:r>
      <w:bookmarkEnd w:id="8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باسناد صحيح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سُوهم عليه مريم بنت عمران،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والسهام ستّة؛ ثمّ استهموا في يونس لمّا ركب مع القوم فوقفت السفينة في اللّجة، فاستهموا فوقع على يونس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يونس إلى صدر السفينة، فإذا الحوت فاتح فاه فرمى نفسه؛ ثمّ كان عند عبد المطلب تسعة بنين فنذر في العاشر إن رزقه اللّه غلاماً أن يذبحه، فلمّا ولد عبد اللّه لم يكن يقدر أن يذبحه ورسول اللّه صلى الله عليه و آله و سلم في صلبه، فجاء بعشر من الإبل فساهم عليها وعلى عبد اللّه، فخرجت السهام على عبد اللّه، فزاد عشراً، فلم تزل السهام تخرج على عبد اللّه ويزيد عشراً، فلمّا أن خرجت مائة خرجت السهام على الإبل،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 فأعاد السهام ثلاثاً، فخرجت على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 فنحرها</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سيّابة وإبراهيم بن عمر جميعاً، عن أبي عبد اللّه عليه السلام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فهوحرّ، فورث ثلاثة،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فمن أصابه القرعة أُعتق،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صلى الله عليه و آله و سلم عليّاً عليه السلام 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ورد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أتاني قوم قد تبايعوا جارية، فوطأها جميعهم في طهر واحد، فولدت غلاماً فاحتجوا فيه، كلّهم يدّعيه، فأسهمت بينهم، فجعلته للّذي خرج سهمه وضمَّنته نصيبهم،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قوم تنازعوا ثمّ فوّضوا أمرهم إلى اللّه، إلّاخرج سهم المحقّ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ورواه الصدوق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تقارعوا</w:t>
      </w:r>
      <w:r>
        <w:rPr>
          <w:rFonts w:eastAsia="Amiri" w:cs="Amiri" w:ascii="Amiri" w:hAnsi="Amiri"/>
          <w:color w:val="111111"/>
          <w:sz w:val="28"/>
          <w:szCs w:val="28"/>
          <w:rtl w:val="true"/>
          <w:lang w:bidi="ar-SA"/>
        </w:rPr>
        <w:t>...»</w:t>
      </w:r>
      <w:r>
        <w:rPr>
          <w:rStyle w:val="FootnoteAnchor"/>
          <w:rtl w:val="true"/>
        </w:rPr>
        <w:footnoteReference w:id="303"/>
      </w:r>
      <w:r>
        <w:rPr>
          <w:rFonts w:ascii="Amiri" w:hAnsi="Amiri" w:eastAsia="Amiri" w:cs="Amiri"/>
          <w:color w:val="111111"/>
          <w:sz w:val="28"/>
          <w:sz w:val="28"/>
          <w:szCs w:val="28"/>
          <w:rtl w:val="true"/>
          <w:lang w:bidi="ar-SA"/>
        </w:rPr>
        <w:t>ثمّ ذكر بقية الحديث كما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الأوّل أصحّ، لأنّ التقارع فرع التنازع، ولعلّه سقط من قلمه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المراد من الموصول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فليس بمخطئ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حكمه سبحانه بإعمال القرعة، فهو بما انّه ذو مصلحة تامة مصيب ليس بمخطئ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هو نفس القرعة والمساهمة فهي مصيبة، كما هو الظاهر من الرواية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تنازع قوم ففوّضوا أمرهم</w:t>
      </w:r>
    </w:p>
    <w:p>
      <w:pPr>
        <w:pStyle w:val="BookText"/>
        <w:rPr/>
      </w:pPr>
      <w:r>
        <w:rPr>
          <w:rFonts w:ascii="Amiri" w:hAnsi="Amiri" w:eastAsia="Amiri" w:cs="Amiri"/>
          <w:color w:val="111111"/>
          <w:sz w:val="28"/>
          <w:sz w:val="28"/>
          <w:szCs w:val="28"/>
          <w:rtl w:val="true"/>
          <w:lang w:bidi="ar-SA"/>
        </w:rPr>
        <w:t>إلى اللّه عزّوجلّ، إلّاخرج سهم المحقّ</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قضية أعدل من القرعة إذا فوِّض الأمر إلى اللّه،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وقد رواهما الصدوق بصورة حديث واحد، والظاهر انّ الجمع من فعل الراوي وهما حديثان، ولأجل ذلك جعلنا لكلٍ رقماً خاصاً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عليه السلام عن مسألة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هذه تخرج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 قضية أعدل من القرعة إذا فوّضوا أمرهم إلى اللّه عزّوجلّ، أليس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والحديث جَمَع بين مضمون الحديثين السابقين اللّذين نقلهما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في النهاية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الحسن موسى بن جعفر عليهما السلام، وعن غيره من آبائه وأبنائه عليهم السلام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وهو نفس الحديث الماضي تحت الرقم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الثّمالي، عن أبي جعفر عليه السلام في حديث يونس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فساهمهم فوقعت السّهام عليه، فجرت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السّهام إذا كانت ثلاث مرّات أنّها لا تخطئ، فألقى نفسه، فالتقمه الحوت</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العبّاس بن هلال،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أنّ ابن أبي ليلى وابن شبرمة دخلا المسجد الحرام، فأتيا محمّد بن عليّ عليه السلام،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تقضيان؟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والسنّة،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لم تجداه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نجتهد رأينا،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رأيكما أنتما؟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تقولان في امرأة وجاريتها كانتا ترضعان صبيّين في بيت، فسقط عليهما فماتتا، وسلم الصبيّان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القافة يتجهّم منه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 النسخ القافة يلحقهما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داود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قوم فوّضوا أمرهم إلى اللّه عزّ وجلّ وألقوا سهامهم، إلّاخرج السّهم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إسحاق العرزمي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وليس بذكر ولا أُنثى، وليس له إلّادبر،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يجلس الإمام عليه السلام ويجلس معه ناس، فيدعوا اللّه، ويجيل السّهام على أيّ ميراث يورّثه، ميراث الذّكر أو ميراث الأُنثى؟ فأيّ ذلك خرج ورثه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قضيّة أعدل من قضيّة يجال عليها بالسّهام، إنّ اللّه تبارك و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ورواه ثعلبة بن ميمون، عن بعض أصحابنا،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عبد اللّه 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رواية واحدة وإن جاءت في الوسائل بصورة روايات متعدّدة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الروايات العامة وفيها كفاية، وقد نقلها صاحب الوسائل في </w:t>
      </w:r>
    </w:p>
    <w:p>
      <w:pPr>
        <w:pStyle w:val="BookText"/>
        <w:rPr/>
      </w:pPr>
      <w:r>
        <w:rPr>
          <w:rFonts w:ascii="Amiri" w:hAnsi="Amiri" w:eastAsia="Amiri" w:cs="Amiri"/>
          <w:color w:val="111111"/>
          <w:sz w:val="28"/>
          <w:sz w:val="28"/>
          <w:szCs w:val="28"/>
          <w:rtl w:val="true"/>
          <w:lang w:bidi="ar-SA"/>
        </w:rPr>
        <w:t>الأبواب التي أشرنا إليها، وإليك ما رواه المحدّث النوري في مستدركه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وأبي جعفر وأبي عبد اللّه عليهم السلام أنّهم أوجبوا الحكم بالقرعة فيما أشكل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والظاهر أنّ الحديث منقول بالمعنى، وأنّ الراوي انتزع هذا المفهوم من حكمهم بالقرعة في موارد مختلفة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حكم في الملتبس أثبت من القرعة؟ أليس هو التفويض إلى اللّه جلّ ذكره؟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في فقه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لا يتهيأ الإشهاد عليه، فإنّ الحقّ فيه أنّ يستعمل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روي عن أبي عبد اللّه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 قضيّة أعدل من القرعة إذا فوّض الأمر إلى اللّه؟</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أحمد بن محمّد بن عيسى بسنده إلى عبد الرحيم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عليه السلام كان إذا ورد عليه أمر لم يجئ فيه كتاب ولم تجر به سنّة، رجم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الرحيم وتلك من المعضلات</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هذه هي الروايات العامة التي يستفاد منها انّ القرعة قاعدة عامة في مورد التنازع والتزاحم و يدل على ذلك التعابير التالية الواردة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تنازعوا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فوّضوا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سهم المحق</w:t>
      </w:r>
      <w:r>
        <w:rPr>
          <w:rFonts w:eastAsia="IRNazanin" w:cs="IRNazanin"/>
          <w:color w:val="111111"/>
          <w:sz w:val="28"/>
          <w:szCs w:val="28"/>
          <w:rtl w:val="true"/>
          <w:lang w:bidi="fa-IR"/>
        </w:rPr>
        <w:t xml:space="preserve">». </w:t>
      </w:r>
      <w:bookmarkStart w:id="812" w:name="pg14367_157402"/>
    </w:p>
    <w:p>
      <w:pPr>
        <w:pStyle w:val="BookText"/>
        <w:rPr/>
      </w:pPr>
      <w:bookmarkEnd w:id="812"/>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السهم الأصوب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وكلّها ظاهرة في التنازع، و بهذه التعابير يقيد ما ظاهره الإطلاق مثل ما رواه محمد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شيء،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مجهول ففيه القرعة</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ولعلّ المراد من شيء في السؤال ما فيه التنازع أو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نقلناه عن الدعائم انّهم أوجبوا الحكم بالقرعة فيما أشكل</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فلعلّ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أشكل لأجل التنازع والتزاحم، كما يظهر أيضاً مفاد ما نقلناه عن أحمد بن محمد بن عيسى عن أبي جعفر من أنّ عليّاً كان إذا ورد عليه أمر لم يجئ فيه كتاب، ولم تجر فيه سنّة، رجم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ساهم</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فالمراد الموضوعات التي لم يرد في علاج الشبهة فيها شيء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الثلاثة التي توهم الإطلاق تقيد بما تضافر من أنّ موضعها هو التشاح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ورد في الكتب الفقهية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القرعة لكلّ أمر مشتبه أو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نجد لهما مصدراً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عقد البخاري في صحيحه باباً في كتاب الشهادات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القرعة في المشكلات</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ولم ينقل في ذلك الباب حديثاً بهذا اللفظ، بل ذكر قضايا جزئية، وسيوافيك في القسم التالي</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7507456_3381743652"/>
      <w:bookmarkStart w:id="814" w:name="_Toc298"/>
      <w:bookmarkEnd w:id="813"/>
      <w:r>
        <w:rPr>
          <w:rtl w:val="true"/>
        </w:rPr>
        <w:t>الروايات الخاصة</w:t>
      </w:r>
      <w:bookmarkEnd w:id="81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ورد إعمال القرعة في موارد خاصة، وهي على طوائف، نذكر من كلّ طائفة حديثاً أو حديثين ونحيل محلّ الباقي إلى التعليقة</w:t>
      </w:r>
      <w:r>
        <w:rPr>
          <w:rFonts w:eastAsia="Amiri" w:cs="Amiri" w:ascii="Amiri" w:hAnsi="Amiri"/>
          <w:color w:val="111111"/>
          <w:sz w:val="28"/>
          <w:szCs w:val="28"/>
          <w:rtl w:val="true"/>
          <w:lang w:bidi="ar-SA"/>
        </w:rPr>
        <w:t xml:space="preserve">. </w:t>
      </w:r>
      <w:bookmarkStart w:id="815" w:name="pg14367_157403"/>
    </w:p>
    <w:p>
      <w:pPr>
        <w:pStyle w:val="Heading6"/>
        <w:numPr>
          <w:ilvl w:val="5"/>
          <w:numId w:val="1"/>
        </w:numPr>
        <w:rPr/>
      </w:pPr>
      <w:bookmarkStart w:id="816" w:name="__RefHeading___Toc7507458_3381743652"/>
      <w:bookmarkStart w:id="817" w:name="_Toc299"/>
      <w:bookmarkEnd w:id="815"/>
      <w:bookmarkEnd w:id="816"/>
      <w:r>
        <w:rPr>
          <w:rtl w:val="true"/>
        </w:rPr>
        <w:t>الطائفة الأُولى</w:t>
      </w:r>
      <w:r>
        <w:rPr>
          <w:rtl w:val="true"/>
        </w:rPr>
        <w:t xml:space="preserve">: </w:t>
      </w:r>
      <w:r>
        <w:rPr>
          <w:rtl w:val="true"/>
        </w:rPr>
        <w:t>القرعة عند تعارض البيّنتين</w:t>
      </w:r>
      <w:bookmarkEnd w:id="817"/>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الرحمن بن أبي عبد اللّه،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عليه السلام إذا أتاه رجلان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بشهود، عدلهم سواء وعددهم، أقرع بينهم على أيّهما تصير اليمين،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الأرضين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 كان له الحقّ فأدّه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يجعل الحقّ للّذي يصير عليه اليمين إذا حلف</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داود بن سرحان، عن أبي عبد اللّه عليه السلام في شاهدين شهدا على أمر واحد، وجاء آخران فشهدا على غير الذي شهدا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الأوّلان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فأيّهم قرع عليه اليمين وهو أولى بالقضاء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18" w:name="__RefHeading___Toc7507460_3381743652"/>
      <w:bookmarkStart w:id="819" w:name="_Toc300"/>
      <w:bookmarkEnd w:id="818"/>
      <w:r>
        <w:rPr>
          <w:rtl w:val="true"/>
        </w:rPr>
        <w:t>الطائفة الثانية</w:t>
      </w:r>
      <w:r>
        <w:rPr>
          <w:rtl w:val="true"/>
        </w:rPr>
        <w:t xml:space="preserve">: </w:t>
      </w:r>
      <w:r>
        <w:rPr>
          <w:rtl w:val="true"/>
        </w:rPr>
        <w:t>القرعة فيما لو اشتبه الولد</w:t>
      </w:r>
      <w:bookmarkEnd w:id="819"/>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 الحرّ والعبد</w:t>
      </w:r>
    </w:p>
    <w:p>
      <w:pPr>
        <w:pStyle w:val="BookText"/>
        <w:rPr/>
      </w:pPr>
      <w:r>
        <w:rPr>
          <w:rFonts w:ascii="Amiri" w:hAnsi="Amiri" w:eastAsia="Amiri" w:cs="Amiri"/>
          <w:color w:val="111111"/>
          <w:sz w:val="28"/>
          <w:sz w:val="28"/>
          <w:szCs w:val="28"/>
          <w:rtl w:val="true"/>
          <w:lang w:bidi="ar-SA"/>
        </w:rPr>
        <w:t>والمشرك على امرأة في طهر واحد وادّعوا الولد، أُقرع بينهم، وكان الولد للّذي يُقرع</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رجلان أو</w:t>
      </w:r>
      <w:bookmarkStart w:id="820" w:name="pg14367_157404"/>
    </w:p>
    <w:p>
      <w:pPr>
        <w:pStyle w:val="BookText"/>
        <w:rPr/>
      </w:pPr>
      <w:bookmarkEnd w:id="820"/>
      <w:r>
        <w:rPr>
          <w:rFonts w:ascii="Amiri" w:hAnsi="Amiri" w:eastAsia="Amiri" w:cs="Amiri"/>
          <w:color w:val="111111"/>
          <w:sz w:val="28"/>
          <w:sz w:val="28"/>
          <w:szCs w:val="28"/>
          <w:rtl w:val="true"/>
          <w:lang w:bidi="ar-SA"/>
        </w:rPr>
        <w:t>ثلاثة جارية في طهر واحد فولدت، فادّعوه جميعاً، أقرع الوالي بينهم، فمن قُرع، كان الولد ولده، ويردّ قيمة الولد على صاحب الجارية</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ولا يخفى انّ العمل بالقرعة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استعصت الحلول، وأمّا لو تمكّن بطريق آخر معرفة ذلك، كإجراء الاختبارات الطبيّة لمعرفة فصيلة دم المولود كي يتم على ضوئه إلحاقه بالأب الذي ولد منه، تنتفي حينئذٍ الحاجة إلى القرعة</w:t>
      </w:r>
      <w:r>
        <w:rPr>
          <w:rFonts w:eastAsia="Amiri" w:cs="Amiri" w:ascii="Amiri" w:hAnsi="Amiri"/>
          <w:color w:val="111111"/>
          <w:sz w:val="28"/>
          <w:szCs w:val="28"/>
          <w:rtl w:val="true"/>
          <w:lang w:bidi="ar-SA"/>
        </w:rPr>
        <w:t>.</w:t>
      </w:r>
    </w:p>
    <w:p>
      <w:pPr>
        <w:pStyle w:val="Heading6"/>
        <w:numPr>
          <w:ilvl w:val="5"/>
          <w:numId w:val="1"/>
        </w:numPr>
        <w:rPr/>
      </w:pPr>
      <w:bookmarkStart w:id="821" w:name="__RefHeading___Toc7507462_3381743652"/>
      <w:bookmarkStart w:id="822" w:name="_Toc301"/>
      <w:bookmarkEnd w:id="821"/>
      <w:r>
        <w:rPr>
          <w:rtl w:val="true"/>
        </w:rPr>
        <w:t>الطائفة الثالثة</w:t>
      </w:r>
      <w:r>
        <w:rPr>
          <w:rtl w:val="true"/>
        </w:rPr>
        <w:t xml:space="preserve">: </w:t>
      </w:r>
      <w:r>
        <w:rPr>
          <w:rtl w:val="true"/>
        </w:rPr>
        <w:t>نذر عتق أوّل عبد يملكه</w:t>
      </w:r>
      <w:bookmarkEnd w:id="822"/>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عبيد اللّه بن عليّ الحلبي، عن أبي عبد اللّه عليه السلام في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فورث سبعة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و يعتق الذي خرج سهمه</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مملوك أملكه فهو حرّ، فلم يلبث أن ملك ستّة، أيّهم يعتق؟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بينهم، ثمّ يعتق واحداً</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وقد عرفت رواية سيابة وإبراهيم بن عمر، عن أبي عبد اللّه عليه السلام في هذا المجال، وتقدمت ضمن الروايات العامّة 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507464_3381743652"/>
      <w:bookmarkStart w:id="824" w:name="_Toc302"/>
      <w:bookmarkEnd w:id="823"/>
      <w:r>
        <w:rPr>
          <w:rtl w:val="true"/>
        </w:rPr>
        <w:t>الطائفة الرابعة</w:t>
      </w:r>
      <w:r>
        <w:rPr>
          <w:rtl w:val="true"/>
        </w:rPr>
        <w:t xml:space="preserve">: </w:t>
      </w:r>
      <w:r>
        <w:rPr>
          <w:rtl w:val="true"/>
        </w:rPr>
        <w:t>الإيصاء بعتق ثُلث مماليكه</w:t>
      </w:r>
      <w:bookmarkEnd w:id="824"/>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الرجل يكون له</w:t>
      </w:r>
      <w:bookmarkStart w:id="825" w:name="pg14367_157405"/>
    </w:p>
    <w:p>
      <w:pPr>
        <w:pStyle w:val="BookText"/>
        <w:rPr/>
      </w:pPr>
      <w:bookmarkEnd w:id="825"/>
      <w:r>
        <w:rPr>
          <w:rFonts w:ascii="Amiri" w:hAnsi="Amiri" w:eastAsia="Amiri" w:cs="Amiri"/>
          <w:color w:val="111111"/>
          <w:sz w:val="28"/>
          <w:sz w:val="28"/>
          <w:szCs w:val="28"/>
          <w:rtl w:val="true"/>
          <w:lang w:bidi="ar-SA"/>
        </w:rPr>
        <w:t>المملوكون فيوصي بعتق ثلثهم،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يسهم بينهم</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محمد بن مروان،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أبي ترك ستّين مملوكاً، فأقرعت بينهم، فأخرجت عشرين، فأعتقتهم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826" w:name="__RefHeading___Toc7507466_3381743652"/>
      <w:bookmarkStart w:id="827" w:name="_Toc303"/>
      <w:bookmarkEnd w:id="826"/>
      <w:r>
        <w:rPr>
          <w:rtl w:val="true"/>
        </w:rPr>
        <w:t>الطائفة الخامسة</w:t>
      </w:r>
      <w:r>
        <w:rPr>
          <w:rtl w:val="true"/>
        </w:rPr>
        <w:t xml:space="preserve">: </w:t>
      </w:r>
      <w:r>
        <w:rPr>
          <w:rtl w:val="true"/>
        </w:rPr>
        <w:t>في اشتباه الحرّ بالمملوك</w:t>
      </w:r>
      <w:bookmarkEnd w:id="827"/>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حنيفة على أبي عبد اللّه عليه السلام، فقال له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بيت سقط على قوم، فبقي منهم صبيّان أحدهما حرّ والآخر مملوك لصاحبه، فلم يُعرف الحرّ من العبد؟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نصف هذا ونصف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ولكنّه يقرع بينهما، فمن أصابته القرعة فهو الحرّ، ويعتق هذا فيجعل مولى هذا</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حمّاد، عن حريز، عمّن أخبره،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عليه السلام باليمن في قوم انهدمت عليهم دارهم، وبقي صبيّان، أحدهما حرّ والآخر مملوك، فأسهم أمير المؤمنين عليه السلام بينهما، فخرج السّهم على أحدهما فجعل له المال، وأعتق الآخر</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828" w:name="pg14367_157406"/>
    </w:p>
    <w:p>
      <w:pPr>
        <w:pStyle w:val="Heading6"/>
        <w:numPr>
          <w:ilvl w:val="5"/>
          <w:numId w:val="1"/>
        </w:numPr>
        <w:rPr/>
      </w:pPr>
      <w:bookmarkStart w:id="829" w:name="__RefHeading___Toc7507468_3381743652"/>
      <w:bookmarkStart w:id="830" w:name="_Toc304"/>
      <w:bookmarkEnd w:id="828"/>
      <w:bookmarkEnd w:id="829"/>
      <w:r>
        <w:rPr>
          <w:rtl w:val="true"/>
        </w:rPr>
        <w:t>الطائفة السادسة</w:t>
      </w:r>
      <w:r>
        <w:rPr>
          <w:rtl w:val="true"/>
        </w:rPr>
        <w:t xml:space="preserve">: </w:t>
      </w:r>
      <w:r>
        <w:rPr>
          <w:rtl w:val="true"/>
        </w:rPr>
        <w:t>في ميراث الخنثى المشكل</w:t>
      </w:r>
      <w:bookmarkEnd w:id="830"/>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إسحاق العزرمي،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مولود ولد وليس بذكر ولا أُنثى، وليس له إلّادبر كيف يورّث؟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يجلس الإمام عليه السلام ويجلس معه ناس فيدعو اللّه ويجيل السهام على أيّميراث يورثه، ميراث الذكر أو ميراث الأُنثى؟ فأي ذلك خرج ورثه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 قضيّة أعدل من قضيّة يجال عليها بالسّهام،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مولود ليس له ما للرّجال ولا له ما للنّساء؟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عليه الإمام أو المقرع، يكتب على سهم عبد اللّه، وعلى سهم أمة اللّه، ثمّ يقول الإمام أوالمقرع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لاإله إلّا أنت عالم الغيب والشّهادة، أنت تحكم بين عبادك فيما كانوا فيه يختلفون، بيّن لنا أمر هذا المولود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تجال السهام على ما خرج ورّث عليه</w:t>
      </w:r>
      <w:r>
        <w:rPr>
          <w:rFonts w:eastAsia="Amiri" w:cs="Amiri" w:ascii="Amiri" w:hAnsi="Amiri"/>
          <w:color w:val="111111"/>
          <w:sz w:val="28"/>
          <w:szCs w:val="28"/>
          <w:rtl w:val="true"/>
          <w:lang w:bidi="ar-SA"/>
        </w:rPr>
        <w:t>».</w:t>
      </w:r>
      <w:r>
        <w:rPr>
          <w:rStyle w:val="FootnoteAnchor"/>
          <w:rtl w:val="true"/>
        </w:rPr>
        <w:footnoteReference w:id="324"/>
      </w:r>
    </w:p>
    <w:p>
      <w:pPr>
        <w:pStyle w:val="Heading6"/>
        <w:numPr>
          <w:ilvl w:val="5"/>
          <w:numId w:val="1"/>
        </w:numPr>
        <w:rPr/>
      </w:pPr>
      <w:bookmarkStart w:id="831" w:name="__RefHeading___Toc7507470_3381743652"/>
      <w:bookmarkStart w:id="832" w:name="_Toc305"/>
      <w:bookmarkEnd w:id="831"/>
      <w:r>
        <w:rPr>
          <w:rtl w:val="true"/>
        </w:rPr>
        <w:t>الروايات المتفرّقة</w:t>
      </w:r>
      <w:bookmarkEnd w:id="832"/>
    </w:p>
    <w:p>
      <w:pPr>
        <w:pStyle w:val="BookText"/>
        <w:rPr/>
      </w:pPr>
      <w:r>
        <w:rPr>
          <w:rFonts w:ascii="Amiri" w:hAnsi="Amiri" w:eastAsia="Amiri" w:cs="Amiri"/>
          <w:color w:val="111111"/>
          <w:sz w:val="28"/>
          <w:sz w:val="28"/>
          <w:szCs w:val="28"/>
          <w:rtl w:val="true"/>
          <w:lang w:bidi="ar-SA"/>
        </w:rPr>
        <w:t>وثمة روايات في موضوعات مختلفة لا تدخل تحت عنوان واحد، نشير إلى قسم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النبي إذا كان سافر أقرع بين نسائه</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صلى الله عليه و آله و سلم ساهم قريشاً في بناء البيت، فصار لرسول اللّه صلى الله عليه و آله و سلم </w:t>
      </w:r>
    </w:p>
    <w:p>
      <w:pPr>
        <w:pStyle w:val="BookText"/>
        <w:rPr/>
      </w:pPr>
      <w:r>
        <w:rPr>
          <w:rFonts w:ascii="Amiri" w:hAnsi="Amiri" w:eastAsia="Amiri" w:cs="Amiri"/>
          <w:color w:val="111111"/>
          <w:sz w:val="28"/>
          <w:sz w:val="28"/>
          <w:szCs w:val="28"/>
          <w:rtl w:val="true"/>
          <w:lang w:bidi="ar-SA"/>
        </w:rPr>
        <w:t>من باب الكعبة إلى النصف، ما بين الركن اليماني إلى الحجر الأسود</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اللّه تبارك و تعالى أوحى إلى موسى عليه السلام انّ بعض أصحابك ينمّ بك فاحذره، فأمر اللّه سبحانه بالإقراع</w:t>
      </w:r>
      <w:r>
        <w:rPr>
          <w:rFonts w:eastAsia="Amiri" w:cs="Amiri" w:ascii="Amiri" w:hAnsi="Amiri"/>
          <w:color w:val="111111"/>
          <w:sz w:val="28"/>
          <w:szCs w:val="28"/>
          <w:rtl w:val="true"/>
          <w:lang w:bidi="ar-SA"/>
        </w:rPr>
        <w:t>.</w:t>
      </w:r>
      <w:r>
        <w:rPr>
          <w:rStyle w:val="FootnoteAnchor"/>
          <w:rtl w:val="true"/>
        </w:rPr>
        <w:footnoteReference w:id="327"/>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أتى علياً عليه السلام من إصفهان مال فقسّمه، فوجد فيه رغيفاً، فكسّره سبع كُسر، ثمّ جعل على كلّ جزء منه كسرة، ثمّ دعا أُمراء الأسباع فأقرع بينهم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أقرع رسول اللّه صلى الله عليه و آله و سلم بين أهل الصفة للبعث إلى غزوة ذات السلاسل</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البخاري عن أبي هريرة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الناس ما في النداء والصف الأوّل ثمّ لم يجدوا إلّاأن يَسْتَهِمُوا عليه لاستَهَمُوا</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إلى غير ذلك من الروايات المتفرقة المثبتة في الأبواب، وكلّها واردة في موضع التنازع والتزاحم، إلّاحديث واحد وهو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عيسى، عن الرجل عليه السلام أنّه سُئل عن رجل نظر إلى راع نزا على شاة؟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عرفها ذبحها وأحرقها، 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r>
        <w:rPr>
          <w:rStyle w:val="FootnoteAnchor"/>
          <w:rtl w:val="true"/>
        </w:rPr>
        <w:footnoteReference w:id="33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هذا الحديث هو الحديث الوحيد الذي أمر فيه بالعمل بالقرعة، وليس من موارد التنازع ولا تزاحم الحقوق</w:t>
      </w:r>
      <w:r>
        <w:rPr>
          <w:rFonts w:eastAsia="Amiri" w:cs="Amiri" w:ascii="Amiri" w:hAnsi="Amiri"/>
          <w:color w:val="111111"/>
          <w:sz w:val="28"/>
          <w:szCs w:val="28"/>
          <w:rtl w:val="true"/>
          <w:lang w:bidi="ar-SA"/>
        </w:rPr>
        <w:t xml:space="preserve">. </w:t>
      </w:r>
      <w:bookmarkStart w:id="833" w:name="pg14367_157408"/>
    </w:p>
    <w:p>
      <w:pPr>
        <w:pStyle w:val="BookText"/>
        <w:rPr/>
      </w:pPr>
      <w:bookmarkEnd w:id="833"/>
      <w:r>
        <w:rPr>
          <w:rFonts w:ascii="Amiri" w:hAnsi="Amiri" w:eastAsia="Amiri" w:cs="Amiri"/>
          <w:color w:val="111111"/>
          <w:sz w:val="28"/>
          <w:sz w:val="28"/>
          <w:szCs w:val="28"/>
          <w:rtl w:val="true"/>
          <w:lang w:bidi="ar-SA"/>
        </w:rPr>
        <w:t>والرواية واردة على خلاف القاعدة المقتضية للاجتناب عن الجميع، ولعلّ الاكتفاء بالقرعة، لأجل أنّ ترك الجميع مستلزم للضرر الهائل، وعلى ذلك فالرواية مختصة بموردها لا تتعدى عنها إلى غيرها</w:t>
      </w:r>
      <w:r>
        <w:rPr>
          <w:rFonts w:eastAsia="Amiri" w:cs="Amiri" w:ascii="Amiri" w:hAnsi="Amiri"/>
          <w:color w:val="111111"/>
          <w:sz w:val="28"/>
          <w:szCs w:val="28"/>
          <w:rtl w:val="true"/>
          <w:lang w:bidi="ar-SA"/>
        </w:rPr>
        <w:t>.</w:t>
      </w:r>
    </w:p>
    <w:p>
      <w:pPr>
        <w:pStyle w:val="Heading6"/>
        <w:numPr>
          <w:ilvl w:val="5"/>
          <w:numId w:val="1"/>
        </w:numPr>
        <w:rPr/>
      </w:pPr>
      <w:bookmarkStart w:id="834" w:name="__RefHeading___Toc7507472_3381743652"/>
      <w:bookmarkStart w:id="835" w:name="_Toc306"/>
      <w:bookmarkEnd w:id="834"/>
      <w:r>
        <w:rPr>
          <w:rtl w:val="true"/>
        </w:rPr>
        <w:t>الأمر الرابع في تحديد مفاد أدلّة القرعة</w:t>
      </w:r>
      <w:bookmarkEnd w:id="835"/>
    </w:p>
    <w:p>
      <w:pPr>
        <w:pStyle w:val="BookText"/>
        <w:rPr/>
      </w:pPr>
      <w:r>
        <w:rPr>
          <w:rFonts w:ascii="Amiri" w:hAnsi="Amiri" w:eastAsia="Amiri" w:cs="Amiri"/>
          <w:color w:val="111111"/>
          <w:sz w:val="28"/>
          <w:sz w:val="28"/>
          <w:szCs w:val="28"/>
          <w:rtl w:val="true"/>
          <w:lang w:bidi="ar-SA"/>
        </w:rPr>
        <w:t>الإمعان في السيرة العقلائية في القرعة وما ورد حولها من الروايات يُشرف الفقيه على أنّ موضوع القرعة لا يتجاوز عن مورد التنازع والتزاحم، فإذا استعصت الحلول على العقلاء في أمر، يتشبّثون بالقرعة، لأنّها حل وسط يرضى به كافة الأطراف المتنازعة، وهذه السيرة تكون كالقرينة المنفصلة على صرف الإطلاقات على فرض وجودها في أدلّة القرعة إلى موضع التنازع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حول السيرة، وأمّا العناوين الواردة فيها فلا تتجاوز عن خمسة، والجميع ناظر إلى مورد التعارض والتزاحم إمّا بالتصريح، أو بإمعان النظر في مورده، وإليك هذه العناوين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القرعة سنّة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مجهول ففيه القرعة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انّهم أوجبوا الحكم بالقرعة فيما أشكل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مالا يتهيّأ الإشهاد عليه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 لم يجئ فيه كتاب ولم تجر به سنّة</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العنوان الأوّل، فإنّه وإن دلّ‌على أنّها سنّة، لكنّها سنّة في المورد الذي وردت القرعة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نذر أن يعتق أوّل مملوك يملكه فورث أكثر من واحد، فإنّ المورد من قبيل التزاحم بين العبيد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فانّ ظاهره وإن كان يعطي جواز إعمال القرعة في كلّ مجهول، لكنّه اقترن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 الحديث، وهو يصلح أن يكون قرينة على التخصيص، وليس هذا من قبيل كون المورد مخصصاً، بل من قبيل احتفاف المطلق بما يصلح للقرينية،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يحتمل أن يراد منه شيء خاص وهو التنازع ومعه لا يعبأ بالمطلق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العنوان الثالث، فقد رواه دعائم الإسلام على نحو يظهر انّه عبارة منتزعة من عدة أقضية،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وأبي جعفر وأبي عبد اللّه عليهم السلام أنّهم أوجبوا الحكم بالقرعة فيما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أنّ التعبير للراوي لا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فهو ظاهر في مورد التنازع على أنّ العنوان لفقه الرضا، وهو يصلح للتأييد لا للاحتجاج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العنوان الخامس، فهو راجع إلى أقضية الإمام علي عليه السلام، وفي الوقت نفسه لا صلة له بالشبهة الحكمية، لأنّ وظيفة الإمام بيان حكمها فينحصر بالشبهات الموضوعية، ولا يبعد حملها على صورة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ونركّز في الختام على أنّه لم يرد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عناوين الباب، وإنّما الوارد هو ما ذكرناه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انّك وقفت على حصيلة الروايات واختصاصها بالتنازع لا نطيل البحث في هذه العناوين، و ممّا يؤيد اختصاصها بالتنازع عمل الأصحاب </w:t>
      </w:r>
    </w:p>
    <w:p>
      <w:pPr>
        <w:pStyle w:val="BookText"/>
        <w:rPr/>
      </w:pPr>
      <w:r>
        <w:rPr>
          <w:rFonts w:ascii="Amiri" w:hAnsi="Amiri" w:eastAsia="Amiri" w:cs="Amiri"/>
          <w:color w:val="111111"/>
          <w:sz w:val="28"/>
          <w:sz w:val="28"/>
          <w:szCs w:val="28"/>
          <w:rtl w:val="true"/>
          <w:lang w:bidi="ar-SA"/>
        </w:rPr>
        <w:t>بالقرعة في الموارد التي لا تخرج عن إطار التعارض والتزاحم، إلّامورد واحد وهو اشتباه الشاة المنكوحة بغيرها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قسمة الأعيان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تزاحم المدّعيين عند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قسمة الليالي بين الزوجات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تداعي الرجلين أو أكثر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تعارض البيّنتين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توريث الخنثى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توريث المشتبهين في تقدّم موت 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الوصايا المتعدّدة إذا لم يف الثلث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إذا أوصى بعتق عبيده ولم يف الثلث بها بالخصوص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اشتباه الشاة المنكوحة بغيرها</w:t>
      </w:r>
      <w:r>
        <w:rPr>
          <w:rFonts w:eastAsia="Amiri" w:cs="Amiri" w:ascii="Amiri" w:hAnsi="Amiri"/>
          <w:color w:val="111111"/>
          <w:sz w:val="28"/>
          <w:szCs w:val="28"/>
          <w:rtl w:val="true"/>
          <w:lang w:bidi="ar-SA"/>
        </w:rPr>
        <w:t xml:space="preserve">. </w:t>
      </w:r>
      <w:bookmarkStart w:id="836" w:name="pg14367_157411"/>
    </w:p>
    <w:p>
      <w:pPr>
        <w:pStyle w:val="Heading6"/>
        <w:numPr>
          <w:ilvl w:val="5"/>
          <w:numId w:val="1"/>
        </w:numPr>
        <w:rPr/>
      </w:pPr>
      <w:bookmarkStart w:id="837" w:name="__RefHeading___Toc7507474_3381743652"/>
      <w:bookmarkStart w:id="838" w:name="_Toc307"/>
      <w:bookmarkEnd w:id="836"/>
      <w:bookmarkEnd w:id="837"/>
      <w:r>
        <w:rPr>
          <w:rtl w:val="true"/>
        </w:rPr>
        <w:t>الأمر الخامس عدم ورود التخصيص على القرعة</w:t>
      </w:r>
      <w:bookmarkEnd w:id="838"/>
    </w:p>
    <w:p>
      <w:pPr>
        <w:pStyle w:val="BookText"/>
        <w:rPr/>
      </w:pPr>
      <w:r>
        <w:rPr>
          <w:rFonts w:ascii="Amiri" w:hAnsi="Amiri" w:eastAsia="Amiri" w:cs="Amiri"/>
          <w:color w:val="111111"/>
          <w:sz w:val="28"/>
          <w:sz w:val="28"/>
          <w:szCs w:val="28"/>
          <w:rtl w:val="true"/>
          <w:lang w:bidi="ar-SA"/>
        </w:rPr>
        <w:t>قد اشتهر بين الأصحاب انّ عمومات القرعة، لأجل كثرة ورود التخصيص عليها لا يعمل بها بدون جبر عمومها بعمل الأصحاب أو جماعة منهم، وهذا ما يقف عليه المتتبع في غضون أبواب خصوصاً في كتب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الحقّ انّ عمومات القرعة صالحة للاحتجاج في موردها ولا يحتاج العمل بها إلى شيء، وذلك لأنّ من زعم ورود التخصيص عليها جعل موضوعها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الطهارة إلى آخر الديات</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رأى أنّ أكثر الموارد لا يعمل فيها بالقرعة بل يرجع إلى القواعد الأُخرى فخرج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عمومات القرعة لأجل كثرة التخصيص لا يعمل بها إلّابعد عمل الأصحاب، وأمّا على ما قلناه من اختصاص عموماتها بالتنازع والتزاحم فلم يرد عليه أي‌تخصيص، ولذلك يكون العمل بالأُصول العملية مقابل القرعة عملاً بالحاكم أو الوارد، لما عرفت من أنّ القرعة في المجهول الذي أعيت العقول في حلّه فلم يُر أيّ حلول سوى الالتجاء إلى القرعة، وأمّا إذا كان هناك حلول من الشرع بأصل من الأُصول فأدلّة القرعة فاقدة لموضوعها</w:t>
      </w:r>
      <w:r>
        <w:rPr>
          <w:rFonts w:eastAsia="Amiri" w:cs="Amiri" w:ascii="Amiri" w:hAnsi="Amiri"/>
          <w:color w:val="111111"/>
          <w:sz w:val="28"/>
          <w:szCs w:val="28"/>
          <w:rtl w:val="true"/>
          <w:lang w:bidi="ar-SA"/>
        </w:rPr>
        <w:t xml:space="preserve">. </w:t>
      </w:r>
      <w:bookmarkStart w:id="839" w:name="pg14367_157412"/>
    </w:p>
    <w:p>
      <w:pPr>
        <w:pStyle w:val="Heading6"/>
        <w:numPr>
          <w:ilvl w:val="5"/>
          <w:numId w:val="1"/>
        </w:numPr>
        <w:rPr/>
      </w:pPr>
      <w:bookmarkStart w:id="840" w:name="__RefHeading___Toc7507476_3381743652"/>
      <w:bookmarkStart w:id="841" w:name="_Toc308"/>
      <w:bookmarkEnd w:id="839"/>
      <w:bookmarkEnd w:id="840"/>
      <w:r>
        <w:rPr>
          <w:rtl w:val="true"/>
        </w:rPr>
        <w:t>الأمر السادس هل القرعة أمارة أو أصل؟</w:t>
      </w:r>
      <w:bookmarkEnd w:id="841"/>
    </w:p>
    <w:p>
      <w:pPr>
        <w:pStyle w:val="BookText"/>
        <w:rPr/>
      </w:pPr>
      <w:r>
        <w:rPr>
          <w:rFonts w:ascii="Amiri" w:hAnsi="Amiri" w:eastAsia="Amiri" w:cs="Amiri"/>
          <w:color w:val="111111"/>
          <w:sz w:val="28"/>
          <w:sz w:val="28"/>
          <w:szCs w:val="28"/>
          <w:rtl w:val="true"/>
          <w:lang w:bidi="ar-SA"/>
        </w:rPr>
        <w:t>قد عرفت أنّ القرعة يعمل بها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واقع محفوظ معلوم للّه سبحانه وغير معلوم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فيما إذا كان هناك واقع محفوظ عند اللّه غير معلوم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المورد الأوّل فلا موضوع للبحث عن الأمارية والأصلية، بل تكون القرعة هناك أعذر الطرق، كما في بعض الروايات، وإلى ذلك ينظر قول الشهيد في قواعده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عندنا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مجهول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فيها عند تساوي الحقوق والمصالح ووقوع التنازع، دفع للضغائن والأحقاد، والرضا بما جرت به الأقدار وقضاء الملك الجبّار</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إنّما الكلام في المورد الثاني كما في اشتباه الحرّ بالعبد</w:t>
      </w:r>
      <w:r>
        <w:rPr>
          <w:rStyle w:val="FootnoteAnchor"/>
          <w:rtl w:val="true"/>
        </w:rPr>
        <w:footnoteReference w:id="333"/>
      </w:r>
      <w:r>
        <w:rPr>
          <w:rFonts w:ascii="Amiri" w:hAnsi="Amiri" w:eastAsia="Amiri" w:cs="Amiri"/>
          <w:color w:val="111111"/>
          <w:sz w:val="28"/>
          <w:sz w:val="28"/>
          <w:szCs w:val="28"/>
          <w:rtl w:val="true"/>
          <w:lang w:bidi="ar-SA"/>
        </w:rPr>
        <w:t>، فهل القرعة أمر فاصل للنزاع أو طريق إلى الواقع؟</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عند العقلاء فالظاهر انّها أداة لفصل الخلاف من دون إثارة حقد أو ضغينة، وأمّا الروايات فربما يستظهر منها كونه طريقاً إلى الواقع إذا كان العامل مؤمناً موحداً مفوّضاً أمره إلى اللّه، فهو سبحانه يوصله إلى الحقّ ويصدّه عن الخطأ وإليه يشير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السهم الأصوب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تترتب على ذلك ثمرة عملية</w:t>
      </w:r>
      <w:r>
        <w:rPr>
          <w:rFonts w:eastAsia="Amiri" w:cs="Amiri" w:ascii="Amiri" w:hAnsi="Amiri"/>
          <w:color w:val="111111"/>
          <w:sz w:val="28"/>
          <w:szCs w:val="28"/>
          <w:rtl w:val="true"/>
          <w:lang w:bidi="ar-SA"/>
        </w:rPr>
        <w:t xml:space="preserve">. </w:t>
      </w:r>
      <w:bookmarkStart w:id="842" w:name="pg14367_157413"/>
    </w:p>
    <w:p>
      <w:pPr>
        <w:pStyle w:val="Heading6"/>
        <w:numPr>
          <w:ilvl w:val="5"/>
          <w:numId w:val="1"/>
        </w:numPr>
        <w:rPr/>
      </w:pPr>
      <w:bookmarkStart w:id="843" w:name="__RefHeading___Toc7507478_3381743652"/>
      <w:bookmarkStart w:id="844" w:name="_Toc309"/>
      <w:bookmarkEnd w:id="842"/>
      <w:bookmarkEnd w:id="843"/>
      <w:r>
        <w:rPr>
          <w:rtl w:val="true"/>
        </w:rPr>
        <w:t>الأمر السابع هل الإقراع وظيفة شخص خاص؟</w:t>
      </w:r>
      <w:bookmarkEnd w:id="844"/>
    </w:p>
    <w:p>
      <w:pPr>
        <w:pStyle w:val="BookText"/>
        <w:rPr/>
      </w:pPr>
      <w:r>
        <w:rPr>
          <w:rFonts w:ascii="Amiri" w:hAnsi="Amiri" w:eastAsia="Amiri" w:cs="Amiri"/>
          <w:color w:val="111111"/>
          <w:sz w:val="28"/>
          <w:sz w:val="28"/>
          <w:szCs w:val="28"/>
          <w:rtl w:val="true"/>
          <w:lang w:bidi="ar-SA"/>
        </w:rPr>
        <w:t>إذا كانت القرعة لرفع التزاحم والتنازع فمن المتصدي للإقراع؟ فهل هو الإمام المعصوم كما هو اللائح من بعض الروايات؟، أو الأعم منه و من نائبه كما هو اللائح من النراقي في عوائده؟ أو التفصيل بين ما إذا كان المورد متعيّناً في الواقع كاشتباه الحرّ بالعبد وبين ما إذا لم يكن كذلك، فالأوّل من وظائف نائب الإمام، والثاني يقوم به كلّ الناس؟</w:t>
      </w:r>
    </w:p>
    <w:p>
      <w:pPr>
        <w:pStyle w:val="BookText"/>
        <w:rPr/>
      </w:pPr>
      <w:r>
        <w:rPr>
          <w:rFonts w:ascii="Amiri" w:hAnsi="Amiri" w:eastAsia="Amiri" w:cs="Amiri"/>
          <w:color w:val="111111"/>
          <w:sz w:val="28"/>
          <w:sz w:val="28"/>
          <w:szCs w:val="28"/>
          <w:rtl w:val="true"/>
          <w:lang w:bidi="ar-SA"/>
        </w:rPr>
        <w:t>وهناك وجه رابع وهو جواز قيام المتشاحّين بالقرعة إلّاإذا كان لفضّ الخصومة، فإنّ القضاء حسب الروايات من شؤون الإمام عليه السلام أو الجالس مجلسه كالنائب العام، فتكون القرعة مثل الحلف وإقامة البيّنة من الأُمور التي لها صلة بالقضاء والحكومة بين الشخصين ولا يقوم به إلّانبيّ أو وصيّ نبيّ أو شقيّ على ما في الروايات</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وهذا القول هو الأقوى، إذ لو كان مجرى القرعة من قبيل التنازع والخصومة، فكما أنّ فصلها عن طريق إقامة البيّنة أو الحلف بيد الإمام أو المنصوب من قبله خصوصاً أو عموماً، فكذلك فصلها عن طريق القرعة، ولو لم يكن هنا رواية دالّة على اختصاصها به، لكفى في ذلك ما دلّ على أنّ الحكومة من شؤون الإمام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لم يكن كذلك، كما إذا اتفق أرباب الأراضي المشتركة بالتقسيم عن طريق القرعة، فلا وجه لاختصاصها بالإمام بعد كون ذلك شائعاً بين العقلاء </w:t>
      </w:r>
    </w:p>
    <w:p>
      <w:pPr>
        <w:pStyle w:val="BookText"/>
        <w:rPr/>
      </w:pPr>
      <w:r>
        <w:rPr>
          <w:rFonts w:ascii="Amiri" w:hAnsi="Amiri" w:eastAsia="Amiri" w:cs="Amiri"/>
          <w:color w:val="111111"/>
          <w:sz w:val="28"/>
          <w:sz w:val="28"/>
          <w:szCs w:val="28"/>
          <w:rtl w:val="true"/>
          <w:lang w:bidi="ar-SA"/>
        </w:rPr>
        <w:t>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في رواية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رجلان أو ثلاثة جارية في طهر واحد، فولدت، فادّعوه جميعاً أقرع الوالي بينهم، فمن قرع كان الولد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المورد من قبيل التخاصم وفصل الخصومة جعل القرعة من وظائف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اتّفق المتنازعان على التصالح عن طريق القرعة من دون المراجعة إلى القاضي، جاز لهما، إذ لا يشترط في التصالح سوى الرضا، وعدم تحريم الحلال، وتحليل الحرام لقوله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الصلح جائز بين المسلمين، إلّاصلحاً أحلّ حراماً أو حرّم حلالاً</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ثمّ إنّ المحقّق النراقي ممّن ذهب إلى أنّ القرعة من وظيفة الإمام أو نائبه الخاص أو العام بمعنى انّه لا يترتب أثر على إقراع غيره، استثنى بعض الموارد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ذكرناه من اختصاص القارع بالنائب العام في زمان غيبة الإمام إنّما هو من باب الأصل، وقد يخرج عنه بدليل دالٍ على أنّ الإذن لغيره أيضاً من إجماع أو غيره، كما في قرعة الشاة المنكوحة، واقتراع المدرس لتقديم بعض المتعلّمين، والزوج للزوجات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الأصل الاختصاص بالنائب العام، إلّافيما ثبت جواز اقتراع الغير أيضاً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الوافي من متأخّري المتأخّرين جمع بين ما دلّ على </w:t>
      </w:r>
    </w:p>
    <w:p>
      <w:pPr>
        <w:pStyle w:val="BookText"/>
        <w:rPr/>
      </w:pPr>
      <w:r>
        <w:rPr>
          <w:rFonts w:ascii="Amiri" w:hAnsi="Amiri" w:eastAsia="Amiri" w:cs="Amiri"/>
          <w:color w:val="111111"/>
          <w:sz w:val="28"/>
          <w:sz w:val="28"/>
          <w:szCs w:val="28"/>
          <w:rtl w:val="true"/>
          <w:lang w:bidi="ar-SA"/>
        </w:rPr>
        <w:t>اختصاص القرعة بالإمام وبين ما يدلّ على العموم بحمل الأوّل، على ما إذا كان العمل فيما يقرع عليه متعيّناً في الواقع، والثاني على ما لم يكن متعيّناً وأريد التعيّن بالقرعة، ثمّ أورد عليه بأنّه جمع بلا شاهد</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والسيرة العقلائية هنا أوضح طريق لكشف الحقيقة، فانّ الأمر المتنازع فيه كان يرجع إلى الحياة الشخصية للإنسان فهو يتصدى للقرعة، وأمّا إذا كانت القرعة من لوازم القضاء بعد إقامة البيّنة أو حلف المنكر فيكون من شؤون الوالي فيرجع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ذلك ما رواه العلاّمة المجلسي من أنّ أبناء يعقوب أقرعوا بينهم لمّا قال لهم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أحبس منكم واحداً يكون عندي وارجعوا إلى أبيكم واقرؤوه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يوسف هذا، اقترعوا بينهم، فخرجت القرعة على شمعون، فأمر به، فحبس</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فإنّ القضية كانت أمراً شخصياً دائراً بين أبناء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رواه البخاري من اقتسام المهاجرين بالقرعة، أخرج البخاري عن خارجة بن زيد بن خالد أنّ أُمّ العلا امرأة من الأنصار بايعت النبي صلى الله عليه و آله و سلم أخبرته انّه اقتُسِم المهاجرون قُرعةً فطار لنا عثمان بن مظعون، فأنزلناه في أبياتنا فوجع وجعه الذي توفّي فيه</w:t>
      </w:r>
      <w:r>
        <w:rPr>
          <w:rFonts w:eastAsia="Amiri" w:cs="Amiri" w:ascii="Amiri" w:hAnsi="Amiri"/>
          <w:color w:val="111111"/>
          <w:sz w:val="28"/>
          <w:szCs w:val="28"/>
          <w:rtl w:val="true"/>
          <w:lang w:bidi="ar-SA"/>
        </w:rPr>
        <w:t>.</w:t>
      </w:r>
      <w:r>
        <w:rPr>
          <w:rStyle w:val="FootnoteAnchor"/>
          <w:rtl w:val="true"/>
        </w:rPr>
        <w:footnoteReference w:id="338"/>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ما ذكرنا من أنّه إذا كان من شؤون القضاء يقوم به الإمام أو نائبه عدة 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معاوية بن عمار،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وطأ الرجلان أو ثلاثة جارية في طهر واحد، فولدت، فادّعوه جميعاً، أقرع الوالي بينهم فمن قرع كان الولد ولده، ويردّ قيمة الولد على صاحب الجارية</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مضمرة يونس، قال 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فهو حرٌّ، فعلّمه واحد منهم، ثمّ مات المولى ولم يدر أيّهم الذي علّمه،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بالقرعة،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يستخرجه إلّاالإمام، لأنّ له على القرعة كلاماً ودعاءً لا يعلمه غيره</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إنّ التعليل الوارد في الرواية كأنّه تعليل إقناعي، ولعلّ المراد انّه لا يصحّ كلّ دعاء وكلام بل دعاء خاص لا يعلمه ولا يقتدر على إنشائه غيره فيختص به وبمن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الحقيقي هو انّ المورد من شؤون القضاء</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إسحاق العزرمي والفضيل بن يسار في ميراث من ليس له إلّادبر، فقد جاء في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يجلس الإمام ويجلس معه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عليه الإمام</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الشبهة حكمية لا يقوم بحلها إلّاالإمام</w:t>
      </w:r>
      <w:r>
        <w:rPr>
          <w:rFonts w:eastAsia="Amiri" w:cs="Amiri" w:ascii="Amiri" w:hAnsi="Amiri"/>
          <w:color w:val="111111"/>
          <w:sz w:val="28"/>
          <w:szCs w:val="28"/>
          <w:rtl w:val="true"/>
          <w:lang w:bidi="ar-SA"/>
        </w:rPr>
        <w:t xml:space="preserve">. </w:t>
      </w:r>
      <w:bookmarkStart w:id="845" w:name="pg14367_157417"/>
    </w:p>
    <w:p>
      <w:pPr>
        <w:pStyle w:val="Heading6"/>
        <w:numPr>
          <w:ilvl w:val="5"/>
          <w:numId w:val="1"/>
        </w:numPr>
        <w:rPr/>
      </w:pPr>
      <w:bookmarkStart w:id="846" w:name="__RefHeading___Toc7507480_3381743652"/>
      <w:bookmarkStart w:id="847" w:name="_Toc310"/>
      <w:bookmarkEnd w:id="845"/>
      <w:bookmarkEnd w:id="846"/>
      <w:r>
        <w:rPr>
          <w:rtl w:val="true"/>
        </w:rPr>
        <w:t>الأمر الثامن العمل بالقرعة عزيمة أو رخصة</w:t>
      </w:r>
      <w:bookmarkEnd w:id="847"/>
    </w:p>
    <w:p>
      <w:pPr>
        <w:pStyle w:val="BookText"/>
        <w:rPr/>
      </w:pPr>
      <w:r>
        <w:rPr>
          <w:rFonts w:ascii="Amiri" w:hAnsi="Amiri" w:eastAsia="Amiri" w:cs="Amiri"/>
          <w:color w:val="111111"/>
          <w:sz w:val="28"/>
          <w:sz w:val="28"/>
          <w:szCs w:val="28"/>
          <w:rtl w:val="true"/>
          <w:lang w:bidi="ar-SA"/>
        </w:rPr>
        <w:t>قد عرفت أنّ مورد القرعة، تارة يكون أمراً معيناً في الواقع مجهولاً عندنا، وأُخرى في كلّ أمر مردّد بين شيئين أو شخصين أو أكثر غير متعيّن في الواقع يطلب فيه التعيّن، وقد ثبت جواز القرعة شرعاً في كلّ من القسمين، بقي الكلام في أنّها عزيمة حتى يتعيّن بناء الأمر عليها أو رخصة حتى يجوز العدول عنها إلى غيرها؟</w:t>
      </w:r>
    </w:p>
    <w:p>
      <w:pPr>
        <w:pStyle w:val="BookText"/>
        <w:rPr/>
      </w:pPr>
      <w:r>
        <w:rPr>
          <w:rFonts w:ascii="Amiri" w:hAnsi="Amiri" w:eastAsia="Amiri" w:cs="Amiri"/>
          <w:color w:val="111111"/>
          <w:sz w:val="28"/>
          <w:sz w:val="28"/>
          <w:szCs w:val="28"/>
          <w:rtl w:val="true"/>
          <w:lang w:bidi="ar-SA"/>
        </w:rPr>
        <w:t>لا شكّ انّه لو كان مورد التنازع من الحقوق التي يجب تعيينها، سواء أكان معيناً في الواقع ومجهولاً عندنا كالخنثى المشكل بناء على أنّ الخنثى ليست طبيعة ثالثة، أو لم يكن معيناً في الواقع ولكنّه يجب تعيّنها كما لو نذر عتق أوّل مملوك ملكه فملك أكثر من واحد، أو يوصي بعتق رقاب أربعة من عبيده العشرين، فانّه لا يمكن عتق الأربعة المبهمة ولا خمس الكل مشاعاً، لعدم صدق الرقبة على الجزء بل بحسب عتق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الموارد التي فيها أمر إلزامي بالعمل بالحق، يكون العمل بالقرعة فيها عزيمة، والمفروض انّه لا طريق آخر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هناك حق يجب تعيينه أو العمل به، كتقديم أحد المتعلّمين في التدريس، أو تقديم إحدى الزوجتين في المتعة، أو كان فلا يجب العمل بالقرعة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أنّ العمل بالقرعة بشخصه ليس موضوعاً لوجوب العمل وعدمه، بل يتبع موردها في الحقوق التي يجب التحفّظ عليها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هنا بحثاً آخر وهو انّه إذا استخرج المحق بالقرعة، فهل يجوز العدول عنه؟ الظاهر لا، لأنّ الإقراع يجعل الخارج بالقرعة محكوماً بحكم شرعي، ففي الخنثى المشكل إذا خرج السهم باسم الذكر يكون محكوماً شرعاً بكونه ذكراً، وكذا في مورد النذر والإيصاء بالعتق فإذا خرج بالقرعة تعيّن عتقه، ومثله ما ورد النصّ بالعمل بالقرعة فيه، كمسألة الشاة المنكوحة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أحكام القرعة، وهناك بحوث استطرادية ترك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فيها إلى رغبة الحاضرين حتى يخوضوا في غمارها على ضوء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نحمده سبحانه ونشكره على إتمام النعمة وإكمال الرسالة،</w:t>
      </w:r>
    </w:p>
    <w:p>
      <w:pPr>
        <w:pStyle w:val="BookText"/>
        <w:rPr/>
      </w:pPr>
      <w:r>
        <w:rPr>
          <w:rFonts w:ascii="Amiri" w:hAnsi="Amiri" w:eastAsia="Amiri" w:cs="Amiri"/>
          <w:color w:val="111111"/>
          <w:sz w:val="28"/>
          <w:sz w:val="28"/>
          <w:szCs w:val="28"/>
          <w:rtl w:val="true"/>
          <w:lang w:bidi="ar-SA"/>
        </w:rPr>
        <w:t>وقد لاح بدر تمامه في شهر شوال المكرّم</w:t>
      </w:r>
    </w:p>
    <w:p>
      <w:pPr>
        <w:pStyle w:val="BookText"/>
        <w:rPr/>
      </w:pPr>
      <w:r>
        <w:rPr>
          <w:rFonts w:ascii="Amiri" w:hAnsi="Amiri" w:eastAsia="Amiri" w:cs="Amiri"/>
          <w:color w:val="111111"/>
          <w:sz w:val="28"/>
          <w:sz w:val="28"/>
          <w:szCs w:val="28"/>
          <w:rtl w:val="true"/>
          <w:lang w:bidi="ar-SA"/>
        </w:rPr>
        <w:t xml:space="preserve">من شهور عام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p>
    <w:p>
      <w:pPr>
        <w:pStyle w:val="BookText"/>
        <w:rPr/>
      </w:pPr>
      <w:r>
        <w:rPr>
          <w:rFonts w:ascii="Amiri" w:hAnsi="Amiri" w:eastAsia="Amiri" w:cs="Amiri"/>
          <w:color w:val="111111"/>
          <w:sz w:val="28"/>
          <w:sz w:val="28"/>
          <w:szCs w:val="28"/>
          <w:rtl w:val="true"/>
          <w:lang w:bidi="ar-SA"/>
        </w:rPr>
        <w:t>بيد مؤلّفها، محمد حسين الحاج العاملي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عامله اللّه بلطفه الخفيّ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8" w:name="pg14367_157420"/>
      <w:bookmarkStart w:id="849" w:name="pg14367_157420"/>
      <w:bookmarkEnd w:id="849"/>
    </w:p>
    <w:p>
      <w:pPr>
        <w:pStyle w:val="Heading2"/>
        <w:numPr>
          <w:ilvl w:val="1"/>
          <w:numId w:val="1"/>
        </w:numPr>
        <w:rPr/>
      </w:pPr>
      <w:bookmarkStart w:id="850" w:name="pg14367_157420"/>
      <w:bookmarkStart w:id="851" w:name="__RefHeading___Toc7507482_3381743652"/>
      <w:bookmarkStart w:id="852" w:name="_Toc311"/>
      <w:bookmarkEnd w:id="850"/>
      <w:bookmarkEnd w:id="851"/>
      <w:r>
        <w:rPr>
          <w:rtl w:val="true"/>
        </w:rPr>
        <w:t>المقصد الثامن في تعارض الأدلة الشرعيّة</w:t>
      </w:r>
      <w:bookmarkEnd w:id="852"/>
    </w:p>
    <w:p>
      <w:pPr>
        <w:pStyle w:val="Heading3"/>
        <w:numPr>
          <w:ilvl w:val="2"/>
          <w:numId w:val="1"/>
        </w:numPr>
        <w:rPr/>
      </w:pPr>
      <w:bookmarkStart w:id="853" w:name="__RefHeading___Toc7507484_3381743652"/>
      <w:bookmarkStart w:id="854" w:name="_Toc312"/>
      <w:bookmarkEnd w:id="853"/>
      <w:r>
        <w:rPr>
          <w:rtl w:val="true"/>
        </w:rPr>
        <w:t>اشارة</w:t>
      </w:r>
      <w:bookmarkEnd w:id="854"/>
    </w:p>
    <w:p>
      <w:pPr>
        <w:pStyle w:val="BookText"/>
        <w:rPr/>
      </w:pPr>
      <w:r>
        <w:rPr>
          <w:rFonts w:ascii="Amiri" w:hAnsi="Amiri" w:eastAsia="Amiri" w:cs="Amiri"/>
          <w:color w:val="111111"/>
          <w:sz w:val="28"/>
          <w:sz w:val="28"/>
          <w:szCs w:val="28"/>
          <w:rtl w:val="true"/>
          <w:lang w:bidi="ar-SA"/>
        </w:rPr>
        <w:t>وقبل الدخول في صلب الموضوع نقدّم أُموراً</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7507486_3381743652"/>
      <w:bookmarkStart w:id="856" w:name="_Toc313"/>
      <w:bookmarkEnd w:id="855"/>
      <w:r>
        <w:rPr>
          <w:rtl w:val="true"/>
        </w:rPr>
        <w:t>الأوّل</w:t>
      </w:r>
      <w:r>
        <w:rPr>
          <w:rtl w:val="true"/>
        </w:rPr>
        <w:t xml:space="preserve">: </w:t>
      </w:r>
      <w:r>
        <w:rPr>
          <w:rtl w:val="true"/>
        </w:rPr>
        <w:t>تعارض الأدلّة من المسائل الأُصولية</w:t>
      </w:r>
      <w:bookmarkEnd w:id="856"/>
    </w:p>
    <w:p>
      <w:pPr>
        <w:pStyle w:val="BookText"/>
        <w:rPr/>
      </w:pPr>
      <w:r>
        <w:rPr>
          <w:rFonts w:ascii="Amiri" w:hAnsi="Amiri" w:eastAsia="Amiri" w:cs="Amiri"/>
          <w:color w:val="111111"/>
          <w:sz w:val="28"/>
          <w:sz w:val="28"/>
          <w:szCs w:val="28"/>
          <w:rtl w:val="true"/>
          <w:lang w:bidi="ar-SA"/>
        </w:rPr>
        <w:t>إنّ البحث عن تعارض الأدلّة وكيفية علاجها عند التعارض، من المسائل الأُصولية المهمَّة، أمّا كونها من المسائل الأُصولية فلما عرفت في مبحث حجية خبر الواحد أنّ روح البحث في أبواب الحجج، يرجع إلى البحث عن تعيين ما هو الحجّة في الفقه بعد تسليم أصل وجود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الفقيه يعلم أنّ بينه و بين ربّه حججاً قطعية في الأحكام الشرعية، تُنجّز الواقع وتَقطع العذر، ولكن لا يعرف خصوصيّاتها وتعيّناتها فيقع البحث في علم الأُصول عن خصوصياتها وتعيّناتها</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ضوء ذلك، فوجود الموضوع أي‌الحجّة بين العبد و المولى أمر محقّق معلوم لدى الفقيه، ولذلك لا يعود البحث في أبواب الحجية إلى البحث عن وجود الموضوع لما عرفت من أنّ وجود الحجّة أمر قطعي، وإنّما يرجع إلى البحث عن عوارض تلك الحجّة،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تعيُّنها بالخبر الواحد أو الشهرة الفتوائية أو غيرهما، فالبحث عن تعيّن الحجة وخصوصياتها بحث عن عوارض الموضوع</w:t>
      </w:r>
      <w:r>
        <w:rPr>
          <w:rFonts w:eastAsia="Amiri" w:cs="Amiri" w:ascii="Amiri" w:hAnsi="Amiri"/>
          <w:color w:val="111111"/>
          <w:sz w:val="28"/>
          <w:szCs w:val="28"/>
          <w:rtl w:val="true"/>
          <w:lang w:bidi="ar-SA"/>
        </w:rPr>
        <w:t xml:space="preserve">. </w:t>
      </w:r>
      <w:bookmarkStart w:id="857" w:name="pg14367_157421"/>
    </w:p>
    <w:p>
      <w:pPr>
        <w:pStyle w:val="BookText"/>
        <w:rPr/>
      </w:pPr>
      <w:bookmarkEnd w:id="857"/>
      <w:r>
        <w:rPr>
          <w:rFonts w:ascii="Amiri" w:hAnsi="Amiri" w:eastAsia="Amiri" w:cs="Amiri"/>
          <w:color w:val="111111"/>
          <w:sz w:val="28"/>
          <w:sz w:val="28"/>
          <w:szCs w:val="28"/>
          <w:rtl w:val="true"/>
          <w:lang w:bidi="ar-SA"/>
        </w:rPr>
        <w:t>ومن هذا الباب مسألة تعارض الأدلّة حيث يبحث فيها عن ما هو الحجّة عند تعارض الأدلّة، فهل الحجّة هو التخيير بين الدليلين مطلقاً؟ أو التخيير لدى التعادل، والترجيح لدى المزيّة؟ أو شيء غير التخيير والترجيح؟ فالبحث على كلّ تقدير بحث عن عوارض الحجّة في الفقه، المسلَّم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تبيّن انّ مسألة التعارض وكيفية العلاج من المسائل الأُصولية، وأمّا كونها مهمَّة فلأجل أنّه قلّما يتفق باب لا توجد فيه أخبار متعارضة، ولذلك قام الشيخ الطوسي بتأليف 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لعلاج تلك الطائفة الكبيرة من الروايات، فما قام به المحقّق الخراساني من جعله ثامن المقاصد أولى ممّا قام به الشيخ الأعظم حيث جعل باب التعارض خاتمة الكتاب مشعراً بكونه ليس من العلم كمقدمة الكتاب، اللّهمّ إلّا أن يريد منها، خاتمة المسائل، لا خاتمة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ثمّ‌إنّ عنوان المسألة وإن كان يعمّ تعارض كلّ الأدلّة الشرعية كتعارض قول اللغويِّين أو مدعيي الإجماع، لكن البحث مُخصَّص بتعارض الخبرين فقط مقتصراً في غيرهما بما ذكروه في المقامات المختصّة للغير</w:t>
      </w:r>
      <w:r>
        <w:rPr>
          <w:rFonts w:eastAsia="Amiri" w:cs="Amiri" w:ascii="Amiri" w:hAnsi="Amiri"/>
          <w:color w:val="111111"/>
          <w:sz w:val="28"/>
          <w:szCs w:val="28"/>
          <w:rtl w:val="true"/>
          <w:lang w:bidi="ar-SA"/>
        </w:rPr>
        <w:t>.</w:t>
      </w:r>
    </w:p>
    <w:p>
      <w:pPr>
        <w:pStyle w:val="Heading3"/>
        <w:numPr>
          <w:ilvl w:val="2"/>
          <w:numId w:val="1"/>
        </w:numPr>
        <w:rPr/>
      </w:pPr>
      <w:bookmarkStart w:id="858" w:name="__RefHeading___Toc7507488_3381743652"/>
      <w:bookmarkStart w:id="859" w:name="_Toc314"/>
      <w:bookmarkEnd w:id="858"/>
      <w:r>
        <w:rPr>
          <w:rtl w:val="true"/>
        </w:rPr>
        <w:t>الثاني</w:t>
      </w:r>
      <w:r>
        <w:rPr>
          <w:rtl w:val="true"/>
        </w:rPr>
        <w:t xml:space="preserve">: </w:t>
      </w:r>
      <w:r>
        <w:rPr>
          <w:rtl w:val="true"/>
        </w:rPr>
        <w:t>التعارض لغة واصطلاحاً</w:t>
      </w:r>
      <w:bookmarkEnd w:id="859"/>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التعارض لغةً من العرض و هو الإراءة،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عرضت الناقة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الأمثلة المعروفة لوجود القلب في الكلام، والأصل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الحوض على الناقة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عَلَّمَ آدَمَ الْأَسْماءَ كُلَّها ثُمَّ عَرَضَهُمْ عَلَى الْمَلائِكَةِ</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النّارُ يُعْرَضُونَ عَلَيْها غُدُوًّا وَ عَشِيًّا وَ يَوْمَ تَقُومُ السّاعَةُ </w:t>
      </w:r>
    </w:p>
    <w:p>
      <w:pPr>
        <w:pStyle w:val="BookText"/>
        <w:rPr/>
      </w:pPr>
      <w:r>
        <w:rPr>
          <w:rFonts w:ascii="Amiri" w:hAnsi="Amiri" w:eastAsia="Amiri" w:cs="Amiri"/>
          <w:color w:val="111111"/>
          <w:sz w:val="28"/>
          <w:sz w:val="28"/>
          <w:szCs w:val="28"/>
          <w:rtl w:val="true"/>
          <w:lang w:bidi="ar-SA"/>
        </w:rPr>
        <w:t>أَدْخِلُوا آلَ فِرْعَوْنَ أَشَدَّ الْعَذابِ</w:t>
      </w:r>
      <w:r>
        <w:rPr>
          <w:rFonts w:eastAsia="Amiri" w:cs="Amiri" w:ascii="Amiri" w:hAnsi="Amiri"/>
          <w:color w:val="111111"/>
          <w:sz w:val="28"/>
          <w:szCs w:val="28"/>
          <w:rtl w:val="true"/>
          <w:lang w:bidi="ar-SA"/>
        </w:rPr>
        <w:t>)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فما في المقاييس لابن فارس من أنّ أصل العرض هو ضدّ الطول، فكأنّه في غير محلّه، فانّ استعمال العرض في مقابل الطول وإن كان رائجاً، لكنّه ليس أصل المعنى وإنّما اشتق هذا المعنى من الإراءة، لمناسبة من المناسبات، فانّ العرض في مقابل الطول معنى طارئ على المعنى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تفسير العرض بالمبارزة والمعارضة فهو أيضاً تفسير في غير محلّه، وهو أيضاً من المعاني الطارئة على العرض، لأنّ كلّ مبارز يُري شجاعتَه لخصمه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بتنافي مدلولي الدليلين على وجه التناقض والتضاد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الشيخ في الفرائد</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وعلى هذا فالمراد من التنافي هو التنافي في المدلول مع قطع النظر عن مقام الإثبات والدلالة، وهذا بظاهره غير تام، إذ ربّما يكون بين الدليلين تنافٍ في المدلول ولا يكون بينهما تناف في الدلالة والإثبات، كما في العام والخاص، والحاكم والمحكوم، والوارد والمورود، والعناوين الثانوية والعناوين الأوّلية، فانّ التنافي بين مدلولي الدليلين فيها أمر واضح لا مرية فيه ولكنّه لا يُعدّ من التعارض في شيء، لعدم التنافي في مقام الدلالة حيث يقدّم الخاص على العام، والحاكم على المحكوم، والوارد على المورود، والعنوان الثانوي على العنوان الأوّلي على وجه لا يتردّد العرف الدقيق في رفع التعارض بعد الإمعان، ولا يعدّ مثل هذه من مسائل هذا المقصد إلّااستطراداً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ولذلك عدل المحقّق الخراساني إلى تعريفه بنحو آخر بحيث تخرج عن تعريفه هذه الموارد التي قد عرفت إمكان الجمع فيها من دون أن تصل النوبة إلى </w:t>
      </w:r>
      <w:bookmarkStart w:id="860" w:name="pg14367_157423"/>
    </w:p>
    <w:p>
      <w:pPr>
        <w:pStyle w:val="BookText"/>
        <w:rPr/>
      </w:pPr>
      <w:bookmarkEnd w:id="860"/>
      <w:r>
        <w:rPr>
          <w:rFonts w:ascii="IRNazanin" w:hAnsi="IRNazanin" w:eastAsia="IRNazanin"/>
          <w:color w:val="111111"/>
          <w:sz w:val="28"/>
          <w:sz w:val="28"/>
          <w:szCs w:val="28"/>
          <w:rtl w:val="true"/>
          <w:lang w:bidi="fa-IR"/>
        </w:rPr>
        <w:t>التعارض،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تنافي الدليلين أو الأدلّة حسب الدلالة ومقام الإثبات على وجه التناقض أو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وخروج هذه الموارد عن تعريفه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من تنافي الدليلين على نحو التناقض، كون أحد الحكمين وجودياً والآخر عدمياً، كما إذا ورد في أحد الخبرين انّه يحرم الشيء الفلاني و في الآخر لا يحرم، كما أنّ المراد من تنافيهما بنحو التضاد هو كون الحكمين وجوديين، كما إذا ورد في أحد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التنافي بالتضاد، و مع ذلك يمكن إرجاع التنافي بنحو التضاد إلى التنافي بنحو التناقض،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بالنسبة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متضادين ولكن لازم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الوجوب و من الواضح بمكان انّ نسبته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المتناقضين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التنافي بين الدليلين تارة يكون بالذات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بثمن 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بالعرض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الجمعة في يومها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صلاة الظهر في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 إيجاب صلاتين في يوم واحد بالذات، إذ لا مانع من أن تجب صلاتان في يوم واحد، لكن لمّا قام الإجماع على عدم وجوب أزيد من صلاة واحدة في ظهر يوم الجمعة وجد التعارض بين الحكمين</w:t>
      </w:r>
      <w:r>
        <w:rPr>
          <w:rFonts w:eastAsia="Amiri" w:cs="Amiri" w:ascii="Amiri" w:hAnsi="Amiri"/>
          <w:color w:val="111111"/>
          <w:sz w:val="28"/>
          <w:szCs w:val="28"/>
          <w:rtl w:val="true"/>
          <w:lang w:bidi="ar-SA"/>
        </w:rPr>
        <w:t>.</w:t>
      </w:r>
    </w:p>
    <w:p>
      <w:pPr>
        <w:pStyle w:val="Heading3"/>
        <w:numPr>
          <w:ilvl w:val="2"/>
          <w:numId w:val="1"/>
        </w:numPr>
        <w:rPr/>
      </w:pPr>
      <w:bookmarkStart w:id="861" w:name="__RefHeading___Toc7507490_3381743652"/>
      <w:bookmarkStart w:id="862" w:name="_Toc315"/>
      <w:bookmarkEnd w:id="861"/>
      <w:r>
        <w:rPr>
          <w:rtl w:val="true"/>
        </w:rPr>
        <w:t>الأمر الثالث</w:t>
      </w:r>
      <w:r>
        <w:rPr>
          <w:rtl w:val="true"/>
        </w:rPr>
        <w:t xml:space="preserve">: </w:t>
      </w:r>
      <w:r>
        <w:rPr>
          <w:rtl w:val="true"/>
        </w:rPr>
        <w:t>الفرق بين التعارض والتزاحم</w:t>
      </w:r>
      <w:bookmarkEnd w:id="86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التعارض والتزاحم بعد كون التنافي قدراً مشتركاً بينهما هو انّ مصبَّه في التعارض يختلف مع مصبِّه في التزاحم، فلو كان التنافي في مقام </w:t>
      </w:r>
    </w:p>
    <w:p>
      <w:pPr>
        <w:pStyle w:val="BookText"/>
        <w:rPr/>
      </w:pPr>
      <w:r>
        <w:rPr>
          <w:rFonts w:ascii="Amiri" w:hAnsi="Amiri" w:eastAsia="Amiri" w:cs="Amiri"/>
          <w:color w:val="111111"/>
          <w:sz w:val="28"/>
          <w:sz w:val="28"/>
          <w:szCs w:val="28"/>
          <w:rtl w:val="true"/>
          <w:lang w:bidi="ar-SA"/>
        </w:rPr>
        <w:t>الجعل والإنشاء على وجه لا يمكن للحكيم إنشاء حكمين عن جدّ لمتعلّق واحد، ويمتنع أن تتعلّق إرادته الجديّة بجعل حكم لمتعلّق وفي الوقت نفسه بجعل حكم آخر لنفس ذلك المتعلّق كما إذا أنشأ ثمن العذرة سحت، ولا بأس ببيع العذرة، فهذا هو التعارض المصطلح في باب التعادل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عبارة عن تكاذب الدليلين في مقام الإنشاء بحيث يُكذِّب، ويطارد كلّ الآخرَ في ذلك المقام من دون أن تصل النوبة إلى مقام الدلالة والفعلية والتنجّز، سواء امتنع الامتثال بهما كما في المثال المتقدّم أو أمكن، 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رؤية الهلال واجب، 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عند رؤيته مستحب، فانّ الامتثال لكلا الدليلين أمر ممكن، بالدعاء عند رؤيته، فانّه امتثال للوجوب والندب معاً، لكن التكاذب موجود في مقام الإنشاء ولا يصحّ لحكيم أن يُنشئ ذينك الحكمين، ولا تتعلّق إرادته الجدية بإنشاء كلّ منهما، لأنّ لازم أحد الحكمين جواز الترك دون الحكم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التنافي في مقام الامتثال مع كمال الملائمة في مقام الجعل والدلالة والمدلول فهذا هو التزاحم،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 الأب، وأنقذ العم، ففوجئ بغرق كليهما ولم تكن له قدرة إلّاعلى إنقاذ أحدهما، فالدليلان متلائمان في مقام الجعل، إذ لا مانع من أن يكون إنقاذ كلّ بل وغيرهما واجباً، وإنّما جاء التنافي عن طريق المصادفة حيث فوجئ بغرق كليهما معاً، فلم يجد بدّاً من إنقاذ واحد وترك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فالتنافي ليس في مقام الجعل ولا في مقام المدلول ولا الدلالة وإنّما هو في رتبة رابعة وهي مقام الامتثال</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فعلاج المتزاحمين بالتصرّف في موضوع الحكم الفعلي بتعلّقه بالأهم دون المهمّ من دون تصرّف في مقام الجعل والمدلول والدلالة، ولذلك لو </w:t>
      </w:r>
      <w:bookmarkStart w:id="863" w:name="pg14367_157425"/>
    </w:p>
    <w:p>
      <w:pPr>
        <w:pStyle w:val="BookText"/>
        <w:rPr/>
      </w:pPr>
      <w:bookmarkEnd w:id="863"/>
      <w:r>
        <w:rPr>
          <w:rFonts w:ascii="Amiri" w:hAnsi="Amiri" w:eastAsia="Amiri" w:cs="Amiri"/>
          <w:color w:val="111111"/>
          <w:sz w:val="28"/>
          <w:sz w:val="28"/>
          <w:szCs w:val="28"/>
          <w:rtl w:val="true"/>
          <w:lang w:bidi="ar-SA"/>
        </w:rPr>
        <w:t>استطاع انقاذ كليهما بقدرة غيبيّة لوجب عليه ذلك، وهذا بخلاف العلاج في التعارض فلو أخذ بأحد الدليلين تخييراً أو ترجيحاً فإنّما يُتصرّف في مقام الجعل ويقال هذا هو الحكم الشرعيّ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الفرق بين التعارض والتزاحم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نكتة وهي انّ للتزاحم مصطلحين، فتارة يراد منه التزاحم المصطلح في باب الترتب وباب التعادل والترجيح، وقد علمت مفاده والفرق بينه و بين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يراد منه ما هو المصطلح في باب اجتماع الأمر والنهي، أي‌ما يكون التزاحم بين الملاكين بحيث لا يمكن حيازة ملاك أحد الحكمين في ظرف ملاك الحكم الآخر، فالملاك الموجود في الصلاة لا يمكن نيله مع المفسدة الموجودة في الغصب، فلو صلّى في الدار المغصوبة، فأحد الملاكين مغلوب للملاك الآخر، ولذلك يكون المجمع على القول بالامتناع من باب التزاحم فلا بدّ من تقديم أحد الملاكين المصلحة أو المفسدة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بالاجتماع لا تزاحم بين الملاكين كما لا تزاحم في مقام الدلالة والامتثال والتفصيل في محله، وليكن هذا على ذكر منك، لأنّ كثيراً ما يشتبه التزاحم في هذا الباب مع التزاحم في ذلك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حاول المحقّق النراقي أن يثبت وحدة الاصطلاحين</w:t>
      </w:r>
      <w:r>
        <w:rPr>
          <w:rFonts w:eastAsia="Amiri" w:cs="Amiri" w:ascii="Amiri" w:hAnsi="Amiri"/>
          <w:color w:val="111111"/>
          <w:sz w:val="28"/>
          <w:szCs w:val="28"/>
          <w:rtl w:val="true"/>
          <w:lang w:bidi="ar-SA"/>
        </w:rPr>
        <w:t>.</w:t>
      </w:r>
      <w:r>
        <w:rPr>
          <w:rStyle w:val="FootnoteAnchor"/>
          <w:rtl w:val="true"/>
        </w:rPr>
        <w:footnoteReference w:id="345"/>
      </w:r>
    </w:p>
    <w:p>
      <w:pPr>
        <w:pStyle w:val="Heading3"/>
        <w:numPr>
          <w:ilvl w:val="2"/>
          <w:numId w:val="1"/>
        </w:numPr>
        <w:rPr/>
      </w:pPr>
      <w:bookmarkStart w:id="864" w:name="__RefHeading___Toc7507492_3381743652"/>
      <w:bookmarkStart w:id="865" w:name="_Toc316"/>
      <w:bookmarkEnd w:id="864"/>
      <w:r>
        <w:rPr>
          <w:rtl w:val="true"/>
        </w:rPr>
        <w:t>الأمر الرابع</w:t>
      </w:r>
      <w:r>
        <w:rPr>
          <w:rtl w:val="true"/>
        </w:rPr>
        <w:t xml:space="preserve">: </w:t>
      </w:r>
      <w:r>
        <w:rPr>
          <w:rtl w:val="true"/>
        </w:rPr>
        <w:t>أقسام التزاحم</w:t>
      </w:r>
      <w:bookmarkEnd w:id="865"/>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مرجع التزاحم إلى تنافي كلّ منهما مع الآخر في مقام الامتثال بلا </w:t>
      </w:r>
      <w:bookmarkStart w:id="866" w:name="pg14367_157426"/>
    </w:p>
    <w:p>
      <w:pPr>
        <w:pStyle w:val="BookText"/>
        <w:rPr/>
      </w:pPr>
      <w:bookmarkEnd w:id="866"/>
      <w:r>
        <w:rPr>
          <w:rFonts w:ascii="Amiri" w:hAnsi="Amiri" w:eastAsia="Amiri" w:cs="Amiri"/>
          <w:color w:val="111111"/>
          <w:sz w:val="28"/>
          <w:sz w:val="28"/>
          <w:szCs w:val="28"/>
          <w:rtl w:val="true"/>
          <w:lang w:bidi="ar-SA"/>
        </w:rPr>
        <w:t>تكاذب وتدافع في مقام التشريع فربما يكون امتثال أحدهما سبباً لترك الآخر بتاتاً، كمسألة إنقاذ الغريقين، وربما يكون سبباً لتأخير امتثال أحد الحكمين عن وقت الفضيلة إلى غيره كما هو الحال في الأمر بالإزالة والصلاة أوّل الوقت، فوجوب الإزالة يزاحم وجوب الصلاة في وقت الفضيلة، ولا يزاحمه في سائر الأوقات فعليه الإزالة وتأخير الصلاة إلى الوقت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يكون التزاحم بين الواجب التعييني وأحد الأعدال من الواجب التخييري كما إذا كان عليه دين معجّل وفي الوقت نفسه كفارة رمضان، فلو أدّى دينه المطالَب لا يتمكن من إطعام ستين مسكيناً، بل يجب عليه العدول إلى فرد آخر و هو صوم ستين يوماً، كلّ ذلك من أقسام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يظهر من المحقّق الخوئي انحصار التزاحم في الأوّل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التزاحم أن لا يكون المكلّف متمكّناً من امتثال الحكمين معاً بحيث يكون امتثال أحدهما متوقفاً على مخالفة الآخر، كمسألة إنقاذ الغريقين</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في القسم الأوّل بين الحكمين، وفي الثاني بين واجب ومصداق من الواجب الموسّع، أو عِدْل من الواجب المخيّر، و ليس التزاحم اصطلاحاً شرعياً حتى نتبع تفسيره، بل الجامع عدم إمكان امتثال الأمرين إمّا مطلقاً أو في وقت خاص فيدخل الجميع تحت التزاحم</w:t>
      </w:r>
      <w:r>
        <w:rPr>
          <w:rFonts w:eastAsia="Amiri" w:cs="Amiri" w:ascii="Amiri" w:hAnsi="Amiri"/>
          <w:color w:val="111111"/>
          <w:sz w:val="28"/>
          <w:szCs w:val="28"/>
          <w:rtl w:val="true"/>
          <w:lang w:bidi="ar-SA"/>
        </w:rPr>
        <w:t>.</w:t>
      </w:r>
    </w:p>
    <w:p>
      <w:pPr>
        <w:pStyle w:val="Heading3"/>
        <w:numPr>
          <w:ilvl w:val="2"/>
          <w:numId w:val="1"/>
        </w:numPr>
        <w:rPr/>
      </w:pPr>
      <w:bookmarkStart w:id="867" w:name="__RefHeading___Toc7507494_3381743652"/>
      <w:bookmarkStart w:id="868" w:name="_Toc317"/>
      <w:bookmarkEnd w:id="867"/>
      <w:r>
        <w:rPr>
          <w:rtl w:val="true"/>
        </w:rPr>
        <w:t>الخامس</w:t>
      </w:r>
      <w:r>
        <w:rPr>
          <w:rtl w:val="true"/>
        </w:rPr>
        <w:t xml:space="preserve">: </w:t>
      </w:r>
      <w:r>
        <w:rPr>
          <w:rtl w:val="true"/>
        </w:rPr>
        <w:t>أسباب التزاحم</w:t>
      </w:r>
      <w:bookmarkEnd w:id="868"/>
    </w:p>
    <w:p>
      <w:pPr>
        <w:pStyle w:val="BookText"/>
        <w:rPr/>
      </w:pPr>
      <w:r>
        <w:rPr>
          <w:rFonts w:ascii="Amiri" w:hAnsi="Amiri" w:eastAsia="Amiri" w:cs="Amiri"/>
          <w:color w:val="111111"/>
          <w:sz w:val="28"/>
          <w:sz w:val="28"/>
          <w:szCs w:val="28"/>
          <w:rtl w:val="true"/>
          <w:lang w:bidi="ar-SA"/>
        </w:rPr>
        <w:t>إنّ للتزاحم في مقام الامتثال أقساماً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التزاحم لأجل كون مخالفة أحد الحكمين مقدّمة لامتثال الآخر،</w:t>
      </w:r>
      <w:bookmarkStart w:id="869" w:name="pg14367_157427"/>
    </w:p>
    <w:p>
      <w:pPr>
        <w:pStyle w:val="BookText"/>
        <w:rPr/>
      </w:pPr>
      <w:bookmarkEnd w:id="869"/>
      <w:r>
        <w:rPr>
          <w:rFonts w:ascii="Amiri" w:hAnsi="Amiri" w:eastAsia="Amiri" w:cs="Amiri"/>
          <w:color w:val="111111"/>
          <w:sz w:val="28"/>
          <w:sz w:val="28"/>
          <w:szCs w:val="28"/>
          <w:rtl w:val="true"/>
          <w:lang w:bidi="ar-SA"/>
        </w:rPr>
        <w:t>كما إذا توقّف إنقاذ الغريق على التصرّف في أرض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منشأ التزاحم وقوع التضاد بين المتعلّقين من باب المصادفة لا دائماً وإلّا لانتهى إلى التعارض، كمزاحمة إزالة النجاسة عن المسجد، ودخول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أحد المتعلّقين مترتباً في الوجوب على الآخر كالقيام في الركعة الأُولى والثانية، مع عدم قدرته إلّا عليه في ركعة واحدة، أو كالقيام في الصلاتين، الظهر والعصر مع عدم استطاعته إلّاعلى القيام في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إذا دار أمره بين الصلاة قائماً في مخبأ بلا ركوع وسجود أو الصلاة معهما من دون قيام في مخبأ آخر إلى غير ذلك من الموارد</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7507496_3381743652"/>
      <w:bookmarkStart w:id="871" w:name="_Toc318"/>
      <w:bookmarkEnd w:id="870"/>
      <w:r>
        <w:rPr>
          <w:rtl w:val="true"/>
        </w:rPr>
        <w:t>السادس</w:t>
      </w:r>
      <w:r>
        <w:rPr>
          <w:rtl w:val="true"/>
        </w:rPr>
        <w:t xml:space="preserve">: </w:t>
      </w:r>
      <w:r>
        <w:rPr>
          <w:rtl w:val="true"/>
        </w:rPr>
        <w:t>في مرجّحات التزاحم</w:t>
      </w:r>
      <w:bookmarkEnd w:id="871"/>
    </w:p>
    <w:p>
      <w:pPr>
        <w:pStyle w:val="Heading4"/>
        <w:numPr>
          <w:ilvl w:val="3"/>
          <w:numId w:val="1"/>
        </w:numPr>
        <w:rPr/>
      </w:pPr>
      <w:bookmarkStart w:id="872" w:name="__RefHeading___Toc7507498_3381743652"/>
      <w:bookmarkStart w:id="873" w:name="_Toc319"/>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قد عرفت الفرق بين التعارض والتزاحم، وأنّ الأوّل عبارة عن تطارد الدليلين في مقام الجعل والإنشاء من دون أن تصل النوبة إلى المراتب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عبارة عن تطاردهما في مقام الامتثال حيث إنّ كلّ دليل يدعو إلى امتثال متعلّقه مع قصور القدرة، من دون تطارد في مقام الجعل والإنشاء، بل هناك كمال الملائمة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تختلف الغاية من إعمال المرجِّحات في كلّ واحد منهما، فالمطلوب من إعمالها في المتعارضين هو تمييز الحجّة عن اللا حجّة، والحقيقة عن المجاز، والصادق عن الكاذب، والوارد عن جدّ عن الوارد عن تقيّة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المطلوب من إعمالها في المتزاحمين هو تمييز الحجّة الفعلية عن الحجّة الشأنية وما هو الواجب فعلاً عن الواجب شأناً، مع كون الدليلين حجتين شرعيتين صادقتين واردتين لبيان الحكم الشرعي عن جدٍّ بلا تقيّة في واحد منهما</w:t>
      </w:r>
      <w:r>
        <w:rPr>
          <w:rFonts w:eastAsia="Amiri" w:cs="Amiri" w:ascii="Amiri" w:hAnsi="Amiri"/>
          <w:color w:val="111111"/>
          <w:sz w:val="28"/>
          <w:szCs w:val="28"/>
          <w:rtl w:val="true"/>
          <w:lang w:bidi="ar-SA"/>
        </w:rPr>
        <w:t xml:space="preserve">. </w:t>
      </w:r>
      <w:bookmarkStart w:id="874" w:name="pg14367_157428"/>
    </w:p>
    <w:p>
      <w:pPr>
        <w:pStyle w:val="BookText"/>
        <w:rPr/>
      </w:pPr>
      <w:bookmarkEnd w:id="874"/>
      <w:r>
        <w:rPr>
          <w:rFonts w:ascii="Amiri" w:hAnsi="Amiri" w:eastAsia="Amiri" w:cs="Amiri"/>
          <w:color w:val="111111"/>
          <w:sz w:val="28"/>
          <w:sz w:val="28"/>
          <w:szCs w:val="28"/>
          <w:rtl w:val="true"/>
          <w:lang w:bidi="ar-SA"/>
        </w:rPr>
        <w:t>وبذلك يعلم انّ المرجح في التعارض يجب أن يكون شيئاً يؤمِّن تلك الغاية أي‌تمييز الحجّة عن اللاحجة، وهو عبارة عن موافقة الكتاب و مخالفته، ومخالفة العامّة وموافقتها، فمخالف الكتاب وموافق العامة ليس بحجّة، كما أنّ المرجِّحات في باب التزاحم يجب أن تكون على وضع تُميّز بها الحجّة الفعلية عن الحجّة الشأنية من دون أن يكذّب أحد الدليلين الآخر، وإليك بيان تلك المرجّحات وهي خمسة، وروح الجميع واحد وهو تقديم الأهم المطلق أو النسبيّ على المهمّ</w:t>
      </w:r>
      <w:r>
        <w:rPr>
          <w:rFonts w:eastAsia="Amiri" w:cs="Amiri" w:ascii="Amiri" w:hAnsi="Amiri"/>
          <w:color w:val="111111"/>
          <w:sz w:val="28"/>
          <w:szCs w:val="28"/>
          <w:rtl w:val="true"/>
          <w:lang w:bidi="ar-SA"/>
        </w:rPr>
        <w:t>.</w:t>
      </w:r>
    </w:p>
    <w:p>
      <w:pPr>
        <w:pStyle w:val="Heading4"/>
        <w:numPr>
          <w:ilvl w:val="3"/>
          <w:numId w:val="1"/>
        </w:numPr>
        <w:rPr/>
      </w:pPr>
      <w:bookmarkStart w:id="875" w:name="__RefHeading___Toc7507500_3381743652"/>
      <w:bookmarkStart w:id="876" w:name="_Toc320"/>
      <w:bookmarkEnd w:id="875"/>
      <w:r>
        <w:rPr/>
        <w:t>1</w:t>
      </w:r>
      <w:r>
        <w:rPr>
          <w:rtl w:val="true"/>
        </w:rPr>
        <w:t xml:space="preserve">. </w:t>
      </w:r>
      <w:r>
        <w:rPr>
          <w:rtl w:val="true"/>
        </w:rPr>
        <w:t>تقديم مالا بدل له على ما له بدل</w:t>
      </w:r>
      <w:bookmarkEnd w:id="876"/>
    </w:p>
    <w:p>
      <w:pPr>
        <w:pStyle w:val="BookText"/>
        <w:rPr/>
      </w:pPr>
      <w:r>
        <w:rPr>
          <w:rFonts w:ascii="Amiri" w:hAnsi="Amiri" w:eastAsia="Amiri" w:cs="Amiri"/>
          <w:color w:val="111111"/>
          <w:sz w:val="28"/>
          <w:sz w:val="28"/>
          <w:szCs w:val="28"/>
          <w:rtl w:val="true"/>
          <w:lang w:bidi="ar-SA"/>
        </w:rPr>
        <w:t>إذا كان واجبان لأحدهما بدل شرعاً دون الآخر، كالصلاة عند ضيق الوقت وهو جنب، والصلاة مع الطهارة المائية، فلو صلّى مع الطهارة المائية لخرج الوقت بخلاف ما إذا صلّى بالطهارة الترابية، فتُقدم الصلاة بالطهارة الترابية على الصلاة بالطهارة المائية، وذلك لأنّ الصلاة بالطهارة المائية تستلزم خروج الوقت وليس للوقت بدل، بخلاف الصلاة بالطهارة المائية فلو تركها فانّ له بدلاً وهو التيمّم على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 دين معجّل مطلوب وكفّارة رمضان، فلو صرف ما حصّله من الثمن في أداء الدين لا يتمكن من إطعام ستين مسكيناً وهكذا العكس، ولكن يُقدَّم الأوّل لأنّ أداء الدين ليس له بدل، فلو تركه فيُترك بتاتاً، بخلاف إطعام ستين مسكيناً فلو تركه ينتقل إلى بدله وهو الصوم ستين يوماً</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7507502_3381743652"/>
      <w:bookmarkStart w:id="878" w:name="_Toc321"/>
      <w:bookmarkEnd w:id="877"/>
      <w:r>
        <w:rPr/>
        <w:t>2</w:t>
      </w:r>
      <w:r>
        <w:rPr>
          <w:rtl w:val="true"/>
        </w:rPr>
        <w:t xml:space="preserve">. </w:t>
      </w:r>
      <w:r>
        <w:rPr>
          <w:rtl w:val="true"/>
        </w:rPr>
        <w:t>تقديم المضيّق على الموسع</w:t>
      </w:r>
      <w:bookmarkEnd w:id="878"/>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هناك تزاحم بين المضيّق الذي لا يرضى المولى بتأخيره كإزالة </w:t>
      </w:r>
      <w:bookmarkStart w:id="879" w:name="pg14367_157429"/>
    </w:p>
    <w:p>
      <w:pPr>
        <w:pStyle w:val="BookText"/>
        <w:rPr/>
      </w:pPr>
      <w:bookmarkEnd w:id="879"/>
      <w:r>
        <w:rPr>
          <w:rFonts w:ascii="Amiri" w:hAnsi="Amiri" w:eastAsia="Amiri" w:cs="Amiri"/>
          <w:color w:val="111111"/>
          <w:sz w:val="28"/>
          <w:sz w:val="28"/>
          <w:szCs w:val="28"/>
          <w:rtl w:val="true"/>
          <w:lang w:bidi="ar-SA"/>
        </w:rPr>
        <w:t xml:space="preserve">النجاسة عن المسجد، والموسَّع الذي لا يفوت بالاشتغال بالمضيّق إلّافضيلة الوقت، يحكم العقل بتقديم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أي‌إزالة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الثاني و هو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بخروج المورد عن التزاحم، لأنّه عبارة عمّا لا يمكن الجمع بينهما، ولا إشكال في إمكان الجمع بين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عدم التمكّن إمّا مطلقاً، أو نسبيّاً كما في المقام حيث لا يتمكن من درك فضيلة الوقت الأوّل مع الابتلاء بإزالة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إرجاع هذا المرجِّح إلى المرجِّح السابق بالقول بأنّ المضيّق ليس له بدل اختياري ولكن الصلاة في الوقت الأوّل له بدل اختياري</w:t>
      </w:r>
      <w:r>
        <w:rPr>
          <w:rFonts w:eastAsia="Amiri" w:cs="Amiri" w:ascii="Amiri" w:hAnsi="Amiri"/>
          <w:color w:val="111111"/>
          <w:sz w:val="28"/>
          <w:szCs w:val="28"/>
          <w:rtl w:val="true"/>
          <w:lang w:bidi="ar-SA"/>
        </w:rPr>
        <w:t>.</w:t>
      </w:r>
    </w:p>
    <w:p>
      <w:pPr>
        <w:pStyle w:val="Heading4"/>
        <w:numPr>
          <w:ilvl w:val="3"/>
          <w:numId w:val="1"/>
        </w:numPr>
        <w:rPr/>
      </w:pPr>
      <w:bookmarkStart w:id="880" w:name="__RefHeading___Toc7507504_3381743652"/>
      <w:bookmarkStart w:id="881" w:name="_Toc322"/>
      <w:bookmarkEnd w:id="880"/>
      <w:r>
        <w:rPr/>
        <w:t>3</w:t>
      </w:r>
      <w:r>
        <w:rPr>
          <w:rtl w:val="true"/>
        </w:rPr>
        <w:t xml:space="preserve">. </w:t>
      </w:r>
      <w:r>
        <w:rPr>
          <w:rtl w:val="true"/>
        </w:rPr>
        <w:t>تقديم الأهم من المتزاحمين على المهم</w:t>
      </w:r>
      <w:bookmarkEnd w:id="881"/>
    </w:p>
    <w:p>
      <w:pPr>
        <w:pStyle w:val="BookText"/>
        <w:rPr/>
      </w:pPr>
      <w:r>
        <w:rPr>
          <w:rFonts w:ascii="Amiri" w:hAnsi="Amiri" w:eastAsia="Amiri" w:cs="Amiri"/>
          <w:color w:val="111111"/>
          <w:sz w:val="28"/>
          <w:sz w:val="28"/>
          <w:szCs w:val="28"/>
          <w:rtl w:val="true"/>
          <w:lang w:bidi="ar-SA"/>
        </w:rPr>
        <w:t>إذا كان هناك واجبان أحدهما أهم من الآخر، كما إذا دار الأمر بين نجاة المسلم والكافر الذميّ، أو المسلم والمؤمن فالعقل يحكم بتقديم الأهم</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7507506_3381743652"/>
      <w:bookmarkStart w:id="883" w:name="_Toc323"/>
      <w:bookmarkEnd w:id="882"/>
      <w:r>
        <w:rPr/>
        <w:t>4</w:t>
      </w:r>
      <w:r>
        <w:rPr>
          <w:rtl w:val="true"/>
        </w:rPr>
        <w:t xml:space="preserve">. </w:t>
      </w:r>
      <w:r>
        <w:rPr>
          <w:rtl w:val="true"/>
        </w:rPr>
        <w:t>سبق امتثال أحد الحكمين زماناً</w:t>
      </w:r>
      <w:bookmarkEnd w:id="883"/>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امتثال أحد الواجبين سابقاً على الآخر زماناً كما إذا وجب عليه صوم الخميس والجمعة، ولم يتمكن إلّا من صوم يوم واحد فعليه أن يقدِّم صوم الخميس على صوم الجمعة، لأنّه لو صام الخميس وأفطر في الجمعة فقد صام وأفطر عن حجة، بخلاف ما إذا عكس فقد أفطر يوم الخميس بلا مجوِّز في ظرف الإفطار، و قس على ذلك ما إذا قدر على القيام في ركعة واحدة فتقدَّم الركعة الأُولى على الثانية إذ لو عكس فقد ترك القيام في الركعة الأُولى بلا عذر، والمراد من التزاحم هو عدم التمكّن من القيام بكلا الواجبين</w:t>
      </w:r>
      <w:r>
        <w:rPr>
          <w:rFonts w:eastAsia="Amiri" w:cs="Amiri" w:ascii="Amiri" w:hAnsi="Amiri"/>
          <w:color w:val="111111"/>
          <w:sz w:val="28"/>
          <w:szCs w:val="28"/>
          <w:rtl w:val="true"/>
          <w:lang w:bidi="ar-SA"/>
        </w:rPr>
        <w:t xml:space="preserve">. </w:t>
      </w:r>
      <w:bookmarkStart w:id="884" w:name="pg14367_157430"/>
    </w:p>
    <w:p>
      <w:pPr>
        <w:pStyle w:val="Heading4"/>
        <w:numPr>
          <w:ilvl w:val="3"/>
          <w:numId w:val="1"/>
        </w:numPr>
        <w:rPr/>
      </w:pPr>
      <w:bookmarkStart w:id="885" w:name="__RefHeading___Toc7507508_3381743652"/>
      <w:bookmarkStart w:id="886" w:name="_Toc324"/>
      <w:bookmarkEnd w:id="884"/>
      <w:bookmarkEnd w:id="885"/>
      <w:r>
        <w:rPr/>
        <w:t>5</w:t>
      </w:r>
      <w:r>
        <w:rPr>
          <w:rtl w:val="true"/>
        </w:rPr>
        <w:t xml:space="preserve">. </w:t>
      </w:r>
      <w:r>
        <w:rPr>
          <w:rtl w:val="true"/>
        </w:rPr>
        <w:t>تقديم الواجب المطلق على المشروط</w:t>
      </w:r>
      <w:bookmarkEnd w:id="886"/>
    </w:p>
    <w:p>
      <w:pPr>
        <w:pStyle w:val="BookText"/>
        <w:rPr/>
      </w:pPr>
      <w:r>
        <w:rPr>
          <w:rFonts w:ascii="Amiri" w:hAnsi="Amiri" w:eastAsia="Amiri" w:cs="Amiri"/>
          <w:color w:val="111111"/>
          <w:sz w:val="28"/>
          <w:sz w:val="28"/>
          <w:szCs w:val="28"/>
          <w:rtl w:val="true"/>
          <w:lang w:bidi="ar-SA"/>
        </w:rPr>
        <w:t>إذا كان هناك واجب مطلق وآخر مشروط لم يحصل شرطه يقدّم المطلق على المشروط وهو واضح، كما إذا أجنب المعتكف حيث إنّ مكْثُ الجنب في المسجد حرام، وخروج المعتكف في اليوم الثالث حرام مشروط بعدم الحاجة، ولكن الشرط العدمي غير حاصل، فيقدّم الخروج على البقاء، إنّما الكلام في تطبيق الضابطة على مورد خاص ذكره السيد الطباطبائي في العروة الوثقى،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نذر قبل حصول الاستطاعة أن يزور الحسين عليه السلام في كلّ عرفة ثمّ حصلت لم يجب عليه الحجّ، بل وكذا لو نذر إن جاء مسافره ان يعطي للفقير كذا مقداراً، فحصل له ما يكفيه لأحدهما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حصول المعلّق عليه، بل وكذا إذا نذر قبل حصول الاستطاعة أن يصرف مقدار مائة ليرة مثلاً في الزيارة أو التعزية أو نحو ذلك، فانّ هذا كلّه مانع عن تعلّق وجوب الحجّ به، وكذا إذا كان عليه واجب مطلق فوري</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السيّد أن يقدّم الحجّ على الزيارة أخذاً بالضابطة التي أشار إليها في ذيل كلامه وهو تقديم الواجب المطلق على الواجب المشروط، لأنّ وجوب الحجّ مطلق لكن وجوب النذر مشروط بوجود الرجحان في متعلّقه حين العمل، وهو غير موجود، توضيحه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لو صحّ النذر لكان تعجيزاً شرعياً للمستطيع، والعجز الشرعي كالعجز العقلي فيكون مأموراً بالوفاء بالنذر ومعذوراً في ترك الحجّ لعجزه شرعاً عن امتثال أمر الحجّ والمفروض انّ المتعلّق راجح في حدِّ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غاية ما يمكن أن يوجّه به كلام السيد، ولكنّه غير تام، وذلك لأنّ مصبَّ الإطلاق هو متعلّق النذر،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زيارة الحسين عليه السلام يوم عرفة، فعندئذ يسأل عمّا هو المتعلّق للنذر فهل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تعلّق 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الزيارة المطلقة سواء أصار مستطيعاً أم لا؟ أو الزيارة في غير حالة الاستطاعة للحج؟ فعلى الثاني يكون الأمر منحصراً بالحجّ ولا يكون هناك أمر بالزيارة، و على الأوّل فالمتعلق بسعته على نحو يشمل حالة الاستطاعة غير راجح لاستلزامه ترك الواجب، نظير ما إذا نذر إنسان أن يقرأ القرآن من الفجر إلى طلوع الشمس، حيث إنّه لا ينعقد النذر، لأنّ المتعلّق مستلزم لترك الواجب فالنذر غير منعقد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النذر يجب أن يكون ذا رجحان عند الامتثال والمفروض انّ المورد ليس كذلك، لأنّ المستحب بما هو مفوِّت للواجب لا يكون راجحاً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يقاس المقام بالدين إذا استطاع وهو مديون، فكما أنّ خطابه بأداء الدين المعجَّل يوجب عجزه شرعاً، فهكذا المقام فإنّ انعقاد النذر يجعله عاجزاً شرعاً عن الحجّ وإن لم يكن عاجزاً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قياس مع الفارق، لأنّ أداء الدين من الواجبات الأصلية التي أوجبها اللّه سبحانه، فإذا انشغلت ذمّة الإنسان به وخوطب بالأداء من جانبه سبحانه يصير فاقداً للاستطاعة، ويكون عجزاً تشريعياً، وأمّا زيارة الحسين عليه السلام فهي مستحبة في نفسها، وإنّما يجب بالعرض أي‌بتعلّق النذر به وليس له إيجابه على نفسه إلّاإذا كان راجحاً عند الإتيان به و المفروض عدمه</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أن يكون التعجيز من جانبه سبحانه كأداء الدين غير المشروط بشيء، و بين أن يكون التعجيز بفعل الإنسان كأن ينذر على وجه </w:t>
      </w:r>
      <w:bookmarkStart w:id="887" w:name="pg14367_157432"/>
    </w:p>
    <w:p>
      <w:pPr>
        <w:pStyle w:val="BookText"/>
        <w:rPr/>
      </w:pPr>
      <w:bookmarkEnd w:id="887"/>
      <w:r>
        <w:rPr>
          <w:rFonts w:ascii="Amiri" w:hAnsi="Amiri" w:eastAsia="Amiri" w:cs="Amiri"/>
          <w:color w:val="111111"/>
          <w:sz w:val="28"/>
          <w:sz w:val="28"/>
          <w:szCs w:val="28"/>
          <w:rtl w:val="true"/>
          <w:lang w:bidi="ar-SA"/>
        </w:rPr>
        <w:t>يصير عاجزاً عن الحجّ في أوانه، فانّ تنجّزه مشروط بوجود الرجحان في العمل</w:t>
      </w:r>
      <w:r>
        <w:rPr>
          <w:rFonts w:eastAsia="Amiri" w:cs="Amiri" w:ascii="Amiri" w:hAnsi="Amiri"/>
          <w:color w:val="111111"/>
          <w:sz w:val="28"/>
          <w:szCs w:val="28"/>
          <w:rtl w:val="true"/>
          <w:lang w:bidi="ar-SA"/>
        </w:rPr>
        <w:t>.</w:t>
      </w:r>
    </w:p>
    <w:p>
      <w:pPr>
        <w:pStyle w:val="Heading3"/>
        <w:numPr>
          <w:ilvl w:val="2"/>
          <w:numId w:val="1"/>
        </w:numPr>
        <w:rPr/>
      </w:pPr>
      <w:bookmarkStart w:id="888" w:name="__RefHeading___Toc7507510_3381743652"/>
      <w:bookmarkStart w:id="889" w:name="_Toc325"/>
      <w:bookmarkEnd w:id="888"/>
      <w:r>
        <w:rPr>
          <w:rtl w:val="true"/>
        </w:rPr>
        <w:t>الأمر السابع</w:t>
      </w:r>
      <w:r>
        <w:rPr>
          <w:rtl w:val="true"/>
        </w:rPr>
        <w:t xml:space="preserve">: </w:t>
      </w:r>
      <w:r>
        <w:rPr>
          <w:rtl w:val="true"/>
        </w:rPr>
        <w:t>في تفسير المصطلحات الأربعة</w:t>
      </w:r>
      <w:bookmarkEnd w:id="889"/>
    </w:p>
    <w:p>
      <w:pPr>
        <w:pStyle w:val="Heading4"/>
        <w:numPr>
          <w:ilvl w:val="3"/>
          <w:numId w:val="1"/>
        </w:numPr>
        <w:rPr/>
      </w:pPr>
      <w:bookmarkStart w:id="890" w:name="__RefHeading___Toc7507512_3381743652"/>
      <w:bookmarkStart w:id="891" w:name="_Toc326"/>
      <w:bookmarkEnd w:id="890"/>
      <w:r>
        <w:rPr>
          <w:rtl w:val="true"/>
        </w:rPr>
        <w:t>اشارة</w:t>
      </w:r>
      <w:bookmarkEnd w:id="891"/>
    </w:p>
    <w:p>
      <w:pPr>
        <w:pStyle w:val="BookText"/>
        <w:rPr/>
      </w:pPr>
      <w:r>
        <w:rPr>
          <w:rFonts w:ascii="Amiri" w:hAnsi="Amiri" w:eastAsia="Amiri" w:cs="Amiri"/>
          <w:color w:val="111111"/>
          <w:sz w:val="28"/>
          <w:sz w:val="28"/>
          <w:szCs w:val="28"/>
          <w:rtl w:val="true"/>
          <w:lang w:bidi="ar-SA"/>
        </w:rPr>
        <w:t>إنّ التعارض بين الدليلين في مقام الدلالة تارة يكون غير مستقر بحيث يقوم العرف الدقيق بإرجاع بعضه إلى بعض ورفع المعارضة، وأُخرى يكون مستقراً لا يرتفع ولو بإمعان النظر فالأوّل هو مصب الجمع الدلالي الذي هو خارج عن تعارض الأدلّة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w:t>
      </w:r>
      <w:r>
        <w:rPr>
          <w:rStyle w:val="FootnoteAnchor"/>
          <w:rtl w:val="true"/>
        </w:rPr>
        <w:footnoteReference w:id="348"/>
      </w:r>
      <w:r>
        <w:rPr>
          <w:rFonts w:ascii="Amiri" w:hAnsi="Amiri" w:eastAsia="Amiri" w:cs="Amiri"/>
          <w:color w:val="111111"/>
          <w:sz w:val="28"/>
          <w:sz w:val="28"/>
          <w:szCs w:val="28"/>
          <w:rtl w:val="true"/>
          <w:lang w:bidi="ar-SA"/>
        </w:rPr>
        <w:t>الأُمور التي توجب رفع التعارض عرفاً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التخصص،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الورود،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 العرفي الذي اصطلحه المحقّق الخراساني بتقديم العناوين الثانوية على الأوّلية، وإليك شرح هذه المصطلحات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قريب من التخصّص، وكما أنّ الحكومة قريبة من التخصيص، فاللازم هو التعرّف على الفرق الحاكم على كلّ من القسمين، وتطبيقهما على مواردهما، وإليك البيان</w:t>
      </w:r>
      <w:r>
        <w:rPr>
          <w:rFonts w:eastAsia="Amiri" w:cs="Amiri" w:ascii="Amiri" w:hAnsi="Amiri"/>
          <w:color w:val="111111"/>
          <w:sz w:val="28"/>
          <w:szCs w:val="28"/>
          <w:rtl w:val="true"/>
          <w:lang w:bidi="ar-SA"/>
        </w:rPr>
        <w:t>:</w:t>
      </w:r>
    </w:p>
    <w:p>
      <w:pPr>
        <w:pStyle w:val="Heading4"/>
        <w:numPr>
          <w:ilvl w:val="3"/>
          <w:numId w:val="1"/>
        </w:numPr>
        <w:rPr/>
      </w:pPr>
      <w:bookmarkStart w:id="892" w:name="__RefHeading___Toc7507514_3381743652"/>
      <w:bookmarkStart w:id="893" w:name="_Toc327"/>
      <w:bookmarkEnd w:id="892"/>
      <w:r>
        <w:rPr/>
        <w:t>1</w:t>
      </w:r>
      <w:r>
        <w:rPr>
          <w:rtl w:val="true"/>
        </w:rPr>
        <w:t xml:space="preserve">. </w:t>
      </w:r>
      <w:r>
        <w:rPr>
          <w:rtl w:val="true"/>
        </w:rPr>
        <w:t>التخصّص</w:t>
      </w:r>
      <w:bookmarkEnd w:id="89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خروج موضوع أحد الدليلين عن موضوع الدليل الآخر حقيقة بعناية التكوين، بمعنى انّه لم يكن داخلاً حتى يحتاج إلى الإخراج، أو لم يكن موضوعاً حتى يحتاج إلى الرفع، بخلاف الأقسام الآتية، ففيه الإخراج والرفع، و هذا نظير </w:t>
      </w:r>
      <w:bookmarkStart w:id="894" w:name="pg14367_157433"/>
    </w:p>
    <w:p>
      <w:pPr>
        <w:pStyle w:val="BookText"/>
        <w:rPr/>
      </w:pPr>
      <w:bookmarkEnd w:id="894"/>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لاتكرم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فالحكمان وإن كانا متناقضين، لكنّه صوريّ، لعدم وحدة موضوعهما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 حلال، و الخمر حرام، فالحكمان متضادان، لكنّ التضاد صوري لعدم وحدة الموضوع</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7507516_3381743652"/>
      <w:bookmarkStart w:id="896" w:name="_Toc328"/>
      <w:bookmarkEnd w:id="895"/>
      <w:r>
        <w:rPr/>
        <w:t>2</w:t>
      </w:r>
      <w:r>
        <w:rPr>
          <w:rtl w:val="true"/>
        </w:rPr>
        <w:t xml:space="preserve">. </w:t>
      </w:r>
      <w:r>
        <w:rPr>
          <w:rtl w:val="true"/>
        </w:rPr>
        <w:t>الورود</w:t>
      </w:r>
      <w:bookmarkEnd w:id="896"/>
    </w:p>
    <w:p>
      <w:pPr>
        <w:pStyle w:val="BookText"/>
        <w:rPr/>
      </w:pPr>
      <w:r>
        <w:rPr>
          <w:rFonts w:ascii="Amiri" w:hAnsi="Amiri" w:eastAsia="Amiri" w:cs="Amiri"/>
          <w:color w:val="111111"/>
          <w:sz w:val="28"/>
          <w:sz w:val="28"/>
          <w:szCs w:val="28"/>
          <w:rtl w:val="true"/>
          <w:lang w:bidi="ar-SA"/>
        </w:rPr>
        <w:t>هو رفع أحد الدليلين، موضوع الدليل الآخر حقيقة لكن بعناية التشريع على نحو لولا عنايته لما كان للوارد هذا الشأن، وذلك مثل الأمارات بالنسبة إلى الأُصول العقلية والشرعية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 موضوع أصالة البراءة العقلية، هو عدم البيان، وموضوع أصالة الاشتغال، هو احتمال العقاب مع العلم بالتكليف والشكّ في المكلّف به، وموضوع أصالة التخيير هو التحيّر وعدم المرجح، لكن الأمارة الشرعية لثبوت حجّيتها بالدليل القطعي، تكون بياناً في مورد الأُولى، ومؤمِّنةً عن العقاب في مورد الثانية، ومرجّحةً ورافعةً للتحيّر في مورد الثالثة، وعند ذاك لا موضوع لهذه الأُصول الثلاثة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الأمارة و إن كانت حجّة ظنيّة غير مفيدة للعلم الوجداني كما في مورد التخصّص، لكن لمّا قام الدليل القطعي على حجيتها وصار مصداقاً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أدّيا عنّي فعنّي يؤدِّيان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بياناً في مورد عدم البيان، و مؤمِّنةً عن العقاب، ومرجحةً لأحد الطرفين، فتكون رافعة لموضوع الأُصول الثلاثة العقلية حقيقة، لكن بعناية التشريع وإضفاء الحجّية عليها، بحيث لولا الإضفاء و العناية لكانت في عرض الأُصول العقلية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حالها بالنسبة إلى الأُصول الشرعية سواء كانت غير محرزة كأصل البراءة الشرعية، ومثلها أصالتا الحلّية والطهارة، أم محرزة كالاستصحاب وأصالة </w:t>
      </w:r>
    </w:p>
    <w:p>
      <w:pPr>
        <w:pStyle w:val="BookText"/>
        <w:rPr/>
      </w:pPr>
      <w:r>
        <w:rPr>
          <w:rFonts w:ascii="Amiri" w:hAnsi="Amiri" w:eastAsia="Amiri" w:cs="Amiri"/>
          <w:color w:val="111111"/>
          <w:sz w:val="28"/>
          <w:sz w:val="28"/>
          <w:szCs w:val="28"/>
          <w:rtl w:val="true"/>
          <w:lang w:bidi="ar-SA"/>
        </w:rPr>
        <w:t>الصحة في فعل النفس أو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غير المحرز منها، فلأنّ المراد من العلم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الحجّة سواء كانت وجدانية، أم شرعية اعتبرها الشارع حجّة، فإذا قامت الأمارة على حرمته أو نجاسته فقد انقلب عدم الحجة إلى وجودها، بقيام الحجّة الشرعية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حال الأُصول المحرزة، لما مرّ في الاستصحاب من أنّ المراد من اليقين في أدلّته ليس هو اليقين الوجداني، ضرورة انّ زرارة لم يقف على طهارة ثوبه أو طهارته من الحدث بواسطة الأدلة القطعية، بل وقف عليها من طريق الحجج الشرعيّة كإخبار ذي اليد، أو من إجراء أصالة الطهارة في الماء الذي توضأ به، بل المراد هو الحجّة الشرعية، فإذاً يكون المراد من اليقين الثاني، هو الحجّة فإذا قامت الأمارة، فقد حصلت الغاية الواردة في أدلّة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الاستصحاب، فاليد أمارة الملكية لو لم تكن هناك بيّنة أقوى كما في رواية العيص بن القاسم،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انّه حرّ ولم يأت ببيّنة على ذلك، أشتريه؟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رواية حمزة بن حمران</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أصالة الصحّة في مثل النفس فالموضوع لها هو الشكّ كما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قد دخل في الإقامة؟</w:t>
      </w:r>
      <w:r>
        <w:rPr>
          <w:rStyle w:val="FootnoteAnchor"/>
          <w:rtl w:val="true"/>
        </w:rPr>
        <w:footnoteReference w:id="350"/>
      </w:r>
      <w:r>
        <w:rPr>
          <w:rFonts w:ascii="Amiri" w:hAnsi="Amiri" w:eastAsia="Amiri" w:cs="Amiri"/>
          <w:color w:val="111111"/>
          <w:sz w:val="28"/>
          <w:sz w:val="28"/>
          <w:szCs w:val="28"/>
          <w:rtl w:val="true"/>
          <w:lang w:bidi="ar-SA"/>
        </w:rPr>
        <w:t>و صحيح إسماعيل بن جابر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 ما سجد فليمض</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 xml:space="preserve">والأمارة رافعة للشكّ بعد إضفاء الشارع الحجيّة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عليه العقلاء، من كون </w:t>
      </w:r>
      <w:bookmarkStart w:id="897" w:name="pg14367_157435"/>
    </w:p>
    <w:p>
      <w:pPr>
        <w:pStyle w:val="BookText"/>
        <w:rPr/>
      </w:pPr>
      <w:bookmarkEnd w:id="897"/>
      <w:r>
        <w:rPr>
          <w:rFonts w:ascii="Amiri" w:hAnsi="Amiri" w:eastAsia="Amiri" w:cs="Amiri"/>
          <w:color w:val="111111"/>
          <w:sz w:val="28"/>
          <w:sz w:val="28"/>
          <w:szCs w:val="28"/>
          <w:rtl w:val="true"/>
          <w:lang w:bidi="ar-SA"/>
        </w:rPr>
        <w:t>الاطمئنان الحاصل من قول الثقة بحكم العلم، بحيث لا يقيمون معه لاحتمال الخلاف قدراً ولا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ممّا ذكرنا كون الأمارات بفضل الأدلّة القائمة على حجّيتها، واردة على الأُصول مطلقاً عقلية أو شرعية محرزة وغير 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المحرز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اشتراكهما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الغاية رفع التحيّر وجود نوع من الطريقية في المحرز دون غيره</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7507518_3381743652"/>
      <w:bookmarkStart w:id="899" w:name="_Toc329"/>
      <w:bookmarkEnd w:id="898"/>
      <w:r>
        <w:rPr/>
        <w:t>3</w:t>
      </w:r>
      <w:r>
        <w:rPr>
          <w:rtl w:val="true"/>
        </w:rPr>
        <w:t xml:space="preserve">. </w:t>
      </w:r>
      <w:r>
        <w:rPr>
          <w:rtl w:val="true"/>
        </w:rPr>
        <w:t>الحكومة</w:t>
      </w:r>
      <w:bookmarkEnd w:id="899"/>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الحكومة من المصطلحات الجديدة التي لم يكن منها أثر بين المتأخرين من عصر العلاّمة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عهد المحقّق البهبهاني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فضلاً عن القدماء وعرّفها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الدليلين بمدلوله اللفظي متعرّضاً لحال الدليل الآخر ورافعاً للحكم الثابت بالدليل الآخر عن بعض أفراد موضوعه فيكون مبيّناً لمقدار مدلوله، مسوقاً لبيان حاله، متعرضاً عليه، نظير الدليل على أنّه لا حكم للشكّ في النافلة، أو مع كثرة الشكّ أو مع حفظ الإمام أو المأموم، أو بعد الفراغ من العمل فانّه حاكم على الأدلّة المتكفّلة لأحكام الشكوك، فلو فرض انّه لم يرد من الشارع حكم المشكوك لا عموماً ولا خصوصاً لم يكن مورد للأدلّة النافية لحكم الشكّ في هذه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قدس سره بيّن الفرق بينه و بين التخصيص بأنّ التقديم في التخصيص بحكم العقل الحاكم بعدم جواز إرادة العموم مع العمل بالخاص، ولكن الحاكم بيان بلفظه للمراد ومفسر للمراد من العام فهو تخصيص في المعنى بعبارة التفسير</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عند الشيخ تتقوم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الحاكم متصرّفاً في موضوع الدليل المحكوم بإخراج بعض المصاديق بدعوى انّه ليس مصداقاً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الموضوع محكوماً بحكم قبل ورود الحاكم، على نحو لولا كونه كذلك كان تشريع الدليل الحاكم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كلاً من الشرطين غير لازم، أمّا الأوّل فلأنّ الحكومة لا تنحصر بالتصرّف في عقد الوضع، بل ربما يكون متصرفاً في عقد الحمل كأحكام العناوين الثانوية بالنسبة إلى الأحكام المتعلّقة على الموضوعات على نحو الإطلاق الذي يعم حالتي الضرر والحرج لوجوب الغسل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فقوله يعم حالتي الضرر والحرج غير انّ أدلّتهما، حاكمان على الإطلاق الموجود فيها فيختص وجوب الغسل بغير تينك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التصرف في عقد الوضع لا ينحصر بالتضييق، بل ربما يتصرّف بالتوسعة، كما هو الحال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الطواف بالبيت صلاة، فهو يُدخل الطواف تحت الصلاة، فيكون محكوماً بحكمها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الطهور فيه ظاهراً في الطهارة المائية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منقوض بحكومة أصالة الطهارة بالنسبة إلى أدلّة الشروط في الصلاة،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 ثوب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ظاهر في الطهارة الواقعية، لكن بعد </w:t>
      </w:r>
    </w:p>
    <w:p>
      <w:pPr>
        <w:pStyle w:val="BookText"/>
        <w:rPr/>
      </w:pPr>
      <w:r>
        <w:rPr>
          <w:rFonts w:ascii="Amiri" w:hAnsi="Amiri" w:eastAsia="Amiri" w:cs="Amiri"/>
          <w:color w:val="111111"/>
          <w:sz w:val="28"/>
          <w:sz w:val="28"/>
          <w:szCs w:val="28"/>
          <w:rtl w:val="true"/>
          <w:lang w:bidi="ar-SA"/>
        </w:rPr>
        <w:t>انضمام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الموضوع أعمّمنها و من الظاهريّة، ولكن ليس على وجه لولا أدلة الشروط لكان ورود الحاكم لغواً إلّاعلى وجه ذكرناه في الدورة السابقة</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ولأجل بعض ما ذكر، عدل المحقّق الخراساني إلى تعريفه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قد سيق ناظراً إلى بيان كميّة ما أُريد من الآخر مقدماً كان أو مؤخراً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قدس سره عطف على الحكومة التوفيقَ العرفي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كانا على نحو إذا عرضا على العرف وُفِّقَ بينهما بالتصرّف في خصوص أحدهما، كما هو الحال في الأدلّة المتكفّلة لبيان أحكام الموضوعات بعناوينها الأوّلية مع مثل الأدلة النافية للعسر والحرج والضرر والإكراه والاضطرار ممّا يتكفّل لأحكامها بعناوينها الثانوية حيث يقدّم في مثلهما الأدلة النافية ولا تُلاحظ النسبة بينهما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لجعله أمراً مغايراً للحكومة بل هو من أقسام الحكومة، غير انّه قدس سره لمّا خصَّ الحكومة ببيان الكميَّة في ناحية الموضوع أخرج هذا من تحتها، ولو قلنا بعمومها لما ورد لبيان الكمية في ناحية المحمول أيضاً، لما كان هنا وجه لإخراجها عن تحت الحكومة، لأنّ العناوين الثانوية تحدد شمول المحمول سعة وضيقاً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أحسن بعض الأعلام حيث لم يخصها ببيان الكمية في ناحية عقد الوضع، بل جعلها الأعم منه و من بيانها في عقد الحمل،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بمدلوله المطابقي ناظراً إلى التصرّف في الآخر أمّا في عقد وضعه إثباتاً أو نفياً، أو عقد حمله</w:t>
      </w:r>
      <w:r>
        <w:rPr>
          <w:rFonts w:eastAsia="Amiri" w:cs="Amiri" w:ascii="Amiri" w:hAnsi="Amiri"/>
          <w:color w:val="111111"/>
          <w:sz w:val="28"/>
          <w:szCs w:val="28"/>
          <w:rtl w:val="true"/>
          <w:lang w:bidi="ar-SA"/>
        </w:rPr>
        <w:t xml:space="preserve">. </w:t>
      </w:r>
      <w:bookmarkStart w:id="900" w:name="pg14367_157438"/>
    </w:p>
    <w:p>
      <w:pPr>
        <w:pStyle w:val="BookText"/>
        <w:rPr/>
      </w:pPr>
      <w:bookmarkEnd w:id="900"/>
      <w:r>
        <w:rPr>
          <w:rFonts w:ascii="Amiri" w:hAnsi="Amiri" w:eastAsia="Amiri" w:cs="Amiri"/>
          <w:color w:val="111111"/>
          <w:sz w:val="28"/>
          <w:sz w:val="28"/>
          <w:szCs w:val="28"/>
          <w:rtl w:val="true"/>
          <w:lang w:bidi="ar-SA"/>
        </w:rPr>
        <w:t>وبكلمة قصيرة فالمقوم للحكومة، هو تبادر الرقابة والنظارة من أحد الدليلين بالنسبة إلى الدليل الآخر، على وجه تكون تلك سبباً للتقدم، سواء أتحققت بالمدلول المطابقي أو الالتزامي وسواء أكانت بنحو التفسير، أو تكون النتيجة عند الاجتماع هي التفسير، وذلك لأنّ التفسير ربما يكون واضحاً كما في صحيحة الحلبي فيمن عليه شهران متتابعان، فانّ المتبادر منها صيام ستين يوماً متتابعاً لكنّه يفسرها بصيام شهر ويوم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على رجل صيام شهرين متتابعين، والتتابع أن يصوم شهراً ويصوم من الآخر شيئاً أو أياّماً منه</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وربما يكون التفسير خفيّاً لكن يعلم بقياس أحدهما إلى الآخر كما في أصالة الطهارة بالنسبة إلى أدلة الشروط على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انّ الحاكم له الرقابة والنظارة، يقدّم على المحكوم حتى في مورد يكون بين الدليلين عموم و خصوص من وجه، ولا يتوقف على وجود رجحان لأحد الدليلين في مورد الاجتماع</w:t>
      </w:r>
      <w:r>
        <w:rPr>
          <w:rFonts w:eastAsia="Amiri" w:cs="Amiri" w:ascii="Amiri" w:hAnsi="Amiri"/>
          <w:color w:val="111111"/>
          <w:sz w:val="28"/>
          <w:szCs w:val="28"/>
          <w:rtl w:val="true"/>
          <w:lang w:bidi="ar-SA"/>
        </w:rPr>
        <w:t>.</w:t>
      </w:r>
    </w:p>
    <w:p>
      <w:pPr>
        <w:pStyle w:val="Heading4"/>
        <w:numPr>
          <w:ilvl w:val="3"/>
          <w:numId w:val="1"/>
        </w:numPr>
        <w:rPr/>
      </w:pPr>
      <w:bookmarkStart w:id="901" w:name="__RefHeading___Toc7507520_3381743652"/>
      <w:bookmarkStart w:id="902" w:name="_Toc330"/>
      <w:bookmarkEnd w:id="901"/>
      <w:r>
        <w:rPr/>
        <w:t>4</w:t>
      </w:r>
      <w:r>
        <w:rPr>
          <w:rtl w:val="true"/>
        </w:rPr>
        <w:t xml:space="preserve">. </w:t>
      </w:r>
      <w:r>
        <w:rPr>
          <w:rtl w:val="true"/>
        </w:rPr>
        <w:t>التخصيص</w:t>
      </w:r>
      <w:bookmarkEnd w:id="902"/>
    </w:p>
    <w:p>
      <w:pPr>
        <w:pStyle w:val="Heading5"/>
        <w:numPr>
          <w:ilvl w:val="4"/>
          <w:numId w:val="1"/>
        </w:numPr>
        <w:rPr/>
      </w:pPr>
      <w:bookmarkStart w:id="903" w:name="__RefHeading___Toc7507522_3381743652"/>
      <w:bookmarkStart w:id="904" w:name="_Toc331"/>
      <w:bookmarkEnd w:id="903"/>
      <w:r>
        <w:rPr>
          <w:rtl w:val="true"/>
        </w:rPr>
        <w:t>اشارة</w:t>
      </w:r>
      <w:bookmarkEnd w:id="904"/>
    </w:p>
    <w:p>
      <w:pPr>
        <w:pStyle w:val="BookText"/>
        <w:rPr/>
      </w:pPr>
      <w:r>
        <w:rPr>
          <w:rFonts w:ascii="Amiri" w:hAnsi="Amiri" w:eastAsia="Amiri" w:cs="Amiri"/>
          <w:color w:val="111111"/>
          <w:sz w:val="28"/>
          <w:sz w:val="28"/>
          <w:szCs w:val="28"/>
          <w:rtl w:val="true"/>
          <w:lang w:bidi="ar-SA"/>
        </w:rPr>
        <w:t>التخصيص عبارة عن إخراج بعض أفراد العام عن الحكم المحمول عليه مع حفظ الموضوع،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فهو يشارك الحكومة في قسم التضييق، أي‌في مورد إخراج موضوع الخاص عن حكم العام، غير انّه يفترق عنها بأنّ التخصيص يخرجه عن حكم العام مع الاعتراف بأنّه من أفراده ومن مصاديقه، ولذلك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الحكومة في الموارد التي تشارك التخصيص في النتيجة يخرج المورد عن حكم العام لكن بلسان نفي الموضوع وانّه ليس من مصاديق العام إدعاءً، كما </w:t>
      </w:r>
      <w:bookmarkStart w:id="905" w:name="pg14367_157439"/>
    </w:p>
    <w:p>
      <w:pPr>
        <w:pStyle w:val="BookText"/>
        <w:rPr/>
      </w:pPr>
      <w:bookmarkEnd w:id="905"/>
      <w:r>
        <w:rPr>
          <w:rFonts w:ascii="Amiri" w:hAnsi="Amiri" w:eastAsia="Amiri" w:cs="Amiri"/>
          <w:color w:val="111111"/>
          <w:sz w:val="28"/>
          <w:sz w:val="28"/>
          <w:szCs w:val="28"/>
          <w:rtl w:val="true"/>
          <w:lang w:bidi="ar-SA"/>
        </w:rPr>
        <w:t>في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والغاية إنّما هي إخراج كثير الشكّ عن تحت العمومات الواردة حول الشاك، ولكن الإخراج بصورة نفي كونه من مصاديق الشاك فلا يكون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تفسير المصطلحات الأربعة بل الخمسة إذا أُضيفت إليها حكومة العناوين الثانوية على الأوّلية، وقد عرفت أنّها ليست قسماً مغايراً للحكومة</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7507524_3381743652"/>
      <w:bookmarkStart w:id="907" w:name="_Toc332"/>
      <w:bookmarkEnd w:id="906"/>
      <w:r>
        <w:rPr>
          <w:rtl w:val="true"/>
        </w:rPr>
        <w:t>وجه تقدّم الخاص على العام</w:t>
      </w:r>
      <w:bookmarkEnd w:id="907"/>
    </w:p>
    <w:p>
      <w:pPr>
        <w:pStyle w:val="BookText"/>
        <w:rPr/>
      </w:pPr>
      <w:r>
        <w:rPr>
          <w:rFonts w:ascii="Amiri" w:hAnsi="Amiri" w:eastAsia="Amiri" w:cs="Amiri"/>
          <w:color w:val="111111"/>
          <w:sz w:val="28"/>
          <w:sz w:val="28"/>
          <w:szCs w:val="28"/>
          <w:rtl w:val="true"/>
          <w:lang w:bidi="ar-SA"/>
        </w:rPr>
        <w:t>ثمّ إنّ تقدّم الأقسام الثلاثة على غيرها واضح لا يحتاج إلى البيان لعدم وجود الصلة بين الدليلين في التخصّص حتى يقدم أو يؤخر، وإعدام الموضوع في الورود، وللحكومة دور التفسير فيقدّم الدليل المفسِّر على المحكوم المفسَّر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وجه تقدّم الخاص على العام مع حفظ الموضوع، وهذا هو الذي نحن بصدد بيانه، ولأجل التوضيح نقدم أمراً، و هو انّ الاحتجاج بالعام أو الخاص رهن ثبوت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الدليل صادراً عن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مريداً للمعنى ولو ارادة 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الإرادة الاستعمالية موافقة للإرادة الجدية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 فإثباته يقع على عاتق أدلّة حجّية الخبر الواحد، كما أنّ المتكفّل لإثبات الأمرين الأخيرين هو الأصل العقلائي الجاري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عند العقلاء كون المتكلّم مريداً للمعنى ولو إرادة استعمالية كما هو الحال في التورية والمزاح، فخرج ما يفقد أصل إرادة المعنى كما هو الحال في تعلم </w:t>
      </w:r>
    </w:p>
    <w:p>
      <w:pPr>
        <w:pStyle w:val="BookText"/>
        <w:rPr/>
      </w:pPr>
      <w:r>
        <w:rPr>
          <w:rFonts w:ascii="Amiri" w:hAnsi="Amiri" w:eastAsia="Amiri" w:cs="Amiri"/>
          <w:color w:val="111111"/>
          <w:sz w:val="28"/>
          <w:sz w:val="28"/>
          <w:szCs w:val="28"/>
          <w:rtl w:val="true"/>
          <w:lang w:bidi="ar-SA"/>
        </w:rPr>
        <w:t>اللغات الأجنبية، أوحفظ الجمل حيث إنّ الغاية هو اكتساب المهارة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الضابطة عند العقلاء أيضاً هو تطابق الإرادة الاستعمالية مع الإرادة الجدية إلّاما خرج بالدليل، فخرج الكلام الملقى على وجه التورية والمزاح وما يشبههما حيث لا تتطابق الإرادة الاستعمالية مع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هذه الأُمور، فاعلم أنّ كلاً من العام والخاص حائز للأُمور الثلاثة، فكما يجوز تقدّم الخاص على العام بالقول بانّ الإرادة الاستعمالية في مورد الخاص لم تكن مطابقة للإرادة الجدية و إنّما ألقاه المولى على وجه الضابطة ليرجع إلى العام المخاطب في مقام الشك، دون مقام اليقين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فهكذا يجوز تقديم العام على الخاص و إنّما التفاوت والاختلاف بأنّ في تقديم الخاص على العام نقضاً للتطابق في بعض أفراده، وفي تقديم العام على الخاص نقضاً للتطابق في الخاص من رأسه 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فما هو الوجه لتقديم الخاص على العام مع كونهما على حد سواء؟ هذا هو السؤال و أمّا الجواب فبوجهين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تقديم الخاص على العام عمل بكلا الدليلين، بخلاف العكس ففيه عمل بدليل واحد وهو العام وإلغاء الدليل الآخر من رأسه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النظام السائد على التقنين و التشريع هو فصل الخاص عن العام وذلك لمصالح أهمها عدم احاطة المقنِّنين العاديين بالمصالح والمفاسد، فربما يشرِّعون حكماً عامّاً بزعم وجود المصلحة فيه ثمّ يتبين لهم عدم المصلحة في بعض الموارد فيخرجونه عن حكم العام بصورة ملحق قانوني، وصار هذا هو السبب في تقديم الخاص على العام في التشريعات البشرية</w:t>
      </w:r>
      <w:r>
        <w:rPr>
          <w:rFonts w:eastAsia="Amiri" w:cs="Amiri" w:ascii="Amiri" w:hAnsi="Amiri"/>
          <w:color w:val="111111"/>
          <w:sz w:val="28"/>
          <w:szCs w:val="28"/>
          <w:rtl w:val="true"/>
          <w:lang w:bidi="ar-SA"/>
        </w:rPr>
        <w:t xml:space="preserve">. </w:t>
      </w:r>
      <w:bookmarkStart w:id="908" w:name="pg14367_157441"/>
    </w:p>
    <w:p>
      <w:pPr>
        <w:pStyle w:val="BookText"/>
        <w:rPr/>
      </w:pPr>
      <w:bookmarkEnd w:id="908"/>
      <w:r>
        <w:rPr>
          <w:rFonts w:ascii="Amiri" w:hAnsi="Amiri" w:eastAsia="Amiri" w:cs="Amiri"/>
          <w:color w:val="111111"/>
          <w:sz w:val="28"/>
          <w:sz w:val="28"/>
          <w:szCs w:val="28"/>
          <w:rtl w:val="true"/>
          <w:lang w:bidi="ar-SA"/>
        </w:rPr>
        <w:t>وأمّا التشريع الإلهي فهو منزّه عن هذه الوصمة، فهو سبحانه عالم بالمصالح والمفاسد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يَعْلَمُ مَنْ خَلَقَ وَ هُوَ اللَّطِيفُ الْخَبِيرُ</w:t>
      </w:r>
      <w:r>
        <w:rPr>
          <w:rFonts w:eastAsia="Amiri" w:cs="Amiri" w:ascii="Amiri" w:hAnsi="Amiri"/>
          <w:color w:val="111111"/>
          <w:sz w:val="28"/>
          <w:szCs w:val="28"/>
          <w:rtl w:val="true"/>
          <w:lang w:bidi="ar-SA"/>
        </w:rPr>
        <w:t>)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غير انّ هناك نكتة جديرة بالإشارة وهي انّ النبي صلى الله عليه و آله و سلم دعا الناس في مكة المكرمة إلى التوحيد ونبذ الشرك ما يربو على ثلاثة عشر عاماً و لم تسنح له الفرصة لبيان الأحكام والتشريعات الهائلة في شريعته، ولما هاجر إلى المدينة شغلته الحروب والغزوات ومجادلة أهل الكتاب ومكافحة المنافقين إلى غير ذلك من الشواغل التي حالت دون بيان أحكام الشريعة بتفاصيلها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ما بيّن وترك التفاصيل والجزئيات على عاتق العترة الذين هم أعدال الكتاب بتنصيص منه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العترة واحداً بعد واحد ببيان التفاصيل والمقيّدات والمخصّصات للتشريعات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هذا سبباً لتقديم الخاص على العام والمقيّد على المطلق، و على ذلك جرت سيرة العلماء وديدنهم في أبواب الفقه</w:t>
      </w:r>
      <w:r>
        <w:rPr>
          <w:rFonts w:eastAsia="Amiri" w:cs="Amiri" w:ascii="Amiri" w:hAnsi="Amiri"/>
          <w:color w:val="111111"/>
          <w:sz w:val="28"/>
          <w:szCs w:val="28"/>
          <w:rtl w:val="true"/>
          <w:lang w:bidi="ar-SA"/>
        </w:rPr>
        <w:t>.</w:t>
      </w:r>
    </w:p>
    <w:p>
      <w:pPr>
        <w:pStyle w:val="Heading3"/>
        <w:numPr>
          <w:ilvl w:val="2"/>
          <w:numId w:val="1"/>
        </w:numPr>
        <w:rPr/>
      </w:pPr>
      <w:bookmarkStart w:id="909" w:name="__RefHeading___Toc7507526_3381743652"/>
      <w:bookmarkStart w:id="910" w:name="_Toc333"/>
      <w:bookmarkEnd w:id="909"/>
      <w:r>
        <w:rPr>
          <w:rtl w:val="true"/>
        </w:rPr>
        <w:t>الأمر الثامن</w:t>
      </w:r>
      <w:r>
        <w:rPr>
          <w:rtl w:val="true"/>
        </w:rPr>
        <w:t xml:space="preserve">: </w:t>
      </w:r>
      <w:r>
        <w:rPr>
          <w:rtl w:val="true"/>
        </w:rPr>
        <w:t>ما هو السبب لوجود الروايات المتعارضة؟</w:t>
      </w:r>
      <w:bookmarkEnd w:id="910"/>
    </w:p>
    <w:p>
      <w:pPr>
        <w:pStyle w:val="Heading4"/>
        <w:numPr>
          <w:ilvl w:val="3"/>
          <w:numId w:val="1"/>
        </w:numPr>
        <w:rPr/>
      </w:pPr>
      <w:bookmarkStart w:id="911" w:name="__RefHeading___Toc7507528_3381743652"/>
      <w:bookmarkStart w:id="912" w:name="_Toc334"/>
      <w:bookmarkEnd w:id="911"/>
      <w:r>
        <w:rPr>
          <w:rtl w:val="true"/>
        </w:rPr>
        <w:t>اشارة</w:t>
      </w:r>
      <w:bookmarkEnd w:id="912"/>
    </w:p>
    <w:p>
      <w:pPr>
        <w:pStyle w:val="BookText"/>
        <w:rPr/>
      </w:pPr>
      <w:r>
        <w:rPr>
          <w:rFonts w:ascii="Amiri" w:hAnsi="Amiri" w:eastAsia="Amiri" w:cs="Amiri"/>
          <w:color w:val="111111"/>
          <w:sz w:val="28"/>
          <w:sz w:val="28"/>
          <w:szCs w:val="28"/>
          <w:rtl w:val="true"/>
          <w:lang w:bidi="ar-SA"/>
        </w:rPr>
        <w:t>إنّ السابر في أبواب الروايات الفقهية يقف على وجود الروايات المتعارضة في أكثر الأبواب وهذا يثير سؤالاً، وهو كيف تطرق التعارض إلى روايات أئمّة أهل البيت؟ وهناك احتمالان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أئمّة أهل البيت كانوا يفتون الناس عن طريق استنباط الأحكام الشرعية عن أدلّتها التفصيلية كسائر أئمّة المذاهب، فلذلك طرأ عليهم الاختلاف </w:t>
      </w:r>
      <w:bookmarkStart w:id="913" w:name="pg14367_157442"/>
    </w:p>
    <w:p>
      <w:pPr>
        <w:pStyle w:val="BookText"/>
        <w:rPr/>
      </w:pPr>
      <w:bookmarkEnd w:id="913"/>
      <w:r>
        <w:rPr>
          <w:rFonts w:ascii="Amiri" w:hAnsi="Amiri" w:eastAsia="Amiri" w:cs="Amiri"/>
          <w:color w:val="111111"/>
          <w:sz w:val="28"/>
          <w:sz w:val="28"/>
          <w:szCs w:val="28"/>
          <w:rtl w:val="true"/>
          <w:lang w:bidi="ar-SA"/>
        </w:rPr>
        <w:t>في الآراء كما طرأ على غيرهم، فانّ الإمام الشافعي له آراء قديمة قبل أن يحطّ الرحل في مصر، وآراء جديدة بعد نزوله بها وهكذا عند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الاحتمال في حقّ أئمّة أهل البيت من الوهن بمكان، فإنّهم عليهم السلام عيبة علم رسول اللّه صلى الله عليه و آله و سلم وخزنة معارفه فلا يصدرون إلّاعن علم ورثوه عن النبي صلى الله عليه و آله و سلم أو يلقى في روعهم بما انّهم محدَّثون، وكون الإنسان محدَّثاً لا يلازم كونه نبيّاً طرفاً للوحي، فإنّ مريم البتول كانت محدّثة‌ولم تكن نبية وقد أوضحنا ذلك في بحوثنا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العامل الخارجي أوجد هذا القلق والاضطراب في الأحاديث، ولأجل ذلك قام الشيخ الطوسي بتأليف كتاب مستقل في جمع ما اختلف من الأخبار،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فيما اختلف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وهانحن نشير إلى تلك العوامل الخارجية التي أوجدت التعارض، وهي</w:t>
      </w:r>
      <w:r>
        <w:rPr>
          <w:rFonts w:eastAsia="Amiri" w:cs="Amiri" w:ascii="Amiri" w:hAnsi="Amiri"/>
          <w:color w:val="111111"/>
          <w:sz w:val="28"/>
          <w:szCs w:val="28"/>
          <w:rtl w:val="true"/>
          <w:lang w:bidi="ar-SA"/>
        </w:rPr>
        <w:t>:</w:t>
      </w:r>
    </w:p>
    <w:p>
      <w:pPr>
        <w:pStyle w:val="Heading4"/>
        <w:numPr>
          <w:ilvl w:val="3"/>
          <w:numId w:val="1"/>
        </w:numPr>
        <w:rPr/>
      </w:pPr>
      <w:bookmarkStart w:id="914" w:name="__RefHeading___Toc7507530_3381743652"/>
      <w:bookmarkStart w:id="915" w:name="_Toc335"/>
      <w:bookmarkEnd w:id="914"/>
      <w:r>
        <w:rPr/>
        <w:t>1</w:t>
      </w:r>
      <w:r>
        <w:rPr>
          <w:rtl w:val="true"/>
        </w:rPr>
        <w:t xml:space="preserve">. </w:t>
      </w:r>
      <w:r>
        <w:rPr>
          <w:rtl w:val="true"/>
        </w:rPr>
        <w:t>حدوث التقطيع في الروايات</w:t>
      </w:r>
      <w:bookmarkEnd w:id="915"/>
    </w:p>
    <w:p>
      <w:pPr>
        <w:pStyle w:val="BookText"/>
        <w:rPr/>
      </w:pPr>
      <w:r>
        <w:rPr>
          <w:rFonts w:ascii="Amiri" w:hAnsi="Amiri" w:eastAsia="Amiri" w:cs="Amiri"/>
          <w:color w:val="111111"/>
          <w:sz w:val="28"/>
          <w:sz w:val="28"/>
          <w:szCs w:val="28"/>
          <w:rtl w:val="true"/>
          <w:lang w:bidi="ar-SA"/>
        </w:rPr>
        <w:t>روى أهل السنّة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آدم على صورته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فصار ذلك مستمسكاً للمشبِّهة قائلين بأنّ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اللّه سبحانه مع أنّ الإمام الرضا عليه السلام كشف النقاب عن وجه الرواية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حذفوا أوّل الحديث، انّ رسول اللّه صلى الله عليه و آله و سلم رأى رجلين يتسابّان، فسمع أحدهما يقول لصاحبه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وجهَك ووجهَ من يُشْبِهُك،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تقُل هذا لأخيك فانّ اللّه عزّو جلّ خلق آدم على صورته</w:t>
      </w:r>
      <w:r>
        <w:rPr>
          <w:rFonts w:eastAsia="Amiri" w:cs="Amiri" w:ascii="Amiri" w:hAnsi="Amiri"/>
          <w:color w:val="111111"/>
          <w:sz w:val="28"/>
          <w:szCs w:val="28"/>
          <w:rtl w:val="true"/>
          <w:lang w:bidi="ar-SA"/>
        </w:rPr>
        <w:t>».</w:t>
      </w:r>
      <w:r>
        <w:rPr>
          <w:rStyle w:val="FootnoteAnchor"/>
          <w:rtl w:val="true"/>
        </w:rPr>
        <w:footnoteReference w:id="357"/>
      </w:r>
      <w:r>
        <w:rPr>
          <w:rFonts w:ascii="IRNazanin" w:hAnsi="IRNazanin" w:eastAsia="IRNazanin"/>
          <w:color w:val="111111"/>
          <w:sz w:val="28"/>
          <w:sz w:val="28"/>
          <w:szCs w:val="28"/>
          <w:rtl w:val="true"/>
          <w:lang w:bidi="fa-IR"/>
        </w:rPr>
        <w:t xml:space="preserve">وقد تطرّق هذا الأمر إلى </w:t>
      </w:r>
      <w:bookmarkStart w:id="916" w:name="pg14367_157443"/>
    </w:p>
    <w:p>
      <w:pPr>
        <w:pStyle w:val="BookText"/>
        <w:rPr/>
      </w:pPr>
      <w:bookmarkEnd w:id="916"/>
      <w:r>
        <w:rPr>
          <w:rFonts w:ascii="Amiri" w:hAnsi="Amiri" w:eastAsia="Amiri" w:cs="Amiri"/>
          <w:color w:val="111111"/>
          <w:sz w:val="28"/>
          <w:sz w:val="28"/>
          <w:szCs w:val="28"/>
          <w:rtl w:val="true"/>
          <w:lang w:bidi="ar-SA"/>
        </w:rPr>
        <w:t>الأحاديث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أتاه فقدّم أباه، فقال 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بهذه الرواية على ولاية الأب على مال الولد ونفسه، وإنّما يصحّ الاستدلال لو صدرت الرواية بهذا النحو، ولكن الوارد من طرقنا يشرح مقصود الرسول صلى الله عليه و آله و سلم من هذا الكلام ويعرب عن كونه صلى الله عليه و آله و سلم بصدد بيان حكم أخلاقي لا شرعي حتى يستفاد منه الولاية على الأموال بل النفوس، يقول الإمام الصادق عليه السلام بعد نقله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 بأبيه إلى النبي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هذا أبي وقد ظلمني ميراثي من أُمّي، فأخبره الأب، أنّه قد أنفقه عليه وعلى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ولم يكن عند الرجل شيء أوَ كان رسول اللّه يحبس الأب للابن؟</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والدقة في ألفاظ الرواية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كان رسول اللّه يحبس الأب 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تعرب عن كون الكلام وارداً لبيان أصل أخلاقي يجدر على الابن رعايته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وتكشف عن عدم ولايته على مال الابن وإنّما لم يحبسه لعدم الفائدة فيه لكونه معدِماً أوّلاً وترفّع مقام الأب عن الحبس بصرف مال الولد ثانياً</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7507532_3381743652"/>
      <w:bookmarkStart w:id="918" w:name="_Toc336"/>
      <w:bookmarkEnd w:id="917"/>
      <w:r>
        <w:rPr/>
        <w:t>2</w:t>
      </w:r>
      <w:r>
        <w:rPr>
          <w:rtl w:val="true"/>
        </w:rPr>
        <w:t xml:space="preserve">. </w:t>
      </w:r>
      <w:r>
        <w:rPr>
          <w:rtl w:val="true"/>
        </w:rPr>
        <w:t>أخذ عرف الراوي بنظر الاعتبار</w:t>
      </w:r>
      <w:bookmarkEnd w:id="918"/>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أكثر المتلقّين عن أئمّة أهل البيت كانوا عرباً ولكن كان لهم أعراف مختلفة، مثلاً 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عند الجميع حاك عن الوزن و المقدار يختلف مقداره عند المكي والعراقي، فالرطل المكي ضِعْف الرطل العراقي، وبذلك </w:t>
      </w:r>
      <w:bookmarkStart w:id="919" w:name="pg14367_157444"/>
    </w:p>
    <w:p>
      <w:pPr>
        <w:pStyle w:val="BookText"/>
        <w:rPr/>
      </w:pPr>
      <w:bookmarkEnd w:id="919"/>
      <w:r>
        <w:rPr>
          <w:rFonts w:ascii="Amiri" w:hAnsi="Amiri" w:eastAsia="Amiri" w:cs="Amiri"/>
          <w:color w:val="111111"/>
          <w:sz w:val="28"/>
          <w:sz w:val="28"/>
          <w:szCs w:val="28"/>
          <w:rtl w:val="true"/>
          <w:lang w:bidi="ar-SA"/>
        </w:rPr>
        <w:t xml:space="preserve">اختلفت الأخبار في بيان الكرّففي بعض منها الكرّ ستمائة رطل، و في بعض آخر الكرّ من الماء الذي لا ينجسه شيء ألف ومائتا رطل، وهما في بادئ النظر مختلفان لكن بالنظر إلى العرف الذي تكلّم به الإمام ينحلّ به الاختلاف فانّ المخاطب في الخبر الأوّل هو محمد بن مسلم الثقفي الطائفي، والطائف قريب من مكة، ولكن المخاطب في الثاني هو محمد بن أبي عمير البغدادي وبذلك يتحد مضمون الروايات فانّ الكرّ حسب العرف الأوّل هو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رطل وحسب العرف الثاني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رطل وفي الوقت نفسه هما أمر واحد قد عُبّر عنه بتعبيرين</w:t>
      </w:r>
      <w:r>
        <w:rPr>
          <w:rFonts w:eastAsia="Amiri" w:cs="Amiri" w:ascii="Amiri" w:hAnsi="Amiri"/>
          <w:color w:val="111111"/>
          <w:sz w:val="28"/>
          <w:szCs w:val="28"/>
          <w:rtl w:val="true"/>
          <w:lang w:bidi="ar-SA"/>
        </w:rPr>
        <w:t>.</w:t>
      </w:r>
      <w:r>
        <w:rPr>
          <w:rStyle w:val="FootnoteAnchor"/>
          <w:rtl w:val="true"/>
        </w:rPr>
        <w:footnoteReference w:id="359"/>
      </w:r>
    </w:p>
    <w:p>
      <w:pPr>
        <w:pStyle w:val="Heading4"/>
        <w:numPr>
          <w:ilvl w:val="3"/>
          <w:numId w:val="1"/>
        </w:numPr>
        <w:rPr/>
      </w:pPr>
      <w:bookmarkStart w:id="920" w:name="__RefHeading___Toc7507534_3381743652"/>
      <w:bookmarkStart w:id="921" w:name="_Toc337"/>
      <w:bookmarkEnd w:id="920"/>
      <w:r>
        <w:rPr/>
        <w:t>3</w:t>
      </w:r>
      <w:r>
        <w:rPr>
          <w:rtl w:val="true"/>
        </w:rPr>
        <w:t xml:space="preserve">. </w:t>
      </w:r>
      <w:r>
        <w:rPr>
          <w:rtl w:val="true"/>
        </w:rPr>
        <w:t>ملاحظة مصلحة الراوي حين الإفتاء</w:t>
      </w:r>
      <w:bookmarkEnd w:id="92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الأخذ بمصلحة الراوي ممّا أوجب اختلاف الروايات، ففي الفقه الإمامي المتواتر عن الإمام الصادق عليه السلام هو انّ الرجل إذا مات و ترك ابنة واحدة فقط فالتركة جميعاً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نصفها بالفرض والنصف الآخر بالرد، على خلاف ما عليه الفقه السنّي فانّ النصف عندهم للبنت والنصف الآخر للعَصَبَة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فترى أنّ الإمام الصادق عليه السلام في الرواية التالية يُفتي بفتوى أهل السنّة رعاية لمصلحة الراوي، روى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 أوصى إليَّ بتركته وترك ابنته،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أعطها النصف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زرارة بذلك،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إنّما المال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بعدُ،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أصحابنا زعموا أنّك اتّقيتني؟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اتّقيتك ولكنّي اتقيت عليك أن تَضْمَنَ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علم بذلك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فأعطها ما بقي</w:t>
      </w:r>
      <w:r>
        <w:rPr>
          <w:rFonts w:eastAsia="Amiri" w:cs="Amiri" w:ascii="Amiri" w:hAnsi="Amiri"/>
          <w:color w:val="111111"/>
          <w:sz w:val="28"/>
          <w:szCs w:val="28"/>
          <w:rtl w:val="true"/>
          <w:lang w:bidi="ar-SA"/>
        </w:rPr>
        <w:t>».</w:t>
      </w:r>
      <w:r>
        <w:rPr>
          <w:rStyle w:val="FootnoteAnchor"/>
          <w:rtl w:val="true"/>
        </w:rPr>
        <w:footnoteReference w:id="360"/>
      </w:r>
      <w:bookmarkStart w:id="922" w:name="pg14367_157445"/>
    </w:p>
    <w:p>
      <w:pPr>
        <w:pStyle w:val="Heading4"/>
        <w:numPr>
          <w:ilvl w:val="3"/>
          <w:numId w:val="1"/>
        </w:numPr>
        <w:rPr/>
      </w:pPr>
      <w:bookmarkStart w:id="923" w:name="__RefHeading___Toc7507536_3381743652"/>
      <w:bookmarkStart w:id="924" w:name="_Toc338"/>
      <w:bookmarkEnd w:id="922"/>
      <w:bookmarkEnd w:id="923"/>
      <w:r>
        <w:rPr/>
        <w:t>4</w:t>
      </w:r>
      <w:r>
        <w:rPr>
          <w:rtl w:val="true"/>
        </w:rPr>
        <w:t xml:space="preserve">. </w:t>
      </w:r>
      <w:r>
        <w:rPr>
          <w:rtl w:val="true"/>
        </w:rPr>
        <w:t>الدسّ والتزوير في الروايات</w:t>
      </w:r>
      <w:bookmarkEnd w:id="924"/>
    </w:p>
    <w:p>
      <w:pPr>
        <w:pStyle w:val="BookText"/>
        <w:rPr/>
      </w:pPr>
      <w:r>
        <w:rPr>
          <w:rFonts w:ascii="Amiri" w:hAnsi="Amiri" w:eastAsia="Amiri" w:cs="Amiri"/>
          <w:color w:val="111111"/>
          <w:sz w:val="28"/>
          <w:sz w:val="28"/>
          <w:szCs w:val="28"/>
          <w:rtl w:val="true"/>
          <w:lang w:bidi="ar-SA"/>
        </w:rPr>
        <w:t xml:space="preserve">كان بين أصحاب الأئمّة رجال غالوا في مقامات الأنبياء والأئمة عليهم السلام وبذلك وُصِفُوا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عند الأئمّة شرّ الناس، فمنهم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سعيد، وأبو زينب الأسدي المعروف بأبي الخطاب تارة و أبي الذبيان أُخرى، وإليه تُنسب الفرقة الخطّابية، فقد دسَّ هؤلاء روايات منكرة في كتب أصحاب أبي جعفر الباقر عليه السلام وأبي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الحكم عن أبي عبد اللّه عليه السلام انّه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ويأخذ كتب أصحابه، وكان أصحابه المستترون بأصحاب أبي، يأخذون الكتب من أصحاب أبي فيدفعونها إلى المغيرة، فكان يدسّ فيها الكفر والزندقة ويُسندها إلى أبي ثمّ يدفعها إلى أصحابه فيأمرهم أن يبثُّوها في الشيعة، فكلّما كان في كتب أصحاب أبي من الغلوّ فذاك ممّا دسّه المغيرة بن سعيد في كتبهم</w:t>
      </w:r>
      <w:r>
        <w:rPr>
          <w:rFonts w:eastAsia="Amiri" w:cs="Amiri" w:ascii="Amiri" w:hAnsi="Amiri"/>
          <w:color w:val="111111"/>
          <w:sz w:val="28"/>
          <w:szCs w:val="28"/>
          <w:rtl w:val="true"/>
          <w:lang w:bidi="ar-SA"/>
        </w:rPr>
        <w:t>».</w:t>
      </w:r>
      <w:r>
        <w:rPr>
          <w:rStyle w:val="FootnoteAnchor"/>
          <w:rtl w:val="true"/>
        </w:rPr>
        <w:footnoteReference w:id="361"/>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الكشي عن يونس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وافيت العراق فوجدت بها قطعة من أصحاب أبي جعفر عليه السلام ووجدت أصحاب أبي عبد اللّه عليه السلام متوافرين، فسمعت منهم وأخذت كتبهم فعرضتها من بعدُ على أبي الحسن الرضا عليه السلام فأنكر منها أحاديث كثيرة أن تكون من أحاديث أبي عبد اللّه عليه السلام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أبا الخطاب كذّب على أبي عبد اللّه عليه السلام، لعن اللّه أبا الخطاب، وكذلك أصحاب أبي الخطاب يدسّون هذه الأحاديث إلى يومنا هذا في كتب أصحاب أبي عبد اللّه عليه السلام، فلا تقبلوا علينا خلاف القرآن، فانّا إن تحدثنا، حدَّثنا بموافقة </w:t>
      </w:r>
      <w:bookmarkStart w:id="925" w:name="pg14367_157446"/>
    </w:p>
    <w:p>
      <w:pPr>
        <w:pStyle w:val="BookText"/>
        <w:rPr/>
      </w:pPr>
      <w:bookmarkEnd w:id="925"/>
      <w:r>
        <w:rPr>
          <w:rFonts w:ascii="Amiri" w:hAnsi="Amiri" w:eastAsia="Amiri" w:cs="Amiri"/>
          <w:color w:val="111111"/>
          <w:sz w:val="28"/>
          <w:sz w:val="28"/>
          <w:szCs w:val="28"/>
          <w:rtl w:val="true"/>
          <w:lang w:bidi="ar-SA"/>
        </w:rPr>
        <w:t>القرآن وموافقة السنّة</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ثمّ إنّ الدس والتزوير لم ينحصر بهذين الرجلين، بل جاء بعدهما جماعة لهم دور في التزوير كفارس بن حاتم القزويني، والحسن بن محمد بن بابا، و محمد بن نُصَير النميري، و أبي طاهر محمد بن علي بن بلال، وأحمد بن هلال، والحسين بن منصور الحلاّج، و ابن أبي عذافر، و أبي دلف، و جمع كثير ممّن يتسمّى بالشيعة فإليهم تُسند المقالات الشنيعة من الغلو و الإباحات والتناسخ، وقد خرجت في لعنهم التوقيعات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الكشي أخبارهم</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7507538_3381743652"/>
      <w:bookmarkStart w:id="927" w:name="_Toc339"/>
      <w:bookmarkEnd w:id="926"/>
      <w:r>
        <w:rPr/>
        <w:t>5</w:t>
      </w:r>
      <w:r>
        <w:rPr>
          <w:rtl w:val="true"/>
        </w:rPr>
        <w:t xml:space="preserve">. </w:t>
      </w:r>
      <w:r>
        <w:rPr>
          <w:rtl w:val="true"/>
        </w:rPr>
        <w:t>النقل بالمعنى</w:t>
      </w:r>
      <w:bookmarkEnd w:id="927"/>
    </w:p>
    <w:p>
      <w:pPr>
        <w:pStyle w:val="BookText"/>
        <w:rPr/>
      </w:pPr>
      <w:r>
        <w:rPr>
          <w:rFonts w:ascii="Amiri" w:hAnsi="Amiri" w:eastAsia="Amiri" w:cs="Amiri"/>
          <w:color w:val="111111"/>
          <w:sz w:val="28"/>
          <w:sz w:val="28"/>
          <w:szCs w:val="28"/>
          <w:rtl w:val="true"/>
          <w:lang w:bidi="ar-SA"/>
        </w:rPr>
        <w:t>إنّ من أسباب الاختلاف عدم عناية الراوي بنقل كلام الإمام بنصِّه والاكتفاء بمعناه، فعند ذلك تطرق الاختلاف بين الأحاديث، إذ ربما كان نصّ الإمام عليه السلام مشتملاً على قرينة على المراد، حذفها الراوي باعتقاد انّها غير دخيلة في المعنى، وها هو منصور بن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تزوج امرأة وسمَّى لها صداقاً، ثمّمات عنها ولم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المهر كاملاً، ولها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رووا عنك انّ لها نصف المهر؟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يحفظون عنّي، إنّما ذلك للمطلّقة</w:t>
      </w:r>
      <w:r>
        <w:rPr>
          <w:rFonts w:eastAsia="Amiri" w:cs="Amiri" w:ascii="Amiri" w:hAnsi="Amiri"/>
          <w:color w:val="111111"/>
          <w:sz w:val="28"/>
          <w:szCs w:val="28"/>
          <w:rtl w:val="true"/>
          <w:lang w:bidi="ar-SA"/>
        </w:rPr>
        <w:t>».</w:t>
      </w:r>
      <w:r>
        <w:rPr>
          <w:rStyle w:val="FootnoteAnchor"/>
          <w:rtl w:val="true"/>
        </w:rPr>
        <w:footnoteReference w:id="363"/>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كان لفيف من الأصحاب ملتزمين بنقل التعبير بنصّه حيث كانوا يكتبون الحديث في مجلس السماع كما جاء في بعض روايات زرارة</w:t>
      </w:r>
      <w:r>
        <w:rPr>
          <w:rFonts w:eastAsia="Amiri" w:cs="Amiri" w:ascii="Amiri" w:hAnsi="Amiri"/>
          <w:color w:val="111111"/>
          <w:sz w:val="28"/>
          <w:szCs w:val="28"/>
          <w:rtl w:val="true"/>
          <w:lang w:bidi="ar-SA"/>
        </w:rPr>
        <w:t>.</w:t>
      </w:r>
      <w:r>
        <w:rPr>
          <w:rStyle w:val="FootnoteAnchor"/>
          <w:rtl w:val="true"/>
        </w:rPr>
        <w:footnoteReference w:id="364"/>
      </w:r>
      <w:bookmarkStart w:id="928" w:name="pg14367_157447"/>
    </w:p>
    <w:p>
      <w:pPr>
        <w:pStyle w:val="Heading4"/>
        <w:numPr>
          <w:ilvl w:val="3"/>
          <w:numId w:val="1"/>
        </w:numPr>
        <w:rPr/>
      </w:pPr>
      <w:bookmarkStart w:id="929" w:name="__RefHeading___Toc7507540_3381743652"/>
      <w:bookmarkStart w:id="930" w:name="_Toc340"/>
      <w:bookmarkEnd w:id="928"/>
      <w:bookmarkEnd w:id="929"/>
      <w:r>
        <w:rPr/>
        <w:t>6</w:t>
      </w:r>
      <w:r>
        <w:rPr>
          <w:rtl w:val="true"/>
        </w:rPr>
        <w:t xml:space="preserve">. </w:t>
      </w:r>
      <w:r>
        <w:rPr>
          <w:rtl w:val="true"/>
        </w:rPr>
        <w:t>عدم إتقان اللغة العربية</w:t>
      </w:r>
      <w:bookmarkEnd w:id="930"/>
    </w:p>
    <w:p>
      <w:pPr>
        <w:pStyle w:val="BookText"/>
        <w:rPr/>
      </w:pPr>
      <w:r>
        <w:rPr>
          <w:rFonts w:ascii="Amiri" w:hAnsi="Amiri" w:eastAsia="Amiri" w:cs="Amiri"/>
          <w:color w:val="111111"/>
          <w:sz w:val="28"/>
          <w:sz w:val="28"/>
          <w:szCs w:val="28"/>
          <w:rtl w:val="true"/>
          <w:lang w:bidi="ar-SA"/>
        </w:rPr>
        <w:t>إنّ من أسباب الاختلاف عدم إتقان اللغة العربية من قبل بعض الرواة غير العرب كعمّار بن موسى الساباطي، فهو فطحي ثقة، لكنّه من الموالي غير العرب، ولذلك نجد اضطراباً ملحوظاً في أغلب ما رواه، ولذلك قال الشيخ في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يعمل بمتفردات عمّار</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على أنّ عدة من الرواة لم يكن همّهم نقلَ الحديث ودراستَه ومذاكرتَه، وإنّما سألوا عن أشياء وأُجيبوا فنقلوه إلى الآخرين، وهذا كصفوان الجمّال الذي يرجع أكثر رواياته إلى السؤال عن أحكام السفر ولم يكن له همّ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الصنف من الرواة يختلف أحوالهم مع من كان مولعاً بتعلّم الحديث ونقله وضبطه، كزرارة ومحمد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 فأجابه الإمام بما يزيل عنه هذه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بيت حُجَّ إليه قبل آدم بألفي عام تريد أن تُفنى مسائله في أربعين عاماً</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فرق بين راو اناخ مطيّته عند عتبة أئمّة أهل البيت أربعين سنة لأخذ الحديث، وراوٍ يسأل الأئمّة طول عمره مرّّة أو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بمكان انّ روايات الراوي الأوّل أتقن بكثير من الراوي الثاني</w:t>
      </w:r>
      <w:r>
        <w:rPr>
          <w:rFonts w:eastAsia="Amiri" w:cs="Amiri" w:ascii="Amiri" w:hAnsi="Amiri"/>
          <w:color w:val="111111"/>
          <w:sz w:val="28"/>
          <w:szCs w:val="28"/>
          <w:rtl w:val="true"/>
          <w:lang w:bidi="ar-SA"/>
        </w:rPr>
        <w:t xml:space="preserve">. </w:t>
      </w:r>
      <w:bookmarkStart w:id="931" w:name="pg14367_157448"/>
    </w:p>
    <w:p>
      <w:pPr>
        <w:pStyle w:val="Heading4"/>
        <w:numPr>
          <w:ilvl w:val="3"/>
          <w:numId w:val="1"/>
        </w:numPr>
        <w:rPr/>
      </w:pPr>
      <w:bookmarkStart w:id="932" w:name="__RefHeading___Toc7507542_3381743652"/>
      <w:bookmarkStart w:id="933" w:name="_Toc341"/>
      <w:bookmarkEnd w:id="931"/>
      <w:bookmarkEnd w:id="932"/>
      <w:r>
        <w:rPr/>
        <w:t>7</w:t>
      </w:r>
      <w:r>
        <w:rPr>
          <w:rtl w:val="true"/>
        </w:rPr>
        <w:t xml:space="preserve">. </w:t>
      </w:r>
      <w:r>
        <w:rPr>
          <w:rtl w:val="true"/>
        </w:rPr>
        <w:t>التقية</w:t>
      </w:r>
      <w:bookmarkEnd w:id="933"/>
    </w:p>
    <w:p>
      <w:pPr>
        <w:pStyle w:val="Heading5"/>
        <w:numPr>
          <w:ilvl w:val="4"/>
          <w:numId w:val="1"/>
        </w:numPr>
        <w:rPr/>
      </w:pPr>
      <w:bookmarkStart w:id="934" w:name="__RefHeading___Toc7507544_3381743652"/>
      <w:bookmarkStart w:id="935" w:name="_Toc342"/>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إنّ من أحد الأسباب لطروء الاختلاف في الأخبار المروية عنهم هو إفتاء أئمّة أهل البيت عليهم السلام على خلاف مذهبهم تقيّة من السلطان أوّلاً، والقضاة الذين كان بيدهم الأُمور ثانياً، وحفظ نفوس شيعتهم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والثاني فواضحان، إنّما الكلام في الثالث وهو انّ الإفتاء على خلاف مذهبهم كان سبباً لحفظ الشيعة، فبيانه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عليهم السلام لو كانوا مفتين على وفق مذهبهم دائماً كان ذلك سبباً لانتشار مذهبهم بين الشيعة وعملهم على فُتياهم، ولأضحى ذلك سمة مميّزة لهم وبالتالي مُثيراً لحفيظة الآخرين عليهم، تعقبها مضاعفات أُخرى 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 في التهذيب في الصحيح عن سالم بن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إنسان وأنا حاضر،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دخلت المسجد وبعض أصحابنا يصلُّون العصر، وبعضهم يصلُّون الظهر؟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أمرتهم بهذا لو صلُّوا على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ولأجل هذه الدواعي المختلفة كان أئمّة الشيعة تتقي بين الحين والآخر، وبذلك اختلفت الأخبار المأثورة عنهم، بما انّ بعضها إفتاء وفق الواقع، والآخر إفتاء وفق مذهب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إفتاء الأئمّة عليهم السلام على وفق التقية كان أمراً ذائعاً، ويدلّ على ذلك أُمور نذكر منها ما يلي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الشيعة كانوا يكاتبون أئمتهم ويطلبون منهم الإفتاء وفق </w:t>
      </w:r>
    </w:p>
    <w:p>
      <w:pPr>
        <w:pStyle w:val="BookText"/>
        <w:rPr/>
      </w:pPr>
      <w:r>
        <w:rPr>
          <w:rFonts w:ascii="Amiri" w:hAnsi="Amiri" w:eastAsia="Amiri" w:cs="Amiri"/>
          <w:color w:val="111111"/>
          <w:sz w:val="28"/>
          <w:sz w:val="28"/>
          <w:szCs w:val="28"/>
          <w:rtl w:val="true"/>
          <w:lang w:bidi="ar-SA"/>
        </w:rPr>
        <w:t>الواقع لا وفق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يحيى بن أبي عمران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الثاني عليه السلام في السنجاب والفنك والخز،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أحب أن لا تجيبني بالتقية في ذلك؟ فكتب بخطه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فيها</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أصحاب الأئمّة الذين كانوا بطانة لعلومهم ومذاهبهم، كانوا يميّزون الحكم الصادر عن تقيّة والصادر لا عن تقيّة، فإذا روى شخص عن الأئمة حديثاًوكان على وجه التقية، يخاطبونه بقولهم أعطاك من جراب النورة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لا على نحو التقيّة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أعطاك من عين صافية</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ثمّ إنّ الإفتاء على وفق التقية كان يتناسب مع حجم الأخطار المحدقة، فإذا كان الخطر دائماً بالنسبة إلى شخص، يفتيه الإمام على وفق التقية من دون أن يحدّد ظرف العمل به، وإذاكان الخطر مؤقتاً ومقطعيّاً يفتيه على وجه مؤقت ثمّ يرشده إلى من يهديه إلى الحكم الواقعي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سعد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نازل في قوم بني عديّ ومؤذِّنهم وإمامهم وجميع أهل المسجد عثمانيّة يبرأون منكم و من شيعتكم، وأنا نازل فيهم فما ترى في الصلاة خلف الإمام؟ فقال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خلفه واحتسب بما تسمع، ولو قدمت البصرة لقد سألك الفضيل بن يسار وأخبرته بما أفتيتك فتأخذ بقول الفضيل وتدع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البصرة فأخبرت فضيلاً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بما قال، ولكنّي قد سمعته وسمعت أباه </w:t>
      </w:r>
    </w:p>
    <w:p>
      <w:pPr>
        <w:pStyle w:val="BookText"/>
        <w:rPr/>
      </w:pP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لاتعتدّ بالصلاة خلف الناصبيّ واقرأ لنفسك كأنّك وحدك</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فمن أراد أن يقف على الدور الذي لعبته التقية في طروء الاختلاف على الأخبار المروية عنهم فليرجع إلى كتاب الحدائق الناضرة، قسم المقدمة، فانّه قد بلغ الغاية في ذلك</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هذه هي الأسباب الموجبة لطروء الاختلاف في الأخبار المروية عن الأئمّة عليهم السلام، ولعل هناك أسباباً أُخرى لم نقف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الثمانية فاعلم انّ الكلام في مبحث تعارض الأدلة يدور حول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البدوي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الأمر الأوّل هو التعارض الذي يتبادر إلى الذهن قبل الإمعان في القرائن الحافَّة بالخبرين ولكنّه بعد الإمعان يظهر عدم وجود الاختلاف بينها وذلك بتحكيم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الثاني هو التنافي المستمر الذي لا يزول مع الإمعان في الخبرين أو الأُمور الخارجة عنهما بل يبقى التنافي بحاله</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القسم الأوّل تقديم الخاص على العام، والمقيد على المطلق، والوارد على المورود، والحاكم على المحكوم والعناوين الثانوية على العناوين الأوّلية، ولذلك لا نعد هذه الأُمور من المتعارضين اللذين يرجع فيهما إلى المرجحات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يقع البحث في الصغرى بأنّ أيّاً من الدليلين أظهر من الآخر، وسيوافيك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الثاني فهو ما يكون التنافي سائداً دائماً من دون أن تكون بينها الأظهرية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فعلينا أن نبحث في المقام الأوّل ثمّ نعرج إلى المقام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المقدمات التي ينبغي الوقوف عليها قبل الدخول في صلب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فاعلم أنّ الكلام يقع في فصلين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التعارض البدويّ غير المستقرّ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التعارض المستمرّ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الكلام فيهما واحداً بعد الآخر</w:t>
      </w:r>
      <w:r>
        <w:rPr>
          <w:rFonts w:eastAsia="Amiri" w:cs="Amiri" w:ascii="Amiri" w:hAnsi="Amiri"/>
          <w:color w:val="111111"/>
          <w:sz w:val="28"/>
          <w:szCs w:val="28"/>
          <w:rtl w:val="true"/>
          <w:lang w:bidi="ar-SA"/>
        </w:rPr>
        <w:t xml:space="preserve">. </w:t>
      </w:r>
      <w:bookmarkStart w:id="936" w:name="pg14367_157452"/>
    </w:p>
    <w:p>
      <w:pPr>
        <w:pStyle w:val="Heading5"/>
        <w:numPr>
          <w:ilvl w:val="4"/>
          <w:numId w:val="1"/>
        </w:numPr>
        <w:rPr/>
      </w:pPr>
      <w:bookmarkStart w:id="937" w:name="__RefHeading___Toc7507546_3381743652"/>
      <w:bookmarkStart w:id="938" w:name="_Toc343"/>
      <w:bookmarkEnd w:id="936"/>
      <w:bookmarkEnd w:id="937"/>
      <w:r>
        <w:rPr>
          <w:rtl w:val="true"/>
        </w:rPr>
        <w:t>الفصل الأوّل في التعارض البدوي غير المستقر</w:t>
      </w:r>
      <w:bookmarkEnd w:id="938"/>
    </w:p>
    <w:p>
      <w:pPr>
        <w:pStyle w:val="Heading6"/>
        <w:numPr>
          <w:ilvl w:val="5"/>
          <w:numId w:val="1"/>
        </w:numPr>
        <w:rPr/>
      </w:pPr>
      <w:bookmarkStart w:id="939" w:name="__RefHeading___Toc7507548_3381743652"/>
      <w:bookmarkStart w:id="940" w:name="_Toc344"/>
      <w:bookmarkEnd w:id="939"/>
      <w:r>
        <w:rPr>
          <w:rtl w:val="true"/>
        </w:rPr>
        <w:t>اشارة</w:t>
      </w:r>
      <w:bookmarkEnd w:id="940"/>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6"/>
        <w:numPr>
          <w:ilvl w:val="5"/>
          <w:numId w:val="1"/>
        </w:numPr>
        <w:rPr/>
      </w:pPr>
      <w:bookmarkStart w:id="941" w:name="__RefHeading___Toc7507550_3381743652"/>
      <w:bookmarkStart w:id="942" w:name="_Toc345"/>
      <w:bookmarkEnd w:id="941"/>
      <w:r>
        <w:rPr>
          <w:rtl w:val="true"/>
        </w:rPr>
        <w:t>الأوّل</w:t>
      </w:r>
      <w:r>
        <w:rPr>
          <w:rtl w:val="true"/>
        </w:rPr>
        <w:t xml:space="preserve">: </w:t>
      </w:r>
      <w:r>
        <w:rPr>
          <w:rtl w:val="true"/>
        </w:rPr>
        <w:t xml:space="preserve">في قاعدة </w:t>
      </w:r>
      <w:r>
        <w:rPr>
          <w:rtl w:val="true"/>
        </w:rPr>
        <w:t>«</w:t>
      </w:r>
      <w:r>
        <w:rPr>
          <w:rtl w:val="true"/>
        </w:rPr>
        <w:t>الجمع مهما أمكن أولى من الطرح</w:t>
      </w:r>
      <w:r>
        <w:rPr>
          <w:rtl w:val="true"/>
        </w:rPr>
        <w:t>»</w:t>
      </w:r>
      <w:bookmarkEnd w:id="942"/>
    </w:p>
    <w:p>
      <w:pPr>
        <w:pStyle w:val="BookText"/>
        <w:rPr/>
      </w:pPr>
      <w:r>
        <w:rPr>
          <w:rFonts w:ascii="Amiri" w:hAnsi="Amiri" w:eastAsia="Amiri" w:cs="Amiri"/>
          <w:color w:val="111111"/>
          <w:sz w:val="28"/>
          <w:sz w:val="28"/>
          <w:szCs w:val="28"/>
          <w:rtl w:val="true"/>
          <w:lang w:bidi="ar-SA"/>
        </w:rPr>
        <w:t>قد اشتهرعلى الألسن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والأساس لهذه القاعدة هو ابن أبي جمهور الأحسائي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نقله الشيخ الأعظم عنه في فرائده، و استدل عليها بأنّ المتعارضين يجب الجمع بينهما مهما أمكن، وإلّا يلزم طرح كليهما أو طرح أحدهما والأوّل خلاف الأصل، والآخر يستلزم الترجيح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صياغة الدليل في قالب القياس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المتعارضان دليلان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والدليلان يجب إعمالهما، لا طرحهما ولا طرح أحدهما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المتعارضان يجب إعمالهما لا طرحهما ولا طرح أحدهما</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كلية الكبرى، وهو انّه يجب إعمال كلا الدليلين، وذلك لخروج الخبرين المختلفين عن تحت القاعدة حسب الروايات المتضافرة، حيث إنّهم عليهم السلام حكموا في الخبرين المختلفين على خلاف الإعمال بل الأخذ بأحدهما دون الآخر، ولو تمَّت تلك الضابطة بصورتها الكلية، يلزم طرح الروايات العلاجية </w:t>
      </w:r>
    </w:p>
    <w:p>
      <w:pPr>
        <w:pStyle w:val="BookText"/>
        <w:rPr/>
      </w:pPr>
      <w:r>
        <w:rPr>
          <w:rFonts w:ascii="Amiri" w:hAnsi="Amiri" w:eastAsia="Amiri" w:cs="Amiri"/>
          <w:color w:val="111111"/>
          <w:sz w:val="28"/>
          <w:sz w:val="28"/>
          <w:szCs w:val="28"/>
          <w:rtl w:val="true"/>
          <w:lang w:bidi="ar-SA"/>
        </w:rPr>
        <w:t>المتضافرة التي ستمرّعليك في المقام الثاني أعني التعارض المستمرّ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فتكون الضابطة مختصّة بغير موارد الخبرين المختلفين اللّذين يكون المخاطب متحيّراً في صدورهما من متكلّم واحد، وراجعة إلى ما إذا كان لرفع الاختلاف بين الخبرين شاهد في نفس الخبرين أو الخارج عنهما، ففي ذلك المقام يكون المورد من مصاديق قاعدة الجمع دون الطرح، كما إذا كان دور أحد الخبرين إلى الآخر، هو التخصيص والتقييد، أو الحكومة أو الورود، فيكون في نفس الخبرين قرينة عرفية في التصرّف في العام والمطلق، والمحكوم والمورود، على نحو لا يتحيّر العرف الدقيق في الجمع بينهما وتعيين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يتحيّر العرف الساذج بين العام والخاص أو المطلق والمقيّد، ويراهما مختلفين، لكن العرف الدقيق الذي هو المخاطب في تلك المقامات، يراهما غير مختلفين لأنّه جرت السيرة على القاء العام والمطلق وإرادة الخاص والمقيّد منهما في بيئة التقنين والتشريع، ولذلك عبرنا عن هذا القسم من التعارض، بالتعارض البدئي أو غير المستقرّ، فالعرف الساذج يتلقّاهما متعارضين والعرف الدقيق العارف بشؤون التقنين، يتلقّاهماغير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انّ الضابطة الماضية تامة في غير الموارد التي أمر أئمّة أهل البيت بالرجوع إلى المرجحات وطرح أحد الدليلين، ولو قلنا بها حتى في تلك الموارد يلزم طرح تلك الروايات التي تقطع بصدور بعضها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 ضابطتين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ضابطة الجمع العرفي بين الدليلين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ضابطة الترجيح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في الروايات إلى كلتا الضابطتين، أمّا الأُولى ففي روايات،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أفقه الناس إذا عرفتم معاني كلامنا، انّ الكلمة لتنصرف على وجوه فلو شاء انسان لصرف كلامه كيف شاء ولا يكذب</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الميثمي في حديث طويل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 السنّة نهي إعافة أو كراهة، ثمّكان في الخبر الآخر خلافه، فذلك رخصة فيما عافه رسول اللّه صلى الله عليه و آله و سلم وكرهه و لم يحرّمه، فذلك الذي يسع الأخذ بهما جميعاً وبأيّهما شئت وسعك الاختيار من باب التسليم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إلى غير ذلك من الروايات التي تصرّح بأنّ في الأخبار عاماً وخاصاً وناسخاً ومنسوخاً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فسيوافيك بيانه في المقام الثاني</w:t>
      </w:r>
      <w:r>
        <w:rPr>
          <w:rFonts w:eastAsia="Amiri" w:cs="Amiri" w:ascii="Amiri" w:hAnsi="Amiri"/>
          <w:color w:val="111111"/>
          <w:sz w:val="28"/>
          <w:szCs w:val="28"/>
          <w:rtl w:val="true"/>
          <w:lang w:bidi="ar-SA"/>
        </w:rPr>
        <w:t xml:space="preserve">. </w:t>
      </w:r>
      <w:bookmarkStart w:id="943" w:name="pg14367_157455"/>
    </w:p>
    <w:p>
      <w:pPr>
        <w:pStyle w:val="Heading6"/>
        <w:numPr>
          <w:ilvl w:val="5"/>
          <w:numId w:val="1"/>
        </w:numPr>
        <w:rPr/>
      </w:pPr>
      <w:bookmarkStart w:id="944" w:name="__RefHeading___Toc7507552_3381743652"/>
      <w:bookmarkStart w:id="945" w:name="_Toc346"/>
      <w:bookmarkEnd w:id="943"/>
      <w:bookmarkEnd w:id="944"/>
      <w:r>
        <w:rPr>
          <w:rtl w:val="true"/>
        </w:rPr>
        <w:t>المبحث الثاني في شرائط الجمع الدلالي</w:t>
      </w:r>
      <w:bookmarkEnd w:id="945"/>
    </w:p>
    <w:p>
      <w:pPr>
        <w:pStyle w:val="BookText"/>
        <w:rPr/>
      </w:pPr>
      <w:r>
        <w:rPr>
          <w:rFonts w:ascii="Amiri" w:hAnsi="Amiri" w:eastAsia="Amiri" w:cs="Amiri"/>
          <w:color w:val="111111"/>
          <w:sz w:val="28"/>
          <w:sz w:val="28"/>
          <w:szCs w:val="28"/>
          <w:rtl w:val="true"/>
          <w:lang w:bidi="ar-SA"/>
        </w:rPr>
        <w:t>يشترط في الجمع الدلالي المقدّم على الطرح بالترجيح عدة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أصل الصدور، فلو كان هناك علم إجمالي بكذب أحد الخبرين، فلا تصل النوبة إلى الجمع، لأنّ المراد من الجمع، هو الجمع بين الحجّتين، فإذا عُلم كذب أحدهما وعدم صدوره عن الحجّة فلا يكون هناك جمع بين الحجّتين، بل يعدّ جمعاً بين الحجة واللاحجّة وهو أمر باطل، ولذلك يجب أن لا يكون هناك علم بعدم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يضرّ احتمال عدمه إذا دلّ الدليل على حجّيته كما في قول الثقة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جهة الصدور وانّ المتكلّم ألقى خطابه بدافع بيان الحقيقة لا لدفع الشرّ والضرر ويكفي في إحرازه، كون الأصل عند العقلاء هو هذا، بخلاف ما إذا علم أنّ واحداً منهما صدر تقيّة فلا تصل النوبة إلى الجمع، لما عرفت من أنّ الغاية هو الجمع بين الحجّتين، وما صدر تقيّة ليس بحجّة بعد العلم بصدوره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كون الكلامين لمتكلم واحد امّا حقيقة أو اعتباراً، كما هو الحال في كلمات أئمّة أهل البيت عليهم السلام حيث إنّهم لا يصدرون إلّاعن مَشْرَع واحد، فكلام الإمام الباقر عليه السلام نفس كلام الإمام الصادق عليه السلام، لأنّ الجميع ينقلون عن آبائهم </w:t>
      </w:r>
    </w:p>
    <w:p>
      <w:pPr>
        <w:pStyle w:val="BookText"/>
        <w:rPr/>
      </w:pPr>
      <w:r>
        <w:rPr>
          <w:rFonts w:ascii="Amiri" w:hAnsi="Amiri" w:eastAsia="Amiri" w:cs="Amiri"/>
          <w:color w:val="111111"/>
          <w:sz w:val="28"/>
          <w:sz w:val="28"/>
          <w:szCs w:val="28"/>
          <w:rtl w:val="true"/>
          <w:lang w:bidi="ar-SA"/>
        </w:rPr>
        <w:t>عن النبي صلى الله عليه و آله و سلم عن جبرئيل عن اللّه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التعبّد بكلّ واحد من الدليلين بعد الجمع، وإلّا فلو اقتضى الجمع لغوية أحد الدليلين كما إذا انجرّ التخصيص إلى الخروج المستوعب لما عدّ محلاً للجمع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قرينة بين الدليلين أو في الخارج عنهما على التصرّف في أحدهما دون الآخر، وإلّا لا يكون الجمع مقبولاً، بل جمعاً تبرعياً لا قيمة له في سوق الاعتبار</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قام به الشيخ الطوسي في كتاب الاستبصار من الجمع بين ما اختلف من الأخبار، بين مقبول و غير مقبول، فالجمع القائم على وجود القرينة في البين على التصرّف في أحدهما المعين جمعُ مقبول في مقابل التصرّف في أحدهما بلا قرينة، فهو جمع مطرود، وقد خلط الشيخ الطوسي في كتابه بين الجمعين، كما يظهر ممّا ينقله صاحب الوسائل عنه</w:t>
      </w:r>
      <w:r>
        <w:rPr>
          <w:rFonts w:eastAsia="Amiri" w:cs="Amiri" w:ascii="Amiri" w:hAnsi="Amiri"/>
          <w:color w:val="111111"/>
          <w:sz w:val="28"/>
          <w:szCs w:val="28"/>
          <w:rtl w:val="true"/>
          <w:lang w:bidi="ar-SA"/>
        </w:rPr>
        <w:t xml:space="preserve">. </w:t>
      </w:r>
      <w:bookmarkStart w:id="946" w:name="pg14367_157457"/>
    </w:p>
    <w:p>
      <w:pPr>
        <w:pStyle w:val="Heading6"/>
        <w:numPr>
          <w:ilvl w:val="5"/>
          <w:numId w:val="1"/>
        </w:numPr>
        <w:rPr/>
      </w:pPr>
      <w:bookmarkStart w:id="947" w:name="__RefHeading___Toc7507554_3381743652"/>
      <w:bookmarkStart w:id="948" w:name="_Toc347"/>
      <w:bookmarkEnd w:id="946"/>
      <w:bookmarkEnd w:id="947"/>
      <w:r>
        <w:rPr>
          <w:rtl w:val="true"/>
        </w:rPr>
        <w:t>المبحث الثالث في تقديم الأظهر على الظاهر</w:t>
      </w:r>
      <w:bookmarkEnd w:id="948"/>
    </w:p>
    <w:p>
      <w:pPr>
        <w:pStyle w:val="BookText"/>
        <w:rPr/>
      </w:pPr>
      <w:r>
        <w:rPr>
          <w:rFonts w:ascii="Amiri" w:hAnsi="Amiri" w:eastAsia="Amiri" w:cs="Amiri"/>
          <w:color w:val="111111"/>
          <w:sz w:val="28"/>
          <w:sz w:val="28"/>
          <w:szCs w:val="28"/>
          <w:rtl w:val="true"/>
          <w:lang w:bidi="ar-SA"/>
        </w:rPr>
        <w:t>قد عرفت أنّ من الجمع المقبول هو تقديم الأظهر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الأظهرية ربما تكون واضحة لدى الكل، وذلك كما هو الحال في الموارد الخمسة من تقديم الخاص على العام، والمقيّد على المطلق، والحاكم على المحكوم، والوارد على المورود، و العناوين الثانوية على العناوين الأوّلية، وربما تكون الأظهرية خفيّة ومورداً للنقاش، وذلك كالموارد الستة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تخصيص العام وتقييد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التصرّف في الإطلاق البدلي أو الشمولي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التخصيص والنسخ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لأحد الدليلين قدر متيقّن دون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التخصيص في أحد الدليلين مستهجناً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دار الأمر بين التقييد و حمل الأمر على الاستحباب</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فالبحث في هذه الموارد صغروي، أي‌لتمييز الأظهر عن الظاهر، وإلّا فالكبرى أمر مسلّم وهو لزوم تقديم الأظهر على الظاهر، فإليك الكلام فيها واحداً تلو الآخر</w:t>
      </w:r>
      <w:r>
        <w:rPr>
          <w:rFonts w:eastAsia="Amiri" w:cs="Amiri" w:ascii="Amiri" w:hAnsi="Amiri"/>
          <w:color w:val="111111"/>
          <w:sz w:val="28"/>
          <w:szCs w:val="28"/>
          <w:rtl w:val="true"/>
          <w:lang w:bidi="ar-SA"/>
        </w:rPr>
        <w:t xml:space="preserve">: </w:t>
      </w:r>
      <w:bookmarkStart w:id="949" w:name="pg14367_157458"/>
    </w:p>
    <w:p>
      <w:pPr>
        <w:pStyle w:val="Heading6"/>
        <w:numPr>
          <w:ilvl w:val="5"/>
          <w:numId w:val="1"/>
        </w:numPr>
        <w:rPr/>
      </w:pPr>
      <w:bookmarkStart w:id="950" w:name="__RefHeading___Toc7507556_3381743652"/>
      <w:bookmarkStart w:id="951" w:name="_Toc348"/>
      <w:bookmarkEnd w:id="949"/>
      <w:bookmarkEnd w:id="950"/>
      <w:r>
        <w:rPr>
          <w:rtl w:val="true"/>
        </w:rPr>
        <w:t>أ</w:t>
      </w:r>
      <w:r>
        <w:rPr>
          <w:rtl w:val="true"/>
        </w:rPr>
        <w:t xml:space="preserve">. </w:t>
      </w:r>
      <w:r>
        <w:rPr>
          <w:rtl w:val="true"/>
        </w:rPr>
        <w:t>إذا دار الأمر بين تخصيص العام وتقييد المطلق</w:t>
      </w:r>
      <w:bookmarkEnd w:id="951"/>
    </w:p>
    <w:p>
      <w:pPr>
        <w:pStyle w:val="BookText"/>
        <w:rPr/>
      </w:pP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الفاسق، فدار أمر العالم الفاسق بين دخوله تحت الحكم الأوّل أو الثاني، فعلى تقديم العام على المطلق يلزم التقييد في جانب الثاني، فيكون المراد لا تكرم الفاسق غير العالم، وعلى العكس يلزم التخصيص في العموم، فهل يقدّم تقييد المطلق على تخصيص العام أو لا؟</w:t>
      </w:r>
    </w:p>
    <w:p>
      <w:pPr>
        <w:pStyle w:val="BookText"/>
        <w:rPr/>
      </w:pPr>
      <w:r>
        <w:rPr>
          <w:rFonts w:ascii="Amiri" w:hAnsi="Amiri" w:eastAsia="Amiri" w:cs="Amiri"/>
          <w:color w:val="111111"/>
          <w:sz w:val="28"/>
          <w:sz w:val="28"/>
          <w:szCs w:val="28"/>
          <w:rtl w:val="true"/>
          <w:lang w:bidi="ar-SA"/>
        </w:rPr>
        <w:t>فقد اختار الشيخ الأعظم تقديم العام على المطلق ولزوم التصرّف في الثاني دون الأوّل، وقال ما هذا توضيحه ببيانين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في باب المطلق انّه موضوع للماهية المهملة، لا الماهية المنتشرة، فلو قدّمنا العام على المطلق لا يلزم التصرّف في جانب المطلق، لأنّ الماهية المهملة تتحقّق في ضمن فردٍ ما، وهو الفاسق الجاهل، وهذا بخلاف ما لو قدمنا المطلق على العام، فالعام بما انّه يدل على الانتشار فإخراج صنف منه وهو العالم الفاسق يستلزم التصرّف في جانب العام ويجعله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التصرف في أيّ واحد من العام والخاص لا يستلزم المجازيّة، أمّا المطلق فلما بيّن من أنّه موضوع للماهية المهملة، فتقييده لا يخرجه عن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العام فلما مرّ في مبحث العام و الخاص من أنّ العام يستعمل بالإرادة الاستعمالية في معناه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إنّما يوجب التضييق في الإرادة الجدّية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وبكلمة موجزة، انّ كلاً من العام والمطلق مستعمل في معناه اللغوي، وإنّما يشار إلى التخصيص والتقييد بدليل آخر لا انّ العام أو المطلق مستعملان من أوّل الأمر في المخصَّص والمقيَّد، وعلى ذلك فلا فرق بين تقديم العام على المطلق، </w:t>
      </w:r>
    </w:p>
    <w:p>
      <w:pPr>
        <w:pStyle w:val="BookText"/>
        <w:rPr/>
      </w:pPr>
      <w:r>
        <w:rPr>
          <w:rFonts w:ascii="Amiri" w:hAnsi="Amiri" w:eastAsia="Amiri" w:cs="Amiri"/>
          <w:color w:val="111111"/>
          <w:sz w:val="28"/>
          <w:sz w:val="28"/>
          <w:szCs w:val="28"/>
          <w:rtl w:val="true"/>
          <w:lang w:bidi="ar-SA"/>
        </w:rPr>
        <w:t>أو بالعكس في عدم استلزام أي‌واحد منهما،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العام على الشيوع والانتشار تامة لقوامها باللفظ، والمخصِّص مانع عنها، فعلى ذلك فالمقتضي تام والشكّ في التخصيص شكّ في المانع والأصل عدمه، وهذا بخلاف المطلق فانّ عدم البيان جزء لتحقّق المطلق، فإذا شكّ في كون العام بياناً للمطلق فهو شكّ في وجود المقتضي وانّه هل هنا مطلق أو لا؟</w:t>
      </w:r>
    </w:p>
    <w:p>
      <w:pPr>
        <w:pStyle w:val="BookText"/>
        <w:rPr/>
      </w:pPr>
      <w:r>
        <w:rPr>
          <w:rFonts w:ascii="Amiri" w:hAnsi="Amiri" w:eastAsia="Amiri" w:cs="Amiri"/>
          <w:color w:val="111111"/>
          <w:sz w:val="28"/>
          <w:sz w:val="28"/>
          <w:szCs w:val="28"/>
          <w:rtl w:val="true"/>
          <w:lang w:bidi="ar-SA"/>
        </w:rPr>
        <w:t>فتكون النتيجة انّ المقتضي في جانب العام محرز وإنّما الشكّ في جانب المانع، وأمّا المطلق فالشكّ فيه في وجود المقتضي قبل أن يصل الشك إلى وجود المانع فيكون تقييد المطلق مقدّماً على تخصيص العام، فيحفظ العام و يُقيَّد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الخراساني بأنّ عدم البيان الذي هو جزء المقتضي في مقدمات الحكمة إنّما هو عدم البيان في مقام التخاطب لا إلى الأبد، والمقتضي بهذا المعنى محرز فيكون مرجع الشكّ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وجود المانع أي‌مانعيّة كلّ للآخر ولا مرجّح</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الدلالة الإطلاقية تتوقّف على عدم البيان المتصل لا على عدم البيان مطلقاً متصلاً كان أم منفصلاً، وإلّا يلزم عدم انعقاد الإطلاق إذا عثرنا على المقيّد في دليل منفصل، ولازم ذلك عدم جواز التمسّك في سائر الموارد بحجة انّ العثور على المقيّد المنفصل، أبطل الإطلاق</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اتضح أنّ عدم العثور على المقيد المتصل كاف في انعقاد الإطلاق </w:t>
      </w:r>
      <w:bookmarkStart w:id="952" w:name="pg14367_157460"/>
    </w:p>
    <w:p>
      <w:pPr>
        <w:pStyle w:val="BookText"/>
        <w:rPr/>
      </w:pPr>
      <w:bookmarkEnd w:id="952"/>
      <w:r>
        <w:rPr>
          <w:rFonts w:ascii="Amiri" w:hAnsi="Amiri" w:eastAsia="Amiri" w:cs="Amiri"/>
          <w:color w:val="111111"/>
          <w:sz w:val="28"/>
          <w:sz w:val="28"/>
          <w:szCs w:val="28"/>
          <w:rtl w:val="true"/>
          <w:lang w:bidi="ar-SA"/>
        </w:rPr>
        <w:t>وتحقّق المقتضي، فإذا شككنا في تقييد المطلق بالعام فهو شكّ في وجود المانع والمزاحم، وليس شكّاً في انعقاد الإطلاق، كما هو الحال أيضاً في العام إذا شككنا في وجود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يعلم انّ العام و المطلق يسيران جنباً إلى جنب، فالمقتضي في كلا الطرفين محرز وإنّما الشكّ في وجود المانع عن حجّية العام أو حجّية المطلق، وليس الشكّ راجعاً إلى تحقّق العام أو تحقّق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ذلك لا ترجيح لتقديم العام على المطلق ومثله العكس، إلّاأن يكون هناك ظهور عرفي في أحدهما أكثر من الظهور العرفي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اخترنا في بعض الدورات السابقة تقديم ظهور العام على ظهور المطلق ولكن عدلنا عنه في الدورة الثالثة بحجّة انّ الظهور لا يثبت بالبرهان والدليل وإنّما هو أمر وجداني، فلوكانت هناك قوّة الدلالة في أحدهما يقدّم دون الآخر، وإلّا فالأمران متساويان</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7507558_3381743652"/>
      <w:bookmarkStart w:id="954" w:name="_Toc349"/>
      <w:bookmarkEnd w:id="953"/>
      <w:r>
        <w:rPr>
          <w:rtl w:val="true"/>
        </w:rPr>
        <w:t>ب</w:t>
      </w:r>
      <w:r>
        <w:rPr>
          <w:rtl w:val="true"/>
        </w:rPr>
        <w:t xml:space="preserve">. </w:t>
      </w:r>
      <w:r>
        <w:rPr>
          <w:rtl w:val="true"/>
        </w:rPr>
        <w:t>دوران الأمر بين التصرّف في الإطلاق الشمولي أو البدلي</w:t>
      </w:r>
      <w:bookmarkEnd w:id="954"/>
    </w:p>
    <w:p>
      <w:pPr>
        <w:pStyle w:val="BookText"/>
        <w:rPr/>
      </w:pPr>
      <w:r>
        <w:rPr>
          <w:rFonts w:ascii="Amiri" w:hAnsi="Amiri" w:eastAsia="Amiri" w:cs="Amiri"/>
          <w:color w:val="111111"/>
          <w:sz w:val="28"/>
          <w:sz w:val="28"/>
          <w:szCs w:val="28"/>
          <w:rtl w:val="true"/>
          <w:lang w:bidi="ar-SA"/>
        </w:rPr>
        <w:t>هذا هو المورد الثاني الذي يرجع البحث فيه إلى البحث عن الصغرى، أي‌وجود قوّة الدلالة في أحدهما دون الآخر، فإذا قال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الفاسق، فهو بإطلاقه الشمولي ينفي إكرام كلّ فرد من أفراد الفاسق من غير فرق بين الجاهل والعالم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فهو بإطلاقه البدلي يُلزم إكرام واحد من أفراد العلماء على البدل، من دون فرق بين كون ذلك الفرد عادلاً أو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الفاسق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ذهب المحقّق النائيني إلى تقديم الإطلاق الشمولي على البدلي وحفظ الأوّل، والتصرّف في الثاني فتكون النتيجة حرمة إكرام الفاسق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كلّ من المقررين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 و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أُستاذهما وجهاً خاصّاً، فلنقدم ما نقله المحقّق الخوئي عنه،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 الإطلاق الشمولي يتعدد بتعدّد الأفراد، لثبوت الحكم لجميع الأفراد على الفرض، المعبّر عنه بتعلّق الحكم بالطبيعة السارية، فينحلّ الحكم إلى الأحكام المتعدّدة على حسب تعدّد الأفراد، بخلاف الإطلاق البدلي فانّ الحكم فيه واحد متعلّق بالطبيعة المعبّر عنه بتعلّق الحكم بصرف الوجود، غاية الأمر أنّه يصحّ للمكلّف في مقام الامتثال، تطبيق الطبيعة في ضمن أيِّ فرد شاء وهو معنى الإطلاق البدلي، فتقديم الإطلاق البدلي يوجب رفع اليد عن الحكم في الإطلاق الشمولي بالنسبة إلى بعض الأفراد، بخلاف تقديم الإطلاق الشمولي، فانّه لا يوجب رفع اليد عن الحكم في الإطلاق البدلي إذ لا تعدّد فيه بل يوجب تضييق دائرته، فتقديم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الآخر في مورد الاجتماع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رفع اليد عن الحكم في الإطلاق الشمولي بالنسبة إلى هذا الفرد، بخلاف العكس فانّه لا يوجب رفع اليد عن الحكم المذكور في الإطلاق البدلي بالنسبة إلى المجمع، لأنّه ليس فيه إلّا حكم واحد، غاية الأمر أنّه يوجب تضييق دائرته، فيجب على المكلّف في مقام الامتثال تطبيق الطبيعة بالعالم غير الفاسق</w:t>
      </w:r>
      <w:r>
        <w:rPr>
          <w:rFonts w:eastAsia="Amiri" w:cs="Amiri" w:ascii="Amiri" w:hAnsi="Amiri"/>
          <w:color w:val="111111"/>
          <w:sz w:val="28"/>
          <w:szCs w:val="28"/>
          <w:rtl w:val="true"/>
          <w:lang w:bidi="ar-SA"/>
        </w:rPr>
        <w:t>.</w:t>
      </w:r>
      <w:r>
        <w:rPr>
          <w:rStyle w:val="FootnoteAnchor"/>
          <w:rtl w:val="true"/>
        </w:rPr>
        <w:footnoteReference w:id="37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خلط الإطلاق الشمولي بالعام، فإنّ العام يدلّ بالدلالة اللفظية على الشمول فيسري الحكم إلى جميع الأفراد،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حيث يتّخذ عنوان العام مرآة إلى المصاديق فيسري إلى المعنون </w:t>
      </w:r>
    </w:p>
    <w:p>
      <w:pPr>
        <w:pStyle w:val="BookText"/>
        <w:rPr/>
      </w:pPr>
      <w:r>
        <w:rPr>
          <w:rFonts w:ascii="Amiri" w:hAnsi="Amiri" w:eastAsia="Amiri" w:cs="Amiri"/>
          <w:color w:val="111111"/>
          <w:sz w:val="28"/>
          <w:sz w:val="28"/>
          <w:szCs w:val="28"/>
          <w:rtl w:val="true"/>
          <w:lang w:bidi="ar-SA"/>
        </w:rPr>
        <w:t>بحجّة انّ العنوان مرآة إلى الخارج، فيكون كلّ واحد من أفراد العام ذا حكم خاص، فلو ورد عليه قيد يستلزم رفع اليد عن الحكم عن بعض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الإطلاق الشمولي، فالشمول ليس مدلول اللفظ، لما قلنا في محلّه انّ الإطلاق عبارة عن كون ما وقع تحت دائرة الطلب تمام الموضوع، فمعنى الإطلاق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تمام الموضوع للتحريم هو عنوان الفاسق، وأمّا انّ الحكم سارٍ إلى كلّ واحد من أفراده فليس اللفظ دالاً عليه، وإنّما يدل عليه العقل حيث إنّ رفع الطبيعة إنّما هي برفع جميع أفرادها، فيكون رفع جميع الأفراد مدلولاً عقلياً للجملة لا مدلولاً لفظياً، كما هو الحال أيضاً في العام البدلي،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فمعنى الإطلاق كون ما وقع تحت دائرة الطلب تمام الموضوع، وأمّا الاقتصار بفرد ما الذي نعبّر عنه بالإطلاق البدلي فإنّما هو بحكم العقل الحاكم بأنّ الطبيعة توجد بإيجاد فردٍ ما، وعلى ذلك فالشمول والبدل خارجان عن المضمون، ومدلولان للعقل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لتقديم أحدهما على الآخر، إذ ليس أحدهما مستنداً إلى اللفظ والآخر مستنداً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سلب الحكم عن بعض الأفراد موجود في كلا التصرّفين، غير انّ الحكم في الإطلاق الشمولي على نحو الجمع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هذا الفاسق وذاك الفاسق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الحكم في الإطلاق البدلي على نحو الترديد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هذا العالم أو ذاك العالم أو ذلك العالم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أنّ في تقديم الثاني على الإطلاق الشمولي رفع الحكم عن صنف من أفراد العام، فهكذا في تقديم الإطلاق الشمولي على الإطلاق البدلي سحب الحكم عن بعض الأفراد المحكومة بالحكم على وجه التخيير، فالمدلول قبل التقييد هو أكرم ذلك العالم الفاسق أو ذلك العالم العادل، وبعد التقييد بالإطلاق الشمولي </w:t>
      </w:r>
      <w:bookmarkStart w:id="955" w:name="pg14367_157463"/>
    </w:p>
    <w:p>
      <w:pPr>
        <w:pStyle w:val="BookText"/>
        <w:rPr/>
      </w:pPr>
      <w:bookmarkEnd w:id="955"/>
      <w:r>
        <w:rPr>
          <w:rFonts w:ascii="Amiri" w:hAnsi="Amiri" w:eastAsia="Amiri" w:cs="Amiri"/>
          <w:color w:val="111111"/>
          <w:sz w:val="28"/>
          <w:sz w:val="28"/>
          <w:szCs w:val="28"/>
          <w:rtl w:val="true"/>
          <w:lang w:bidi="ar-SA"/>
        </w:rPr>
        <w:t>ينتفي الحكم الموضوع على العالم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نقله المحقّق الخوئي عن أُستاذه، وإليك الكلام فيما نقله المحقّق الكاظمي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في الإطلاق الشمولي ينحل عقلاً حسب تعدّد الأفراد، ولا يتوقف شموله على كون جميع الأفراد متساوية،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أحداً، يكون كلّ من صدق عليه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محكوماً بحرمة القتل، وهذا بخلاف الإطلاق البدلي، فانّ الشمول فيه بمعنى الاجتزاء بكلّ فرد من الطبيعة، يتوقف على كون جميع الأفراد متساوية الأقدام، والإطلاق الشمولي الذي يدل على حرمة إكرام الفاسق مانع عن إحراز التساوي وانّ العالم الفاسق، كالعالم العادل في جواز الاجتزاء به في مقام الامتثال</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التساوي كما هو محرز في الإطلاق الشمولي، فهكذا محرز في الإطلاق البدلي بفضل مقدمات الحكمة، وذلك إذ لو لم يكن الأفراد متساوية لزم عليه التقييد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غير الفاسق، وفي سكوته عن القيد دلالة على كون جميع الأفراد فاسقاً كان أو عادلاً متساوية الاقدام أمام الحكم، وتصور انّ الإطلاق الشمولي بيان لعدم التساوي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هو أشبه بتكرار المدّعى فلو كان الإطلاق الشمولي بياناً على الإطلاق البدلي فليكن العكس أيضاً مثله</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7507560_3381743652"/>
      <w:bookmarkStart w:id="957" w:name="_Toc350"/>
      <w:bookmarkEnd w:id="956"/>
      <w:r>
        <w:rPr>
          <w:rtl w:val="true"/>
        </w:rPr>
        <w:t>ج</w:t>
      </w:r>
      <w:r>
        <w:rPr>
          <w:rtl w:val="true"/>
        </w:rPr>
        <w:t xml:space="preserve">. </w:t>
      </w:r>
      <w:r>
        <w:rPr>
          <w:rtl w:val="true"/>
        </w:rPr>
        <w:t>في دوران الأمر بين التخصيص والنسخ</w:t>
      </w:r>
      <w:bookmarkEnd w:id="957"/>
    </w:p>
    <w:p>
      <w:pPr>
        <w:pStyle w:val="BookText"/>
        <w:rPr/>
      </w:pPr>
      <w:r>
        <w:rPr>
          <w:rFonts w:ascii="Amiri" w:hAnsi="Amiri" w:eastAsia="Amiri" w:cs="Amiri"/>
          <w:color w:val="111111"/>
          <w:sz w:val="28"/>
          <w:sz w:val="28"/>
          <w:szCs w:val="28"/>
          <w:rtl w:val="true"/>
          <w:lang w:bidi="ar-SA"/>
        </w:rPr>
        <w:t>إنّ لدوران الأمر بين التخصيص والنسخ صورتين نتناولهما واحدة تلو الأُخرى</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دليل واحد بين كونه ناسخاً وتخصيصاً، كما إذا ورد العام في القرآن الكريم والخاص في لسان الباقرين عليهما السلام،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لَهُنَّ </w:t>
      </w:r>
    </w:p>
    <w:p>
      <w:pPr>
        <w:pStyle w:val="BookText"/>
        <w:rPr/>
      </w:pPr>
      <w:r>
        <w:rPr>
          <w:rFonts w:ascii="Amiri" w:hAnsi="Amiri" w:eastAsia="Amiri" w:cs="Amiri"/>
          <w:color w:val="111111"/>
          <w:sz w:val="28"/>
          <w:sz w:val="28"/>
          <w:szCs w:val="28"/>
          <w:rtl w:val="true"/>
          <w:lang w:bidi="ar-SA"/>
        </w:rPr>
        <w:t>اَلرُّبُعُ مِمّا تَرَكْتُمْ إِنْ لَمْ يَكُنْ لَكُمْ وَلَدٌ فَإِنْ كانَ لَكُمْ وَلَدٌ فَلَهُنَّ الثُّمُنُ مِمّا تَرَكْتُمْ</w:t>
      </w:r>
      <w:r>
        <w:rPr>
          <w:rFonts w:eastAsia="Amiri" w:cs="Amiri" w:ascii="Amiri" w:hAnsi="Amiri"/>
          <w:color w:val="111111"/>
          <w:sz w:val="28"/>
          <w:szCs w:val="28"/>
          <w:rtl w:val="true"/>
          <w:lang w:bidi="ar-SA"/>
        </w:rPr>
        <w:t>)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فالآية بعمومها تدل على أنّ الزوجة ترث ربع أو ثمن ما ترك الزوج، لكن ورد الخاص في لسان الإمامين من اختصاص الحبوة بالولد الأكبر أو حرمان الزوجة من الأراضي السكنيّة، فيحتمل أن يكون الخاص مخصِّصاً كما يحتمل أن يكون ناسخاً للعام بعد رحيل الرسول الأكرم صلى الله عليه و آله و سلم، فهناك احتمالات ذكرها الشيخ نذكرهما واحداً بعد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الخاص ناسخاً للعام لوجود شرط النسخ، لأنّ المفروض وروده بعد العمل بالعام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مخصصاً وانّه كان مقترناً بالعام ولكنّه خفي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المخاطبين كانوا محكومين بالعام ظاهراً، وقد أُريد منه الخصوص واقعاً، وبما انّ السنّة الإلهية جرت على بيان الأحكام تدريجاً فأُودعت المخصصات عند الأئمة ليبيّنوها عبر الزمان</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 بعيد جداً، لأنّه مبنيّ على إمكان نسخ الحكم بعد موت النبي صلى الله عليه و آله و سلم وانقطاع الوحي مع أنّ خبر السماء إلى الأرض انقطع بموت رسول اللّه صلى الله عليه و آله و سلم كما قال الإمام علي عليه السلام عند تجهيز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أنت و أُمّي يا رسول اللّه لقد انقطع بموتك ما لم ينقطع بموت غيرك من النبوة والإنباء وأخبار السماء</w:t>
      </w:r>
      <w:r>
        <w:rPr>
          <w:rFonts w:eastAsia="Amiri" w:cs="Amiri" w:ascii="Amiri" w:hAnsi="Amiri"/>
          <w:color w:val="111111"/>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ومعه كيف يُشرّع حكم بعد رحيله ويكون ناسخاً للعام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فهو أيضاً بعيد، لأنّ احتمال الاختفاء إنّما يتم في واحد أو اثنين </w:t>
      </w:r>
    </w:p>
    <w:p>
      <w:pPr>
        <w:pStyle w:val="BookText"/>
        <w:rPr/>
      </w:pPr>
      <w:r>
        <w:rPr>
          <w:rFonts w:ascii="Amiri" w:hAnsi="Amiri" w:eastAsia="Amiri" w:cs="Amiri"/>
          <w:color w:val="111111"/>
          <w:sz w:val="28"/>
          <w:sz w:val="28"/>
          <w:szCs w:val="28"/>
          <w:rtl w:val="true"/>
          <w:lang w:bidi="ar-SA"/>
        </w:rPr>
        <w:t>من المخصصات لا في المخصصات الكثيرة الهائلة الواردة على لسان أئمّة أهل البيت عليهم السلام، فكيف يمكن القول بصدورها عن النبي صلى الله عليه و آله و سلم وسماع الناس وغفلتهم عن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 فهو الأقرب إلى الذهن، والفرق بينه و بين الأوّل، هو انّ العمل بالعام على الوجه الأوّل بين فترة رحيل النبي صلى الله عليه و آله و سلم وبيان الإمام عليه السلام يكون عملاً بالحكم الواقعي، بخلافه على الوجه الثالث فانّ العمل بالعام كان عملاً بالحكم الظاهري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فائدة في البحث فسواء أكانت هذه الروايات مخصصات أو ناسخات فيجب العمل بها في هذه الفترات، وتصور انّ القول بالتخصيص يستلزم تأخير البيان إلى عصر الصادقين عليهما السلام مردود بأنّ قبحه ليس أمراً ذاتياً لا يتغيّر بل بالوجوه والاعتبارات بل ربما تكمن المصلحة في تأخير البيان، إذ لم يكن الرسول صلى الله عليه و آله و سلم متمكناً من بيان المخصص، وإنّما المهم هو الصورة الثانية التي طرحها المحقّق الخراساني</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يدور الاحتمال المذكور بين دليلين بأن نعلم بأنّ أحدهما إمّا مخصص، أو الآخر ناسخ، كما إذا ورد الخاص قبل العام، وعمل به مدة مديدة ثمّ ورد العام، كما إذا 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فأكرمه المكلّف ثلاثة أشهر ثمّ ورد لا تكرموا الفسّاق وافترضنا أنّ زيداً فاسق، فدار الأمر بين كون الخاص المتقدم مخصِّصاً للعام المتأخر أو كون العام ناسخاً له، والمفروض تحقّق شرط النسخ، وهو ورود العام بعد العمل بالخاص وتصويره فيما بأيدينا من الأدلّة هو ما إذا ورد الخاص في السنة الأُولى من الهجرة وورد العام في السنة العاشرة، أو ورد الخاص في لسان النبي صلى الله عليه و آله و سلم ، و ورد العام في لسان العسكريين، فهل يجعل الخاص مخصصاً للعام أو يجعل العام ناسخاً للخاص؟ </w:t>
      </w:r>
    </w:p>
    <w:p>
      <w:pPr>
        <w:pStyle w:val="BookText"/>
        <w:rPr/>
      </w:pPr>
      <w:r>
        <w:rPr>
          <w:rFonts w:ascii="Amiri" w:hAnsi="Amiri" w:eastAsia="Amiri" w:cs="Amiri"/>
          <w:color w:val="111111"/>
          <w:sz w:val="28"/>
          <w:sz w:val="28"/>
          <w:szCs w:val="28"/>
          <w:rtl w:val="true"/>
          <w:lang w:bidi="ar-SA"/>
        </w:rPr>
        <w:t>وعلى كلّ حال فالمعروف هو تقديم احتمال التخصيص على احتمال النسخ، للوجه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التخصيص شائع حتى قيل ما من عام إلّاوقد خصّ، والنسخ نادر حتى أنّ بعض الأعلام كاد أن يُنكر وجود النسخ في القرآن الكريم فضلاً عن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ثمّ‌إنّ المحقّق الخراساني أورد على الاستدلال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 ما ذكره الشيخ سابقاً في تقديم التخصيص على التقييد، من أنّ الشكّ في الأوّل شكّ في وجود المانع وفي الثاني في وجود المقتضي، يجب أن يقدّم النسخ في المقام على التخصيص، وذلك لأنّ دلالة الخاص على الاستمرار والدوام إنّما هي بالإطلاق ودلالة العام على الاستيعاب بالوضع، فاللازم حفظ الشمول في جانب العام وتقديمه على استمرار حكم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غلبة التخصيص إنّما توجب أقوائية ظهور الكلام في الاستمرار والدوام من ظهور العام في العموم، إذا كانت مرتكزة في أذهان أهل المحاورة بمثابة تعدّ من القرائن المكتنفة بالكلام وإلّا فهي و إن كانت مفيدة للظن بالتخصيص إلّاأنّها غير موجبة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يتم على مسلك الشيخ الأنصاري، و أمّا على مسلك المحقّق الخراساني الذي هو مسلك الآخرين أيضاً من تمامية الإطلاق، في هذه الموارد والشكّ إنّما هو في المانع لا يكون هناك مرجح لتقديم عموم العام على استمرار حكم الخاص لإحراز المقتضي في كليهما ووقوع الشكّ في المانع، فكما أنّ عموم العام يمكن أن يكون مانعاً لاستمرار حكم الخاص، كذلك استمرار حكم الخاص يمكن أن يكون مانعاً لشمول العام و عمومه</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الخاص على النسخ ليس لملاك </w:t>
      </w:r>
    </w:p>
    <w:p>
      <w:pPr>
        <w:pStyle w:val="BookText"/>
        <w:rPr/>
      </w:pPr>
      <w:r>
        <w:rPr>
          <w:rFonts w:ascii="Amiri" w:hAnsi="Amiri" w:eastAsia="Amiri" w:cs="Amiri"/>
          <w:color w:val="111111"/>
          <w:sz w:val="28"/>
          <w:sz w:val="28"/>
          <w:szCs w:val="28"/>
          <w:rtl w:val="true"/>
          <w:lang w:bidi="ar-SA"/>
        </w:rPr>
        <w:t>الأقوائية بل لملاك خارجي وهو انّ شيوع التخصيص وندرة النسخ يورث اطمئناناً بأنّ المقام من قبيل التخصيص لا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هذا الشيوع غير موجب للظن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أيّد مقالة المشهور بوجهين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احتمال كون العام المتأخر ناسخاً للخاص المتقدم إنّما يتصوّر إذا انعقد للعام ظهور في استغراق جميع الأفراد، ومع وجود الخاص المتقدم لا ينعقد له هذا الظهور، لأنّ الخاص المتقدّم يكون قرينة عرفية على عدم إرادة الاستغراق في العام</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مخالف لما اتفقت عليه كلمة الأُصوليّين من عصر المحقّق الخراساني إلى يومنا هذا، وهو انّ الخاص المنفصل لا يزاحم انعقاد الظهور له في العموم وإنّما يزاحم حجّيته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انّ ما ذكره صحيح فيما إذا كان المخصص متصلاً، و على ذلك فالعام قد انعقد له الظهور والشكّ إنّما هو في كون الخاص مانعاً له أو لا فلم يثبت كون الخاص قرينة على عدم إرادة الاستغراق من العام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العام ناسخاً مبني على القول بثبوت حكم العام من حين وروده في لسان الإمام العسكري عليه السلام، إذ لو دلّ على ثبوته في صدر الإسلام لا يكون ناسخاً لحكم الخاص ألبتة، و على ضوء ذلك فلا يحتمل النسخ في الاخبار التي بأيدينا الواردة عن الأئمّة، لأنّ ظاهرها بيان الأحكام التي كانت مجعولة في زمان النبي صلى الله عليه و آله و سلم، لأنّهم عليهم السلام مبيّنون لتلك الأحكام لا مشرّعون إلّاأن تنصب قرينة على أنّ هذا الحكم مجعول من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ورد عن الباقر عليه السلام انّ الطحال مثلاً </w:t>
      </w:r>
      <w:bookmarkStart w:id="958" w:name="pg14367_157468"/>
    </w:p>
    <w:p>
      <w:pPr>
        <w:pStyle w:val="BookText"/>
        <w:rPr/>
      </w:pPr>
      <w:bookmarkEnd w:id="958"/>
      <w:r>
        <w:rPr>
          <w:rFonts w:ascii="Amiri" w:hAnsi="Amiri" w:eastAsia="Amiri" w:cs="Amiri"/>
          <w:color w:val="111111"/>
          <w:sz w:val="28"/>
          <w:sz w:val="28"/>
          <w:szCs w:val="28"/>
          <w:rtl w:val="true"/>
          <w:lang w:bidi="ar-SA"/>
        </w:rPr>
        <w:t>حرام، وورد عن الصادق عليه السلام، أنّ جميع أجزاء الذبيحة حلال، لا يحتمل كونه ناسخاً للخاص المتقدّم، لأنّ ظاهره أنّ أجزاء الذبيحة حلال في دين الإسلام من زمن النبي صلى الله عليه و آله و سلم لا أنّها حلال الآن فلا يكون العام المتأخر ناسخاً للحكم الصادر عن الباقر عليه السلام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مبني على امتناع النسخ بعد رحيل الرسول صلى الله عليه و آله و سلم وهو أمر لا يخلو من قوة كما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خيرة أُستاذه المحقّق النائيني في فوائد الأُصول</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ولكنّه ليس أمراً قطعياً، إذ كما يجوز للنبي صلى الله عليه و آله و سلم أن يودع المخصصات عند الوصي، كذلك يجوز أن يودع النواسخ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سيأتي وقت نسخها في عصر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وعلى ذلك يدور أمر العام بين كونه مجعولاً في زمان النبي، فالنسبة هي التخصيص؛ أو مجعولاً في زمان صدوره من الإمام، فالنسبة هي النسخ، أي‌ناسخية العام للخاص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والحقّ‌انّ ندرة النسخ قرينة خارجية على كون المقام من قبيل التخصيص والنسخ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والتقديم بملاك خارجيّ لا بملاك الأقوائية كما عرفت</w:t>
      </w:r>
      <w:r>
        <w:rPr>
          <w:rFonts w:eastAsia="Amiri" w:cs="Amiri" w:ascii="Amiri" w:hAnsi="Amiri"/>
          <w:color w:val="111111"/>
          <w:sz w:val="28"/>
          <w:szCs w:val="28"/>
          <w:rtl w:val="true"/>
          <w:lang w:bidi="ar-SA"/>
        </w:rPr>
        <w:t>.</w:t>
      </w:r>
    </w:p>
    <w:p>
      <w:pPr>
        <w:pStyle w:val="Heading6"/>
        <w:numPr>
          <w:ilvl w:val="5"/>
          <w:numId w:val="1"/>
        </w:numPr>
        <w:rPr/>
      </w:pPr>
      <w:bookmarkStart w:id="959" w:name="__RefHeading___Toc7507562_3381743652"/>
      <w:bookmarkStart w:id="960" w:name="_Toc351"/>
      <w:bookmarkEnd w:id="959"/>
      <w:r>
        <w:rPr>
          <w:rtl w:val="true"/>
        </w:rPr>
        <w:t>د</w:t>
      </w:r>
      <w:r>
        <w:rPr>
          <w:rtl w:val="true"/>
        </w:rPr>
        <w:t xml:space="preserve">. </w:t>
      </w:r>
      <w:r>
        <w:rPr>
          <w:rtl w:val="true"/>
        </w:rPr>
        <w:t>إذا كان لأحد الدليلين قدر متيقّن</w:t>
      </w:r>
      <w:bookmarkEnd w:id="960"/>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لأحد الدليلين قدر متيقّن دون الآخر،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وعلمنا من حال المتكلم أنّه يبغض العالم الفاسق، فهل يكون هذا قرينة على تقديم عموم النهي على عموم الآخر؟ لكن الحقّ أنّه لو بلغ القدر المتيقّن مرحلة أوجب الانصراف فهو و إلّافلا يوجب أقوائية أحد الظهورين على الآخر</w:t>
      </w:r>
      <w:r>
        <w:rPr>
          <w:rFonts w:eastAsia="Amiri" w:cs="Amiri" w:ascii="Amiri" w:hAnsi="Amiri"/>
          <w:color w:val="111111"/>
          <w:sz w:val="28"/>
          <w:szCs w:val="28"/>
          <w:rtl w:val="true"/>
          <w:lang w:bidi="ar-SA"/>
        </w:rPr>
        <w:t xml:space="preserve">. </w:t>
      </w:r>
      <w:bookmarkStart w:id="961" w:name="pg14367_157469"/>
    </w:p>
    <w:p>
      <w:pPr>
        <w:pStyle w:val="Heading6"/>
        <w:numPr>
          <w:ilvl w:val="5"/>
          <w:numId w:val="1"/>
        </w:numPr>
        <w:rPr/>
      </w:pPr>
      <w:bookmarkStart w:id="962" w:name="__RefHeading___Toc7507564_3381743652"/>
      <w:bookmarkStart w:id="963" w:name="_Toc352"/>
      <w:bookmarkEnd w:id="961"/>
      <w:bookmarkEnd w:id="962"/>
      <w:r>
        <w:rPr>
          <w:rtl w:val="true"/>
        </w:rPr>
        <w:t>ه</w:t>
      </w:r>
      <w:r>
        <w:rPr>
          <w:rtl w:val="true"/>
        </w:rPr>
        <w:t xml:space="preserve">. </w:t>
      </w:r>
      <w:r>
        <w:rPr>
          <w:rtl w:val="true"/>
        </w:rPr>
        <w:t>إذا كان التخصيص في أحد المتعارضين مستهجناً</w:t>
      </w:r>
      <w:bookmarkEnd w:id="963"/>
    </w:p>
    <w:p>
      <w:pPr>
        <w:pStyle w:val="BookText"/>
        <w:rPr/>
      </w:pPr>
      <w:r>
        <w:rPr>
          <w:rFonts w:ascii="Amiri" w:hAnsi="Amiri" w:eastAsia="Amiri" w:cs="Amiri"/>
          <w:color w:val="111111"/>
          <w:sz w:val="28"/>
          <w:sz w:val="28"/>
          <w:szCs w:val="28"/>
          <w:rtl w:val="true"/>
          <w:lang w:bidi="ar-SA"/>
        </w:rPr>
        <w:t>إذا كان بين الدليلين من النسب الأربع، عموم من وجه، ولكن لو أخرجنا المجمع من تحت أحدهما لا ينطبق إلّا على عدد قليل على نحو يكون التعبير عنه بلفظ العموم مستهجناً،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فالمجمع بين العنوانين مورد التعارض، لكن لو أخرجناه من تحت الدليل الأوّل يلزم أن ينتهي التخصيص فيه إلى أقل العدد كالاثنين والثلاثة، وعند ذلك يعكس الأمر لا بملاك الأقوائية في الظهور بل لصيانة كلام المتكلّم عن اللغو</w:t>
      </w:r>
      <w:r>
        <w:rPr>
          <w:rFonts w:eastAsia="Amiri" w:cs="Amiri" w:ascii="Amiri" w:hAnsi="Amiri"/>
          <w:color w:val="111111"/>
          <w:sz w:val="28"/>
          <w:szCs w:val="28"/>
          <w:rtl w:val="true"/>
          <w:lang w:bidi="ar-SA"/>
        </w:rPr>
        <w:t>.</w:t>
      </w:r>
    </w:p>
    <w:p>
      <w:pPr>
        <w:pStyle w:val="Heading6"/>
        <w:numPr>
          <w:ilvl w:val="5"/>
          <w:numId w:val="1"/>
        </w:numPr>
        <w:rPr/>
      </w:pPr>
      <w:bookmarkStart w:id="964" w:name="__RefHeading___Toc7507566_3381743652"/>
      <w:bookmarkStart w:id="965" w:name="_Toc353"/>
      <w:bookmarkEnd w:id="964"/>
      <w:r>
        <w:rPr>
          <w:rtl w:val="true"/>
        </w:rPr>
        <w:t>و</w:t>
      </w:r>
      <w:r>
        <w:rPr>
          <w:rtl w:val="true"/>
        </w:rPr>
        <w:t xml:space="preserve">. </w:t>
      </w:r>
      <w:r>
        <w:rPr>
          <w:rtl w:val="true"/>
        </w:rPr>
        <w:t>دوران الأمر بين التقييد وحمل الأمر على الاستحباب</w:t>
      </w:r>
      <w:bookmarkEnd w:id="965"/>
    </w:p>
    <w:p>
      <w:pPr>
        <w:pStyle w:val="BookText"/>
        <w:rPr/>
      </w:pPr>
      <w:r>
        <w:rPr>
          <w:rFonts w:ascii="Amiri" w:hAnsi="Amiri" w:eastAsia="Amiri" w:cs="Amiri"/>
          <w:color w:val="111111"/>
          <w:sz w:val="28"/>
          <w:sz w:val="28"/>
          <w:szCs w:val="28"/>
          <w:rtl w:val="true"/>
          <w:lang w:bidi="ar-SA"/>
        </w:rPr>
        <w:t xml:space="preserve">إذا ورد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أفطرت فأعتق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أيضاً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أفطرت فاعتق رقبة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دائر بين حمل المطلق على المقيد أو حمل المقيد على الاستحباب، والترجيح مع الأمر الأوّل، لأنّ كثيراً من المخصِّصات والمقيِّدات صدر في عصر الصادقين عليهما السلام مع تقدّم العمومات والمطلقات في الكتاب والسنّة النبوية، وقد سبق منّا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قبح تأخير البيان عن وقت الحاجة ليس أمراً ذاتياً بل بالوجوه والاعتبار فربما يكون التأخير لأجل انطباق بعض العناوين، حسناً وعلى فرض كونه كذلك تُتدارك المصلحة الفائتة أو المفسدة الموجودة بالمصلحة الموجودة في تأخير البيان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حمل المقيد على الاستحباب لأجل شيوع استعماله فيه في الروايات فغير مفيد، لأنّ استعمال الأمر في الاستحباب في الروايات المروية عن أئمّة أهل البيت عليهم السلام كانت مقترنة بالقرينة الحالية أو المقالية لا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ادّعاه صاحب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لا يصحّ لنا حمل المقيد على الاستحباب بلا دليل ولا قرينة</w:t>
      </w:r>
      <w:r>
        <w:rPr>
          <w:rFonts w:eastAsia="Amiri" w:cs="Amiri" w:ascii="Amiri" w:hAnsi="Amiri"/>
          <w:color w:val="111111"/>
          <w:sz w:val="28"/>
          <w:szCs w:val="28"/>
          <w:rtl w:val="true"/>
          <w:lang w:bidi="ar-SA"/>
        </w:rPr>
        <w:t xml:space="preserve">. </w:t>
      </w:r>
      <w:bookmarkStart w:id="966" w:name="pg14367_157470"/>
    </w:p>
    <w:p>
      <w:pPr>
        <w:pStyle w:val="Heading6"/>
        <w:numPr>
          <w:ilvl w:val="5"/>
          <w:numId w:val="1"/>
        </w:numPr>
        <w:rPr/>
      </w:pPr>
      <w:bookmarkStart w:id="967" w:name="__RefHeading___Toc7507568_3381743652"/>
      <w:bookmarkStart w:id="968" w:name="_Toc354"/>
      <w:bookmarkEnd w:id="966"/>
      <w:bookmarkEnd w:id="967"/>
      <w:r>
        <w:rPr>
          <w:rtl w:val="true"/>
        </w:rPr>
        <w:t>المبحث الرابع التعارض في أكثر من دليلين</w:t>
      </w:r>
      <w:bookmarkEnd w:id="968"/>
    </w:p>
    <w:p>
      <w:pPr>
        <w:pStyle w:val="BookText"/>
        <w:rPr/>
      </w:pPr>
      <w:r>
        <w:rPr>
          <w:rFonts w:ascii="Amiri" w:hAnsi="Amiri" w:eastAsia="Amiri" w:cs="Amiri"/>
          <w:color w:val="111111"/>
          <w:sz w:val="28"/>
          <w:sz w:val="28"/>
          <w:szCs w:val="28"/>
          <w:rtl w:val="true"/>
          <w:lang w:bidi="ar-SA"/>
        </w:rPr>
        <w:t>كان الكلام في المبحث الثالث في التعارض بين اثنين وربما يكون التعارض ثلاثيّ الأطراف، كما إذا فرضنا عامّاً وخاصّين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النحوي، فنسبة كلّ من الخاصين إلى العام نسبة الخصوص إلى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الخلاف في كيفية الجمع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المحقّق النراقي إلى أنّ العام يخصّص بأحدهما أوّلاً، ثمّ بالخاص ثانياً</w:t>
      </w:r>
      <w:r>
        <w:rPr>
          <w:rFonts w:eastAsia="Amiri" w:cs="Amiri" w:ascii="Amiri" w:hAnsi="Amiri"/>
          <w:color w:val="111111"/>
          <w:sz w:val="28"/>
          <w:szCs w:val="28"/>
          <w:rtl w:val="true"/>
          <w:lang w:bidi="ar-SA"/>
        </w:rPr>
        <w:t>.</w:t>
      </w:r>
      <w:r>
        <w:rPr>
          <w:rStyle w:val="FootnoteAnchor"/>
          <w:rtl w:val="true"/>
        </w:rPr>
        <w:footnoteReference w:id="383"/>
      </w:r>
      <w:r>
        <w:rPr>
          <w:rFonts w:ascii="Amiri" w:hAnsi="Amiri" w:eastAsia="Amiri" w:cs="Amiri"/>
          <w:color w:val="111111"/>
          <w:sz w:val="28"/>
          <w:sz w:val="28"/>
          <w:szCs w:val="28"/>
          <w:rtl w:val="true"/>
          <w:lang w:bidi="ar-SA"/>
        </w:rPr>
        <w:t>غير انّ الشيخ الأنصاري والمحقّق الخراساني ذهبا إلى أنّ العام يخصص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المثال المذكور لو خصصنا العام بالخاصين معاً لا يكون هناك أيُّ انقلاب في النسبة، فيخرج العالم الفاسق والعالم النحوي عن تحت العام معاً ويختص العام بعدول العلماء غير النحاة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نظرية المحقّق النراقي، فلو خصصنا العام بإخراج العالم الفاسق، تكون نتيجة الدليلين بعد التخصيص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غير الفاسق، فتكون النسبة بينه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العالم النحوي عموماً من وجه، فالفقيه </w:t>
      </w:r>
      <w:bookmarkStart w:id="969" w:name="pg14367_157471"/>
    </w:p>
    <w:p>
      <w:pPr>
        <w:pStyle w:val="BookText"/>
        <w:rPr/>
      </w:pPr>
      <w:bookmarkEnd w:id="969"/>
      <w:r>
        <w:rPr>
          <w:rFonts w:ascii="Amiri" w:hAnsi="Amiri" w:eastAsia="Amiri" w:cs="Amiri"/>
          <w:color w:val="111111"/>
          <w:sz w:val="28"/>
          <w:sz w:val="28"/>
          <w:szCs w:val="28"/>
          <w:rtl w:val="true"/>
          <w:lang w:bidi="ar-SA"/>
        </w:rPr>
        <w:t>العادل داخل تحت الأمر، والنحوي الفاسق باقٍ تحت النهي، فيقع النزاع في النحوي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يجب إكرامه وعلى الثاني يحرم إكرامه، فيدخل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من أقسام المتعارضين وليس بداخل في غير المستقر من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يقتضي البحث في مواضع ثلاثة</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7507570_3381743652"/>
      <w:bookmarkStart w:id="971" w:name="_Toc355"/>
      <w:bookmarkEnd w:id="970"/>
      <w:r>
        <w:rPr>
          <w:rtl w:val="true"/>
        </w:rPr>
        <w:t>الموضع الأوّل</w:t>
      </w:r>
      <w:r>
        <w:rPr>
          <w:rtl w:val="true"/>
        </w:rPr>
        <w:t xml:space="preserve">: </w:t>
      </w:r>
      <w:r>
        <w:rPr>
          <w:rtl w:val="true"/>
        </w:rPr>
        <w:t>إذا كانت نسبتهما إلى العام متماثلة</w:t>
      </w:r>
      <w:bookmarkEnd w:id="971"/>
    </w:p>
    <w:p>
      <w:pPr>
        <w:pStyle w:val="BookText"/>
        <w:rPr/>
      </w:pPr>
      <w:r>
        <w:rPr>
          <w:rFonts w:ascii="Amiri" w:hAnsi="Amiri" w:eastAsia="Amiri" w:cs="Amiri"/>
          <w:color w:val="111111"/>
          <w:sz w:val="28"/>
          <w:sz w:val="28"/>
          <w:szCs w:val="28"/>
          <w:rtl w:val="true"/>
          <w:lang w:bidi="ar-SA"/>
        </w:rPr>
        <w:t>إذا كانت نسبة الخاصين إلى العام على نسق واحد، بأن يكون كلّ بالنسبة إلى العام خاصاً، غير انّ النسبة بين الخاصين على صور ثلاث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العموم والخصوص المطلق،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 والخصوص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بيان أحكام الصور واحدة تلو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عام و خاصان، وكانت النسبة بين الخاصين هو التباين، كما إذا ورد أكرم العلماء، ثمّ ورد لا تكرم زيداً العالم، وورد ثالثاً لا تكرم عمرو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في الشريعة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حَرَّمَ الرِّبا</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فإذا تعقبه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الوالد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ربا بين الزوج والزوجة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فيخصّص العام بالخاصين معاً، لعدم الترجيح بتقديم التخصيص بأحدهما دون الآخر مع وحدة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فرق بين مسلك الشيخ ومسلك المحقّق النراقي في المقام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لم يلزم من تخصيص العام التخصيص المستهجن،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إكرام العلماء، ثمّ دلّدليل على وجوب إكرام العادل ودلّ دليل </w:t>
      </w:r>
    </w:p>
    <w:p>
      <w:pPr>
        <w:pStyle w:val="BookText"/>
        <w:rPr/>
      </w:pPr>
      <w:r>
        <w:rPr>
          <w:rFonts w:ascii="Amiri" w:hAnsi="Amiri" w:eastAsia="Amiri" w:cs="Amiri"/>
          <w:color w:val="111111"/>
          <w:sz w:val="28"/>
          <w:sz w:val="28"/>
          <w:szCs w:val="28"/>
          <w:rtl w:val="true"/>
          <w:lang w:bidi="ar-SA"/>
        </w:rPr>
        <w:t>ثالث على حرمة الفاسق، فالتخصيص بهما يوجب أن لا يبقى للعام فرد، لانّ العادل منهم يجب إكرامه، والفاسق يحرم وليس بين العادل والفاسق واسطة، فعندئذٍ يدخل المورد في المتعارضين، أحدهما العام و الآخرهما الخاصان، وحينئذٍ فإذا كان الترجيح معهما يطرح العام، وإن كان الترجيح مع العام يتخير في التخصيص بأيِّ واحد من الخاصين ولا يجوز طرحهما لعدم العلم بكذبهما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عام وخاصان، وكانت النسبة بين الخاصين هو العموم والخصوص المطلق، كما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كلّ مسلم، ثمّ ورد لا تصلّ خلف شارب الخمر، ثمّ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تصلّخلف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انّ نسبة الخاصين إلى العام نسبة واحدة حيث إنّ كلاً منهما أخص من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النسبة بينهما مختلفة حيث إنّ أحد الخاصين عام بالنسبة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يخصّص العام بهما معاً، وتكون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خلف كلّ مسلم غير الفاسق، وأمّا ذكر شارب الخمر فلأجل كون الحكم فيه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مسلك الشيخ، وأمّا على مسلك النراقي فلو خصّص العام بالخاص الأوّل تكون النتيجة صلّخلف كلّ مسلم غير شارب الخمر، فلو نسب هذا الموضوع إلى موضوع الخاص الثاني، أي‌قوله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تصلّخلف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تنقلب النسبة من الخصوص المطلق إلى العموم و الخصوص من وجه، وذلك لأنّ المسلم العادل داخل تحت الأمر ولا يشمله النهي، كما أنّ المسلم شارب الخمر داخل تحت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فيبقى الفاسق لأجل الغيبة والكذب فيتعارض فيه كلّ من الأمر والنهي</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الأوّل يجوز الصلاة خلفه، لأنّه يكفي فيه كون الإمام مسلماً غير شارب الخمر، وعلى الثاني يحرم الاقتداء لكون الموضوع هو الفسق</w:t>
      </w:r>
      <w:r>
        <w:rPr>
          <w:rFonts w:eastAsia="Amiri" w:cs="Amiri" w:ascii="Amiri" w:hAnsi="Amiri"/>
          <w:color w:val="111111"/>
          <w:sz w:val="28"/>
          <w:szCs w:val="28"/>
          <w:rtl w:val="true"/>
          <w:lang w:bidi="ar-SA"/>
        </w:rPr>
        <w:t xml:space="preserve">. </w:t>
      </w:r>
      <w:bookmarkStart w:id="972" w:name="pg14367_157473"/>
    </w:p>
    <w:p>
      <w:pPr>
        <w:pStyle w:val="BookText"/>
        <w:rPr/>
      </w:pPr>
      <w:bookmarkEnd w:id="972"/>
      <w:r>
        <w:rPr>
          <w:rFonts w:ascii="Amiri" w:hAnsi="Amiri" w:eastAsia="Amiri" w:cs="Amiri"/>
          <w:color w:val="111111"/>
          <w:sz w:val="28"/>
          <w:sz w:val="28"/>
          <w:szCs w:val="28"/>
          <w:rtl w:val="true"/>
          <w:lang w:bidi="ar-SA"/>
        </w:rPr>
        <w:t>ولكن الحقّ مع الشيخ الأنصاري لما عرفت من عدم المرجح لتقديم أحد الخاصين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ملاحظة النسبة بين الباقي بعد التخصيص، والخاص الآخر، لأنّ المفروض انفصالهما عن العام، لا اتصال واحد وانفصال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عام وخاصان، وكانت النسبة بين الخاصين هو العموم والخصوص من وجه،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العالم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نسبة موضوعي كلّ من الخاصين إلى موضوع العام هو العموم والخصوص المطلق كما هو واضح، ولكن النسبة بين موضوعي الخاصين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الفاسق، والعالم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العموم والخصوص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الجمع في هذه الصورة نفس الطريقة في الصورة الثانية لوحدة البرهان، و ذلك لعدم الترجيح لتقديم التخصيص بأحد الخاصين على التخصيص بالآخر فانّ نسبتهما إلى العام على حدّ سواء، ولأجل ذلك يخصص العام بهما فيعمل بما بقي تحت العام بعد التخصيص بهما، إلّاإذا استهجن التخصيص بهما كما مرّنظيره في الصورة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الموضع الأوّل، وعلم أنّه إذا كان الخاصان أخصّ من العام يخصّص بهما مرّة، ويعمل بالعام في الباقي إلّاإذا كان هناك محذور</w:t>
      </w:r>
      <w:r>
        <w:rPr>
          <w:rFonts w:eastAsia="Amiri" w:cs="Amiri" w:ascii="Amiri" w:hAnsi="Amiri"/>
          <w:color w:val="111111"/>
          <w:sz w:val="28"/>
          <w:szCs w:val="28"/>
          <w:rtl w:val="true"/>
          <w:lang w:bidi="ar-SA"/>
        </w:rPr>
        <w:t>.</w:t>
      </w:r>
    </w:p>
    <w:p>
      <w:pPr>
        <w:pStyle w:val="Heading6"/>
        <w:numPr>
          <w:ilvl w:val="5"/>
          <w:numId w:val="1"/>
        </w:numPr>
        <w:rPr/>
      </w:pPr>
      <w:bookmarkStart w:id="973" w:name="__RefHeading___Toc7507572_3381743652"/>
      <w:bookmarkStart w:id="974" w:name="_Toc356"/>
      <w:bookmarkEnd w:id="973"/>
      <w:r>
        <w:rPr>
          <w:rtl w:val="true"/>
        </w:rPr>
        <w:t>الموضع الثاني</w:t>
      </w:r>
      <w:r>
        <w:rPr>
          <w:rtl w:val="true"/>
        </w:rPr>
        <w:t xml:space="preserve">: </w:t>
      </w:r>
      <w:r>
        <w:rPr>
          <w:rtl w:val="true"/>
        </w:rPr>
        <w:t>إذا كانت نسبتهما إلى العام مختلفة</w:t>
      </w:r>
      <w:bookmarkEnd w:id="974"/>
    </w:p>
    <w:p>
      <w:pPr>
        <w:pStyle w:val="BookText"/>
        <w:rPr/>
      </w:pPr>
      <w:r>
        <w:rPr>
          <w:rFonts w:ascii="Amiri" w:hAnsi="Amiri" w:eastAsia="Amiri" w:cs="Amiri"/>
          <w:color w:val="111111"/>
          <w:sz w:val="28"/>
          <w:sz w:val="28"/>
          <w:szCs w:val="28"/>
          <w:rtl w:val="true"/>
          <w:lang w:bidi="ar-SA"/>
        </w:rPr>
        <w:t>إذا كان هنا عام و خاصان، و كانت نسبة أحد الخاصّين إلى العام، نسبة الخصوص إلى العام المطلق، ونسبة الخاص الآخر إليه نسبة العموم والخصوص من وجه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فسّاقهم ثمّقال</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إكرام العدول، فالخاص الأوّل أخص من العام، والخاص الثاني أعمّ من وجه من </w:t>
      </w:r>
      <w:bookmarkStart w:id="975" w:name="pg14367_157474"/>
    </w:p>
    <w:p>
      <w:pPr>
        <w:pStyle w:val="BookText"/>
        <w:rPr/>
      </w:pPr>
      <w:bookmarkEnd w:id="975"/>
      <w:r>
        <w:rPr>
          <w:rFonts w:ascii="Amiri" w:hAnsi="Amiri" w:eastAsia="Amiri" w:cs="Amiri"/>
          <w:color w:val="111111"/>
          <w:sz w:val="28"/>
          <w:sz w:val="28"/>
          <w:szCs w:val="28"/>
          <w:rtl w:val="true"/>
          <w:lang w:bidi="ar-SA"/>
        </w:rPr>
        <w:t>العام، فالمختار عندنا في هذا المقام هو نظرية المحقّق النراقي، فيخصص العام بالخاص الأوّل ثمّ يلاحظ الباقي مع الخاص الثاني، وذلك لما عرفت من أنّ التعارض ليس إلّابين الحجّتين، والمفروض انّ العام ليس حجّة في مطلق العلماء بملاحظة الخاص الأوّل بل حجّة في العلماء غير الفسّاق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تلاحظ النسبة بين الباقي والخاص الثاني، وعندئذٍ تنقلب النسبة وتكون نسبة الخاص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إكرام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العام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العام إلى الخاص بعد ما كانت النسبة عموماً وخصوصاً من وجه، وقد علّل الشيخ وجه هذا التقديم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الترتيب في العلاج لزم إلغاء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طرح الظاهر المنافي له وكلاهما باطل</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ولكن الأولى التعليل بما ذكرنا من أنّه لا تعارض بين الخاص الأوّل والعام، وليس العام بعد ورود الخاص حجّة في العام فيقدم الخاص عليه ثمّتؤخذ النسبة بين الباقي بعد العلاج والخاص الثاني</w:t>
      </w:r>
      <w:r>
        <w:rPr>
          <w:rFonts w:eastAsia="Amiri" w:cs="Amiri" w:ascii="Amiri" w:hAnsi="Amiri"/>
          <w:color w:val="111111"/>
          <w:sz w:val="28"/>
          <w:szCs w:val="28"/>
          <w:rtl w:val="true"/>
          <w:lang w:bidi="ar-SA"/>
        </w:rPr>
        <w:t>.</w:t>
      </w:r>
    </w:p>
    <w:p>
      <w:pPr>
        <w:pStyle w:val="Heading6"/>
        <w:numPr>
          <w:ilvl w:val="5"/>
          <w:numId w:val="1"/>
        </w:numPr>
        <w:rPr/>
      </w:pPr>
      <w:bookmarkStart w:id="976" w:name="__RefHeading___Toc7507574_3381743652"/>
      <w:bookmarkStart w:id="977" w:name="_Toc357"/>
      <w:bookmarkEnd w:id="976"/>
      <w:r>
        <w:rPr>
          <w:rtl w:val="true"/>
        </w:rPr>
        <w:t>الموضع الثالث</w:t>
      </w:r>
      <w:r>
        <w:rPr>
          <w:rtl w:val="true"/>
        </w:rPr>
        <w:t xml:space="preserve">: </w:t>
      </w:r>
      <w:r>
        <w:rPr>
          <w:rtl w:val="true"/>
        </w:rPr>
        <w:t>إذا كانت النسبة بين الجميع هي العموم والخصوص من وجه</w:t>
      </w:r>
      <w:bookmarkEnd w:id="9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النسبة بين كلّ من الخاصين إلى العام هي العموم من وجه، فيخرج هذا عن مورد الجمع ويدخل مورد التعارض، كما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الفسّاق، ويستحب إكرام الشعراء، فيقع التعارض بين مجمع العناوين كالعالم الفاسق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إكرامه وعلى الثاني يحرم، وعلى الثالث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عندنا انّ الدليلين أو الأدلّة التي تكون النسبة فيها هي العموم والخصوص من وجه داخل في المتعارضين وسوف نبحث عنه في الفصل التالي، بإذن اللّه سبحانه</w:t>
      </w:r>
      <w:r>
        <w:rPr>
          <w:rFonts w:eastAsia="Amiri" w:cs="Amiri" w:ascii="Amiri" w:hAnsi="Amiri"/>
          <w:color w:val="111111"/>
          <w:sz w:val="28"/>
          <w:szCs w:val="28"/>
          <w:rtl w:val="true"/>
          <w:lang w:bidi="ar-SA"/>
        </w:rPr>
        <w:t xml:space="preserve">. </w:t>
      </w:r>
      <w:bookmarkStart w:id="978" w:name="pg14367_157475"/>
    </w:p>
    <w:p>
      <w:pPr>
        <w:pStyle w:val="Heading5"/>
        <w:numPr>
          <w:ilvl w:val="4"/>
          <w:numId w:val="1"/>
        </w:numPr>
        <w:rPr/>
      </w:pPr>
      <w:bookmarkStart w:id="979" w:name="__RefHeading___Toc7507576_3381743652"/>
      <w:bookmarkStart w:id="980" w:name="_Toc358"/>
      <w:bookmarkEnd w:id="978"/>
      <w:bookmarkEnd w:id="979"/>
      <w:r>
        <w:rPr>
          <w:rtl w:val="true"/>
        </w:rPr>
        <w:t>الفصل الثاني في التعارض المستقر</w:t>
      </w:r>
      <w:bookmarkEnd w:id="980"/>
    </w:p>
    <w:p>
      <w:pPr>
        <w:pStyle w:val="Heading6"/>
        <w:numPr>
          <w:ilvl w:val="5"/>
          <w:numId w:val="1"/>
        </w:numPr>
        <w:rPr/>
      </w:pPr>
      <w:bookmarkStart w:id="981" w:name="__RefHeading___Toc7507578_3381743652"/>
      <w:bookmarkStart w:id="982" w:name="_Toc359"/>
      <w:bookmarkEnd w:id="981"/>
      <w:r>
        <w:rPr>
          <w:rtl w:val="true"/>
        </w:rPr>
        <w:t>اشارة</w:t>
      </w:r>
      <w:bookmarkEnd w:id="982"/>
    </w:p>
    <w:p>
      <w:pPr>
        <w:pStyle w:val="BookText"/>
        <w:rPr/>
      </w:pPr>
      <w:r>
        <w:rPr>
          <w:rFonts w:ascii="Amiri" w:hAnsi="Amiri" w:eastAsia="Amiri" w:cs="Amiri"/>
          <w:color w:val="111111"/>
          <w:sz w:val="28"/>
          <w:sz w:val="28"/>
          <w:szCs w:val="28"/>
          <w:rtl w:val="true"/>
          <w:lang w:bidi="ar-SA"/>
        </w:rPr>
        <w:t>قد عرفت أنّ التعارض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بدويّ غير مستقر، وتعارض 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الأوّل ما يزول التعارض بالتدبّر فيهما بنحو من الأنحاء التي مرّت في الفصل الأوّل، كما أنّ المراد من الثاني مالا يزول التعارض مهما أمعنّا النظر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في الأوّل هو الجمع بين الدليلين على وفق القواعد التي تعرّفت عليها، وأمّا المرجع في الثاني فهذا ما نتناوله بالبحث في ضمن مباحث</w:t>
      </w:r>
      <w:r>
        <w:rPr>
          <w:rFonts w:eastAsia="Amiri" w:cs="Amiri" w:ascii="Amiri" w:hAnsi="Amiri"/>
          <w:color w:val="111111"/>
          <w:sz w:val="28"/>
          <w:szCs w:val="28"/>
          <w:rtl w:val="true"/>
          <w:lang w:bidi="ar-SA"/>
        </w:rPr>
        <w:t>:</w:t>
      </w:r>
    </w:p>
    <w:p>
      <w:pPr>
        <w:pStyle w:val="Heading6"/>
        <w:numPr>
          <w:ilvl w:val="5"/>
          <w:numId w:val="1"/>
        </w:numPr>
        <w:rPr/>
      </w:pPr>
      <w:bookmarkStart w:id="983" w:name="__RefHeading___Toc7507580_3381743652"/>
      <w:bookmarkStart w:id="984" w:name="_Toc360"/>
      <w:bookmarkEnd w:id="983"/>
      <w:r>
        <w:rPr>
          <w:rtl w:val="true"/>
        </w:rPr>
        <w:t>المبحث الأوّل ما هو مقتضى القاعدة الأوّلية في المتعارضين؟</w:t>
      </w:r>
      <w:bookmarkEnd w:id="984"/>
    </w:p>
    <w:p>
      <w:pPr>
        <w:pStyle w:val="BookText"/>
        <w:rPr/>
      </w:pPr>
      <w:r>
        <w:rPr>
          <w:rFonts w:ascii="Amiri" w:hAnsi="Amiri" w:eastAsia="Amiri" w:cs="Amiri"/>
          <w:color w:val="111111"/>
          <w:sz w:val="28"/>
          <w:sz w:val="28"/>
          <w:szCs w:val="28"/>
          <w:rtl w:val="true"/>
          <w:lang w:bidi="ar-SA"/>
        </w:rPr>
        <w:t>إذا قلنا بأنّ الخبر حجة لكونه طريقاً إلى كشف الواقع من دون أن يكون في العمل بالخبر هناك أي‌مصلحة سوى مصلحة درك الواقع، فما هو مقتضى حكم العقل؟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صورتين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لم يكن لدليل الحجّية إطلاق شامل لصورة التعارض، كما </w:t>
      </w:r>
    </w:p>
    <w:p>
      <w:pPr>
        <w:pStyle w:val="BookText"/>
        <w:rPr/>
      </w:pPr>
      <w:r>
        <w:rPr>
          <w:rFonts w:ascii="Amiri" w:hAnsi="Amiri" w:eastAsia="Amiri" w:cs="Amiri"/>
          <w:color w:val="111111"/>
          <w:sz w:val="28"/>
          <w:sz w:val="28"/>
          <w:szCs w:val="28"/>
          <w:rtl w:val="true"/>
          <w:lang w:bidi="ar-SA"/>
        </w:rPr>
        <w:t>إذا كان دليل الحجية أمراً لبياً كالسيرة العقلائية أو الإجماع، فعندئذ يكون دليل الحجية قاصراً عن الشمول للمتعارضين، لأنّ الدليل اللبّي لا يتصوّر فيه الإطلاق فيؤخذ بالقدر المتيقّن وهو اختصاص الحجّية بما إذا كان الخبر غير معارض، فتكون النتيجة عدم الدليل على حجّية الخبرين المتعارضين وهو مساوٍ لسقوطهما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إطلاق شامل لصورة التعارض، كما إذا كان دليل الحجّية أمراً لفظياً كآية النبأ والنفر، وقلنا بوجود الإطلاق فيهما الشامل لصورة المتعارضين، فيقع الكلام في مقتضى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القاعدة الأوّلية هو التساقط، وإلّا فالأمر دائر بين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بكليهما، وهو يستلزم التعدّد في المتناقضين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بأحدهما المعين، وهو ترجيح بلا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بأحدهما المخير، وهو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الأدلّة دلّت على حجّية كلّ واحد معيّناً لا مخيّراً، فإذا بطلت الاحتمالات الثلاثة تعيّن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الاصفهاني ذكر الاحتمالات المتصوّرة بنحو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الحجّة أحدهما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إذ ليس له مصداق إلّافي الذهن وكلّ ما بالخارج فهو أمر معيّن لمساوقة الوجود مع التشخّص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الحجّة في الخبرين ما يكون مطابقاً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باطل لعدم العلم بمطابقة واحد منهما لاحتمال كذب كليهما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كلّ منهما حجّة، وهو يستلزم التعبّد بالمتناقضين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حجّية كليهما، وهو ملازم للتساقط وهو المتعيّن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 المحقّق الخوئي حاول أن يثبت وجود الدليل على التخيير بين الخبرين، وذلك باستكشاف التخيير بتقييد أحد الإطلاقين بترك الآخر بأن يقال انّ الأخذ بكلا الخبرين لمّا كان مستلزماً للتعبّد بالمتناقضين، يكفي في رفعه تقييد الإطلاق بقيد عدمي، وهو حجّية‌كلّ، بشرط عدم الأخذ بالآخر، ومثله الحكم في الخبر الآخر، فتكون النتيجة هو التخيير، ولا نحتاج في استكشاف التخيير إلى دليل آخر سوى وجود الإطلاق لصورة التعارض والاكتفاء في تقييد الإطلاق بقيد عدمي</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استكشاف التخيير إنّما يصحّ في المتزاحمين المشتملين على المصلحة القطعية كالغريقين، وبما انّ عجز المكلّف صار سبباً لسقوط التكليف، فعند ذلك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رفع التزاحم يتحقّق بتقييد امتثال كلّ من الحكمين بترك الآخر، ولا يتوقف على طرح 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المقام فالمفروض انّ الخبر حجّة من باب الطريقية لا من باب السببية، وعندئذٍفأحد الخبرين كاذب قطعاً والخبر الآخر محتمل الكذب، فليس هناك علم بالملاك فيهما حتى لا يجوز طرحهما ويزول الإشكال بتقييد 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كلّ واحد من الخبرين حجّة ظاهرية شملهما دليل الحجّية، فالمحذور يرتفع بتقييد إطلاق الحجّية لا برفع اليد عنها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العلم بوجود حكمين واقعيين كاشفين عن وجود الملاك في كلّ واحد منهما، و بين العلم بحكمين ظاهريين غير </w:t>
      </w:r>
      <w:bookmarkStart w:id="985" w:name="pg14367_157478"/>
    </w:p>
    <w:p>
      <w:pPr>
        <w:pStyle w:val="BookText"/>
        <w:rPr/>
      </w:pPr>
      <w:bookmarkEnd w:id="985"/>
      <w:r>
        <w:rPr>
          <w:rFonts w:ascii="Amiri" w:hAnsi="Amiri" w:eastAsia="Amiri" w:cs="Amiri"/>
          <w:color w:val="111111"/>
          <w:sz w:val="28"/>
          <w:sz w:val="28"/>
          <w:szCs w:val="28"/>
          <w:rtl w:val="true"/>
          <w:lang w:bidi="ar-SA"/>
        </w:rPr>
        <w:t>كاشفين عنه فأحدهما غير كاشف قطعاً، والآخر محتمل الكشف، وفي مثله، لا يستقل العقل بحفظ الخبرين مهما أمكن بخلاف الغريقين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لكن ادّعاء وجود الإطلاق في أدلّة حجّية خبر الواحد، افتراض محض حيث إنّها قاصرة عن الشمول لصورة التعارض</w:t>
      </w:r>
      <w:r>
        <w:rPr>
          <w:rFonts w:eastAsia="Amiri" w:cs="Amiri" w:ascii="Amiri" w:hAnsi="Amiri"/>
          <w:color w:val="111111"/>
          <w:sz w:val="28"/>
          <w:szCs w:val="28"/>
          <w:rtl w:val="true"/>
          <w:lang w:bidi="ar-SA"/>
        </w:rPr>
        <w:t>.</w:t>
      </w:r>
    </w:p>
    <w:p>
      <w:pPr>
        <w:pStyle w:val="Heading6"/>
        <w:numPr>
          <w:ilvl w:val="5"/>
          <w:numId w:val="1"/>
        </w:numPr>
        <w:rPr/>
      </w:pPr>
      <w:bookmarkStart w:id="986" w:name="__RefHeading___Toc7507582_3381743652"/>
      <w:bookmarkStart w:id="987" w:name="_Toc361"/>
      <w:bookmarkEnd w:id="986"/>
      <w:r>
        <w:rPr>
          <w:rtl w:val="true"/>
        </w:rPr>
        <w:t>المبحث الثاني في حجّية المتعارضين في نفي الثالث</w:t>
      </w:r>
      <w:bookmarkEnd w:id="987"/>
    </w:p>
    <w:p>
      <w:pPr>
        <w:pStyle w:val="BookText"/>
        <w:rPr/>
      </w:pPr>
      <w:r>
        <w:rPr>
          <w:rFonts w:ascii="Amiri" w:hAnsi="Amiri" w:eastAsia="Amiri" w:cs="Amiri"/>
          <w:color w:val="111111"/>
          <w:sz w:val="28"/>
          <w:sz w:val="28"/>
          <w:szCs w:val="28"/>
          <w:rtl w:val="true"/>
          <w:lang w:bidi="ar-SA"/>
        </w:rPr>
        <w:t>قد عرفت أنّ الأصل في المتعارضين على القول بحجّيتهما من باب الطريقية، هو التساقط، لكن يقع الكلام في اختصاص التساقط بالمدلول المطابقي أو يعمَّ المدلول الالتزامي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يحتج بهما في نفي الثالث دون الوجه الثاني، فلو كان هناك خبران متعارضان أحدهما يدل على أنّ نصاب الغوص دينار، و الآخر على أنّ نصابه عشرون ديناراً، فعلى الاختصاص يحتج بهما في نفي الثالث، أي نفي عدم اعتبار النصاب في الغوص أو كون نصابه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ذهب المحقّق الخراساني، و المحقّق النائيني وشيخ مشايخنا العلاّمة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الاختصاص وانّهما حجّتان في نفي الثالث، لكن المختار عندنا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محل الكلام فيما إذا لم يعلم صدق أحدهما، وإلّا فيكون العلم بصدق أحدهما دليلاً على نفي الثالث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 المحقّق الخراساني على مختاره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التعارض وإن كان لا يوجب إلّاسقوط أحد المتعارضين عن الحجّية رأساً حيث لا يوجب إلّاالعلم بكذب أحدهما، فلا يكون هناك مانع عن حجّية الآخر، إلّاأنّه حيث كان بلا تعيين ولا عنوان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لم يعلم كذبه إلّا كذلك وإن احتمل كذب كلّ واحد منهما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واحد منهما بحجّة في خصوص مؤدّاه لعدم التعيين في الحجة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يتحقّق نفي الثالث بأحدهما لبقائه على الحجّية، وصلاحيته على ما هو عليه من عدم التعيين لذلك لا بهما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الساقط عند التعارض واحد منهما وهو ما كان كاذباً، وأمّا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الصدق، فهو باق على حجّيته، لكن لمّا لم يكن متعيّناً، لا يحتجّ به على المدلول المطابقي، لتوقف الاحتجاج به على التعيّن، ولكن يحتج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إبهامه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المدلول الالتزامي، لعدم توقّف الاحتجاج به على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الحجّية في الأمارات من الأُمور الاعتبارية العقلائية التي يتوقف اعتبارها لأحد الخبرين غير المعيّن على ترتب الأثر، فعندئذٍ نسأل القائل، عما هو الحجّة عند التعارض؟</w:t>
      </w:r>
    </w:p>
    <w:p>
      <w:pPr>
        <w:pStyle w:val="BookText"/>
        <w:rPr/>
      </w:pPr>
      <w:r>
        <w:rPr>
          <w:rFonts w:ascii="Amiri" w:hAnsi="Amiri" w:eastAsia="Amiri" w:cs="Amiri"/>
          <w:color w:val="111111"/>
          <w:sz w:val="28"/>
          <w:sz w:val="28"/>
          <w:szCs w:val="28"/>
          <w:rtl w:val="true"/>
          <w:lang w:bidi="ar-SA"/>
        </w:rPr>
        <w:t>فهل الحجّة هو الواحد غير المعيّن ذهناً؟ فهو غير صالح لجعل الحجّية عليه أو الواحد غير المعيّن خارجاً، فهو غير متحقق خارجاً، أو الواحد المعيّن عند اللّه فليس ما عنده محتملاً لأحد الأمرين، فما عنده إمّا صادق قطعاً و إمّا كاذب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الحجّية من الأُمور العقلائية، و الغاية من جعلها هو الاحتجاج ولا معنى لجعلها لواحد لا يُلمس ولا يُرى ولا يُتعيّن عند المخاطب</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يحتج بالحجّة الإجمالية في باب العلم الإجمالي كما في الإناءين </w:t>
      </w:r>
    </w:p>
    <w:p>
      <w:pPr>
        <w:pStyle w:val="BookText"/>
        <w:rPr/>
      </w:pPr>
      <w:r>
        <w:rPr>
          <w:rFonts w:ascii="Amiri" w:hAnsi="Amiri" w:eastAsia="Amiri" w:cs="Amiri"/>
          <w:color w:val="111111"/>
          <w:sz w:val="28"/>
          <w:sz w:val="28"/>
          <w:szCs w:val="28"/>
          <w:rtl w:val="true"/>
          <w:lang w:bidi="ar-SA"/>
        </w:rPr>
        <w:t>المشتبهين؟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في المقيس عليه، متعيّنة بصورة كلية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 عن الدم وإنّما الإجمال في مصداق المتعلّق، و أين هو ممّا نحن فيه حيث إنّ الحجّة بأصلها غير متعيّنة؟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احتجّ المحقّق النائيني بأنّ المتعارضين يشاركان في نفي الثالث بالدلالة الالتزامية والتعارض إنّما هو في الدلالة المطابقية، فلا وجه لسقوط الأُولى منهما عن الحجّية، وتوهّم انّ الدلالة الالتزامية تابعة للمطابقية فاسد، لأنّ الأُولى فرع الثانية في الوجود لا في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مبني على الخلط بين الدلالة التصوّرية التي لا يتوقف حصولها على إرادة المتكلم والدلالة التصديقية التي تتوقف على إرادة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تتوقف الدلالة الالتزامية على وجود الدلالة المطابقية، لا على حجّيتها، فلو سمع الإنسان لفظ الحاتم من طائر كالببغاء، ينتقل إلى الجود والسخاء بخلاف الثانية فانّها متوقفة على ثبوت الإرادة في ناحية المعنى المطابقي، فانّ مفاد الدلالة الالتزامية فيها عبارة عن إرادة المتكلم المعنى اللازم لأجل وجود الملازمة بين الإرادتين، فإذا سقط المعنى المطابقي عن الحجّية ولم تثبت إرادة المتكلم الملزوم، فكيف تنسب إليه، إرادة المعنى اللازم؟</w:t>
      </w:r>
    </w:p>
    <w:p>
      <w:pPr>
        <w:pStyle w:val="BookText"/>
        <w:rPr/>
      </w:pPr>
      <w:r>
        <w:rPr>
          <w:rFonts w:ascii="Amiri" w:hAnsi="Amiri" w:eastAsia="Amiri" w:cs="Amiri"/>
          <w:color w:val="111111"/>
          <w:sz w:val="28"/>
          <w:sz w:val="28"/>
          <w:szCs w:val="28"/>
          <w:rtl w:val="true"/>
          <w:lang w:bidi="ar-SA"/>
        </w:rPr>
        <w:t>فبذلك تبيّن وجه ما هو المختار من عدم نهوض الخبرين ولا واحد منهما على نفي الثالث</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الخوئي قد أورد على أُستاذه بنقوض غير واردة قد أوردناها في الدورة الثالثة وأجبنا عنها فلاحظ</w:t>
      </w:r>
      <w:r>
        <w:rPr>
          <w:rFonts w:eastAsia="Amiri" w:cs="Amiri" w:ascii="Amiri" w:hAnsi="Amiri"/>
          <w:color w:val="111111"/>
          <w:sz w:val="28"/>
          <w:szCs w:val="28"/>
          <w:rtl w:val="true"/>
          <w:lang w:bidi="ar-SA"/>
        </w:rPr>
        <w:t>.</w:t>
      </w:r>
      <w:r>
        <w:rPr>
          <w:rStyle w:val="FootnoteAnchor"/>
          <w:rtl w:val="true"/>
        </w:rPr>
        <w:footnoteReference w:id="388"/>
      </w:r>
      <w:bookmarkStart w:id="988" w:name="pg14367_157481"/>
    </w:p>
    <w:p>
      <w:pPr>
        <w:pStyle w:val="Heading6"/>
        <w:numPr>
          <w:ilvl w:val="5"/>
          <w:numId w:val="1"/>
        </w:numPr>
        <w:rPr/>
      </w:pPr>
      <w:bookmarkStart w:id="989" w:name="__RefHeading___Toc7507584_3381743652"/>
      <w:bookmarkStart w:id="990" w:name="_Toc362"/>
      <w:bookmarkEnd w:id="988"/>
      <w:bookmarkEnd w:id="989"/>
      <w:r>
        <w:rPr>
          <w:rtl w:val="true"/>
        </w:rPr>
        <w:t>المبحث الثالث في بيان مقتضى الأصل على القول بالسببية</w:t>
      </w:r>
      <w:bookmarkEnd w:id="990"/>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تدل عليه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قول الثقة من باب الطريقية، ويحتمل أن يكون حجّة من باب السببيّة بمعنى انّ قيام الأمارة يحدث مصلحة إمّا في المؤدّى أو في سلوكها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ظهرت مذاهب في السببية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الأشاعرة، وهو انّ الموضوعات التي لم يرد فيها نصّ، ليس فيها واقع محفوظ</w:t>
      </w:r>
      <w:r>
        <w:rPr>
          <w:rFonts w:eastAsia="Amiri" w:cs="Amiri" w:ascii="Amiri" w:hAnsi="Amiri"/>
          <w:color w:val="111111"/>
          <w:sz w:val="28"/>
          <w:szCs w:val="28"/>
          <w:rtl w:val="true"/>
          <w:lang w:bidi="ar-SA"/>
        </w:rPr>
        <w:t>.</w:t>
      </w:r>
      <w:r>
        <w:rPr>
          <w:rStyle w:val="FootnoteAnchor"/>
          <w:rtl w:val="true"/>
        </w:rPr>
        <w:footnoteReference w:id="389"/>
      </w:r>
      <w:r>
        <w:rPr>
          <w:rFonts w:ascii="Amiri" w:hAnsi="Amiri" w:eastAsia="Amiri" w:cs="Amiri"/>
          <w:color w:val="111111"/>
          <w:sz w:val="28"/>
          <w:sz w:val="28"/>
          <w:szCs w:val="28"/>
          <w:rtl w:val="true"/>
          <w:lang w:bidi="ar-SA"/>
        </w:rPr>
        <w:t>وإنّما خُوِّّل الحكم الشرعي فيه على رأي المجتهد حسب ضوء القواعد الشرعية، وعلى ذلك يكون المجتهد في فتواه مصيباً على كلّ تقدير لا مخطئاً، لأنّ الخطأ إنّما يتصوّر فيما إذا كان هناك واقع محفوظ والمفروض خلافه، ومعنى ذلك انّ قيام الأمارة كالخبر الواحد والقياس والاستحسان وسدّ الذرائع وغيرها تحدث مصلحة في المؤدّى ويترتب عليه جعل الحكم الشرعي على وفق المؤدّى</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والسببية بهذا المعنى باطلة لاستلزامها الدور، وذلك لأنّ الجهد والاستنباط يتوقف على وجود الحكم الواقعي في مظانّه ليكون بذل الجهد طريقاً للوصول إليه، </w:t>
      </w:r>
    </w:p>
    <w:p>
      <w:pPr>
        <w:pStyle w:val="BookText"/>
        <w:rPr/>
      </w:pPr>
      <w:r>
        <w:rPr>
          <w:rFonts w:ascii="Amiri" w:hAnsi="Amiri" w:eastAsia="Amiri" w:cs="Amiri"/>
          <w:color w:val="111111"/>
          <w:sz w:val="28"/>
          <w:sz w:val="28"/>
          <w:szCs w:val="28"/>
          <w:rtl w:val="true"/>
          <w:lang w:bidi="ar-SA"/>
        </w:rPr>
        <w:t>والمفروض انّ الحكم الواقعي من نتاج الاستنباط أو قيام الأمارة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حكماً مشتركاً بين العالم والجاهل مطلقاً ولا يختص الحكم المشترك بما ورد فيه الكتاب والسنّة غير انّه إذا قامت الأمارة على خلاف الواقع تحدث مصلحة في المؤدّى وينقلب الواقع عمّا هو عليه إلى مؤدّى الأمارة فيكون مفادها حكماً واقعياً قائماً مقام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التصويب المنسوب إلى المعتزلة، وهو أيضاً باطل، لأنّ المفروض انّ التشريع مختص باللّه سبحانه دون أن يشاركه المجتهد في هذه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تضافر الأخبار على وجود الحكم المشترك بين العالم والجاهل مطلقاً سواء أقامت الأمارة على خلافه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حكماً واقعياً مشتركاً بين العالم والجاهل محفوظاً مطلقاً سواء أقامت الأمارة عليه أو لا، وسواء كان مؤدّى الأمارة موافقاً له أم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كان الأمر بالعمل بالأمارة فيما إذا أخطأت سبباً لتفويت المصلحة أو الوقوع في المفسدة وهو أمر قبيح حاول الشيخ الأنصاري لدفع الإشكال المذكور بإحداث القول بالسببيّة السلوكيّة، وهي انّ في سلوك الأمارة والعمل وفقها جبراً للمصلحة الفائتة أو المفسدة الواردة، وليس لهذه المصلحة دور سوى الجبر والتدارك من دون جعل حكم على وفقها، والسببية بهذا المعنى نسبها الشيخ إلى الإمامية، وقد فصّل الكلام فيها في حجّية الظن، وتبعه المحقّق النائيني في تقريراته، فلاحظ</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الشيخ الأنصاري في هذا الباب وهو انّ السببية السلوكية تكون سبباً لجعل حكم ظاهري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واقعي حتى يلزم التصويب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بأنّ العمل بالخبرين من باب السببية بأن يكون قيام الخبر على </w:t>
      </w:r>
    </w:p>
    <w:p>
      <w:pPr>
        <w:pStyle w:val="BookText"/>
        <w:rPr/>
      </w:pPr>
      <w:r>
        <w:rPr>
          <w:rFonts w:ascii="Amiri" w:hAnsi="Amiri" w:eastAsia="Amiri" w:cs="Amiri"/>
          <w:color w:val="111111"/>
          <w:sz w:val="28"/>
          <w:sz w:val="28"/>
          <w:szCs w:val="28"/>
          <w:rtl w:val="true"/>
          <w:lang w:bidi="ar-SA"/>
        </w:rPr>
        <w:t>وجوب شيء واقعاً سبباً شرعياً لوجوبه، ظاهراً على المكلّف، يصير المتعارضان من باب السببين المتزاحمين إلى آخر ما ذكره، فعلى ما ذكره تكون ملازمة بين حجّية الأخبار من باب السببية وكون المتعارضين من باب المتزاحمين مطلقاً فيتبعه كون الأصل في الخبرين المتعارضين هو التخيير</w:t>
      </w:r>
      <w:r>
        <w:rPr>
          <w:rFonts w:eastAsia="Amiri" w:cs="Amiri" w:ascii="Amiri" w:hAnsi="Amiri"/>
          <w:color w:val="111111"/>
          <w:sz w:val="28"/>
          <w:szCs w:val="28"/>
          <w:rtl w:val="true"/>
          <w:lang w:bidi="ar-SA"/>
        </w:rPr>
        <w:t>.</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وهذا النوع من السببية أمر جديد من الشيخ، ولذلك اشتهر بعدها القول بالحكم الظاهري، وكأنّ لنا حكمين أحدهما واقعي والآخر ظاهري، ولكن الحقّ انّه ليس للأمارة دور سوى الإيصال إلى الواقع، فإن وافقت فيكون المؤدّى نفس الواقع، وإلّا تكون معذّرة من دون أن تستعقب جعل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اتضح ذلك فلنذكر حكم مقتضى القاعدة على القول بالسببية، فهناك أقوال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دخولهما تحت المتزاحمين، كما عليه الشيخ الأعظم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صور التعارض، كما عليه المحقّق الخراساني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دخولهما تحت المتزاحمين مطلقاً، وهو المختار وإليك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الشيخ إلى أنّ مقتضى القاعدة على القول بالسببية هو التخيير،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بالتخيير ثابت على تقدير كون العمل بالخبرين من باب السببية بأن يكون قيام الخبر على وجوب شيء واقعاً سبباً شرعياً لوجوبه ظاهراً على المكلّف، فيصير المتعارضان من قبيل السببين المتزاحمين فيلغى أحدهما مع وجود السببية فيه لاعمال الآخر كما في كلّ واجبين متزاحمين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الأولى أن يقول بالتخيير عند مساواة الملاك والأخذ بالأهم إذا كان </w:t>
      </w:r>
    </w:p>
    <w:p>
      <w:pPr>
        <w:pStyle w:val="BookText"/>
        <w:rPr/>
      </w:pPr>
      <w:r>
        <w:rPr>
          <w:rFonts w:ascii="Amiri" w:hAnsi="Amiri" w:eastAsia="Amiri" w:cs="Amiri"/>
          <w:color w:val="111111"/>
          <w:sz w:val="28"/>
          <w:sz w:val="28"/>
          <w:szCs w:val="28"/>
          <w:rtl w:val="true"/>
          <w:lang w:bidi="ar-SA"/>
        </w:rPr>
        <w:t>الملاك في أحدهما أقوى من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المحقّق الخراساني إلى التفصيل بين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السببية المقتضية للحجّية مختصة بما إذا لم يعلم كذب الخبر لا تفصيلاً ولا إجمالاً، يكون مقتضى القاعدة هو التساقط لفقدان الشرط، وهو عدم العلم بكذب أحد الخبرين، فتخرج هذه الصورة من أقسام السببية وتدخل في 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هذه الصورة أشار المحقّق الخراساني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الحجّة خصوص مالم يعلم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بأنّ المقتضي للحجّية هو مطلق الخبر وإن علم كذب أحدهما إجمالاً، فيكون المتعارضان من باب تزاحم الواجبين، سواء أدّيا إلى وجوب الضدين كما إذا دلّ أحدهما على وجوب الحركة والآخر على وجوب السكون، أو إلى لزوم المتناقضين كما إذا دلّ أحدهما على وجوب الشيء والآخر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دلّ أحدهما على الوجوب والآخر على حكم غير إلزامي كالإباحة، فقد ذهب المحقّق الخراساني إلى عدم التزاحم ضرورة عدم صلاحية مالا اقتضاء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يزاحم ما فيه الاقتضاء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كالوجوب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وإلى هذه الصورة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فيما إذا كان مؤدّى أحدهما حكماً غير إلزامي</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الإباحة بمعنى عدم الاقتضاء لحكم من الأحكام، وأمّا لو كانت الإباحة عن اقتضاء بأن كانت المصلحة مقتضية للتساوي بحيث تكون الإباحة عن اقتضاء التساوي لا عن عدم الاقتضاء فيزاحم حينئذٍ ما يقتضي الإلزام، فيتعامل معهما معاملة المتزاحمين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موضوع المصلحة مؤدّى الأمارة، وأمّا لو كان موضوعها هو الإلزام القلبي بكلّ من التكليفين بأن يجب الالتزام بالوجوب كما يجب الالتزام بالإباحة، فتدخل في باب المتزاحمين ضرورة عدم إمكان الالتزام بحكمين في موضوع واحد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الصورة التي ذكرها المحقّق الخراساني فأدخل بعضها في التزاحم وأخرج بعضها الآخر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على كلامه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المصلحة السلوكية بالخبر الذي يحتجّ به،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المعارض، لا بالخبرين المتعارضين اللّذين لا يحتج بهما حسب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انطباق حدّ التزاحم على الصور التي جعلها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بيان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معنى المصلحة السلوكية مختصة بالخبر غير المعارض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الخبرين المتعارضين، ويعلم ذلك من الدافع الذي دفع الشيخ إلى تصويره حيث إنّ الشارع أمر بالعمل بالأمارة مطلقاً مع أنّها ربما تخطأ في بعض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مستلزمة لتفويت المصلحة أو الوقوع في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دفع الشيخ إلى التخلّص عنه بتصوير المصلحة السلوكية الجابرة، وعلى ذلك فالمصلحة السلوكية لها إطار ضيق لا يعم إلّاالخبر غير المعارض الذي أمر الشارع بالعمل به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الخبران المتعارضان فالمفروض عدم حجّيتهما، لما دلّت المنفصلة السابقة على عدم صحة الاحتجاج بهما، وذلك لأنّ التعبّد بهما تعبّد بأمرين مختلفين في </w:t>
      </w:r>
    </w:p>
    <w:p>
      <w:pPr>
        <w:pStyle w:val="BookText"/>
        <w:rPr/>
      </w:pPr>
      <w:r>
        <w:rPr>
          <w:rFonts w:ascii="Amiri" w:hAnsi="Amiri" w:eastAsia="Amiri" w:cs="Amiri"/>
          <w:color w:val="111111"/>
          <w:sz w:val="28"/>
          <w:sz w:val="28"/>
          <w:szCs w:val="28"/>
          <w:rtl w:val="true"/>
          <w:lang w:bidi="ar-SA"/>
        </w:rPr>
        <w:t>زمان واحد، والتعبّد بأحدهما المعيّن ترجيح بلا مرجّح وبأحدهما المفهومي لا معنى له، وبأحدهما المصداقي لا 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النتيجة عدم صحّة الاحتجاج بالمتعارضين، ومعه كيف يمكن تصوير المصلحة السلوكية فيهما، التي تختص بالخبر الذي أمر الشارع بالعمل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عرفت أنّ التزاحم عبارة عن عدم الاحتكاك والتدافع في مقام الجعل والملاك وإنّما يرجع التدافع إلى ظرف العمل والامتثال، فإذا كان هذا حد التزاحم، فكيف ينطبق ذلك التعريف على الموارد الثلاثة التي جعلها من أقسام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الخبران المؤدّيان إلى وجوب الضدين أو لزوم المتناقضين، والمفروض انّ التدافع قائم على قدم وساق في كلتا الصورتين، فإذا دلّ أحدهما على وجوب الحركة والآخر على وجوب السكون في زمان واحد، فهما يتكاذبان في الجعل والإنشاء، كما أنّ بينهما تدافعاً في محل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دلّ أحد الخبرين على الوجوب والآخر على الإباحة عن اقتضاء، فقد جعله المحقّق من قبيل المتزاحمين مع عدم انطباق تعريفهما على المورد لوجود التدافع في مقام الجعل أوّلاً والملاك ثانياً، فالوجوب يكذب الإباحة وبالعكس، كما أنّ كونه واجباً بمعنى وجود المصلحة الملزمة في الفعل وكونه مباحاً بمعنى عدم وجود المصلحة الملزمة في الفعل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موضوع المصلحة هو الالتزام القلبي، فكيف يدخل في باب المتزاحمين، وذلك لاستلزامه التدافع في مقام الجعل فإيجاب الالتزام القلبي بالوجوب يطارده وجوب الالتزام القلبي بالحرمة</w:t>
      </w:r>
      <w:r>
        <w:rPr>
          <w:rFonts w:eastAsia="Amiri" w:cs="Amiri" w:ascii="Amiri" w:hAnsi="Amiri"/>
          <w:color w:val="111111"/>
          <w:sz w:val="28"/>
          <w:szCs w:val="28"/>
          <w:rtl w:val="true"/>
          <w:lang w:bidi="ar-SA"/>
        </w:rPr>
        <w:t xml:space="preserve">. </w:t>
      </w:r>
      <w:bookmarkStart w:id="991" w:name="pg14367_157487"/>
    </w:p>
    <w:p>
      <w:pPr>
        <w:pStyle w:val="BookText"/>
        <w:rPr/>
      </w:pPr>
      <w:bookmarkEnd w:id="991"/>
      <w:r>
        <w:rPr>
          <w:rFonts w:ascii="Amiri" w:hAnsi="Amiri" w:eastAsia="Amiri" w:cs="Amiri"/>
          <w:color w:val="111111"/>
          <w:sz w:val="28"/>
          <w:sz w:val="28"/>
          <w:szCs w:val="28"/>
          <w:rtl w:val="true"/>
          <w:lang w:bidi="ar-SA"/>
        </w:rPr>
        <w:t>فقد ظهر ممّا ذكرنا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المصلحة السلوكية مختصة بالخبر غير المعارض ولا تعمّ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 التزاحم لا ينطبق على الصور الثلاث التي جعلها من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المذهب المختار في الخبرين المتعارضين على القول بالسببية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والذي يسهل الخطب عدم ترتب ثمرة مهمة على هذا البحث، لأنّ القول بالسببية افتراض عقلي لا دليل عليه</w:t>
      </w:r>
      <w:r>
        <w:rPr>
          <w:rFonts w:eastAsia="Amiri" w:cs="Amiri" w:ascii="Amiri" w:hAnsi="Amiri"/>
          <w:color w:val="111111"/>
          <w:sz w:val="28"/>
          <w:szCs w:val="28"/>
          <w:rtl w:val="true"/>
          <w:lang w:bidi="ar-SA"/>
        </w:rPr>
        <w:t>.</w:t>
      </w:r>
    </w:p>
    <w:p>
      <w:pPr>
        <w:pStyle w:val="Heading6"/>
        <w:numPr>
          <w:ilvl w:val="5"/>
          <w:numId w:val="1"/>
        </w:numPr>
        <w:rPr/>
      </w:pPr>
      <w:bookmarkStart w:id="992" w:name="__RefHeading___Toc7507586_3381743652"/>
      <w:bookmarkStart w:id="993" w:name="_Toc363"/>
      <w:bookmarkEnd w:id="992"/>
      <w:r>
        <w:rPr>
          <w:rtl w:val="true"/>
        </w:rPr>
        <w:t>المبحث الرابع مقتضى القاعدة الثانوية في المتعارضين</w:t>
      </w:r>
      <w:bookmarkEnd w:id="993"/>
    </w:p>
    <w:p>
      <w:pPr>
        <w:pStyle w:val="BookText"/>
        <w:rPr/>
      </w:pPr>
      <w:r>
        <w:rPr>
          <w:rFonts w:ascii="Amiri" w:hAnsi="Amiri" w:eastAsia="Amiri" w:cs="Amiri"/>
          <w:color w:val="111111"/>
          <w:sz w:val="28"/>
          <w:sz w:val="28"/>
          <w:szCs w:val="28"/>
          <w:rtl w:val="true"/>
          <w:lang w:bidi="ar-SA"/>
        </w:rPr>
        <w:t>قد عرفت أنّ مقتضى القاعدة الأوّلية في المتعارضين هو التساقط، على كلا المسلكين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الطريقية والسببية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ويقع الكلام في المقام في مقتضى القاعدة الثانوية، وانّه هل ورد دليل يخالف مقتضى القاعدة الأوّلية أو لا؟ فعلى الأوّل يؤخذ بمقتضى الدليل الوارد، وقد ذهب الأصحاب إلى عدم سقوط الخبرين من رأس اعتماداً على روايات وردت عنهم عليهم السلام تشهد على عدم سقوطهما من رأس، ولكنّها مع التأكيد على ذلك يختلفان في جهات أُخرى، ولذلك تشعبت الروايات إلى طوائف ثلاث</w:t>
      </w:r>
      <w:r>
        <w:rPr>
          <w:rFonts w:eastAsia="Amiri" w:cs="Amiri" w:ascii="Amiri" w:hAnsi="Amiri"/>
          <w:color w:val="111111"/>
          <w:sz w:val="28"/>
          <w:szCs w:val="28"/>
          <w:rtl w:val="true"/>
          <w:lang w:bidi="ar-SA"/>
        </w:rPr>
        <w:t xml:space="preserve">: </w:t>
      </w:r>
      <w:bookmarkStart w:id="994" w:name="pg14367_157488"/>
    </w:p>
    <w:p>
      <w:pPr>
        <w:pStyle w:val="Heading6"/>
        <w:numPr>
          <w:ilvl w:val="5"/>
          <w:numId w:val="1"/>
        </w:numPr>
        <w:rPr/>
      </w:pPr>
      <w:bookmarkStart w:id="995" w:name="__RefHeading___Toc7507588_3381743652"/>
      <w:bookmarkStart w:id="996" w:name="_Toc364"/>
      <w:bookmarkEnd w:id="994"/>
      <w:bookmarkEnd w:id="995"/>
      <w:r>
        <w:rPr>
          <w:rtl w:val="true"/>
        </w:rPr>
        <w:t>الطائفة الأُولى</w:t>
      </w:r>
      <w:r>
        <w:rPr>
          <w:rtl w:val="true"/>
        </w:rPr>
        <w:t xml:space="preserve">: </w:t>
      </w:r>
      <w:r>
        <w:rPr>
          <w:rtl w:val="true"/>
        </w:rPr>
        <w:t>ما يدل على التخيير</w:t>
      </w:r>
      <w:bookmarkEnd w:id="996"/>
    </w:p>
    <w:p>
      <w:pPr>
        <w:pStyle w:val="BookText"/>
        <w:rPr/>
      </w:pPr>
      <w:r>
        <w:rPr>
          <w:rFonts w:ascii="Amiri" w:hAnsi="Amiri" w:eastAsia="Amiri" w:cs="Amiri"/>
          <w:color w:val="111111"/>
          <w:sz w:val="28"/>
          <w:sz w:val="28"/>
          <w:szCs w:val="28"/>
          <w:rtl w:val="true"/>
          <w:lang w:bidi="ar-SA"/>
        </w:rPr>
        <w:t>إنّ هنا لفيفاً من الروايات تدلّ على أنّ المرجع عند التعارض بين الخبرين في مقام العمل، وقد ادّعى الشيخ تواترها في الفرائد، ومع ذلك ذهب المحقّق الخوئي إلى أنّ التخيير عند فقد المرجح ممّا لا دليل عليه، بل عمل الأصحاب في الفقه على خلافه، فانّا لم نجد مورداً أفتى فيه بالتخيير واحد منهم</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وكان سيدنا الأُستاذ يقول بتضافر الروايات الدالة على التخيير، وقد ظفرنا بروايات ثمان في هذا الصدد، ولكن أكثرها لا تخلو من ليت و لعل، حيث إنّ بعضها واردة في المستحبات، إلى أُخرى غير ظاهرة في المتعارضين، إلى ثالثة ضعيفة السند، وإليك نقل ما عثرنا عليه مع هذه الجهات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الحسن بن 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 على كتاب اللّه عزّ وجلّ وأحاديثنا، فإن كان يشبههما فهو منّا، وإن لم يكن يشبهها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يجيئنا الرجلان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بحديثين مختلفين، ولا نعلم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وروى صدره العياشي عن الحسن بن الجهم، عن العبد الصالح</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التخيير بعد فقد الترجيح والمطلوب هو إثبات التخيير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هو ثبوت التخيير على وجه الإجمال ولا مانع من تخصيص ما دلّ عليه بالروايات الدالّة على الترجيح بالمرجِّحات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حجّة على خلاف ما اختاره المحقّق الخوئي حيث حكم بالتخيير عند فقد المرجّح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الحارث بن المغيرة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 حتى ترى القائم عليه السلام فترد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وربما يقال بأنّ الحديث ناظر إلى حجّية قول الثقة وليس بناظر إلى الحديثين المختلفين، 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الحديث ناظر إلى الخبرين المتعارضين بشهادة انّ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ورد في الحديث المتقدم الذي مورده هو تعارض الخبرين، كما أنّه ورد أيضاً في حديث علي بن مهزيار الآتي ومورده أيضاً الخبران المتعارضان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تناسب حجّية الخبرين المتعارضين، وأمّا الخبر الواحد فهو حجّة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فكلّهم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فاشتراط وثاقة الجميع، لأجل تعدّد الروايات، وإلّا فلو كانت الرواية واحدة لا يشترط فيه سوى وثاقة راويها، لا وثاقة جميع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الشيخ في التهذيب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لعبد اللّه بن محمد إلى أبي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رواياتهم عن أبي عبد اللّه عليه السلام في ركعتي الفجر في السفر، فروى بعضهم صلّها في المحمل، وروى</w:t>
      </w:r>
    </w:p>
    <w:p>
      <w:pPr>
        <w:pStyle w:val="BookText"/>
        <w:rPr/>
      </w:pPr>
      <w:r>
        <w:rPr>
          <w:rFonts w:ascii="Amiri" w:hAnsi="Amiri" w:eastAsia="Amiri" w:cs="Amiri"/>
          <w:color w:val="111111"/>
          <w:sz w:val="28"/>
          <w:sz w:val="28"/>
          <w:szCs w:val="28"/>
          <w:rtl w:val="true"/>
          <w:lang w:bidi="ar-SA"/>
        </w:rPr>
        <w:t>بعضهم لا تصلّها إلّاعلى الأرض؟ 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ولكن موردها هو النافلة، لأنّ ركعتي الفجر كناية عن نافلة الفجر، فالتخيير في المستحبات بين الخبرين لا يكون دليلاً على التخيير في غيرها، ومع ذلك يحتمل أن يكون المراد نفس 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المحقّق الخوئي أنّ التخيير في الرواية تخيير واقعي وليس تخييراً ظاهرياً بمعنى جواز العمل بالخبرين، وذلك لأنّه لو كان الحكم الواقعي غيره كان عليه البيان لا الحكم بالتخيير بين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مخالف لظاهر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ظاهر في الجواب عن المسألة الأُصولية، وأمّا لماذا لم يُجب بالحكم الواقعي واكتفى بالحكم الظاهري، وهو جواز العمل بالروايتين فليس وجهه بمعلوم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الطبرسي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في جواب مكاتبة محمد بن عبد اللّه بن جعفر الحميري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صاحب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أدام اللّه عزّك يسألني بعض الفقهاء عن المصلّي إذا قام من التشهد الأوّل إلى الركعة الثالثة هل يجب عليه أن يكبّر، فانّ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عليه التكبير ويجزيه أن يقول بحول اللّه وقوّته أقوم وأقعد؟ </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والده،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فعرّفه النجاشي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القمي، شيخ القميّين ووجههم قدم الكوفة سنة نيف وتسعين ومائتين وسمع أهلها منه فأكثروا، فهو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أحدهما فانّه إذا انتقل من حالة إلى أُخرى فعليه التكبير، وأمّا الآخر فانّه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رفع رأسه من السجدة الثانية، وكبّر، ثمّ جلس ثمّ قام فليس عليه في القيام بعد القعود تكبير، وكذلك التشهد الأوّل يجري هذا المجرى، 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ودلالة الحديث على التخيير بين الخبرين المتعارضين فرع كون السؤال عن المسألة الأُصولية والإجابة على وفقها، وأمّا لو كان السؤال عن حكم الواقعة وكان الجواب لبيان حكم الواقعة فلا يكون دليلاً على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سيدنا الأُستاذ إلى الثاني، ولكن القرائن تشهد على الأوّل وذلك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كان السؤال عن حكم الواقعة وكان الجواب لبيان حكمها كان على الإمام تخصيص الرواية الأُولى بالثانية، لأنّ نسبة الثانية إلى الأوّل نسبة المخصص إلى العام، وهذا يدل على أنّ الإمام لم يكن بصدد بيان الحكم الواقعي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الإمام بصدد بيان الحكم الواقعي، لما كان هناك أي‌ملزم لبيان انّه وردت هناك روايتان إحداهما كذا والأُخرى كذا، بل كان عليه أن يفتي بالحكم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الخبرين المختلفين كما عرفت في رواية الحسن بن الجهم وعلي بن مهزيار، فيكون قرينة على أنّ الغرض هو بيان حكم المسألة الأُصولية</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الاستدلال بالرواية بأنّ موردها هو المستحبّات والتخيير فيها </w:t>
      </w:r>
    </w:p>
    <w:p>
      <w:pPr>
        <w:pStyle w:val="BookText"/>
        <w:rPr/>
      </w:pPr>
      <w:r>
        <w:rPr>
          <w:rFonts w:ascii="Amiri" w:hAnsi="Amiri" w:eastAsia="Amiri" w:cs="Amiri"/>
          <w:color w:val="111111"/>
          <w:sz w:val="28"/>
          <w:sz w:val="28"/>
          <w:szCs w:val="28"/>
          <w:rtl w:val="true"/>
          <w:lang w:bidi="ar-SA"/>
        </w:rPr>
        <w:t>بين الخبرين لا يكون دليلاً عليه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الصدوق في عيون الأخبار عن أحمد بن الحسن الميثمي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انّه سأل الرضا عليه السلام يوماً،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 ومالم يكن في الكتاب فاعرضوه على سنن رسول اللّه صلى الله عليه و آله و سلم، فما كان في السنّة موجوداً منهياً عنه نهي حرام، و مأموراً به عن رسول اللّه صلى الله عليه و آله و سلم أمر إلزام، فاتّبعوا ما وافق نهي رسول اللّه صلى الله عليه و آله و سلم وأمره، وما كان في السنّة نهي إعافة أو كراهة، ثمّ كان الخبر الأخير خلافه، فذلك رخصة فيما عافه رسول اللّه صلى الله عليه و آله و سلم وكرهه، ولم يحرِّمه، فذلك الذي يسع الأخذ بهما جميعاً، وبأيّهما شئت وسعك الاختيار من باب التسليم والاتّباع والردّ إلى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في المقام بين ترك المكروه وفعله والمستحب تركه، فيكون التخيير فيه تخييراً واقعياً راجعاً إلى حكم الواقعة، ويشهد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في السنّة نهي إعافة أو كراهة ثمّ كان الخبر الآخر خلافه فذلك رخصة فيما عافه رسول اللّه صلى الله عليه و آله و سلم وكرهه ولم يحرمه فذلك الذي يسع الأخذ بهما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بخروج الرواية عن محطّ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في ذيل حديث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سيوافيك في الطائفة</w:t>
      </w:r>
    </w:p>
    <w:p>
      <w:pPr>
        <w:pStyle w:val="BookText"/>
        <w:rPr/>
      </w:pPr>
      <w:r>
        <w:rPr>
          <w:rFonts w:ascii="Amiri" w:hAnsi="Amiri" w:eastAsia="Amiri" w:cs="Amiri"/>
          <w:color w:val="111111"/>
          <w:sz w:val="28"/>
          <w:sz w:val="28"/>
          <w:szCs w:val="28"/>
          <w:rtl w:val="true"/>
          <w:lang w:bidi="ar-SA"/>
        </w:rPr>
        <w:t>الآمرة بالتوقّف حيث قال الكليني، 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والظاهر انّها ليست رواية مستقلة، بل هي نفس رواية محمد بن عبد اللّه بن جعفر الحميري بتبديل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والنفساء تدع الصلاة أكثره مثل أيّام حيضها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ثمانية عشر يوماً، وروي ثلاثة وعشرين يوماً، وبأيّ هذه الأحاديث أخذ من باب التسليم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والحديث يصلح للتأييد لا للتأسيس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العلاّمة،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للعامة أو مخالفان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فخذ ما فيه الحائطة لدينك، واترك ما خالف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وتأخذ به وتدع الآخر</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يلاحظ على الرواية بأنّها من المراسيل التي لا يقام لها وزن حيث رواه صاحب المستدرك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ألّفه 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أنّ التعبير عن الخبرين المختلفين بالمتعارضين اصطلاح جديد </w:t>
      </w:r>
      <w:bookmarkStart w:id="997" w:name="pg14367_157494"/>
    </w:p>
    <w:p>
      <w:pPr>
        <w:pStyle w:val="BookText"/>
        <w:rPr/>
      </w:pPr>
      <w:bookmarkEnd w:id="997"/>
      <w:r>
        <w:rPr>
          <w:rFonts w:ascii="Amiri" w:hAnsi="Amiri" w:eastAsia="Amiri" w:cs="Amiri"/>
          <w:color w:val="111111"/>
          <w:sz w:val="28"/>
          <w:sz w:val="28"/>
          <w:szCs w:val="28"/>
          <w:rtl w:val="true"/>
          <w:lang w:bidi="ar-SA"/>
        </w:rPr>
        <w:t xml:space="preserve">بين الفقهاء ولم يكن له ذكر في أحاديث أئمّة أهل البيت عليهم السلام وإنّما الوارد في كلماتهم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يدل على التخيير قليل جداً وأوضحها هو رواية الحسن بن الجهم ثمّ الحارث بن المغيرة مع ما في الضعف في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المجموع من حيث المجموع كاف في إثبات المطلوب</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7507590_3381743652"/>
      <w:bookmarkStart w:id="999" w:name="_Toc365"/>
      <w:bookmarkEnd w:id="998"/>
      <w:r>
        <w:rPr>
          <w:rtl w:val="true"/>
        </w:rPr>
        <w:t>الطائفة الثانية</w:t>
      </w:r>
      <w:r>
        <w:rPr>
          <w:rtl w:val="true"/>
        </w:rPr>
        <w:t xml:space="preserve">: </w:t>
      </w:r>
      <w:r>
        <w:rPr>
          <w:rtl w:val="true"/>
        </w:rPr>
        <w:t>ما يدل على التوقّف</w:t>
      </w:r>
      <w:bookmarkEnd w:id="999"/>
    </w:p>
    <w:p>
      <w:pPr>
        <w:pStyle w:val="BookText"/>
        <w:rPr/>
      </w:pPr>
      <w:r>
        <w:rPr>
          <w:rFonts w:ascii="Amiri" w:hAnsi="Amiri" w:eastAsia="Amiri" w:cs="Amiri"/>
          <w:color w:val="111111"/>
          <w:sz w:val="28"/>
          <w:sz w:val="28"/>
          <w:szCs w:val="28"/>
          <w:rtl w:val="true"/>
          <w:lang w:bidi="ar-SA"/>
        </w:rPr>
        <w:t>هناك طائفة من الروايات تدلّ على أنّ الأصل في الخبرين المتعارضين هو التوقّف إلى أن يلتقي الإمام عليه السلام، وإليك 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صاحب الاحتجاج عن سماعة بن مهران، عن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نعمل بواحد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وحدة الحديثين لوحدة الراوي عن الإمام وإن اشتمل الحديث الثاني على زيادة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الكليني عن عمر بن حنظلة</w:t>
      </w:r>
      <w:r>
        <w:rPr>
          <w:rStyle w:val="FootnoteAnchor"/>
          <w:rtl w:val="true"/>
        </w:rPr>
        <w:footnoteReference w:id="401"/>
      </w:r>
      <w:r>
        <w:rPr>
          <w:rFonts w:ascii="Amiri" w:hAnsi="Amiri" w:eastAsia="Amiri" w:cs="Amiri"/>
          <w:color w:val="111111"/>
          <w:sz w:val="28"/>
          <w:sz w:val="28"/>
          <w:szCs w:val="28"/>
          <w:rtl w:val="true"/>
          <w:lang w:bidi="ar-SA"/>
        </w:rPr>
        <w:t>في مقبولته المعروفة عند ما يفترض الراوي مساواة الخبرين في المرجّحات، فأجاب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ذلك فارجئه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صاحب السرائر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محمد بن علي ابن عيسى</w:t>
      </w:r>
      <w:r>
        <w:rPr>
          <w:rStyle w:val="FootnoteAnchor"/>
          <w:rtl w:val="true"/>
        </w:rPr>
        <w:footnoteReference w:id="403"/>
      </w:r>
      <w:r>
        <w:rPr>
          <w:rFonts w:ascii="Amiri" w:hAnsi="Amiri" w:eastAsia="Amiri" w:cs="Amiri"/>
          <w:color w:val="111111"/>
          <w:sz w:val="28"/>
          <w:sz w:val="28"/>
          <w:szCs w:val="28"/>
          <w:rtl w:val="true"/>
          <w:lang w:bidi="ar-SA"/>
        </w:rPr>
        <w:t>كتب إلى الإمام الهادي عليه السلام يسأله عن العلم المنقول إلينا عن آبائك وأجدادك وقد اختلف علينا فيه، فكيف العمل به على اختلافه، أو الردّ إليك فيما اختلف فيه؟</w:t>
      </w:r>
    </w:p>
    <w:p>
      <w:pPr>
        <w:pStyle w:val="BookText"/>
        <w:rPr/>
      </w:pPr>
      <w:r>
        <w:rPr>
          <w:rFonts w:ascii="Amiri" w:hAnsi="Amiri" w:eastAsia="Amiri" w:cs="Amiri"/>
          <w:color w:val="111111"/>
          <w:sz w:val="28"/>
          <w:sz w:val="28"/>
          <w:szCs w:val="28"/>
          <w:rtl w:val="true"/>
          <w:lang w:bidi="ar-SA"/>
        </w:rPr>
        <w:t>فكتب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فألزموه، وما لم تعلموا فردّوه إلينا</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وروى صاحب المستدرك عن محمد بن علي بن عيسى القمي ما يقرب من هذا</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صاحب غوالي اللآلي في مرسلة عن العلاّمة، عن زرارة عند ما يفترض الراوي مساواة الروايتين في المرجحات،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فأرجه حتى تلقى إمامك فتسأله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1000" w:name="pg14367_157496"/>
    </w:p>
    <w:p>
      <w:pPr>
        <w:pStyle w:val="BookText"/>
        <w:rPr/>
      </w:pPr>
      <w:bookmarkEnd w:id="1000"/>
      <w:r>
        <w:rPr>
          <w:rFonts w:ascii="Amiri" w:hAnsi="Amiri" w:eastAsia="Amiri" w:cs="Amiri"/>
          <w:color w:val="111111"/>
          <w:sz w:val="28"/>
          <w:sz w:val="28"/>
          <w:szCs w:val="28"/>
          <w:rtl w:val="true"/>
          <w:lang w:bidi="ar-SA"/>
        </w:rPr>
        <w:t>إلى هنا تمّ ما وقفنا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ورد الأمر بالتوقّف في حديث جابر عن أبي جعفر عليه السلام لكن مورده هو تشابه الحديث بين المعنيين لا الخبرين المتعارضين، فلاحظ</w:t>
      </w:r>
      <w:r>
        <w:rPr>
          <w:rFonts w:eastAsia="Amiri" w:cs="Amiri" w:ascii="Amiri" w:hAnsi="Amiri"/>
          <w:color w:val="111111"/>
          <w:sz w:val="28"/>
          <w:szCs w:val="28"/>
          <w:rtl w:val="true"/>
          <w:lang w:bidi="ar-SA"/>
        </w:rPr>
        <w:t>.</w:t>
      </w:r>
      <w:r>
        <w:rPr>
          <w:rStyle w:val="FootnoteAnchor"/>
          <w:rtl w:val="true"/>
        </w:rPr>
        <w:footnoteReference w:id="406"/>
      </w:r>
    </w:p>
    <w:p>
      <w:pPr>
        <w:pStyle w:val="Heading6"/>
        <w:numPr>
          <w:ilvl w:val="5"/>
          <w:numId w:val="1"/>
        </w:numPr>
        <w:rPr/>
      </w:pPr>
      <w:bookmarkStart w:id="1001" w:name="__RefHeading___Toc7507592_3381743652"/>
      <w:bookmarkStart w:id="1002" w:name="_Toc366"/>
      <w:bookmarkEnd w:id="1001"/>
      <w:r>
        <w:rPr>
          <w:rtl w:val="true"/>
        </w:rPr>
        <w:t>الجمع بين الطائفتين</w:t>
      </w:r>
      <w:bookmarkEnd w:id="1002"/>
    </w:p>
    <w:p>
      <w:pPr>
        <w:pStyle w:val="BookText"/>
        <w:rPr/>
      </w:pPr>
      <w:r>
        <w:rPr>
          <w:rFonts w:ascii="Amiri" w:hAnsi="Amiri" w:eastAsia="Amiri" w:cs="Amiri"/>
          <w:color w:val="111111"/>
          <w:sz w:val="28"/>
          <w:sz w:val="28"/>
          <w:szCs w:val="28"/>
          <w:rtl w:val="true"/>
          <w:lang w:bidi="ar-SA"/>
        </w:rPr>
        <w:t>قد قام غير واحد من المحقّقين بالجمع بين الطائفتين بوجوه، أوضحها ما أفاده الشيخ الأعظم من حمل روايات التوقف على صورة التمكّن من لقاء الإمام، ويشهد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حديث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عليه السلام في حديث 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في رواية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 حتى تلقى إمامك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كتاب مسائل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فردّوه إلينا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فارجئه حتى تلقى إمامك فتسأله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التعابير تحكي عن أنّ ظرف الأمر بالوقوف هو تمكّن الراوي من الرجوع إلى من يُوقفه على جليّة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أخبار التخيير، فهي واردة إمّا في الأعم من المتمكن وغيره، أو في خصوص صورة العجز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أورد على هذا الجمع ما هذا حاصله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أُريد من التمكّن في أخبار التوقّف هو التمكّن الفعلي بأن يكون الإمام </w:t>
      </w:r>
    </w:p>
    <w:p>
      <w:pPr>
        <w:pStyle w:val="BookText"/>
        <w:rPr/>
      </w:pPr>
      <w:r>
        <w:rPr>
          <w:rFonts w:ascii="Amiri" w:hAnsi="Amiri" w:eastAsia="Amiri" w:cs="Amiri"/>
          <w:color w:val="111111"/>
          <w:sz w:val="28"/>
          <w:sz w:val="28"/>
          <w:szCs w:val="28"/>
          <w:rtl w:val="true"/>
          <w:lang w:bidi="ar-SA"/>
        </w:rPr>
        <w:t>حاضراً في البلد، فهو مخالف لسياق الأخبار، حيث إنّ الظاهر من بعضها انّه لم يكن للراوي طريق إلى حكم الواقعة يحسم مادة الخلاف، ولذا أمر الإمام عليه السلام سماعة بالتوقّف في حال لم يكن متمكّناً من لقاء الإمام، بشهادة أنّه لمّا قال سماعة إنّه لابدّ من العمل بأحدهما، فأجاب الإمام بالأخذ بما خالف العامة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ولو كان متمكناً أمره بالسؤال لا العمل بما خالف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من التمكّن الأعم من الحال والاستقبال في مقابل عدم التمكّن مطلقاً يلزم حمل أخبار التخيير على الفرد النادر، وأمّا حمل أخبار التخيير على زمان الغيبة فبعيد، لصدورها في عصر الحضور، كما هو الحال في حديث الحسن بن جهم و الحارث بن المغيرة</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التمكّن وعدمه ليس هو التمكّن العقلي حتى يرد عليه ما ذكر، بل المراد التمكّن العرفي وعدمه، فانّ الرواة حسب ظروفهم كانوا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فصنف كان يتمكّن من لقاء الإمام ولو بطيّ مسافة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وصنف آخر لا يتمكّن من لقاء الإمام إلّابطيّ مسافة بعيدة، كما هو الحال في شأن علي بن المسيب</w:t>
      </w:r>
      <w:r>
        <w:rPr>
          <w:rStyle w:val="FootnoteAnchor"/>
          <w:rtl w:val="true"/>
        </w:rPr>
        <w:footnoteReference w:id="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ولست أصل إليك في كلّ وقت، فممّن آخذ معالم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زكريا بن آدم القمي المأمون على الدين والدنيا</w:t>
      </w:r>
      <w:r>
        <w:rPr>
          <w:rFonts w:eastAsia="Amiri" w:cs="Amiri" w:ascii="Amiri" w:hAnsi="Amiri"/>
          <w:color w:val="111111"/>
          <w:sz w:val="28"/>
          <w:szCs w:val="28"/>
          <w:rtl w:val="true"/>
          <w:lang w:bidi="ar-SA"/>
        </w:rPr>
        <w:t>».</w:t>
      </w:r>
      <w:r>
        <w:rPr>
          <w:rStyle w:val="FootnoteAnchor"/>
          <w:rtl w:val="true"/>
        </w:rPr>
        <w:footnoteReference w:id="410"/>
      </w:r>
      <w:bookmarkStart w:id="1003" w:name="pg14367_157498"/>
    </w:p>
    <w:p>
      <w:pPr>
        <w:pStyle w:val="BookText"/>
        <w:rPr/>
      </w:pPr>
      <w:bookmarkEnd w:id="1003"/>
      <w:r>
        <w:rPr>
          <w:rFonts w:ascii="Amiri" w:hAnsi="Amiri" w:eastAsia="Amiri" w:cs="Amiri"/>
          <w:color w:val="111111"/>
          <w:sz w:val="28"/>
          <w:sz w:val="28"/>
          <w:szCs w:val="28"/>
          <w:rtl w:val="true"/>
          <w:lang w:bidi="ar-SA"/>
        </w:rPr>
        <w:t>وعلى ضوء ذلك فأخبار التخيير محمول على غير المتمكّن عرفاً، وما أكثره بين الناس، وعندئذ لا يلزم حملها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سماعة فقد أمره الإمام بالتوقّف، لأنّه كان متمكّناً من لقاء الإمام، ولو بعد أيام وكان تكليفه التوقّف، ولكن لمّا كان المورد من الأُمور المضيّقة التي لا تقبل الاستمهال ولو مدّة يسيرة رخّص الإمام أن يعمل بمخالف قول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وجوهاً أُخرى ذكرت للجمع بين الروايات ليس لها شاهد يدعمها، وقد أشرنا إلى بعضها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وقبل أن نذكر الطائفة الثالثة نشير إلى نكات في أخبار التخيير</w:t>
      </w:r>
      <w:r>
        <w:rPr>
          <w:rFonts w:eastAsia="Amiri" w:cs="Amiri" w:ascii="Amiri" w:hAnsi="Amiri"/>
          <w:color w:val="111111"/>
          <w:sz w:val="28"/>
          <w:szCs w:val="28"/>
          <w:rtl w:val="true"/>
          <w:lang w:bidi="ar-SA"/>
        </w:rPr>
        <w:t>:</w:t>
      </w:r>
    </w:p>
    <w:p>
      <w:pPr>
        <w:pStyle w:val="Heading6"/>
        <w:numPr>
          <w:ilvl w:val="5"/>
          <w:numId w:val="1"/>
        </w:numPr>
        <w:rPr/>
      </w:pPr>
      <w:bookmarkStart w:id="1004" w:name="__RefHeading___Toc7507594_3381743652"/>
      <w:bookmarkStart w:id="1005" w:name="_Toc367"/>
      <w:bookmarkEnd w:id="1004"/>
      <w:r>
        <w:rPr>
          <w:rtl w:val="true"/>
        </w:rPr>
        <w:t>الأُولى</w:t>
      </w:r>
      <w:r>
        <w:rPr>
          <w:rtl w:val="true"/>
        </w:rPr>
        <w:t xml:space="preserve">: </w:t>
      </w:r>
      <w:r>
        <w:rPr>
          <w:rtl w:val="true"/>
        </w:rPr>
        <w:t>هل الأخذ بأحد الخبرين لازم؟</w:t>
      </w:r>
      <w:bookmarkEnd w:id="1005"/>
    </w:p>
    <w:p>
      <w:pPr>
        <w:pStyle w:val="BookText"/>
        <w:rPr/>
      </w:pPr>
      <w:r>
        <w:rPr>
          <w:rFonts w:ascii="Amiri" w:hAnsi="Amiri" w:eastAsia="Amiri" w:cs="Amiri"/>
          <w:color w:val="111111"/>
          <w:sz w:val="28"/>
          <w:sz w:val="28"/>
          <w:szCs w:val="28"/>
          <w:rtl w:val="true"/>
          <w:lang w:bidi="ar-SA"/>
        </w:rPr>
        <w:t>هل الأخذ بأحد الخبرين لازم أو لا؟ وجهان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الأخذ، لأنّ الظاهر منها إفاضة الحجّية على المتعارضين بعد سقوطهما عند العقل والعقلاء، وما هذا شأنه لا يوصف بالجواز، بل يكون منجِّزاً لو أصاب و معذِّراً لو خالف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اللزوم، لأنّه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بأيّهما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الأوّل، لما ذكرنا من أنّ المتبادر إفاضة الحجّية على الخبرين عند التعارض لمن لم يتمكن عرفاً من لقاء الإمام، فيكون العمل به واجباً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فليس بصدد بيان انّ الأخذ بأحدهما جائز </w:t>
      </w:r>
      <w:bookmarkStart w:id="1006" w:name="pg14367_157499"/>
    </w:p>
    <w:p>
      <w:pPr>
        <w:pStyle w:val="BookText"/>
        <w:rPr/>
      </w:pPr>
      <w:bookmarkEnd w:id="1006"/>
      <w:r>
        <w:rPr>
          <w:rFonts w:ascii="Amiri" w:hAnsi="Amiri" w:eastAsia="Amiri" w:cs="Amiri"/>
          <w:color w:val="111111"/>
          <w:sz w:val="28"/>
          <w:sz w:val="28"/>
          <w:szCs w:val="28"/>
          <w:rtl w:val="true"/>
          <w:lang w:bidi="ar-SA"/>
        </w:rPr>
        <w:t>وليس بواجب، بل هو لدفع توهّم الحظر، وذلك لأنّه لمّا كان حكم الخبرين المتعارضين عند العقلاء هو السقوط وعدم الاعتماد على واحد منهما، وكان الحكم الشرعي غير ذلك، حاول الإمام تخطئة ذلك الرأي، فعبَّر بالتوسع لردّ الحظر والمنع، لا لتحديد الموضوع من حيث لزوم الأخذ وعدمه</w:t>
      </w:r>
    </w:p>
    <w:p>
      <w:pPr>
        <w:pStyle w:val="Heading6"/>
        <w:numPr>
          <w:ilvl w:val="5"/>
          <w:numId w:val="1"/>
        </w:numPr>
        <w:rPr/>
      </w:pPr>
      <w:bookmarkStart w:id="1007" w:name="__RefHeading___Toc7507596_3381743652"/>
      <w:bookmarkStart w:id="1008" w:name="_Toc368"/>
      <w:bookmarkEnd w:id="1007"/>
      <w:r>
        <w:rPr>
          <w:rtl w:val="true"/>
        </w:rPr>
        <w:t>الثانية</w:t>
      </w:r>
      <w:r>
        <w:rPr>
          <w:rtl w:val="true"/>
        </w:rPr>
        <w:t xml:space="preserve">: </w:t>
      </w:r>
      <w:r>
        <w:rPr>
          <w:rtl w:val="true"/>
        </w:rPr>
        <w:t>هل مصبّ التخيير هو المسألة الأُصولية أو الفقهية</w:t>
      </w:r>
      <w:bookmarkEnd w:id="1008"/>
    </w:p>
    <w:p>
      <w:pPr>
        <w:pStyle w:val="BookText"/>
        <w:rPr/>
      </w:pPr>
      <w:r>
        <w:rPr>
          <w:rFonts w:ascii="Amiri" w:hAnsi="Amiri" w:eastAsia="Amiri" w:cs="Amiri"/>
          <w:color w:val="111111"/>
          <w:sz w:val="28"/>
          <w:sz w:val="28"/>
          <w:szCs w:val="28"/>
          <w:rtl w:val="true"/>
          <w:lang w:bidi="ar-SA"/>
        </w:rPr>
        <w:t xml:space="preserve">إذا قلنا بالتخيير بين المتعارضين، فهل مصبّه هو المسألة الأُصولية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المجتهد هو المخاطب، أو المسألة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بين المضمونين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فيعم الخطاب للمجتهد والمقلّد غير انّ الأوّل ينوب عن الثاني، فيكون التخيير في المقام نظير التخيير بين القصر والإتمام في الأماكن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يجب على المفتي الإفتاء بما أخذوا بالتخيير بين مضموني الخبرين، بخلاف الثاني إذ يجب عليه الإفتاء بالتخيير بين المضمونين؟ وجهان والمشهور هو الثاني كما حكاه شيخنا الأنصاري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استدل للوجه الأوّل بأنّ التخيير حكم للمتحيّر، وهو المجتهد، ولا يقاس هذا بالشك الحاصل للمجتهد في بقاء الحكم الشرعي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ببيان انّ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بينه و بين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الشكّ هناك في معنى الحكم الفرعي المشترك، والتخيير هنا في الطريق إلى الحكم فعلاً، فالتخيير مختص بمن يتصدّى لتعيين الطريق كما أنّ العلاج بالترجيح مختص به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للوجه الثاني بأنّ نصب الشارع للأمارات يشمل كلا الصنفين، إلّاأنّ المقلد عاجز عن القيام بشروط العمل بالأدلّة من حيث تشخيص مقتضاها ورفع موانعها، فإذا أثبت ذلك المجتهد جوازَ العمل بكلّ من الخبرين المتكافئين </w:t>
      </w:r>
    </w:p>
    <w:p>
      <w:pPr>
        <w:pStyle w:val="BookText"/>
        <w:rPr/>
      </w:pPr>
      <w:r>
        <w:rPr>
          <w:rFonts w:ascii="Amiri" w:hAnsi="Amiri" w:eastAsia="Amiri" w:cs="Amiri"/>
          <w:color w:val="111111"/>
          <w:sz w:val="28"/>
          <w:sz w:val="28"/>
          <w:szCs w:val="28"/>
          <w:rtl w:val="true"/>
          <w:lang w:bidi="ar-SA"/>
        </w:rPr>
        <w:t>المشترك بين المقلّد و المجتهد، تخيّر المقلّد كالمجتهد، ولأنّ إيجاب مضمون أحد الخبرين على المقلّد لم يقم دليل عليه فهو 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ذكر الشيخ الأنصاري دليل كلا الوجهين وأضاف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والمسألة محتاجة إلى التأمّل، وإن كان وجه المشهور أقوى</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وجه كونه أقوى هو ظهور روايات التخيير في التخيير بين مضمون الخبرين في مقام العمل مثل 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بأيّهما أخذت من باب التسليم وسعك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تكرّر لفظه أو مضمونه فيها، غير انّ الظاهر من مرفوعة العلاّمة كون التخيير في المسألة الأُصولية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يخرج عن حدّ الإشعار مع ضعف سنده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الاعتراف ببعض الظهورات المقتضية لكون مصب التخيير هو الحكم الفرعي، يمكن أن يقال انّ مصبَّه هو المسألة الأُصولية، وذلك لأنّ الروايات بصدد إفاضة الحجّية لكلّ من المتعارضين في الظاهر، لأجل صيانة الحجّة الواقعية مهما أمكن، فلو حكم بالتخيير، فمعناه هو التخيير بين الحجّتين لا بين المضمونين إلّاإذا كان هناك ملازمة بين التخييرين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مصبِّه ولم تَظهر قوة أحد الوجهين يدخل المقام في باب دوران الأمر بين التعيين والتخيير، حيث نعلم بحجّية ما اختاره المجتهد وأفتى به ونشك في حجيّة الآخر، فالعقل يحكم بالأخذ بالأوّل، وتكون النتيجة خلاف ما عليه المشهور</w:t>
      </w:r>
      <w:r>
        <w:rPr>
          <w:rFonts w:eastAsia="Amiri" w:cs="Amiri" w:ascii="Amiri" w:hAnsi="Amiri"/>
          <w:color w:val="111111"/>
          <w:sz w:val="28"/>
          <w:szCs w:val="28"/>
          <w:rtl w:val="true"/>
          <w:lang w:bidi="ar-SA"/>
        </w:rPr>
        <w:t xml:space="preserve">. </w:t>
      </w:r>
      <w:bookmarkStart w:id="1009" w:name="pg14367_157501"/>
    </w:p>
    <w:p>
      <w:pPr>
        <w:pStyle w:val="Heading6"/>
        <w:numPr>
          <w:ilvl w:val="5"/>
          <w:numId w:val="1"/>
        </w:numPr>
        <w:rPr/>
      </w:pPr>
      <w:bookmarkStart w:id="1010" w:name="__RefHeading___Toc7507598_3381743652"/>
      <w:bookmarkStart w:id="1011" w:name="_Toc369"/>
      <w:bookmarkEnd w:id="1009"/>
      <w:bookmarkEnd w:id="1010"/>
      <w:r>
        <w:rPr>
          <w:rtl w:val="true"/>
        </w:rPr>
        <w:t>الثالثة</w:t>
      </w:r>
      <w:r>
        <w:rPr>
          <w:rtl w:val="true"/>
        </w:rPr>
        <w:t xml:space="preserve">: </w:t>
      </w:r>
      <w:r>
        <w:rPr>
          <w:rtl w:val="true"/>
        </w:rPr>
        <w:t>هل التخيير بدوي أو استمراري؟</w:t>
      </w:r>
      <w:bookmarkEnd w:id="1011"/>
    </w:p>
    <w:p>
      <w:pPr>
        <w:pStyle w:val="BookText"/>
        <w:rPr/>
      </w:pPr>
      <w:r>
        <w:rPr>
          <w:rFonts w:ascii="Amiri" w:hAnsi="Amiri" w:eastAsia="Amiri" w:cs="Amiri"/>
          <w:color w:val="111111"/>
          <w:sz w:val="28"/>
          <w:sz w:val="28"/>
          <w:szCs w:val="28"/>
          <w:rtl w:val="true"/>
          <w:lang w:bidi="ar-SA"/>
        </w:rPr>
        <w:t>هل التخيير بين الخبرين بدوي بمعنى انّه إذا طبق العمل على مضمون أحد الخبرين، فليس له العدول عنه في الواقعة الثانية، أو استمراري بمعنى ثبوته طيلة عمره، فلو صلّى صلاة الجمعة في يومها فله أن يصلّي صلاة الظهر في يومها الآخر؟ والأوّل خيرة الشيخ الأعظم، والثاني خيرة المحقّق الخراساني، وفصّل المحقق النائيني بين كون مصب التخيير هو المسألة الأُصولية فالتخيير بدوي، وكونه المسألة الفقهية فالتخيير استمراريّ</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استدل الشيخ بأنّ مصدر التخيير إمّا الأخبار أو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مسوقة لبيان وظيفة المتحيّر في ابتداء الأمر، فلا إطلاق فيها بالنسبة إلى حال المتحيّر بعد الالتزام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غير جار، لأنّ الثابت سابقاً ثبوت الاختيار لمن تحيّر فإثباته لمن اختار والتزم إثبات للحكم في غير موضعه الأوّل</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للتخيير من حضر عنده الخبران ولم يُميِّز الصادق عن الكاذب، والموضوع بهذا الوصف باق حتى بعد الأخذ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بمثل ذلك، فانّ الموضوع، للتخيير هو من حصره عند الخبران المتنافيان، وهو أيضاً باق بعد الأخذ بأحدهما</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أن يستدل على التخيير البدوي بأنّ القول بالاستمرار ربّما يستلزم المخالفة العملية التدريجيّة و المخالفة العملية عندما إذا كان أحد الخبرين صادقاً وهي قبيحة من غير فرق بين الدفعية والتدريجية</w:t>
      </w:r>
      <w:r>
        <w:rPr>
          <w:rFonts w:eastAsia="Amiri" w:cs="Amiri" w:ascii="Amiri" w:hAnsi="Amiri"/>
          <w:color w:val="111111"/>
          <w:sz w:val="28"/>
          <w:szCs w:val="28"/>
          <w:rtl w:val="true"/>
          <w:lang w:bidi="ar-SA"/>
        </w:rPr>
        <w:t xml:space="preserve">. </w:t>
      </w:r>
      <w:bookmarkStart w:id="1012" w:name="pg14367_157502"/>
    </w:p>
    <w:p>
      <w:pPr>
        <w:pStyle w:val="BookText"/>
        <w:rPr/>
      </w:pPr>
      <w:bookmarkEnd w:id="1012"/>
      <w:r>
        <w:rPr>
          <w:rFonts w:ascii="Amiri" w:hAnsi="Amiri" w:eastAsia="Amiri" w:cs="Amiri"/>
          <w:color w:val="111111"/>
          <w:sz w:val="28"/>
          <w:sz w:val="28"/>
          <w:szCs w:val="28"/>
          <w:rtl w:val="true"/>
          <w:lang w:bidi="ar-SA"/>
        </w:rPr>
        <w:t>وأمّا التفصيل الذي حكيناه عن المحقّق النائيني، فقد أفاد في وجهه انّه إذا كان التخيير في المسألة الفقهية يكون التخيير في المقام كالتخيير بين القصر والإتمام في المواطن الأربعة، وأمّا إذا كان التخيير في المسألة الأُصولية يكون التخيير في المقام بمعنى جعل أحد المتعارضين حجّة شرعية وجعل مؤدّاه هو الحكم الكلي الواقعي المتعلّق بأفعال المتكلّمين فلا معنى لاختيار الآخر</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ملازمة بين كون التخيير في المسألة الأُصولية، و كونه بدوياً، لأنّ معناه على هذا هو كونه مخيّراً في الإفتاء بإحدى الحجّتين، وهو كما يمكن أن يكون بدوياً، يمكن أن يكون استمراريّاً، وأمّا تفسيره بأخذه طريقاً محرزاً للواقع وجعل مؤدّاه هو الحكم الواقعي، فلا دليل عليه</w:t>
      </w:r>
      <w:r>
        <w:rPr>
          <w:rFonts w:eastAsia="Amiri" w:cs="Amiri" w:ascii="Amiri" w:hAnsi="Amiri"/>
          <w:color w:val="111111"/>
          <w:sz w:val="28"/>
          <w:szCs w:val="28"/>
          <w:rtl w:val="true"/>
          <w:lang w:bidi="ar-SA"/>
        </w:rPr>
        <w:t>.</w:t>
      </w:r>
    </w:p>
    <w:p>
      <w:pPr>
        <w:pStyle w:val="Heading6"/>
        <w:numPr>
          <w:ilvl w:val="5"/>
          <w:numId w:val="1"/>
        </w:numPr>
        <w:rPr/>
      </w:pPr>
      <w:bookmarkStart w:id="1013" w:name="__RefHeading___Toc7507600_3381743652"/>
      <w:bookmarkStart w:id="1014" w:name="_Toc370"/>
      <w:bookmarkEnd w:id="1013"/>
      <w:r>
        <w:rPr>
          <w:rtl w:val="true"/>
        </w:rPr>
        <w:t>الطائفة الثالثة</w:t>
      </w:r>
      <w:r>
        <w:rPr>
          <w:rtl w:val="true"/>
        </w:rPr>
        <w:t xml:space="preserve">: </w:t>
      </w:r>
      <w:r>
        <w:rPr>
          <w:rtl w:val="true"/>
        </w:rPr>
        <w:t>الآمرة بالأخذ بذي الترجيح</w:t>
      </w:r>
      <w:bookmarkEnd w:id="1014"/>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كانت الطائفة الأُولى دالة على التخيير، والثانية على التوقّف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طائفة ثالثة تدل على الأخذ بذي الترجيح، وما ورد من الأخذ بأحوط الخبرين، كما في مرفوعة زرارة</w:t>
      </w:r>
      <w:r>
        <w:rPr>
          <w:rStyle w:val="FootnoteAnchor"/>
          <w:rtl w:val="true"/>
        </w:rPr>
        <w:footnoteReference w:id="416"/>
      </w:r>
      <w:r>
        <w:rPr>
          <w:rFonts w:ascii="Amiri" w:hAnsi="Amiri" w:eastAsia="Amiri" w:cs="Amiri"/>
          <w:color w:val="111111"/>
          <w:sz w:val="28"/>
          <w:sz w:val="28"/>
          <w:szCs w:val="28"/>
          <w:rtl w:val="true"/>
          <w:lang w:bidi="ar-SA"/>
        </w:rPr>
        <w:t>، أو بالأحدث منهما كما في رواية معلى بن خنيس</w:t>
      </w:r>
      <w:r>
        <w:rPr>
          <w:rStyle w:val="FootnoteAnchor"/>
          <w:rtl w:val="true"/>
        </w:rPr>
        <w:footnoteReference w:id="417"/>
      </w:r>
      <w:r>
        <w:rPr>
          <w:rFonts w:ascii="Amiri" w:hAnsi="Amiri" w:eastAsia="Amiri" w:cs="Amiri"/>
          <w:color w:val="111111"/>
          <w:sz w:val="28"/>
          <w:sz w:val="28"/>
          <w:szCs w:val="28"/>
          <w:rtl w:val="true"/>
          <w:lang w:bidi="ar-SA"/>
        </w:rPr>
        <w:t>، فليس طائفة مستقلة، لأنّ الأخذ بالخبر الموافق للاحتياط لأجل كونه مرجحاً، أو الأخذ بالأحدث، لكونه يدل على أنّ غير الأحدث صدر تقية، وعلى هذان فليس هذان الصنفان طائفة مستقلة، في مقابل الطوائف الثلاث، وإذاعرفت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الكلام في هذا الطائفة في جهات</w:t>
      </w:r>
      <w:r>
        <w:rPr>
          <w:rFonts w:eastAsia="Amiri" w:cs="Amiri" w:ascii="Amiri" w:hAnsi="Amiri"/>
          <w:color w:val="111111"/>
          <w:sz w:val="28"/>
          <w:szCs w:val="28"/>
          <w:rtl w:val="true"/>
          <w:lang w:bidi="ar-SA"/>
        </w:rPr>
        <w:t xml:space="preserve">: </w:t>
      </w:r>
      <w:bookmarkStart w:id="1015" w:name="pg14367_157503"/>
    </w:p>
    <w:p>
      <w:pPr>
        <w:pStyle w:val="BookText"/>
        <w:rPr/>
      </w:pPr>
      <w:bookmarkEnd w:id="1015"/>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أقسام المرجحات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الأخذ بذات المزية لازم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يقتصر على المنصوص أو يتعدّى عنه إلى غيره؟</w:t>
      </w:r>
    </w:p>
    <w:p>
      <w:pPr>
        <w:pStyle w:val="BookText"/>
        <w:rPr/>
      </w:pPr>
      <w:r>
        <w:rPr>
          <w:rFonts w:ascii="Amiri" w:hAnsi="Amiri" w:eastAsia="Amiri" w:cs="Amiri"/>
          <w:color w:val="111111"/>
          <w:sz w:val="28"/>
          <w:sz w:val="28"/>
          <w:szCs w:val="28"/>
          <w:rtl w:val="true"/>
          <w:lang w:bidi="ar-SA"/>
        </w:rPr>
        <w:t>وإليك دراسة هذه الجهات واحدة تلو الأُخرى</w:t>
      </w:r>
      <w:r>
        <w:rPr>
          <w:rFonts w:eastAsia="Amiri" w:cs="Amiri" w:ascii="Amiri" w:hAnsi="Amiri"/>
          <w:color w:val="111111"/>
          <w:sz w:val="28"/>
          <w:szCs w:val="28"/>
          <w:rtl w:val="true"/>
          <w:lang w:bidi="ar-SA"/>
        </w:rPr>
        <w:t>.</w:t>
      </w:r>
    </w:p>
    <w:p>
      <w:pPr>
        <w:pStyle w:val="Heading6"/>
        <w:numPr>
          <w:ilvl w:val="5"/>
          <w:numId w:val="1"/>
        </w:numPr>
        <w:rPr/>
      </w:pPr>
      <w:bookmarkStart w:id="1016" w:name="__RefHeading___Toc7507602_3381743652"/>
      <w:bookmarkStart w:id="1017" w:name="_Toc371"/>
      <w:bookmarkEnd w:id="1016"/>
      <w:r>
        <w:rPr>
          <w:rtl w:val="true"/>
        </w:rPr>
        <w:t>الجهة الأُولى في أقسام المرجّحات</w:t>
      </w:r>
      <w:bookmarkEnd w:id="1017"/>
    </w:p>
    <w:p>
      <w:pPr>
        <w:pStyle w:val="BookText"/>
        <w:rPr/>
      </w:pPr>
      <w:r>
        <w:rPr>
          <w:rFonts w:ascii="Amiri" w:hAnsi="Amiri" w:eastAsia="Amiri" w:cs="Amiri"/>
          <w:color w:val="111111"/>
          <w:sz w:val="28"/>
          <w:sz w:val="28"/>
          <w:szCs w:val="28"/>
          <w:rtl w:val="true"/>
          <w:lang w:bidi="ar-SA"/>
        </w:rPr>
        <w:t>إنّ المرجحات الواردة في الروايات على أقسام، وبما انّ مقبولة عمر بن حنظلة هي بيت القصيد في هذا الباب نذكر المرجحات وفق الترتيب الوارد في الرواية المذكورة، ونعرض عمّا ورد في مرفوعة العلاّمة عن زرارة، لما ذكرنا من أنّها ليست برواية، وإنّما هي منتزعة من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بالشهرة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بالكتاب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بالأحدثية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المرجحات الواردة في المقام، وإليك البحث فيها على وجه التفصيل</w:t>
      </w:r>
      <w:r>
        <w:rPr>
          <w:rFonts w:eastAsia="Amiri" w:cs="Amiri" w:ascii="Amiri" w:hAnsi="Amiri"/>
          <w:color w:val="111111"/>
          <w:sz w:val="28"/>
          <w:szCs w:val="28"/>
          <w:rtl w:val="true"/>
          <w:lang w:bidi="ar-SA"/>
        </w:rPr>
        <w:t xml:space="preserve">: </w:t>
      </w:r>
      <w:bookmarkStart w:id="1018" w:name="pg14367_157504"/>
    </w:p>
    <w:p>
      <w:pPr>
        <w:pStyle w:val="Heading6"/>
        <w:numPr>
          <w:ilvl w:val="5"/>
          <w:numId w:val="1"/>
        </w:numPr>
        <w:rPr/>
      </w:pPr>
      <w:bookmarkStart w:id="1019" w:name="__RefHeading___Toc7507604_3381743652"/>
      <w:bookmarkStart w:id="1020" w:name="_Toc372"/>
      <w:bookmarkEnd w:id="1018"/>
      <w:bookmarkEnd w:id="1019"/>
      <w:r>
        <w:rPr/>
        <w:t>1</w:t>
      </w:r>
      <w:r>
        <w:rPr>
          <w:rtl w:val="true"/>
        </w:rPr>
        <w:t xml:space="preserve">. </w:t>
      </w:r>
      <w:r>
        <w:rPr>
          <w:rtl w:val="true"/>
        </w:rPr>
        <w:t>الترجيح بصفات الراوي</w:t>
      </w:r>
      <w:bookmarkEnd w:id="1020"/>
    </w:p>
    <w:p>
      <w:pPr>
        <w:pStyle w:val="BookText"/>
        <w:rPr/>
      </w:pPr>
      <w:r>
        <w:rPr>
          <w:rFonts w:ascii="Amiri" w:hAnsi="Amiri" w:eastAsia="Amiri" w:cs="Amiri"/>
          <w:color w:val="111111"/>
          <w:sz w:val="28"/>
          <w:sz w:val="28"/>
          <w:szCs w:val="28"/>
          <w:rtl w:val="true"/>
          <w:lang w:bidi="ar-SA"/>
        </w:rPr>
        <w:t>قد ورد الترجيح بصفات الراوي في عدة من الروايات، إلّاأنّ الكلام في كونها مرجّحة للخبر في مقام الإفتاء أو مرجّحة لحكم القاضي عند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تقدير فقد ورد الترجيح بها في الروايات التالية</w:t>
      </w:r>
      <w:r>
        <w:rPr>
          <w:rFonts w:eastAsia="Amiri" w:cs="Amiri" w:ascii="Amiri" w:hAnsi="Amiri"/>
          <w:color w:val="111111"/>
          <w:sz w:val="28"/>
          <w:szCs w:val="28"/>
          <w:rtl w:val="true"/>
          <w:lang w:bidi="ar-SA"/>
        </w:rPr>
        <w:t>:</w:t>
      </w:r>
    </w:p>
    <w:p>
      <w:pPr>
        <w:pStyle w:val="Heading6"/>
        <w:numPr>
          <w:ilvl w:val="5"/>
          <w:numId w:val="1"/>
        </w:numPr>
        <w:rPr/>
      </w:pPr>
      <w:bookmarkStart w:id="1021" w:name="__RefHeading___Toc7507606_3381743652"/>
      <w:bookmarkStart w:id="1022" w:name="_Toc373"/>
      <w:bookmarkEnd w:id="1021"/>
      <w:r>
        <w:rPr>
          <w:rtl w:val="true"/>
        </w:rPr>
        <w:t>أ</w:t>
      </w:r>
      <w:r>
        <w:rPr>
          <w:rtl w:val="true"/>
        </w:rPr>
        <w:t xml:space="preserve">: </w:t>
      </w:r>
      <w:r>
        <w:rPr>
          <w:rtl w:val="true"/>
        </w:rPr>
        <w:t>رواية عمر بن حنظلة</w:t>
      </w:r>
      <w:bookmarkEnd w:id="1022"/>
    </w:p>
    <w:p>
      <w:pPr>
        <w:pStyle w:val="BookText"/>
        <w:rPr/>
      </w:pPr>
      <w:r>
        <w:rPr>
          <w:rFonts w:ascii="Amiri" w:hAnsi="Amiri" w:eastAsia="Amiri" w:cs="Amiri"/>
          <w:color w:val="111111"/>
          <w:sz w:val="28"/>
          <w:sz w:val="28"/>
          <w:szCs w:val="28"/>
          <w:rtl w:val="true"/>
          <w:lang w:bidi="ar-SA"/>
        </w:rPr>
        <w:t>ما رواه الكليني بسند صحيح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رجلين من أصحابنا بينهما منازعة في دين أو ميراث فتحاكما إلى السلطان وإلى القضاة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تحاكم إليهم في حق أو باطل فإنّما تحاكم إلى الطاغوت، وما يحكم له فإنّما يأخذ سحتاً وإن كان حقاً ثابتاً له، لأنّه أخذه بحكم الطاغوت، وقد أمر اللّه أن يُكفر به،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قد روى حديثنا ونظر في حلالنا وحرامنا وعرف أحكامنا، فليرضوا به حكماً، فإنّي قد جعلته عليكم حاكماً، فإذا حكم بحكمنا فلم يقبله منه، فإنّما استخف بحكم اللّه، وعلينا ردّ، والرّادّ علينا، الرادُّ على اللّه، وهو على حدّالشرك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رجل اختار رجلاً من أصحابنا، فرضيا أن يكونا الناظرين في حقّهما، واختلفا فيما حكما، وكلاهما اختلفا في حديثكم؟</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ما حكم به أعدلهما وأفقههما وأصدقهما في الحديث وأورعهما، </w:t>
      </w:r>
    </w:p>
    <w:p>
      <w:pPr>
        <w:pStyle w:val="BookText"/>
        <w:rPr/>
      </w:pPr>
      <w:r>
        <w:rPr>
          <w:rFonts w:ascii="Amiri" w:hAnsi="Amiri" w:eastAsia="Amiri" w:cs="Amiri"/>
          <w:color w:val="111111"/>
          <w:sz w:val="28"/>
          <w:sz w:val="28"/>
          <w:szCs w:val="28"/>
          <w:rtl w:val="true"/>
          <w:lang w:bidi="ar-SA"/>
        </w:rPr>
        <w:t>ولا يُلتفت إلى ما يحكم به الآخر</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وقد أخذنا الحديث من كتاب الكافي لا من الوسائل، لأنّه جزّأ الحديث إلى مقاطع أورد كل جزء في باب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آثار الحديث جدلاً واسعاً في السند والمتن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السند، فلانتهائه إلى عمر بن حنظلة الذي لم يرد في حقّه مدح ولا توثيق، وقد حاول بعض المتأخرين إثبات وثاقته بروايتين 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محمد بن يعقوب بسند صحيح عن يونس،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حنظلة أتانا عنك بوقت، 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يكذب علينا</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ولكن الكلام في يزيد بن خليفة فانّه لم 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يرويه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واقفي، إلّاأن يوثّق لأجل رواية صفوان بن يحيى عنه،</w:t>
      </w:r>
      <w:r>
        <w:rPr>
          <w:rStyle w:val="FootnoteAnchor"/>
          <w:rtl w:val="true"/>
        </w:rPr>
        <w:footnoteReference w:id="420"/>
      </w:r>
      <w:r>
        <w:rPr>
          <w:rFonts w:ascii="Amiri" w:hAnsi="Amiri" w:eastAsia="Amiri" w:cs="Amiri"/>
          <w:color w:val="111111"/>
          <w:sz w:val="28"/>
          <w:sz w:val="28"/>
          <w:szCs w:val="28"/>
          <w:rtl w:val="true"/>
          <w:lang w:bidi="ar-SA"/>
        </w:rPr>
        <w:t>وهو لا يروي إلّاعن ثقة</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بسند صحيح عن علي بن الحكم، عن عمر بن حنظلة،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لا تُحملوا على شيعتنا وأرفقوا بهم، فإنّ الناس لا يحتملون ما تحملون</w:t>
      </w:r>
      <w:r>
        <w:rPr>
          <w:rFonts w:eastAsia="Amiri" w:cs="Amiri" w:ascii="Amiri" w:hAnsi="Amiri"/>
          <w:color w:val="111111"/>
          <w:sz w:val="28"/>
          <w:szCs w:val="28"/>
          <w:rtl w:val="true"/>
          <w:lang w:bidi="ar-SA"/>
        </w:rPr>
        <w:t>».</w:t>
      </w:r>
      <w:r>
        <w:rPr>
          <w:rStyle w:val="FootnoteAnchor"/>
          <w:rtl w:val="true"/>
        </w:rPr>
        <w:footnoteReference w:id="421"/>
      </w:r>
      <w:bookmarkStart w:id="1023" w:name="pg14367_157506"/>
    </w:p>
    <w:p>
      <w:pPr>
        <w:pStyle w:val="BookText"/>
        <w:rPr/>
      </w:pPr>
      <w:bookmarkEnd w:id="1023"/>
      <w:r>
        <w:rPr>
          <w:rFonts w:ascii="Amiri" w:hAnsi="Amiri" w:eastAsia="Amiri" w:cs="Amiri"/>
          <w:color w:val="111111"/>
          <w:sz w:val="28"/>
          <w:sz w:val="28"/>
          <w:szCs w:val="28"/>
          <w:rtl w:val="true"/>
          <w:lang w:bidi="ar-SA"/>
        </w:rPr>
        <w:t>وإثبات الوثاقة بها دوري، لأنّ الراوي هو نفس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ما ذكرنا من نقل صفوان بن يحيى وابن مسكان عنه، مضافاً إلى اتّفاق المشهور على قبول تلك الرواية ولذلك وصفت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الإشكالات على المتن فربما تناهز العشرة أو يقرب منها، وقد ذكرنا بعضها في مبحث القضاء، وسيوافيك بعضها الآخر في مبحث الاجتهاد والتقليد ولا حاجة لنذكرها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عطف عنان الحكم إلى تحليل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الإمام عليه السلام رجّح حكم الأعدل و الأفقه والأصدق والأورع في الحديث على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مورد الترجيح هو تقديم حكم أحد القاضيين على الآخر، وهو لا يدل على تقديم رواية أحد الراويين على الآخر، وذلك للفرق بين باب القضاء والإفتاء، فإنّ الأوّل شُرّع لرفع المنازعة وفضّ الخصومة، وهو لا يقبل التأخير، إذ فيه مظانة النزاع والنقاش في حين انّ الإفتاء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لقوة احتمال اختصاص الترجيح بها بمورد الحكومة لرفع المنازعة وفصل الخصومة، ولا وجه معه للتعدّي منه إلى غيره كما لا يخفى</w:t>
      </w:r>
      <w:r>
        <w:rPr>
          <w:rFonts w:eastAsia="Amiri" w:cs="Amiri" w:ascii="Amiri" w:hAnsi="Amiri"/>
          <w:color w:val="111111"/>
          <w:sz w:val="28"/>
          <w:szCs w:val="28"/>
          <w:rtl w:val="true"/>
          <w:lang w:bidi="ar-SA"/>
        </w:rPr>
        <w:t>.</w:t>
      </w:r>
      <w:r>
        <w:rPr>
          <w:rStyle w:val="FootnoteAnchor"/>
          <w:rtl w:val="true"/>
        </w:rPr>
        <w:footnoteReference w:id="422"/>
      </w:r>
    </w:p>
    <w:p>
      <w:pPr>
        <w:pStyle w:val="Heading6"/>
        <w:numPr>
          <w:ilvl w:val="5"/>
          <w:numId w:val="1"/>
        </w:numPr>
        <w:rPr/>
      </w:pPr>
      <w:bookmarkStart w:id="1024" w:name="__RefHeading___Toc7507608_3381743652"/>
      <w:bookmarkStart w:id="1025" w:name="_Toc374"/>
      <w:bookmarkEnd w:id="1024"/>
      <w:r>
        <w:rPr>
          <w:rtl w:val="true"/>
        </w:rPr>
        <w:t>ب</w:t>
      </w:r>
      <w:r>
        <w:rPr>
          <w:rtl w:val="true"/>
        </w:rPr>
        <w:t xml:space="preserve">: </w:t>
      </w:r>
      <w:r>
        <w:rPr>
          <w:rtl w:val="true"/>
        </w:rPr>
        <w:t>رواية داود بن الحصين</w:t>
      </w:r>
      <w:bookmarkEnd w:id="1025"/>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 بسند كالصحيح</w:t>
      </w:r>
      <w:r>
        <w:rPr>
          <w:rStyle w:val="FootnoteAnchor"/>
          <w:rtl w:val="true"/>
        </w:rPr>
        <w:footnoteReference w:id="423"/>
      </w:r>
      <w:r>
        <w:rPr>
          <w:rFonts w:ascii="Amiri" w:hAnsi="Amiri" w:eastAsia="Amiri" w:cs="Amiri"/>
          <w:color w:val="111111"/>
          <w:sz w:val="28"/>
          <w:sz w:val="28"/>
          <w:szCs w:val="28"/>
          <w:rtl w:val="true"/>
          <w:lang w:bidi="ar-SA"/>
        </w:rPr>
        <w:t xml:space="preserve">عن داود بن الحصين، عن أبي عبد اللّه عليه السلام في رجلين اتّفقا على عدلين جعلاهما بينهما في حكم وقع بينهما فيه خلاف، </w:t>
      </w:r>
      <w:bookmarkStart w:id="1026" w:name="pg14367_157507"/>
    </w:p>
    <w:p>
      <w:pPr>
        <w:pStyle w:val="BookText"/>
        <w:rPr/>
      </w:pPr>
      <w:bookmarkEnd w:id="1026"/>
      <w:r>
        <w:rPr>
          <w:rFonts w:ascii="Amiri" w:hAnsi="Amiri" w:eastAsia="Amiri" w:cs="Amiri"/>
          <w:color w:val="111111"/>
          <w:sz w:val="28"/>
          <w:sz w:val="28"/>
          <w:szCs w:val="28"/>
          <w:rtl w:val="true"/>
          <w:lang w:bidi="ar-SA"/>
        </w:rPr>
        <w:t>فرضيا بالعدلين، فاختلف العدلان بينهما، عن قول أيّهما يمضي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وأعلمهما بأحاديثنا وأورعهما، فينفذ حكمه ولا يلتفت إلى الآخر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ويرد على الاستدلال ما أوردناه على سابقتها من أنّ مورد الترجيح هو حكم أحد القاضيين على الآخر، ولا يكون دليلاً على المقام</w:t>
      </w:r>
      <w:r>
        <w:rPr>
          <w:rFonts w:eastAsia="Amiri" w:cs="Amiri" w:ascii="Amiri" w:hAnsi="Amiri"/>
          <w:color w:val="111111"/>
          <w:sz w:val="28"/>
          <w:szCs w:val="28"/>
          <w:rtl w:val="true"/>
          <w:lang w:bidi="ar-SA"/>
        </w:rPr>
        <w:t>.</w:t>
      </w:r>
    </w:p>
    <w:p>
      <w:pPr>
        <w:pStyle w:val="Heading6"/>
        <w:numPr>
          <w:ilvl w:val="5"/>
          <w:numId w:val="1"/>
        </w:numPr>
        <w:rPr/>
      </w:pPr>
      <w:bookmarkStart w:id="1027" w:name="__RefHeading___Toc7507610_3381743652"/>
      <w:bookmarkStart w:id="1028" w:name="_Toc375"/>
      <w:bookmarkEnd w:id="1027"/>
      <w:r>
        <w:rPr>
          <w:rtl w:val="true"/>
        </w:rPr>
        <w:t>ج</w:t>
      </w:r>
      <w:r>
        <w:rPr>
          <w:rtl w:val="true"/>
        </w:rPr>
        <w:t xml:space="preserve">: </w:t>
      </w:r>
      <w:r>
        <w:rPr>
          <w:rtl w:val="true"/>
        </w:rPr>
        <w:t>رواية موسى بن أكيل</w:t>
      </w:r>
      <w:bookmarkEnd w:id="1028"/>
    </w:p>
    <w:p>
      <w:pPr>
        <w:pStyle w:val="BookText"/>
        <w:rPr/>
      </w:pPr>
      <w:r>
        <w:rPr>
          <w:rFonts w:ascii="Amiri" w:hAnsi="Amiri" w:eastAsia="Amiri" w:cs="Amiri"/>
          <w:color w:val="111111"/>
          <w:sz w:val="28"/>
          <w:sz w:val="28"/>
          <w:szCs w:val="28"/>
          <w:rtl w:val="true"/>
          <w:lang w:bidi="ar-SA"/>
        </w:rPr>
        <w:t>ما رواه الشيخ الطوسي بسند صحيح عن ذُبيان بن حُكَيم، عن موسى بن أُكْيَل،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يكون بينه و بين أخ له منازعة في حقّ، فيتفقان على رجلين يكونان بينهما، فحكما، فاختلفا فيما حكما،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يختلفان؟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منهما للّذي اختاره الخصمان،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وأفقههما في دين اللّه، فيمضي حكمه</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والحديث أجنبي عن المقام، لأنّ الضمائر ترجع إلى الحكمين اللّذين اختار كلّ واحد من المتحاكمين، وبما انّ القضاء أمر لا يخلو تأخيره من مضارّ ناسب أن تكون الأورعية من المزايا، بخلاف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اختلاف الحكمين وإن نشأ عن الاختلاف في الحديث المروي عنهما عليهما السلام، لكنّه سبب الاختلاف في القضاء وليس هو مورداً للترجيح</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المرجح الأوّل، وثبت انّه لا يمت إلى ترجيح الرواية بصلة</w:t>
      </w:r>
      <w:r>
        <w:rPr>
          <w:rFonts w:eastAsia="Amiri" w:cs="Amiri" w:ascii="Amiri" w:hAnsi="Amiri"/>
          <w:color w:val="111111"/>
          <w:sz w:val="28"/>
          <w:szCs w:val="28"/>
          <w:rtl w:val="true"/>
          <w:lang w:bidi="ar-SA"/>
        </w:rPr>
        <w:t xml:space="preserve">. </w:t>
      </w:r>
      <w:bookmarkStart w:id="1029" w:name="pg14367_157508"/>
    </w:p>
    <w:p>
      <w:pPr>
        <w:pStyle w:val="Heading6"/>
        <w:numPr>
          <w:ilvl w:val="5"/>
          <w:numId w:val="1"/>
        </w:numPr>
        <w:rPr/>
      </w:pPr>
      <w:bookmarkStart w:id="1030" w:name="__RefHeading___Toc7507612_3381743652"/>
      <w:bookmarkStart w:id="1031" w:name="_Toc376"/>
      <w:bookmarkEnd w:id="1029"/>
      <w:bookmarkEnd w:id="1030"/>
      <w:r>
        <w:rPr/>
        <w:t>2</w:t>
      </w:r>
      <w:r>
        <w:rPr>
          <w:rtl w:val="true"/>
        </w:rPr>
        <w:t xml:space="preserve">. </w:t>
      </w:r>
      <w:r>
        <w:rPr>
          <w:rtl w:val="true"/>
        </w:rPr>
        <w:t>الترجيح بالشهرة العملية</w:t>
      </w:r>
      <w:bookmarkEnd w:id="1031"/>
    </w:p>
    <w:p>
      <w:pPr>
        <w:pStyle w:val="BookText"/>
        <w:rPr/>
      </w:pPr>
      <w:r>
        <w:rPr>
          <w:rFonts w:ascii="Amiri" w:hAnsi="Amiri" w:eastAsia="Amiri" w:cs="Amiri"/>
          <w:color w:val="111111"/>
          <w:sz w:val="28"/>
          <w:sz w:val="28"/>
          <w:szCs w:val="28"/>
          <w:rtl w:val="true"/>
          <w:lang w:bidi="ar-SA"/>
        </w:rPr>
        <w:t>قد ورد الترجيح بالشهرة العملية في رواية واحدة، وهي نفس رواية عمر بن حنظلة الآنفة الذكر، وقد سبق نقل صدرها في المرجح الأوّل، وإليك نقل مقطع آخر من الرواية يمت إلى هذا المرجح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أصحابنا فيؤخذ به من حكمنا ويترك الشّاذّ الّذي ليس بمشهور عند أصحابك، فإنّ المجمع عليه لا ريب فيه، وإنّما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وأمر بيّن غيّه فيجتنب، وأمر مشكل يردّ علمه إلى اللّه وإلى رسوله،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نجا من المحرّمات، ومن أخذ بالشبهات ارتكب المحرّمات وهلك من حيث لايعلم</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ويرد على الاستدلال بالحديث انّ الشهرة العملية تُميِّز الحجة عن اللاحجة، بخلاف المرجح فانّه يرجح إحدى الحجّتين على الحجة الأُخرى، ويعلم ذلك من تحليل ذلك المقطع من الرواية في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اتّفق الكل على روايته، بل المراد ما هو المشهور بين الأصحاب في مقابل ما ليس بمشهور، والدليل على ذلك قول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ويترك الشاذ الذي ليس بمشهور عند أصحابك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اشتهار الرواية بين الأصحاب هو اشتهارها مع الإفتاء </w:t>
      </w:r>
      <w:bookmarkStart w:id="1032" w:name="pg14367_157509"/>
    </w:p>
    <w:p>
      <w:pPr>
        <w:pStyle w:val="BookText"/>
        <w:rPr/>
      </w:pPr>
      <w:bookmarkEnd w:id="1032"/>
      <w:r>
        <w:rPr>
          <w:rFonts w:ascii="Amiri" w:hAnsi="Amiri" w:eastAsia="Amiri" w:cs="Amiri"/>
          <w:color w:val="111111"/>
          <w:sz w:val="28"/>
          <w:sz w:val="28"/>
          <w:szCs w:val="28"/>
          <w:rtl w:val="true"/>
          <w:lang w:bidi="ar-SA"/>
        </w:rPr>
        <w:t>بمضمونها، إذ هو الذي يمكن أن يكون مصداقاً لما لا ريب فيه، وإلّا فلو نقلوا الرواية بلا إفتاء وفقَ مضمونها ففيه كلّ الريب والشك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الريب على وجه الإطلاق، لأنّ النكرة في سياق النفي تفيد العموم، فالرواية المشهورة نقلاً وعملاً ليس فيها أي‌ريب وشك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يقابلها،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الشاذ، فبما انّه نقيضه يكون محكوماً بحكم خلافه، فلو كان المشهور ممّا لا ريب فيه يكون الشاذ ممّا لا ريب في بطلانه، وذلك لأنّه إذا كانت النسبة في إحدى القضيتين صحيحة قطعاً تكون النسبة في القضية المناقضة لها باطلة قطعاً، وهذا هو المهم فيما ترتئيه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البيان يثبت انّ الخبر المشهور المفتى به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تثليث الإمام عليه السلام والخبر الشاذ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تثليثه، وذلك لما تبيّن انّ المشهور لا ريب في صحته والمخالف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ما ذكرنا في صدر البحث، وهو انّ الشهرة العملية إذاكانت سبباً لطرد الريب عن نفسها وإلصاقه بمخالفها تكون أمارة على تمييز الحجة عن اللاحجة، وبيّن الرشد عن بيّن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يعد مرجحاً أصلاً</w:t>
      </w:r>
      <w:r>
        <w:rPr>
          <w:rFonts w:eastAsia="Amiri" w:cs="Amiri" w:ascii="Amiri" w:hAnsi="Amiri"/>
          <w:color w:val="111111"/>
          <w:sz w:val="28"/>
          <w:szCs w:val="28"/>
          <w:rtl w:val="true"/>
          <w:lang w:bidi="ar-SA"/>
        </w:rPr>
        <w:t>.</w:t>
      </w:r>
    </w:p>
    <w:p>
      <w:pPr>
        <w:pStyle w:val="Heading6"/>
        <w:numPr>
          <w:ilvl w:val="5"/>
          <w:numId w:val="1"/>
        </w:numPr>
        <w:rPr/>
      </w:pPr>
      <w:bookmarkStart w:id="1033" w:name="__RefHeading___Toc7507614_3381743652"/>
      <w:bookmarkStart w:id="1034" w:name="_Toc377"/>
      <w:bookmarkEnd w:id="1033"/>
      <w:r>
        <w:rPr/>
        <w:t>3</w:t>
      </w:r>
      <w:r>
        <w:rPr>
          <w:rtl w:val="true"/>
        </w:rPr>
        <w:t xml:space="preserve">. </w:t>
      </w:r>
      <w:r>
        <w:rPr>
          <w:rtl w:val="true"/>
        </w:rPr>
        <w:t>الترجيح بالكتاب والسنّة</w:t>
      </w:r>
      <w:bookmarkEnd w:id="1034"/>
    </w:p>
    <w:p>
      <w:pPr>
        <w:pStyle w:val="BookText"/>
        <w:rPr/>
      </w:pPr>
      <w:r>
        <w:rPr>
          <w:rFonts w:ascii="Amiri" w:hAnsi="Amiri" w:eastAsia="Amiri" w:cs="Amiri"/>
          <w:color w:val="111111"/>
          <w:sz w:val="28"/>
          <w:sz w:val="28"/>
          <w:szCs w:val="28"/>
          <w:rtl w:val="true"/>
          <w:lang w:bidi="ar-SA"/>
        </w:rPr>
        <w:t>لا شكّ انّ الرواية الموافقة للكتاب والسنّة قد تخلو من رواية معارضة وقد لا تخلو منها، وها نحن نذكر في هذا المقام الروايات التي ترجع إلى المتعارضين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مقبولة عمر بن حنظلة، وجاء في مقطع منها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والسنّة وخالف العامّة فيؤخذ به، ويترك ماخالف حكمه حكم الكتاب والسنّة ووافق العامة</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انّ مورد الترجيح في المقبولة، هو تقديم حكم أحد القاضيين على الآخر، لا ترجيح إحدى الروايتين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المقبولة يثبت بأنّ صدر الحديث وإن كان بصدد بيان مرجّحات القضاء وانّه يقدّم القاضي الأعدل، والأفقه، والأصدق والأورع على غيره، لكن لمّا فرض السائل تساويهما في الصفات وانّه لا يُفضّل واحد منهما على الآخر، أرجعه الإمام إلى أنّه يؤخذ بقول من يكون مستنده ذا مزية من كونه مشهوراً أو موافقاً للكتاب والسنّة، فانتهى الكلام إلى بيان مرجّحات نفس الخبرين المتعارضين أنفسهما،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فما وافق حكمه حكم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 الصدر بصدد بيان مرجّحات القضاء، لا يمنع عن كون سائر الفقرات لبيان مرجّحات الخبر في الأثناء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الميثمي، عن الرضا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ورد عليكم من خبرين مختلفين فأعرضوهما على كتاب اللّه، فما كان في كتاب اللّه موجوداً حلالاً أو حراماً، فاتّبعوا ما وافق الكتاب، وما لم يكن في الكتاب فاعرضوه على سنن رسول اللّه صلى الله عليه و آله و سلم فما كان في السنّة موجوداً منهيّاًعنه نهي حرام، ومأموراً به عن رسول اللّه صلى الله عليه و آله و سلم أمر إلزام، فاتّبعوا ما وافق نهي رسول اللّه صلى الله عليه و آله و سلم وأمره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عبد الرحمن بن أبي عبد اللّه،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ورد </w:t>
      </w:r>
    </w:p>
    <w:p>
      <w:pPr>
        <w:pStyle w:val="BookText"/>
        <w:rPr/>
      </w:pPr>
      <w:r>
        <w:rPr>
          <w:rFonts w:ascii="Amiri" w:hAnsi="Amiri" w:eastAsia="Amiri" w:cs="Amiri"/>
          <w:color w:val="111111"/>
          <w:sz w:val="28"/>
          <w:sz w:val="28"/>
          <w:szCs w:val="28"/>
          <w:rtl w:val="true"/>
          <w:lang w:bidi="ar-SA"/>
        </w:rPr>
        <w:t>عليكم حديثان مختلفان فأعرضوهما على كتاب اللّه، فما وافق كتاب اللّه فخذوه، وما خالف كتاب اللّه فردّوه</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الحسن بن الجهم،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 على كتاب اللّه عزّوجلّ وأحاديثنا، فإن كان يشبههما فهو منّا، وإن لم يكن يشبههما فليس منّا</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الحسن بن الجهم، عن العبد الصالح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وأحاديثنا، فإن أشبهها فهو حقّوإن لم يشبهها فهو 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وذهب المحقّق الخراساني إلى أنّ تقديم الموافق للكتاب والسنّة القطعية من باب تمييز الحجّة عن اللاحجة، فقال ما هذا حاصله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كون موافقة الكتاب من المرجّحات نظراً،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احتمال أن يكون الخبر المخالف للكتاب في نفسه غير حجّة بشهادة ما ورد في أنّه زخرف وباطل وليس بشيء، أو انّه لم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الصدور أو الظهور في الخبر المخالف للكتاب يكون موهوناً بحيث لا تعمه أدلّة اعتبار السند ولا الظهور، فتكون هذه الأخبار في مقام تمييز الحجّة عن اللاحجة لا ترجيح الحجّة على الحجّة</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قد عرفت أنّ الأخبار الواردة حول الخبر المخالف للكتاب على 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يصف الخبر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لم يكن له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زخرفاً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وانّه ممّا لم أقله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 لا يصدق علينا إلّا ما وافق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و ما ذكره المحقّق الخراساني من العناوين فانّما ورد في هذا الصنف، وكان عليه الاستظهار لمختاره، بما ورد في الصنف الثاني أي‌في الخبر المخالف للكتاب، مع وجود المعارض له و الحقّ انّ عناوين ذلك الصنف أيضاً، تناسب كون المخالفة من قبيل تمييز الحجّة عن اللاحجة لا ترجيح أحد الخبرين على الآخر، وذلك بشهادة 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التعابير تناسب كون غير المخالف، ممّا لم يصدر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العناوين الواردة في الخبر المخالف، المجرّد عن المعارض يفيدنا هنا أيضاً، فانّ وصفه بالزخرف وما شابهه، لأجل كونه مخالفاً، وهذا الملاك موجود في المخالف الذي له معارض، فقوام هذه الأوصاف هو مجرّد المخالفة ولا دور للمعارض وعدمه فيها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الثمرة العملية بين كونه مميّزاً أو مرجّحاً إذ على كلّ تقدير يجب الأخذ بذات المزية؟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الثمرة في أنّه لو كان مميّزاً لا يعاد له شيء، فيقدم الموافق على المخالف وإن كان في جانب الآخر مرجحات كثيرة، بخلاف ما إذا كان مرجّحاً، فعندئذٍ يلاحظ الخبران من حيث كثرة المرجّح وقلّته في جانب المخالف، فربما يقدّم المخالف إذا كانت فيه مرجّحات كثيرة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المراد من المخالفة للكتاب والسنّة، هي المخالفة على وجه التباين </w:t>
      </w:r>
      <w:bookmarkStart w:id="1035" w:name="pg14367_157513"/>
    </w:p>
    <w:p>
      <w:pPr>
        <w:pStyle w:val="BookText"/>
        <w:rPr/>
      </w:pPr>
      <w:bookmarkEnd w:id="1035"/>
      <w:r>
        <w:rPr>
          <w:rFonts w:ascii="Amiri" w:hAnsi="Amiri" w:eastAsia="Amiri" w:cs="Amiri"/>
          <w:color w:val="111111"/>
          <w:sz w:val="28"/>
          <w:sz w:val="28"/>
          <w:szCs w:val="28"/>
          <w:rtl w:val="true"/>
          <w:lang w:bidi="ar-SA"/>
        </w:rPr>
        <w:t>الكلّي، أو المخالفة على نحو العموم والخصوص المطلق؟ الظاهر هو الثاني، لصدور الخبر المخالف على النحو الثاني عنهم عليهم السلام في مختلف الأبواب، فانّ دور الخبر الواحد غالباً هو تقييد المطلقات أو تخصيص العمومات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المخالف على نحو التباين الكلي قليل في الأحكام جداً ولكنّه في مجال العقائد والمعارف غير عزيز، كما هو الحال في مجال الرؤية والقضاء والقدر ومقامات الأنبياء والأولياء من روايات الغلوّ</w:t>
      </w:r>
      <w:r>
        <w:rPr>
          <w:rFonts w:eastAsia="Amiri" w:cs="Amiri" w:ascii="Amiri" w:hAnsi="Amiri"/>
          <w:color w:val="111111"/>
          <w:sz w:val="28"/>
          <w:szCs w:val="28"/>
          <w:rtl w:val="true"/>
          <w:lang w:bidi="ar-SA"/>
        </w:rPr>
        <w:t>.</w:t>
      </w:r>
    </w:p>
    <w:p>
      <w:pPr>
        <w:pStyle w:val="Heading6"/>
        <w:numPr>
          <w:ilvl w:val="5"/>
          <w:numId w:val="1"/>
        </w:numPr>
        <w:rPr/>
      </w:pPr>
      <w:bookmarkStart w:id="1036" w:name="__RefHeading___Toc7507616_3381743652"/>
      <w:bookmarkStart w:id="1037" w:name="_Toc378"/>
      <w:bookmarkEnd w:id="1036"/>
      <w:r>
        <w:rPr/>
        <w:t>4</w:t>
      </w:r>
      <w:r>
        <w:rPr>
          <w:rtl w:val="true"/>
        </w:rPr>
        <w:t xml:space="preserve">. </w:t>
      </w:r>
      <w:r>
        <w:rPr>
          <w:rtl w:val="true"/>
        </w:rPr>
        <w:t>الترجيح بمخالفة العامّة</w:t>
      </w:r>
      <w:bookmarkEnd w:id="1037"/>
    </w:p>
    <w:p>
      <w:pPr>
        <w:pStyle w:val="BookText"/>
        <w:rPr/>
      </w:pPr>
      <w:r>
        <w:rPr>
          <w:rFonts w:ascii="Amiri" w:hAnsi="Amiri" w:eastAsia="Amiri" w:cs="Amiri"/>
          <w:color w:val="111111"/>
          <w:sz w:val="28"/>
          <w:sz w:val="28"/>
          <w:szCs w:val="28"/>
          <w:rtl w:val="true"/>
          <w:lang w:bidi="ar-SA"/>
        </w:rPr>
        <w:t>تضافرت الروايات على أنّه إذا اختلفت الأخبار، يُقدَّم ما خالف العامة، وما ذلك إلّالأنّ الظروف القاسية دفعت بالأئمة إلى الإفتاء وفقَ مذاهبهم صيانة لدمائهم وصيانة نفوس شيعتهم، ولذلك جعل ما يشبه قولهم ممّا فيه التقية</w:t>
      </w:r>
      <w:r>
        <w:rPr>
          <w:rFonts w:eastAsia="Amiri" w:cs="Amiri" w:ascii="Amiri" w:hAnsi="Amiri"/>
          <w:color w:val="111111"/>
          <w:sz w:val="28"/>
          <w:szCs w:val="28"/>
          <w:rtl w:val="true"/>
          <w:lang w:bidi="ar-SA"/>
        </w:rPr>
        <w:t>.</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وإليك نقل ما ورد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عمر بن حنظلة، عن أبي عبد اللّه عليه السلام في مقبولته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أرأيت إن كان الفقيهان عرفا حكمه من الكتاب والسنّة ووجدنا أحد الخبرين موافقاً للعامة والآخر مخالفاً لهم بأي الخبرين يؤخذ؟</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هم إليه أميل، حكّامهم وقضاتهم فيترك ويؤخذ بالآخر</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وقد مرّ آنفاً انّ صدر الحديث وإن كان راجعاً إلى ترجيح حكم أحد القاضيين على حكم الآخر، لكن بعد ما فرض الراوي مساواة القاضيين من حيث الصفات أرجع الإمام السائلَ إلى ملاحظة مصدر فتاواهما وإنّه يقدّم قضاء من حكم بخبر مجمع عليه بين الأصحاب، على من قضى بمصدر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توجه كلام الإمام إلى بيان مرجحات الرواية في مقام الإفتاء ليكون حلاً في مقام القضاء أيضاً، وكلّ ما جاء بعد كلامه في المجمع عليه يرجع إلى مرجحات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سعيد بن هبة اللّه الراوندي بسنده إلى عبدالرحمن بن أبي عبد اللّه، عن الصادق عليه السلام في الخبرين المختلفين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رواية الحسين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فيروى عن أبي عبد اللّه عليه السلام شيء و يروى عنه خلافه، فبأيّهما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بما خالف القوم و ما وافق القوم فاجتنبه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 وانظروا إلى ما يوافق أخبارهم فدعوه</w:t>
      </w:r>
      <w:r>
        <w:rPr>
          <w:rFonts w:eastAsia="Amiri" w:cs="Amiri" w:ascii="Amiri" w:hAnsi="Amiri"/>
          <w:color w:val="111111"/>
          <w:sz w:val="28"/>
          <w:szCs w:val="28"/>
          <w:rtl w:val="true"/>
          <w:lang w:bidi="ar-SA"/>
        </w:rPr>
        <w:t>».</w:t>
      </w:r>
      <w:r>
        <w:rPr>
          <w:rStyle w:val="FootnoteAnchor"/>
          <w:rtl w:val="true"/>
        </w:rPr>
        <w:footnoteReference w:id="437"/>
      </w:r>
      <w:bookmarkStart w:id="1038" w:name="pg14367_157515"/>
    </w:p>
    <w:p>
      <w:pPr>
        <w:pStyle w:val="BookText"/>
        <w:rPr/>
      </w:pPr>
      <w:bookmarkEnd w:id="1038"/>
      <w:r>
        <w:rPr>
          <w:rFonts w:ascii="Amiri" w:hAnsi="Amiri" w:eastAsia="Amiri" w:cs="Amiri"/>
          <w:color w:val="111111"/>
          <w:sz w:val="28"/>
          <w:sz w:val="28"/>
          <w:szCs w:val="28"/>
          <w:rtl w:val="true"/>
          <w:lang w:bidi="ar-SA"/>
        </w:rPr>
        <w:t>هذه بعض ما ورد في الترجيح بمخالفة العامة، و لو كان هناك مرجّح لتقديم إحدى الروايتين على الأُخرى فليس هو إلّاهذا المرجّح، وأمّا الباقي فقد عرفت أنّ الترجيح بصفات الراوي يرجع إلى ترجيح حكم أحد القاضيين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بالشهرة العملية أو موافقة الكتاب والسنّة، فقد عرفت أنّها من قبيل تمييز الحجة عن اللاحجة، وانّ لسان الروايات صريحة في ذلك، فلم يبق فيما يمكن عدّه مرجِّحاً إلّامخالفة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في النفس من كونها من هذا الباب أيضاً شيء، لأنّ المتبادر أيضاً من لسان الروايات هو نفس ما يتبادر من المرجّحات الأُخرى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انّ ما وافقهم ففيه الضلال، ويقرب منه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وافق أخبارهم فذروه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التعابير أنسب لتمييز الحجة عن اللا حجّة</w:t>
      </w:r>
      <w:r>
        <w:rPr>
          <w:rFonts w:eastAsia="Amiri" w:cs="Amiri" w:ascii="Amiri" w:hAnsi="Amiri"/>
          <w:color w:val="111111"/>
          <w:sz w:val="28"/>
          <w:szCs w:val="28"/>
          <w:rtl w:val="true"/>
          <w:lang w:bidi="ar-SA"/>
        </w:rPr>
        <w:t>.</w:t>
      </w:r>
    </w:p>
    <w:p>
      <w:pPr>
        <w:pStyle w:val="Heading6"/>
        <w:numPr>
          <w:ilvl w:val="5"/>
          <w:numId w:val="1"/>
        </w:numPr>
        <w:rPr/>
      </w:pPr>
      <w:bookmarkStart w:id="1039" w:name="__RefHeading___Toc7507618_3381743652"/>
      <w:bookmarkStart w:id="1040" w:name="_Toc379"/>
      <w:bookmarkEnd w:id="1039"/>
      <w:r>
        <w:rPr/>
        <w:t>5</w:t>
      </w:r>
      <w:r>
        <w:rPr>
          <w:rtl w:val="true"/>
        </w:rPr>
        <w:t xml:space="preserve">. </w:t>
      </w:r>
      <w:r>
        <w:rPr>
          <w:rtl w:val="true"/>
        </w:rPr>
        <w:t>الترجيح بالأحدثية</w:t>
      </w:r>
      <w:bookmarkEnd w:id="1040"/>
    </w:p>
    <w:p>
      <w:pPr>
        <w:pStyle w:val="BookText"/>
        <w:rPr/>
      </w:pPr>
      <w:r>
        <w:rPr>
          <w:rFonts w:ascii="Amiri" w:hAnsi="Amiri" w:eastAsia="Amiri" w:cs="Amiri"/>
          <w:color w:val="111111"/>
          <w:sz w:val="28"/>
          <w:sz w:val="28"/>
          <w:szCs w:val="28"/>
          <w:rtl w:val="true"/>
          <w:lang w:bidi="ar-SA"/>
        </w:rPr>
        <w:t>هناك روايات عديدة تدل على لزوم الأخذ بالأحدث من الحكمين، وإليك بعض 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فإن بلغكم عن الحيّفخذوا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هذا القسم لا صلة له بباب المرجّحات، لأنّ الأخذ بالأحدث ليس </w:t>
      </w:r>
    </w:p>
    <w:p>
      <w:pPr>
        <w:pStyle w:val="BookText"/>
        <w:rPr/>
      </w:pPr>
      <w:r>
        <w:rPr>
          <w:rFonts w:ascii="Amiri" w:hAnsi="Amiri" w:eastAsia="Amiri" w:cs="Amiri"/>
          <w:color w:val="111111"/>
          <w:sz w:val="28"/>
          <w:sz w:val="28"/>
          <w:szCs w:val="28"/>
          <w:rtl w:val="true"/>
          <w:lang w:bidi="ar-SA"/>
        </w:rPr>
        <w:t>لأجل كونه بياناً للحكم الواقعي والآخر على خلافه بل يمكن أن يكون على العكس، وإنّما وجب الأخذ بالأحدث، لأجل انّ إمام كلّ عصر أعرف بمصالح شيعته، مع أنّ كلاً من الخبرين بالنسبة إلى بيان الحكم الواقعي وعدمه سواء، وعلى هذا يختص الترجيح بهذه المزيّة لعصرهم دون عصر الغيبة، لأنّه بالنسبة إلى الخبرين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الأخذ بالأحدث إذا كان في كلام النبي صلى الله عليه و آله و سلم ربما يكون لأجل كونه ناسخاً للأول، وأمّا في كلام الإمامين أو الإمام الواحد فلا يتصور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كلام لصاحب الوافية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أعلم أحداً عمل بهذه الروايات غير ابن بابويه في الفقيه في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يوصي إلى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الخبران جميعاً، لكان الواجب الأخذ بقول الأخير كما أمر به الصادق عليه السلام، وذلك لانّ الأخبار لها وجوه ومعان، و كلّ إمام أعلم بزمانه وأحكامه من غيره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بالروايات الدالّة على العمل بالأحدث في الأحاديث النبوية قريب، لما ورد منه انّ الأحاديث ينسخ بعضها بعضاً، وأمّا في أخبار الأئمّة عليهم السلام بالنسبة إلى مكلّفي هذه الأعصار فمشكل غاية الإشكال</w:t>
      </w:r>
      <w:r>
        <w:rPr>
          <w:rFonts w:eastAsia="Amiri" w:cs="Amiri" w:ascii="Amiri" w:hAnsi="Amiri"/>
          <w:color w:val="111111"/>
          <w:sz w:val="28"/>
          <w:szCs w:val="28"/>
          <w:rtl w:val="true"/>
          <w:lang w:bidi="ar-SA"/>
        </w:rPr>
        <w:t>.</w:t>
      </w:r>
      <w:r>
        <w:rPr>
          <w:rStyle w:val="FootnoteAnchor"/>
          <w:rtl w:val="true"/>
        </w:rPr>
        <w:footnoteReference w:id="438"/>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الجهة الأُولى وهي التعرف على المرجِّحات، وحان البحث في الجهة الثانية، وهي لزوم الأخذ بالمرجِّحات وعدمه</w:t>
      </w:r>
      <w:r>
        <w:rPr>
          <w:rFonts w:eastAsia="Amiri" w:cs="Amiri" w:ascii="Amiri" w:hAnsi="Amiri"/>
          <w:color w:val="111111"/>
          <w:sz w:val="28"/>
          <w:szCs w:val="28"/>
          <w:rtl w:val="true"/>
          <w:lang w:bidi="ar-SA"/>
        </w:rPr>
        <w:t xml:space="preserve">. </w:t>
      </w:r>
      <w:bookmarkStart w:id="1041" w:name="pg14367_157517"/>
    </w:p>
    <w:p>
      <w:pPr>
        <w:pStyle w:val="Heading6"/>
        <w:numPr>
          <w:ilvl w:val="5"/>
          <w:numId w:val="1"/>
        </w:numPr>
        <w:rPr/>
      </w:pPr>
      <w:bookmarkStart w:id="1042" w:name="__RefHeading___Toc7507620_3381743652"/>
      <w:bookmarkStart w:id="1043" w:name="_Toc380"/>
      <w:bookmarkEnd w:id="1041"/>
      <w:bookmarkEnd w:id="1042"/>
      <w:r>
        <w:rPr>
          <w:rtl w:val="true"/>
        </w:rPr>
        <w:t>الجهة الثانية في لزوم الأخذ بالمرجِّح وعدمه</w:t>
      </w:r>
      <w:bookmarkEnd w:id="1043"/>
    </w:p>
    <w:p>
      <w:pPr>
        <w:pStyle w:val="BookText"/>
        <w:rPr/>
      </w:pPr>
      <w:r>
        <w:rPr>
          <w:rFonts w:ascii="Amiri" w:hAnsi="Amiri" w:eastAsia="Amiri" w:cs="Amiri"/>
          <w:color w:val="111111"/>
          <w:sz w:val="28"/>
          <w:sz w:val="28"/>
          <w:szCs w:val="28"/>
          <w:rtl w:val="true"/>
          <w:lang w:bidi="ar-SA"/>
        </w:rPr>
        <w:t>المشهور هو لزوم الأخذ بذات المزية من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الشيخ الأنصاري، غير انّ المحقّق الخراساني حمل الروايات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القول المشهور بوجوه نشير إلى بعضها بوجه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ترجيح ذي المزية لزم ترجيح المرجوح على الراجح، وهو قبيح عقلاً بل ممتنع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الوجوه التي ربما ترتقي إلى خمسة، كما أشار إليها المحقّق المشكيني، وقد ناقش المحقّق الخراساني في هذه الوجوه بما لا ملزم لذكرها وما في مناقشاته، والأولى أن يُستدلّ على وجوب الأخذ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لسان الروايات هو لزوم الأخذ لا استحبابه، أمّا على القول بأنّ الجميع يرجع إلى مميّز الحجة عن اللاحجة فواضح، وأمّا على القول بأنّها من مقولة المرجحات بعد وصف الخبرين بالحجية، فلأنّ المتبادر من الجمل التالية هو اللزوم لا الفضل والاستحباب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المجمع عليه لا ريب فيه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حكمه حكم الكتاب والسنّة فيؤخذ به ويترك ما خالف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القوم فاجتنبه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غير ذلك من العناوين الصريحة في لزوم الأخذ بالمرجّح وترك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لمّا لم يدرس الروايات واحدة تلو الأُخرى وإنّما نظر إليها نظرة عابرة ذهب إلى عدم لزوم الأخذ بذي المزية، واستدل على ذلك بوجوه أربعة، وإليك تحليل تلك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أجمع خبر للمزايا المنصوصة هو المقبولة والمرفوعة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ضعف سند المرفوعة جداً، والاحتجاج بالمقبولة مشكل، لقوة احتمال اختصاص الترجيح بها في مورد الحكومة لرفع المنازعة وفصل الخصومة كما هو موردها ولا وجه معه للتعدي منه إلى غيره</w:t>
      </w:r>
      <w:r>
        <w:rPr>
          <w:rFonts w:eastAsia="Amiri" w:cs="Amiri" w:ascii="Amiri" w:hAnsi="Amiri"/>
          <w:color w:val="111111"/>
          <w:sz w:val="28"/>
          <w:szCs w:val="28"/>
          <w:rtl w:val="true"/>
          <w:lang w:bidi="ar-SA"/>
        </w:rPr>
        <w:t>.</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بالنسبة إلى الترجيح بالصفات وأمّا بالنسبة إلى غيرها فلا، وذلك لأنّه قد انتهى كلام الإمام أخيراً إلى بيان مرجِّحات الرواية التي بها أيضاً يقدّم أحد الحكمين على الآخر، وذلك بأن يكون مستند حكمه مجمعاً عليه أو موافقاً للكتاب والسنّة أو مخالفاً للعامة، فتكون النتيجة هو انّ ما أشار إليه من المرجِّحات مرجِّحاً للخبر بما هوهو سواء استخدمه القاضي أو المفتي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لتقييد إطلاقات أخبار التخيير في مثل زماننا ممّا لا يتمكن من لقاء الإمام عليه السلام بهما، وذلك بوجهين</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قصور المرفوعة سنداً وقصور المقبولة دلالة لاختصاصها بزمان التمكّن </w:t>
      </w:r>
    </w:p>
    <w:p>
      <w:pPr>
        <w:pStyle w:val="BookText"/>
        <w:rPr/>
      </w:pPr>
      <w:r>
        <w:rPr>
          <w:rFonts w:ascii="Amiri" w:hAnsi="Amiri" w:eastAsia="Amiri" w:cs="Amiri"/>
          <w:color w:val="111111"/>
          <w:sz w:val="28"/>
          <w:sz w:val="28"/>
          <w:szCs w:val="28"/>
          <w:rtl w:val="true"/>
          <w:lang w:bidi="ar-SA"/>
        </w:rPr>
        <w:t>من لقائه عليه السلام، والشاهد عليه عدم حكم الإمام بالتخيير بعد فقدان المرجّح، بل أمره بالإرجاء حتى يلقى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بلزوم التقييد يلزم حمل أخبار التخيير على مورد نادر إذ قلّما يتفق أن لا يكون هناك مرجِّح</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قاعدة الاشتراك في التكليف عدم الفرق في الحكم بين الزمانين، مضافاً إلى أنّه إذا كان الترجيح واجباً في زمن الحضور مع إمكان لقاء الإمام يكون الترجيح في زمان الغيبة وعدم التمكّن من الإمام أمراً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إذا قلنا بالتعدّي من المنصوص، إلى غير المنصوص وبما انّ غير المنصوص من المرجحات متوفِّر بكثرة، فلو كان العمل بذات المزية واجباً يلزم حمل أخبار التخيير على الفرد النادر، وأمّا إذا قلنا باختصاص الترجيح بمورد النص وهو لا يتجاوز عن أربعة مرجِّحات فلا يلزم حملها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الأخذ بموافق الكتاب أو مخالف القوم يحتمل أن يكون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وإن كان صحيحاً ولكنّه يكون دليلاً على لزوم الأخذ بذي المزية، سواء أكان مرجّحاً لأحد الخبرين أو مميّزاً للحجة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ثمرة بين القولين قد بيّناها فيما مضى</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الحمل على الاستحباب للزم التقييد في </w:t>
      </w:r>
    </w:p>
    <w:p>
      <w:pPr>
        <w:pStyle w:val="BookText"/>
        <w:rPr/>
      </w:pPr>
      <w:r>
        <w:rPr>
          <w:rFonts w:ascii="Amiri" w:hAnsi="Amiri" w:eastAsia="Amiri" w:cs="Amiri"/>
          <w:color w:val="111111"/>
          <w:sz w:val="28"/>
          <w:sz w:val="28"/>
          <w:szCs w:val="28"/>
          <w:rtl w:val="true"/>
          <w:lang w:bidi="ar-SA"/>
        </w:rPr>
        <w:t>أخبار المرجِّحات، وهي آبية عنه، إذ كيف يمكن تقييد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قول ربنا لم أقله، أو زخرف، أو باطل</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ولا يخفى انّ كلامه مجمل، والمراد انّ الترجيح بالشهرة العملية ورد في المقبولة قبل الترجيح بموافقة الكتاب ومخالفة العامة، ولو قلنا بلزوم العمل بالمرجّحات يلزم تقييد الترجيح بموافقة الكتاب، بما إذا لم يكن في الجانب المخالف شهرة، وإلّا فيقدّم المخالف، وذلك لأنّ المقبولة قدّمت الترجيح بالشهرة على الترجيح بموافقة الكتاب، فيكون الترجيح بالشهرة مقدّماً على الترجيح بموافقة الكتاب، وتكون النتيجة أنّ مخالف الكتاب الموافق للشهرة يكون مقدَّماً على موافق الكتاب وتختص مرجحيته بما إذا لم يكن المخالف موافقاً للشهرة، فيلزم تخصيص مرجّحية الكتاب بغير صورة وجود الشهرة مع أنّ لسان الأخبار في طرد مخالف المخالف آب عن التقييد، إذ معناه انّ مخالف الكتاب زخرف إلّاإذا كان موافقاً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لسان الروايات،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قول ربّنا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يردا في الخبرين المتعارضين و إنّما وردا في الخبر المخالف للقرآن، المجرّد عن التعارض وقد خلط المحقّق الخراساني بين هذين الصنفين، كما نبهنا به سابقاً</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إنّما يلزم إذا قلنا بكونها مرجِّحات للرواية، و أمّا لو قلنا بكونها مميزات للحجة فالتقييد غير لازم ولا معقول، لأنّ الجميع على هذا الفرض على صعيد واحد ليس لواحد منها مزية على الآخر، بل الكل يجعل الخبر الآخر في مدحرة البطلان</w:t>
      </w:r>
      <w:r>
        <w:rPr>
          <w:rFonts w:eastAsia="Amiri" w:cs="Amiri" w:ascii="Amiri" w:hAnsi="Amiri"/>
          <w:color w:val="111111"/>
          <w:sz w:val="28"/>
          <w:szCs w:val="28"/>
          <w:rtl w:val="true"/>
          <w:lang w:bidi="ar-SA"/>
        </w:rPr>
        <w:t xml:space="preserve">. </w:t>
      </w:r>
      <w:bookmarkStart w:id="1044" w:name="pg14367_157521"/>
    </w:p>
    <w:p>
      <w:pPr>
        <w:pStyle w:val="BookText"/>
        <w:rPr/>
      </w:pPr>
      <w:bookmarkEnd w:id="1044"/>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الفرض أمر ذهني ليس له مصداق في الخارج، إذ كيف يتصور أن يكون المخالف المبائن للقرآن، مُجْمعاً عليه، و الموافق شاذاً؟؟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أقصى ما يلزم هو إلغاء الترتيب الوارد في رواية ابن حنظلة وبما انّ الترتيب ورد في كلام الراوي بمعنى انّه هيّأ الأرضية بسؤالاته لأن يذكر الإمام كلاً بعد الآخر فلا يعبأ بذلك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يكون كلّ من الأُمور الأربعة أو الثلاثة أمارة لتشخيص الحقّ عن الباطل، في مستوى واحد كما لا يخفى</w:t>
      </w:r>
      <w:r>
        <w:rPr>
          <w:rFonts w:eastAsia="Amiri" w:cs="Amiri" w:ascii="Amiri" w:hAnsi="Amiri"/>
          <w:color w:val="111111"/>
          <w:sz w:val="28"/>
          <w:szCs w:val="28"/>
          <w:rtl w:val="true"/>
          <w:lang w:bidi="ar-SA"/>
        </w:rPr>
        <w:t>.</w:t>
      </w:r>
    </w:p>
    <w:p>
      <w:pPr>
        <w:pStyle w:val="Heading6"/>
        <w:numPr>
          <w:ilvl w:val="5"/>
          <w:numId w:val="1"/>
        </w:numPr>
        <w:rPr/>
      </w:pPr>
      <w:bookmarkStart w:id="1045" w:name="__RefHeading___Toc7507622_3381743652"/>
      <w:bookmarkStart w:id="1046" w:name="_Toc381"/>
      <w:bookmarkEnd w:id="1045"/>
      <w:r>
        <w:rPr>
          <w:rtl w:val="true"/>
        </w:rPr>
        <w:t>الجهة الثالثة في التعدّي من المنصوص إلى غيره</w:t>
      </w:r>
      <w:bookmarkEnd w:id="1046"/>
    </w:p>
    <w:p>
      <w:pPr>
        <w:pStyle w:val="BookText"/>
        <w:rPr/>
      </w:pPr>
      <w:r>
        <w:rPr>
          <w:rFonts w:ascii="Amiri" w:hAnsi="Amiri" w:eastAsia="Amiri" w:cs="Amiri"/>
          <w:color w:val="111111"/>
          <w:sz w:val="28"/>
          <w:sz w:val="28"/>
          <w:szCs w:val="28"/>
          <w:rtl w:val="true"/>
          <w:lang w:bidi="ar-SA"/>
        </w:rPr>
        <w:t>لو افترضنا انّ ما ذكر من المزايا مرجِّحات للرواية، فهل يقتصر عليها في مقام الترجيح أو يتعدى عنه إلى غيره كموافقه الأصل أو موافقة الإجماع المنقول وغيرهما؟ ذهب الشيخ الأعظم إلى لزوم التعدّي خلافاً للمحقّق الخراساني، واستدلّ الشيخ الأنصاري على التعدّي بوجوه أربعة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الترجيح بالأصدقية في المقبولة والأوثقية في المرفوعة ليس إلّالأجل كونهما موجبتين للأقربية ويجب الأخذ بكلّ ما يوجب أقربية أحدهما من الآخر، وعلى ضوء هذا ينتقل إلى الترجيح بكلّ صفة في الراوي والرواية توجب أقربية أحد الخبرين، ككون الراوي مُجيداً للغة العربية دون الآخر، أو كون إحدى الروايتين منقولة بالمعنى دون الأُخرى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الترجيح بهذين الوصفين لا يوجد إلّافي المرفوعة والمقبولة، فالمرفوعة لا سند لها، وأمّا المقبولة فموردها ترجيح رأي أحد القاضيين على الآخر، فلو قيل بالتعدّي فإنّما يصحّ التعدّي في مورد القضاء أي يتعدّى من الأوصاف المنصوصة في القاضي إلى غير المنصوصة فيه لا إلى مورد الإفتاء الذي هو خارج عن موضوع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إيجاب الترجيح في القضاء لأجل انّ فصل الخصومة لا يتم إلّابصدور الرأي القاطع من القاضي ولا يصح تخيير المتحاكمين بين مضموني الروايتين، إذ عندئذٍ لا يحسم النزاع وأمّا باب الإفتاء فلا يجب فيه الترجيح لجواز الإفتاء بالتخيير بين الخبرين ولا يترتب عليه الفساد المترتب عليه في باب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المجمع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وصفه الإمام بأنّه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المتواترة بل المراد الخبر الواحد المعروف بين الرواة، وعليه يكون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الريب بالإضافة إلى الرواية الشاذة التي لم تكن معروفة عند الأصحاب، فتكون المشهورة أقرب من الشاذة إلى الصدور، إذ يحتمل فيه مالا يحتمل في المجمع عليه، ولازم ذلك هو التعدّي إلى كلّ مزية توجب نفي الريب في واحدة دون الأُخرى، ويؤيد انّ المراد من الريب هو الريب النسبي لا الريب المطلق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الراوي خبرين مشهورين، إذ لا يصحّ فرض خبرين مشهورين ممّا لا ريب فيهما على وجه الإطلاق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كان المراد هو نفي الريب على وجه الإطلاق لم يكن وجه لتقديم الترجيح بصفات الراوي على الشهرة، فانّ الإرجاع إلى الأمارة الظنية إنّما يصحّ إذا فقدت الأمارة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الاستدلال مبني على أنّ المراد من الريب المنفي هو الريب النسبي لا الريب على وجه الإطلاق، بمعنى انّ الريب الموجود في الشاذ ليس بموجود في المشهور وإن كان المشهور محتمل الريب من جهات أُخرى، فعلى هذا يصحّ التعدي لكن الظاهر انّ المنفي هو الريب على وجه الإطلاق كما هو 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ابن مالك في نكته على مقدمة ابن الحاجب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نافية للجنس ويُفرَّق بين إرادة الجنس وغيره بالقرائن وإنّما أعملت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ما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لما قصد بها نفي الجنس على سبيل الاستغراق اختصت بالجنس</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وعلى هذا فاحتمال انّ الريب المنفي هو الريب النسبي على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المتواتر، وليس هو المراد في المقام، لأنّ الراوي افترض بعد هذا السؤال خبرين مشهورين، ومن المعلوم عدم إمكان فرض خبرين متواترين متعارضين ولا وجه للسؤال عن غير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الواحد الذي تطمئن به النفس وتسكن إليه، لنقل الأصحاب وعملهم به دون الآخر الذي أعرض عنه الأصحاب نقلاً وعملاً أو عملاً فقط، فالأوّل لا ريب فيه عرفاً، والثاني فيه كلّ الريب ولا يدخل مثل ذلك في عنوان الخبر المتواتر، إذا عرفت ذلك فاعلم أنّه لو قلنا بالتعدي فانّما يصحّ لو كان المتعدَّى إليه مثل الشهرة العملية للرواية التي تجعل الخبر مسكوناً إليه لا مطلق المرجِّح الذي لا يجعل الخبر بلا ريب</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تبيّن ما هو المراد من الحديث، وإليك تحليل ما استشهد به من </w:t>
      </w:r>
    </w:p>
    <w:p>
      <w:pPr>
        <w:pStyle w:val="BookText"/>
        <w:rPr/>
      </w:pPr>
      <w:r>
        <w:rPr>
          <w:rFonts w:ascii="Amiri" w:hAnsi="Amiri" w:eastAsia="Amiri" w:cs="Amiri"/>
          <w:color w:val="111111"/>
          <w:sz w:val="28"/>
          <w:sz w:val="28"/>
          <w:szCs w:val="28"/>
          <w:rtl w:val="true"/>
          <w:lang w:bidi="ar-SA"/>
        </w:rPr>
        <w:t>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فرض خبرين مشهورين دليل على أنّ المنفي هو الريب النسبي لا المطلق، وإلّا لما أمكن فرض خبرين متعارضين ممّا لا ريب في كلّ واحد على الإطلاق، لاستلزامه العلم بالمتناقضين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الاستشهاد مبنيّ على كون المراد من خبرين مشهورين هو اشتمالهما على تلك المزية، وأمّا لو كان الفرض رمزاً لخلوهما من تلك المزية فلا يصحّ الاستشهاد، كما إذا عملت طائفة بخبر وطائفة أُخرى بخبر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فلأنّ تقديم صفات الراوي على صفات الرواية كالشهرة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القاعدة تقتضي العكس لكون صفات الرواية ظنّية بخلاف الشهرة فانّها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مورد السؤال هو اختلاف الحكمين، وطبع القضية يقتضي تقديم صفات الحاكم على غيره، وإلّا فلو كان مورده السؤال عن الفتوى لكان اللازم تقديم الشهرة على 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تقديم الترجيح بصفات الراوي لا يكون دليلاً على أنّ الريب المنفي هو الريب النسبي، بل المنفي هو الريب المطلق المفيد لليقين، وأمّا تقديم المرجح الظني عليه فلخصوصية في المورد</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الوارد في الأخذ بما يخالف العامة بأنّ الرشد في خلافهما، ومن الواضح انّه ليس المراد انّ كلّ ما يكون مخالفاً للعامة فهو الحقّ القراح، وكلّ ما يكون موافقاً لهم فهو الباطل المحض ضرورة بطلان ذلك، لوجود الاشتراك في كثير من الأحكام، بل المراد وجود احتمال التقية في الموافق دون المخالف، ففي المخالف أمارة الحقّ والرشد بخلاف الموافق، ولازم ذلك الأخذ بكلّ مزية فيه أمارة الحقّ والرشد وترك ما فيه مظنة الحقّوالصواب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المزبورة وردت عن طريق أحمد بن محمد السياري</w:t>
      </w:r>
      <w:r>
        <w:rPr>
          <w:rStyle w:val="FootnoteAnchor"/>
          <w:rtl w:val="true"/>
        </w:rPr>
        <w:footnoteReference w:id="443"/>
      </w:r>
      <w:r>
        <w:rPr>
          <w:rFonts w:ascii="Amiri" w:hAnsi="Amiri" w:eastAsia="Amiri" w:cs="Amiri"/>
          <w:color w:val="111111"/>
          <w:sz w:val="28"/>
          <w:sz w:val="28"/>
          <w:szCs w:val="28"/>
          <w:rtl w:val="true"/>
          <w:lang w:bidi="ar-SA"/>
        </w:rPr>
        <w:t>و هو ضعيف الحديث فاسد المذهب</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نعم ورد في المقبولة ما خالف العامة ففيه الرشاد، وأقصى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بلغت المزية غير المنصوصة هذا الحد يجب الأخذ به، وهو غير الأخذ بكلّمرحِّج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أنّه إذا دار الأمر بين أمرين في أحدهما ريب ليس في الآخر ذلك الريب يجب الأخذ به، وليس المراد نفي الريب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الرواية ضعيفة مرسلة رواها الشهيد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مالا يريبك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الكراجكي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مالا يريبك، فانّك لن تجد فقد شيء تركته للّه عزّ وجلّ</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لكن المراد من الريب هو احتمال الحرمة، كما هو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دليل القائل بالتعدّي، وأمّا دليل القائل بعدمه فهو مقتضى إطلاقات التخيير إلّاما خرج بالدليل، ويؤيد ذلك أمران</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لزم العمل بكلّمزية توجب أقربية ذيها إلى الواقع، لكان على </w:t>
      </w:r>
    </w:p>
    <w:p>
      <w:pPr>
        <w:pStyle w:val="BookText"/>
        <w:rPr/>
      </w:pPr>
      <w:r>
        <w:rPr>
          <w:rFonts w:ascii="Amiri" w:hAnsi="Amiri" w:eastAsia="Amiri" w:cs="Amiri"/>
          <w:color w:val="111111"/>
          <w:sz w:val="28"/>
          <w:sz w:val="28"/>
          <w:szCs w:val="28"/>
          <w:rtl w:val="true"/>
          <w:lang w:bidi="ar-SA"/>
        </w:rPr>
        <w:t>الإمام بيان الضابطة الكلية من دون حاجة إلى بيان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بعد فرض الراوي في المقبولة تساوي الخبرين في جميع المرجحات المنصوصة أمر بالإرجاء حتى يلقى إمامه، فلو كان الواجب هو تقديم ذي المزية على غيرها كان عليه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بالخبر الذي فيه مزية توجب الأقربية</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الجهة الثالثة، بقي هنا شيء، وهو ما هو الواجب في المتعارضين بنحو العموم والخصوص من وجه؟ ونجعله خاتمة المطاف</w:t>
      </w:r>
      <w:r>
        <w:rPr>
          <w:rFonts w:eastAsia="Amiri" w:cs="Amiri" w:ascii="Amiri" w:hAnsi="Amiri"/>
          <w:color w:val="111111"/>
          <w:sz w:val="28"/>
          <w:szCs w:val="28"/>
          <w:rtl w:val="true"/>
          <w:lang w:bidi="ar-SA"/>
        </w:rPr>
        <w:t xml:space="preserve">. </w:t>
      </w:r>
      <w:bookmarkStart w:id="1047" w:name="pg14367_157527"/>
    </w:p>
    <w:p>
      <w:pPr>
        <w:pStyle w:val="Heading6"/>
        <w:numPr>
          <w:ilvl w:val="5"/>
          <w:numId w:val="1"/>
        </w:numPr>
        <w:rPr/>
      </w:pPr>
      <w:bookmarkStart w:id="1048" w:name="__RefHeading___Toc7507624_3381743652"/>
      <w:bookmarkStart w:id="1049" w:name="_Toc382"/>
      <w:bookmarkEnd w:id="1047"/>
      <w:bookmarkEnd w:id="1048"/>
      <w:r>
        <w:rPr>
          <w:rtl w:val="true"/>
        </w:rPr>
        <w:t>خاتمة المطاف في التعارض على نحو العموم والخصوص من وجه</w:t>
      </w:r>
      <w:bookmarkEnd w:id="1049"/>
    </w:p>
    <w:p>
      <w:pPr>
        <w:pStyle w:val="BookText"/>
        <w:rPr/>
      </w:pPr>
      <w:r>
        <w:rPr>
          <w:rFonts w:ascii="Amiri" w:hAnsi="Amiri" w:eastAsia="Amiri" w:cs="Amiri"/>
          <w:color w:val="111111"/>
          <w:sz w:val="28"/>
          <w:sz w:val="28"/>
          <w:szCs w:val="28"/>
          <w:rtl w:val="true"/>
          <w:lang w:bidi="ar-SA"/>
        </w:rPr>
        <w:t>قد وقفت بفضل البحث الضافي في الفصلين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المقبول بين الروايتين، مقدّم على الأخبار العلاجية من التخيير والترجيح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بين الخبرين هو التباين، فيجب العمل بالرواية ذات المزية، وإلّا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إذا كان التعارض بين الخبرين على نحو العموم من وجه، كما إذا دلّ الدليل على نجاسة عذرة ما لا يؤكل لحمه، و دلّ دليل آخر على طهارة عذرة كلّ طائر، فيفترق الدليلان في موردين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الوحوش، فإنّها داخلة تحت إطلاق الدليل الأوّل،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الطائر الذي يؤكل لحمه، فإنّها داخلة تحت إطلاق الدليل الثاني، وإنّما يتعارضان في الطائر غير المأكول لحمه كما فيما إذا كان له مخالب، فهل المرجع هو التساقط والرجوع إلى دليل آخر من اجتهادي كالعموم والإطلاق، وأصل عمليّ إذا لم يكن دليل اجتهادي؛ أو المرجع هو الأخبار العلاجية من الترجيح أوّلاً والتخيير ثانياً؟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للقول الأوّل بأنّ المتبادر من الأخبار العلاجية هو دوران الأمر بين الأخذ بالشيء بتمامه، وترك الآخر كذلك، أو بالعكس كما هو الظاهر من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يأمر والآخر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العامّين من وجه ليس كذلك، إذ لا يدور الأمر بين الأخذ بواحد منهما وترك الآخر أو بالعكس، بل يؤخذ بكلّ في موردي الافتراق، وإنّما الاختلاف في مورد الاجتماع، فالعُقاب بما انّه حيوان غير مأكول يحكم عليه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انّه طائر يحكم عليه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حكم أخبار العرض على الكتاب والسنّة وفتاوى العامّة، فانّ الظاهر هو الأخذ بتمام ما وافق كتاب اللّه وترك تمام ما خالفه، ومثله ما وافق العامّة أو خالفها، فإنّ المتبادر هو أخذ تمام ما خالف العامة و ترك كلّ ما وافقهم، والأمر في العموم من وجه ليس كذلك، لأنّه يؤخذ بكلا الدليلين، ولا يترك الآخر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الشيخ ذهب إلى القول الثاني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التعارض يصدق عرفاً وانّ العامين من وجه داخل في الأخبار العلاجية، إذ تخصيصهما بخصوص المتعارضين اللّذَين لا يمكن الجمع بينهما إلّابإخراج كليهما عن ظاهريهما خلاف الظاهر</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خلاف ما ادّعاه، لما عرفت من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 يأمر و الآخر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دوران الأمر بين الأخذ بأحدهما تماماً وترك الآخر كذلك، وهذا الشرط مفقود في العامّين من وجه،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وافق الكتاب أو خذ ماخالف العامة، فانّه ظاهر في الأخذ بتمام الخبر الموافق للكتاب أو الخبر المخالف للعامة وترك الآخر من رأس لا تركه في مورد الاجتماع والعمل به في مورد الافتراق</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يمكن تقريب ما أفاده الشيخ من وجه آخر وهو التمسّك بالملاك بأن يقال انّ الأخبار العلاجية بصدد إعطاء الضابطة، فلو لم تكن شاملة للعامين من وجه بلفظها، فإنّها شاملة لهما بمناطها إذ أيّ فرق بين المخالفة بتمام المضمون أو </w:t>
      </w:r>
      <w:bookmarkStart w:id="1050" w:name="pg14367_157529"/>
    </w:p>
    <w:p>
      <w:pPr>
        <w:pStyle w:val="BookText"/>
        <w:rPr/>
      </w:pPr>
      <w:bookmarkEnd w:id="1050"/>
      <w:r>
        <w:rPr>
          <w:rFonts w:ascii="Amiri" w:hAnsi="Amiri" w:eastAsia="Amiri" w:cs="Amiri"/>
          <w:color w:val="111111"/>
          <w:sz w:val="28"/>
          <w:sz w:val="28"/>
          <w:szCs w:val="28"/>
          <w:rtl w:val="true"/>
          <w:lang w:bidi="ar-SA"/>
        </w:rPr>
        <w:t>ببعضه، فانّ أحد الحكمين في مورد التصادق مخالف للكتاب أو موافق للعامة فيؤخذ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غاية ما يمكن أن يقال في توجيه نظرية الشيخ، ولكنّ العلم بالملاك أمر صعب، إذ فرق واضح بين المخالفة بنحو التباين، والمخالفة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فالمخالفة في الأوّل قوّية بخلاف المخالفة في الثانية فإنّها أضعف ولا يمكن إسراء حكم القوي إلى الضعيف إلّاإذا كان هناك دليل قاطع، والقول بأنّ الملاك صرف المخالفة، وهي موجودة في العامين من وجه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يؤيد القول المختار هو ما عرفت أنّ تقديم الخبر المجمع عليه أو كونه موافقاً للكتاب والسنّة من قبيل تقديم الحجة على اللاحجة لا من باب الترجيح، وهذا إنّما ينطبق على المخالفة بنحو التباين لا على نحو العامين من وجه، إذ ليس كلّ من الدليلين في موردي الاختلاف أمراً باطلاً، والتفكيك بين مورد الاتفاق بوصفه حجّة ومورد الاختلاف بوصفه لا حجة أمر لا يقبله الذوق</w:t>
      </w:r>
      <w:r>
        <w:rPr>
          <w:rFonts w:eastAsia="Amiri" w:cs="Amiri" w:ascii="Amiri" w:hAnsi="Amiri"/>
          <w:color w:val="111111"/>
          <w:sz w:val="28"/>
          <w:szCs w:val="28"/>
          <w:rtl w:val="true"/>
          <w:lang w:bidi="ar-SA"/>
        </w:rPr>
        <w:t>.</w:t>
      </w:r>
    </w:p>
    <w:p>
      <w:pPr>
        <w:pStyle w:val="Heading6"/>
        <w:numPr>
          <w:ilvl w:val="5"/>
          <w:numId w:val="1"/>
        </w:numPr>
        <w:rPr/>
      </w:pPr>
      <w:bookmarkStart w:id="1051" w:name="__RefHeading___Toc7507626_3381743652"/>
      <w:bookmarkStart w:id="1052" w:name="_Toc383"/>
      <w:bookmarkEnd w:id="1051"/>
      <w:r>
        <w:rPr>
          <w:rtl w:val="true"/>
        </w:rPr>
        <w:t>سؤال وإجابة</w:t>
      </w:r>
      <w:bookmarkEnd w:id="1052"/>
    </w:p>
    <w:p>
      <w:pPr>
        <w:pStyle w:val="BookText"/>
        <w:rPr/>
      </w:pPr>
      <w:r>
        <w:rPr>
          <w:rFonts w:ascii="Amiri" w:hAnsi="Amiri" w:eastAsia="Amiri" w:cs="Amiri"/>
          <w:color w:val="111111"/>
          <w:sz w:val="28"/>
          <w:sz w:val="28"/>
          <w:szCs w:val="28"/>
          <w:rtl w:val="true"/>
          <w:lang w:bidi="ar-SA"/>
        </w:rPr>
        <w:t>بقيت هنا كلمة وهي انّه ربّما يبحث عن العامّين من وجه في مبحث اجتماع الأمر والنهي، وأُخرى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يطرح هذا السؤال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كيف يعدُّ شيء واحد تارة من باب التزاحم، كما هو الحال في طرحه في باب اجتماع الأمر والنهي؛ وأُخرى في باب التعارض، كما هو الحال في طرحه في المقام؟</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انّ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ولا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العلماء ولا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يعد الأوّل من باب التزاحم بخلاف الآخر حيث يعدّ من باب </w:t>
      </w:r>
    </w:p>
    <w:p>
      <w:pPr>
        <w:pStyle w:val="BookText"/>
        <w:rPr/>
      </w:pPr>
      <w:r>
        <w:rPr>
          <w:rFonts w:ascii="Amiri" w:hAnsi="Amiri" w:eastAsia="Amiri" w:cs="Amiri"/>
          <w:color w:val="111111"/>
          <w:sz w:val="28"/>
          <w:sz w:val="28"/>
          <w:szCs w:val="28"/>
          <w:rtl w:val="true"/>
          <w:lang w:bidi="ar-SA"/>
        </w:rPr>
        <w:t>التعارض، ولم نجد أحداً يعالج المثال الأوّل من باب التعارض، كما أنّه لم نجد من يعالج المثال الثاني من باب التزاحم مع أنّ المثالين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وصفها الشيخ المظفر بأنّها من المسائل العويصة، مشكلة التفرقة بين باب التعارض و بين باب التزاحم ثمّ بينهما وبين مسألة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أجاب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العنوان المأخوذ في متعلّق الخطاب من جهة عمومه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ملحوظاً في الخطاب، فانياً في مصاديقه على وجه يسع جميع الأفراد بما لها من الكثرات والمميّزات فيكون شاملاً في سعته لموضع الالتقاء مع العنوان المحكوم الآخر ولا نضايقك أن تسمّي مثل هذا العموم، العموم الاستغراقي، فيكون كلّ دليل متعرضاً لحكم كلّ فرد من أفراده،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فهو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حتى الفسّاق منهم؛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فهو بمنزلة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حتى العلماء منهم، فيكون كلّ، نافياً بالدلالة الالتزامية لكلّحكم مناف لحكمه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العنوان ملحوظاً في الخطاب فانياً في مطلق الوجود، المضاف إلى طبيعة العنوان من دون ملاحظة كونه على وجه يسع جميع الأفراد، أي‌لم تلحظ فيه الكثرات والمميزات في مقام الأمر بوجود الطبيعة ولا في مقام النهي عن وجود الطبيعة الأُخرى، فيكون المطلوب من كلّ، هو صرف الوجود ولنسمِّ هذا العموم العمومُ البدلي كما صنع بعضهم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العنوان مأخوذاً على النحو الأوّل، فهو من مصاديق المتعارضين، </w:t>
      </w:r>
    </w:p>
    <w:p>
      <w:pPr>
        <w:pStyle w:val="BookText"/>
        <w:rPr/>
      </w:pPr>
      <w:r>
        <w:rPr>
          <w:rFonts w:ascii="Amiri" w:hAnsi="Amiri" w:eastAsia="Amiri" w:cs="Amiri"/>
          <w:color w:val="111111"/>
          <w:sz w:val="28"/>
          <w:sz w:val="28"/>
          <w:szCs w:val="28"/>
          <w:rtl w:val="true"/>
          <w:lang w:bidi="ar-SA"/>
        </w:rPr>
        <w:t>لأنّهما يتكاذبان بالنسبة إلى موضع الالتقاء من جهة الدلالة الالتزامية في مقام الجعل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العنوان مأخوذاً على النحو الثاني، فهو مورد التزاحم أو مسألة اجتماع الأمر والنهي، وبما انّ الأمر بالصلاة لم يكن ظاهراً في طلبها حتى في مورد الغصب، وهكذا النهي عن الغصب حيث لم يكن ظاهراً في النهي عنه حتى في مورد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معارضة بين الدليلين في مقام الجعل والإنشاء، بل المنافاة لأجل عدم قدرة المكلّف بين الامتثالين، فيدور الأمر بين امتثال الأمر و امتثال النهي، إذ لا يمكنه امتثالهما معاً من جهة عدم المندوحة</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تفسير المتعارضين في العامين من وجه بالعام الاستغراقي، وتفسير المتزاحمين بالعام البدلي غير تام لا في جانب الأوّل ولا في ناحية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المتعارضان منهما فربما يكون المأمور به والمنهي عنه في كلا الدليلين صرف الطبيعة من دون دلالة على الكثرات والمميزات حتى يعمّ كلّ فرد فرد حتى المقارن، بالعنوان الآخر،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 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ولا تغصب، وإنّما يصحّ ما ذكره إذا كان الدليل مقروناً بما يدل على الكثرات، كالجمع المحلّى باللاّم، مثل العلماءُ الفسّاق، دون المفرد المحلّى بها، الدال على الطبيعة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المتزاحمان، فقولنا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بحكم العام البدلي، فانّ المطلوب فرد من أفراد الصلاة، إلّاأنّ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إذ المطلوب ترك جميع أفرادها وقد ارتكز في أذهان العرف انّ نفي الطبيعة إنّما هو بنفي جميع </w:t>
      </w:r>
    </w:p>
    <w:p>
      <w:pPr>
        <w:pStyle w:val="BookText"/>
        <w:rPr/>
      </w:pPr>
      <w:r>
        <w:rPr>
          <w:rFonts w:ascii="IRNazanin" w:hAnsi="IRNazanin" w:eastAsia="IRNazanin"/>
          <w:color w:val="111111"/>
          <w:sz w:val="28"/>
          <w:sz w:val="28"/>
          <w:szCs w:val="28"/>
          <w:rtl w:val="true"/>
          <w:lang w:bidi="fa-IR"/>
        </w:rPr>
        <w:t>أفرادها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والحق ما أفاده المحقّق الخراساني في الفرق بين البابين من أنّه لا يكون المورد من باب الاجتماع إلّاإذا أحرز في كلّ واحد من متعلّقي الإيجاب والتحريم، مناط حكمه مطلقاً حتى في مورد التصادق والاجتماع، وأمّا إذا لم يحرز مناط كلّ من الحكمين في مورد التصادق مع العلم بمناط أحد الحكمين بلا تعيين بالمورد، فهو من باب التعارض للعلم الإجمالي حينئذٍ بكذب أحد الدليلين الموجب للتنافي بينهما عرضاً</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إحراز المناط في كلّ من المتعلّقين فرع إحراز صدورهما شرعاً من الشارع بالتواتر وبالخبر الواحد المحفوف بالقرائن، وإلّا لا يكون هناك علم باشتمالهما على المناط، لاحتمال كذب واحد منهما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التزاحم بما إذا علم صدور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باب التعارض، إذ ليس هناك علم بصدور واحد منهما فضلاً عن كليهما، وإنّما قام الدليل القطعي على كون الدليلين حجة شرعية مع احتمال كذب أحدهما أو كليهما، ولذلك لم يحرز وجود المناط حتى في واحد منهما</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 يظهر النظر في قول المحقّق الخراساني حيث قال مع العلم بمناط أحد الحكمين بلا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محط البحث في المتعارضين في الأعمّ منه وممّا إذا لم يحرز وجوده في واحد منهما وإن قام الدليل على كونهما حجة، وقد أوضحنا ما ذكرناه عند البحث عن اجتماع الأمر والنهي فلاحظ</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بلغ الكلام إلى هنا ليلة الأحد ثاني شهر صفر المظفّر من شهور</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الكتاب بيد مؤلِّفه محمد حسين الحاج العاملي،</w:t>
      </w:r>
    </w:p>
    <w:p>
      <w:pPr>
        <w:pStyle w:val="BookText"/>
        <w:rPr/>
      </w:pPr>
      <w:r>
        <w:rPr>
          <w:rFonts w:ascii="Amiri" w:hAnsi="Amiri" w:eastAsia="Amiri" w:cs="Amiri"/>
          <w:color w:val="111111"/>
          <w:sz w:val="28"/>
          <w:sz w:val="28"/>
          <w:szCs w:val="28"/>
          <w:rtl w:val="true"/>
          <w:lang w:bidi="ar-SA"/>
        </w:rPr>
        <w:t>عامله اللّه بلطفه الخفيّ أحمده سبحانه وأشكره على نشر</w:t>
      </w:r>
    </w:p>
    <w:p>
      <w:pPr>
        <w:pStyle w:val="BookText"/>
        <w:rPr/>
      </w:pPr>
      <w:r>
        <w:rPr>
          <w:rFonts w:ascii="Amiri" w:hAnsi="Amiri" w:eastAsia="Amiri" w:cs="Amiri"/>
          <w:color w:val="111111"/>
          <w:sz w:val="28"/>
          <w:sz w:val="28"/>
          <w:szCs w:val="28"/>
          <w:rtl w:val="true"/>
          <w:lang w:bidi="ar-SA"/>
        </w:rPr>
        <w:t xml:space="preserve">ما أفاده شيخنا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المباحث العقلية وأرجو منه</w:t>
      </w:r>
    </w:p>
    <w:p>
      <w:pPr>
        <w:pStyle w:val="BookText"/>
        <w:rPr/>
      </w:pPr>
      <w:r>
        <w:rPr>
          <w:rFonts w:ascii="Amiri" w:hAnsi="Amiri" w:eastAsia="Amiri" w:cs="Amiri"/>
          <w:color w:val="111111"/>
          <w:sz w:val="28"/>
          <w:sz w:val="28"/>
          <w:szCs w:val="28"/>
          <w:rtl w:val="true"/>
          <w:lang w:bidi="ar-SA"/>
        </w:rPr>
        <w:t>سبحانه أن يوفقني لنشر ما كتبته</w:t>
      </w:r>
    </w:p>
    <w:p>
      <w:pPr>
        <w:pStyle w:val="BookText"/>
        <w:rPr/>
      </w:pPr>
      <w:r>
        <w:rPr>
          <w:rFonts w:ascii="Amiri" w:hAnsi="Amiri" w:eastAsia="Amiri" w:cs="Amiri"/>
          <w:color w:val="111111"/>
          <w:sz w:val="28"/>
          <w:sz w:val="28"/>
          <w:szCs w:val="28"/>
          <w:rtl w:val="true"/>
          <w:lang w:bidi="ar-SA"/>
        </w:rPr>
        <w:t>في حقل الفقه انّه بذلك قدير</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وبالإجابة جدير</w:t>
      </w:r>
      <w:r>
        <w:rPr>
          <w:rFonts w:eastAsia="Amiri" w:cs="Amiri" w:ascii="Amiri" w:hAnsi="Amiri"/>
          <w:color w:val="111111"/>
          <w:sz w:val="28"/>
          <w:szCs w:val="28"/>
          <w:rtl w:val="true"/>
          <w:lang w:bidi="ar-SA"/>
        </w:rPr>
        <w:t xml:space="preserve">. </w:t>
      </w:r>
      <w:bookmarkStart w:id="1053" w:name="pg14367_157534"/>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54" w:name="__RefHeading___Toc7507628_3381743652"/>
      <w:bookmarkStart w:id="1055" w:name="_Toc384"/>
      <w:bookmarkEnd w:id="1053"/>
      <w:bookmarkEnd w:id="1054"/>
      <w:r>
        <w:rPr>
          <w:rtl w:val="true"/>
        </w:rPr>
        <w:t>فهرس المحتويات</w:t>
      </w:r>
      <w:bookmarkEnd w:id="1055"/>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قيد اللحاظ أو الاعتبار لأجل انّه ربّما تكون هناك حالة سابقة ولا تكون ملحوظة ومعتبرة كما في الشكّ في المقتضي عند الشيخ، أو الحكم الشرعي الكلي عند المحقّق النراقي ومن تبعه كالسيد المحقّق الخوئي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قاعدة اليقين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 الاستصحاب القهقري</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خرجت قاعدة المقتضي والمانع، كما سيوافيك تفصيله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الوصول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والخطاب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قبيل الالتفات، حيث عدل من الغيبة إلى الخطاب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المدنية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مبحث التمسّك بالاستصحاب؛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المقدمة الحادية عشرة؛ و حكي عن رسال المحقّق البهبهاني انّه أيضاً أسندها إلى الإمام الباقر عليه السلام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باب تطهير البدن والثياب من النجاسات؛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الايمان،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السخاء بمعنى الجود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محمد بن أحمد بن يحيى</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هذا أشار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ظاهره في استمرار الحكم الواقعي ظاهراً ما لم يعلم بطروء ضده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إذاكانت الطهارة والنجاسة من قبيل الضدين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نقيضه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إذاكانتا من قبيل النقيضين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الخراساني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بتقرير منّا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الرضوية على الفرائد المرتضوية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بيان القول العاشر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الحجّة الكوهكمري قدس سره في درسه الشريف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ط دار الكتب الإسلامية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التنبيه من إضافات شيخنا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مدّظلّه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التيمم،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شرح الفرائد بتلخيص منّا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الإمام الخميني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أي‌تكون الشبهة موضوعية، وهذا هوالموضع الأوّل حسب تقسيمنا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القول الخامس من بين الأقوال البالغة أحد عشر قولاً في حجية الاستصحاب في الفرائد، لاحظ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رحمة اللّه</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الكفاية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 للحكم لا يخلو من تسامح</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المطبوعة أخيراً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على الزمان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نقلاً عن الفوائد المدنية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النجاسات،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يشترط في صحة الصلاة إزالة النجاسة عن البدن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تعليقة النائيني وتلميذه جمال الدين الگلپايگاني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مؤسسة النشر الإسلامي التابعة لجماعة المدرسين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للعصرين لينطبق على المقام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كان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الأحبن الّذي عظم بطنه وورم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أعرضنا عمّا ذكره في ذيله فانّه غير مقبول عندنا كما سيوافيك</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العيدين،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زكاة الفطرة،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 بعد الفراغ من دليل العقل على البراءة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ناظر إلى التنبيه التاسع</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إذا علم بحدوث الكرّية إمّا يوم الخميس أويوم الجمعة، وافترضنا غسل ثوب نجس فيه يوم الخميس، فعلى الأوّل يحكم عليه بالطهارة، دون الثاني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ط رحمة اللّه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في شرح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وأقصى ما عنده من الدليل على تطبيق روايات الاستصحاب على قاعدة المقتضي والمانع، جعل غاية عدم الوضوء في الصحيحة الأُولى، الاستيقان بالنوم الّذي يكون رافعاً 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على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بتلخيص منّا</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بعد الفراغ عن بيان النسبة بينه وبين القرعة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ضمن تقرير الدليل الثاني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رواية القاضي نعمان المصري عن أمير المؤمنين؛ ولاحظ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حيث أفتى بنص الحديث الخامس</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وسيوافيك الكلام فيه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إحياء الموات،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كتاب القضاء،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من كتاب القضاء،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في مسألة الشكّ في بعض أفعال الطهارة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ليس في المصدر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فيما نقلناه عن دعائم الإسلام وفقه الرضا،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خصّ المحقّق النائيني قاعدة الفراغ بالشكّ في الصحة بعد الفراغ عن العمل، وعمّمها المحقّق الخوئي لكلتا الصورتين سواء كان الشكّ في الصحة بعد الفراغ عن العمل أم في أثنائه، فلو شكّ في صحّة القراءة وهو في الركوع تعمّه قاعدة الفراغ عند المحقّق الخوئي دون المحقّق النائيني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الصحيحة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والموثّقة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 الروايتين الشكّ في وجود الشيء لا في صحّته، وسيوافيك انّ التجاوز في الشكّ في وجود الشيء، يتوقف على‌التجاوز عن محله وهو يتحقّق بالدخول في الغير وكأنّ حقيقة التجاوز رهن الدخول في الغير، فليس الدخول قيداً زائداً بل محقّقاً للتجاوز</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الصحيحة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والموثّقة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ومورد الروايتين الشكّ في وجود الشيء لا في صحّته، وسيوافيك انّ التجاوز في الشكّ في وجود الشيء، يتوقف على التجاوز عن محله وهو يتحقّق بالدخول في الغير وكأنّ حقيقة التجاوز رهن الدخول في الغير، فليس الدخول قيداً زائداً بل محقّقاً للتجاوز</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الحديث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الأحاديث 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الأحاديث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16</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المحقّق الهمداني على الفرائد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الجميع 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أبواب النجاسات،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الإجارة،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من كتاب الوقف</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الغرقى،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نقل هذه الرواية في ضمن الأخبار الخاصّة، والداعي إلى النقل هنا هو الذيل وهناك هو الصدر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ascii="IRNazanin" w:hAnsi="IRNazanin" w:eastAsia="IRNazanin"/>
          <w:b w:val="false"/>
          <w:b w:val="false"/>
          <w:bCs w:val="false"/>
          <w:i w:val="false"/>
          <w:i w:val="false"/>
          <w:iCs w:val="false"/>
          <w:color w:val="333333"/>
          <w:sz w:val="20"/>
          <w:sz w:val="20"/>
          <w:szCs w:val="20"/>
          <w:rtl w:val="true"/>
        </w:rPr>
        <w:t>، كتاب الشهادات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ما يرجع إلى هذه الطائفة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الوسائل 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ولد الملاعنة،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والمستدرك، الجزء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كيفية الحكم،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العتق،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640/3</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ascii="IRNazanin" w:hAnsi="IRNazanin" w:eastAsia="IRNazanin"/>
          <w:b w:val="false"/>
          <w:b w:val="false"/>
          <w:bCs w:val="false"/>
          <w:i w:val="false"/>
          <w:i w:val="false"/>
          <w:iCs w:val="false"/>
          <w:color w:val="333333"/>
          <w:sz w:val="20"/>
          <w:sz w:val="20"/>
          <w:szCs w:val="20"/>
          <w:rtl w:val="true"/>
        </w:rPr>
        <w:t>، وسنن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ذلك الباب أيضاً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الخنثى،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ذلك الباب أيضاً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باب القضاء بالقرعة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ضمن سلسلة مؤلّفات المفيد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xml:space="preserve">، كتاب الشهادات،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القاعدة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الصلح،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باب الدخول على الميت من كتاب الجنائز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750/4</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الحج، فصل الاستطاعة، 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البعض الآخر في المقام الأوّل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رحمة اللّه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الصوم الواجب،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الأبوين،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يعمل على ما يختص بروايته وقد جمع ما تفرّد به المحقّق التستري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وأكثر ألفاظ أخباره معقّدة، مختلة النظام، ومنها في مكان الإمام والمأموم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الأعمام والأخوال،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الجماعة،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ينسب إلى الأشاعرة من أنّهم ينكرون الحكم المشترك بين الجاهل والعالم على إطلاقه ليس بتام، بل انّهم ينكرون ذلك فيما إذا لم يتوفرنص من الكتاب والسنّة، كما هو الظاهر من الغزالي في مستصفاه</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والفرق بين هذه الصورة و ما في الصورة الثانية من لزوم المتناقضين، هو انّ عدم الوجوب فيها ليس حكماً شرعياً بخلاف الإباحة فانّه حكم شرعي</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حنظلة أبو صخر العجلي البكري الكوفي، من أصحاب الإمامين الباقر والصادق عليهما السلام، تلقّى المشهور روايتَه بالقبول، وله أكثر من سبعين رواية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عيسى القمي، كان وجهاً بقم وأميراً عليها من قبل السلطان، وكذلك كان أبوه يعرف بالطلحي، له مسائل لأبي محمد العسكري</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محمد بن عيسى مكان محمد بن علي بن عيسى، ولعلّهما شخصان، أو سقط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 الناسخ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الحديث الثاني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المسيب عربي تيمي ينسب إلى قبيلة هَمْدان، وثّقه الطوسي في رجال الرضا عليه السلام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وقد ذكرناها على التفصيل في الدورة الثالثة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ascii="IRNazanin" w:hAnsi="IRNazanin" w:eastAsia="IRNazanin"/>
          <w:b w:val="false"/>
          <w:b w:val="false"/>
          <w:bCs w:val="false"/>
          <w:i w:val="false"/>
          <w:i w:val="false"/>
          <w:iCs w:val="false"/>
          <w:color w:val="333333"/>
          <w:sz w:val="20"/>
          <w:sz w:val="20"/>
          <w:szCs w:val="20"/>
          <w:rtl w:val="true"/>
        </w:rPr>
        <w:t>؛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وسيوافيك ذيل الحديث في أقسام المرجحات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وقت الظهرو العصر من كتاب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يزيد بن خليفة مصحّف تبدّلت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برقم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ولاحظ أيضاً الوسائل 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القنوت يوم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رسولي إليهم في هذا إلى غير ذلك من الروايات التي نقلها في قاموس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في طريقه إلى داود، الحكم بن مسكين وهو من رجال ابن أبي عمير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يوثّق ذُبيان لكن موسى بن أُكيل النميري كوفي ثقة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البهجة المرضية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طبعة المكتبة الإسلامية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image" Target="media/image2.jpeg"/><Relationship Id="rId571" Type="http://schemas.openxmlformats.org/officeDocument/2006/relationships/image" Target="media/image2.jpeg"/><Relationship Id="rId572" Type="http://schemas.openxmlformats.org/officeDocument/2006/relationships/footer" Target="footer565.xml"/><Relationship Id="rId573" Type="http://schemas.openxmlformats.org/officeDocument/2006/relationships/footnotes" Target="footnotes.xml"/><Relationship Id="rId574" Type="http://schemas.openxmlformats.org/officeDocument/2006/relationships/numbering" Target="numbering.xml"/><Relationship Id="rId575" Type="http://schemas.openxmlformats.org/officeDocument/2006/relationships/fontTable" Target="fontTable.xml"/><Relationship Id="rId576" Type="http://schemas.openxmlformats.org/officeDocument/2006/relationships/settings" Target="settings.xml"/><Relationship Id="rId5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575</Pages>
  <Words>45933</Words>
  <Characters>203722</Characters>
  <CharactersWithSpaces>248016</CharactersWithSpaces>
  <Paragraphs>1845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2026-08-28T14:54:13Z</dcterms:created>
  <dc:creator>ghaemiyeh.com</dc:creator>
  <dc:description/>
  <dc:language>en-US</dc:language>
  <cp:lastModifiedBy/>
  <dcterms:modified xsi:type="dcterms:W3CDTF">2026-08-28T18:24:55Z</dcterms:modified>
  <cp:revision>1</cp:revision>
  <dc:subject/>
  <dc:title>ارشاد العقول الی مباحث الاصول جلد 4</dc:title>
</cp:coreProperties>
</file>

<file path=docProps/custom.xml><?xml version="1.0" encoding="utf-8"?>
<Properties xmlns="http://schemas.openxmlformats.org/officeDocument/2006/custom-properties" xmlns:vt="http://schemas.openxmlformats.org/officeDocument/2006/docPropsVTypes"/>
</file>