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أثر القوائم فی تکشیف الدلالات عهد الإمام علی علیه السلام لمالک الأشتر رضی الله عنه أنموذجاً مقاربة تداولیة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97_1468164448">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799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801_1468164448">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16803_1468164448">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6805_1468164448">
            <w:r>
              <w:rPr>
                <w:webHidden/>
                <w:rStyle w:val="IndexLink"/>
                <w:rtl w:val="true"/>
              </w:rPr>
              <w:t xml:space="preserve">المطلب الأول أثرُ القوائم في الثقافة </w:t>
            </w:r>
            <w:r>
              <w:rPr>
                <w:rStyle w:val="IndexLink"/>
                <w:rtl w:val="true"/>
              </w:rPr>
              <w:t>(</w:t>
            </w:r>
            <w:r>
              <w:rPr>
                <w:rStyle w:val="IndexLink"/>
                <w:rtl w:val="true"/>
              </w:rPr>
              <w:t>مقاربة تداولية</w:t>
            </w:r>
            <w:r>
              <w:rPr>
                <w:rStyle w:val="IndexLink"/>
                <w:rtl w:val="true"/>
              </w:rPr>
              <w:t>)</w:t>
              <w:tab/>
            </w:r>
            <w:r>
              <w:rPr>
                <w:rStyle w:val="IndexLink"/>
              </w:rPr>
              <w:t>16</w:t>
            </w:r>
          </w:hyperlink>
        </w:p>
        <w:p>
          <w:pPr>
            <w:pStyle w:val="Contents2"/>
            <w:tabs>
              <w:tab w:val="clear" w:pos="8743"/>
              <w:tab w:val="right" w:pos="9026" w:leader="dot"/>
            </w:tabs>
            <w:rPr/>
          </w:pPr>
          <w:hyperlink w:anchor="__RefHeading___Toc16807_1468164448">
            <w:r>
              <w:rPr>
                <w:webHidden/>
                <w:rStyle w:val="IndexLink"/>
                <w:rtl w:val="true"/>
              </w:rPr>
              <w:t>أولاً</w:t>
            </w:r>
            <w:r>
              <w:rPr>
                <w:rStyle w:val="IndexLink"/>
                <w:rtl w:val="true"/>
              </w:rPr>
              <w:t xml:space="preserve">: </w:t>
            </w:r>
            <w:r>
              <w:rPr>
                <w:rStyle w:val="IndexLink"/>
                <w:rtl w:val="true"/>
              </w:rPr>
              <w:t>القوائم مقاربة تأصيلية</w:t>
            </w:r>
            <w:r>
              <w:rPr>
                <w:rStyle w:val="IndexLink"/>
                <w:rtl w:val="true"/>
              </w:rPr>
              <w:t>:</w:t>
              <w:tab/>
            </w:r>
            <w:r>
              <w:rPr>
                <w:rStyle w:val="IndexLink"/>
              </w:rPr>
              <w:t>18</w:t>
            </w:r>
          </w:hyperlink>
        </w:p>
        <w:p>
          <w:pPr>
            <w:pStyle w:val="Contents2"/>
            <w:tabs>
              <w:tab w:val="clear" w:pos="8743"/>
              <w:tab w:val="right" w:pos="9026" w:leader="dot"/>
            </w:tabs>
            <w:rPr/>
          </w:pPr>
          <w:hyperlink w:anchor="__RefHeading___Toc16809_1468164448">
            <w:r>
              <w:rPr>
                <w:webHidden/>
                <w:rStyle w:val="IndexLink"/>
                <w:rtl w:val="true"/>
              </w:rPr>
              <w:t>ثانياً</w:t>
            </w:r>
            <w:r>
              <w:rPr>
                <w:rStyle w:val="IndexLink"/>
                <w:rtl w:val="true"/>
              </w:rPr>
              <w:t xml:space="preserve">: </w:t>
            </w:r>
            <w:r>
              <w:rPr>
                <w:rStyle w:val="IndexLink"/>
                <w:rtl w:val="true"/>
              </w:rPr>
              <w:t>أهمية القوائم في الثقافة التداولية</w:t>
            </w:r>
            <w:r>
              <w:rPr>
                <w:rStyle w:val="IndexLink"/>
                <w:rtl w:val="true"/>
              </w:rPr>
              <w:t>:</w:t>
              <w:tab/>
            </w:r>
            <w:r>
              <w:rPr>
                <w:rStyle w:val="IndexLink"/>
              </w:rPr>
              <w:t>22</w:t>
            </w:r>
          </w:hyperlink>
        </w:p>
        <w:p>
          <w:pPr>
            <w:pStyle w:val="Contents2"/>
            <w:tabs>
              <w:tab w:val="clear" w:pos="8743"/>
              <w:tab w:val="right" w:pos="9026" w:leader="dot"/>
            </w:tabs>
            <w:rPr/>
          </w:pPr>
          <w:hyperlink w:anchor="__RefHeading___Toc16811_1468164448">
            <w:r>
              <w:rPr>
                <w:webHidden/>
                <w:rStyle w:val="IndexLink"/>
                <w:rtl w:val="true"/>
              </w:rPr>
              <w:t xml:space="preserve">المطلب الثاني القوائم في عهد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 xml:space="preserve">) </w:t>
            </w:r>
            <w:r>
              <w:rPr>
                <w:rStyle w:val="IndexLink"/>
                <w:rtl w:val="true"/>
              </w:rPr>
              <w:t>دراسة تطبيقية</w:t>
            </w:r>
            <w:r>
              <w:rPr>
                <w:rStyle w:val="IndexLink"/>
                <w:rtl w:val="true"/>
              </w:rPr>
              <w:tab/>
            </w:r>
            <w:r>
              <w:rPr>
                <w:rStyle w:val="IndexLink"/>
              </w:rPr>
              <w:t>30</w:t>
            </w:r>
          </w:hyperlink>
        </w:p>
        <w:p>
          <w:pPr>
            <w:pStyle w:val="Contents2"/>
            <w:tabs>
              <w:tab w:val="clear" w:pos="8743"/>
              <w:tab w:val="right" w:pos="9026" w:leader="dot"/>
            </w:tabs>
            <w:rPr/>
          </w:pPr>
          <w:hyperlink w:anchor="__RefHeading___Toc16813_1468164448">
            <w:r>
              <w:rPr>
                <w:webHidden/>
                <w:rStyle w:val="IndexLink"/>
                <w:rtl w:val="true"/>
              </w:rPr>
              <w:t>القائمة الأولى</w:t>
            </w:r>
            <w:r>
              <w:rPr>
                <w:rStyle w:val="IndexLink"/>
                <w:rtl w:val="true"/>
              </w:rPr>
              <w:t xml:space="preserve">: </w:t>
            </w:r>
            <w:r>
              <w:rPr>
                <w:rStyle w:val="IndexLink"/>
                <w:rtl w:val="true"/>
              </w:rPr>
              <w:t>أعمال الوالي ووظائفه</w:t>
            </w:r>
            <w:r>
              <w:rPr>
                <w:rStyle w:val="IndexLink"/>
                <w:rtl w:val="true"/>
              </w:rPr>
              <w:t>:</w:t>
              <w:tab/>
            </w:r>
            <w:r>
              <w:rPr>
                <w:rStyle w:val="IndexLink"/>
              </w:rPr>
              <w:t>36</w:t>
            </w:r>
          </w:hyperlink>
        </w:p>
        <w:p>
          <w:pPr>
            <w:pStyle w:val="Contents2"/>
            <w:tabs>
              <w:tab w:val="clear" w:pos="8743"/>
              <w:tab w:val="right" w:pos="9026" w:leader="dot"/>
            </w:tabs>
            <w:rPr/>
          </w:pPr>
          <w:hyperlink w:anchor="__RefHeading___Toc16815_1468164448">
            <w:r>
              <w:rPr>
                <w:webHidden/>
                <w:rStyle w:val="IndexLink"/>
                <w:rtl w:val="true"/>
              </w:rPr>
              <w:t>القائمة الثانية</w:t>
            </w:r>
            <w:r>
              <w:rPr>
                <w:rStyle w:val="IndexLink"/>
                <w:rtl w:val="true"/>
              </w:rPr>
              <w:t xml:space="preserve">: </w:t>
            </w:r>
            <w:r>
              <w:rPr>
                <w:rStyle w:val="IndexLink"/>
                <w:rtl w:val="true"/>
              </w:rPr>
              <w:t>صفات الوالي والقائد الإيمانية</w:t>
            </w:r>
            <w:r>
              <w:rPr>
                <w:rStyle w:val="IndexLink"/>
                <w:rtl w:val="true"/>
              </w:rPr>
              <w:t>:</w:t>
              <w:tab/>
            </w:r>
            <w:r>
              <w:rPr>
                <w:rStyle w:val="IndexLink"/>
              </w:rPr>
              <w:t>39</w:t>
            </w:r>
          </w:hyperlink>
        </w:p>
        <w:p>
          <w:pPr>
            <w:pStyle w:val="Contents2"/>
            <w:tabs>
              <w:tab w:val="clear" w:pos="8743"/>
              <w:tab w:val="right" w:pos="9026" w:leader="dot"/>
            </w:tabs>
            <w:rPr/>
          </w:pPr>
          <w:hyperlink w:anchor="__RefHeading___Toc16817_1468164448">
            <w:r>
              <w:rPr>
                <w:webHidden/>
                <w:rStyle w:val="IndexLink"/>
                <w:rtl w:val="true"/>
              </w:rPr>
              <w:t>القائمة الثالثة</w:t>
            </w:r>
            <w:r>
              <w:rPr>
                <w:rStyle w:val="IndexLink"/>
                <w:rtl w:val="true"/>
              </w:rPr>
              <w:t xml:space="preserve">: </w:t>
            </w:r>
            <w:r>
              <w:rPr>
                <w:rStyle w:val="IndexLink"/>
                <w:rtl w:val="true"/>
              </w:rPr>
              <w:t>قائمة ذخائر العمل الصالح والسعادات</w:t>
            </w:r>
            <w:r>
              <w:rPr>
                <w:rStyle w:val="IndexLink"/>
                <w:rtl w:val="true"/>
              </w:rPr>
              <w:t>:</w:t>
              <w:tab/>
            </w:r>
            <w:r>
              <w:rPr>
                <w:rStyle w:val="IndexLink"/>
              </w:rPr>
              <w:t>41</w:t>
            </w:r>
          </w:hyperlink>
        </w:p>
        <w:p>
          <w:pPr>
            <w:pStyle w:val="Contents2"/>
            <w:tabs>
              <w:tab w:val="clear" w:pos="8743"/>
              <w:tab w:val="right" w:pos="9026" w:leader="dot"/>
            </w:tabs>
            <w:rPr/>
          </w:pPr>
          <w:hyperlink w:anchor="__RefHeading___Toc16819_1468164448">
            <w:r>
              <w:rPr>
                <w:webHidden/>
                <w:rStyle w:val="IndexLink"/>
                <w:rtl w:val="true"/>
              </w:rPr>
              <w:t>القائمة الرابعة</w:t>
            </w:r>
            <w:r>
              <w:rPr>
                <w:rStyle w:val="IndexLink"/>
                <w:rtl w:val="true"/>
              </w:rPr>
              <w:t xml:space="preserve">: </w:t>
            </w:r>
            <w:r>
              <w:rPr>
                <w:rStyle w:val="IndexLink"/>
                <w:rtl w:val="true"/>
              </w:rPr>
              <w:t>معايير قبول الأعمال لدى الإنسان</w:t>
            </w:r>
            <w:r>
              <w:rPr>
                <w:rStyle w:val="IndexLink"/>
                <w:rtl w:val="true"/>
              </w:rPr>
              <w:tab/>
            </w:r>
            <w:r>
              <w:rPr>
                <w:rStyle w:val="IndexLink"/>
              </w:rPr>
              <w:t>44</w:t>
            </w:r>
          </w:hyperlink>
        </w:p>
        <w:p>
          <w:pPr>
            <w:pStyle w:val="Contents2"/>
            <w:tabs>
              <w:tab w:val="clear" w:pos="8743"/>
              <w:tab w:val="right" w:pos="9026" w:leader="dot"/>
            </w:tabs>
            <w:rPr/>
          </w:pPr>
          <w:hyperlink w:anchor="__RefHeading___Toc16821_1468164448">
            <w:r>
              <w:rPr>
                <w:webHidden/>
                <w:rStyle w:val="IndexLink"/>
                <w:rtl w:val="true"/>
              </w:rPr>
              <w:t>القائمة الخامسة</w:t>
            </w:r>
            <w:r>
              <w:rPr>
                <w:rStyle w:val="IndexLink"/>
                <w:rtl w:val="true"/>
              </w:rPr>
              <w:t xml:space="preserve">: </w:t>
            </w:r>
            <w:r>
              <w:rPr>
                <w:rStyle w:val="IndexLink"/>
                <w:rtl w:val="true"/>
              </w:rPr>
              <w:t>صفات المبعدين عن المشاورة</w:t>
            </w:r>
            <w:r>
              <w:rPr>
                <w:rStyle w:val="IndexLink"/>
                <w:rtl w:val="true"/>
              </w:rPr>
              <w:t>.</w:t>
              <w:tab/>
            </w:r>
            <w:r>
              <w:rPr>
                <w:rStyle w:val="IndexLink"/>
              </w:rPr>
              <w:t>46</w:t>
            </w:r>
          </w:hyperlink>
        </w:p>
        <w:p>
          <w:pPr>
            <w:pStyle w:val="Contents2"/>
            <w:tabs>
              <w:tab w:val="clear" w:pos="8743"/>
              <w:tab w:val="right" w:pos="9026" w:leader="dot"/>
            </w:tabs>
            <w:rPr/>
          </w:pPr>
          <w:hyperlink w:anchor="__RefHeading___Toc16823_1468164448">
            <w:r>
              <w:rPr>
                <w:webHidden/>
                <w:rStyle w:val="IndexLink"/>
                <w:rtl w:val="true"/>
              </w:rPr>
              <w:t>القائمة السادسة</w:t>
            </w:r>
            <w:r>
              <w:rPr>
                <w:rStyle w:val="IndexLink"/>
                <w:rtl w:val="true"/>
              </w:rPr>
              <w:t xml:space="preserve">: </w:t>
            </w:r>
            <w:r>
              <w:rPr>
                <w:rStyle w:val="IndexLink"/>
                <w:rtl w:val="true"/>
              </w:rPr>
              <w:t>طبقات الرعية</w:t>
            </w:r>
            <w:r>
              <w:rPr>
                <w:rStyle w:val="IndexLink"/>
                <w:rtl w:val="true"/>
              </w:rPr>
              <w:t>:</w:t>
              <w:tab/>
            </w:r>
            <w:r>
              <w:rPr>
                <w:rStyle w:val="IndexLink"/>
              </w:rPr>
              <w:t>47</w:t>
            </w:r>
          </w:hyperlink>
        </w:p>
        <w:p>
          <w:pPr>
            <w:pStyle w:val="Contents2"/>
            <w:tabs>
              <w:tab w:val="clear" w:pos="8743"/>
              <w:tab w:val="right" w:pos="9026" w:leader="dot"/>
            </w:tabs>
            <w:rPr/>
          </w:pPr>
          <w:hyperlink w:anchor="__RefHeading___Toc16825_1468164448">
            <w:r>
              <w:rPr>
                <w:webHidden/>
                <w:rStyle w:val="IndexLink"/>
                <w:rtl w:val="true"/>
              </w:rPr>
              <w:t>القائمة السابعة</w:t>
            </w:r>
            <w:r>
              <w:rPr>
                <w:rStyle w:val="IndexLink"/>
                <w:rtl w:val="true"/>
              </w:rPr>
              <w:t xml:space="preserve">: </w:t>
            </w:r>
            <w:r>
              <w:rPr>
                <w:rStyle w:val="IndexLink"/>
                <w:rtl w:val="true"/>
              </w:rPr>
              <w:t>واجبات الجنود ومسؤولياتهم</w:t>
            </w:r>
            <w:r>
              <w:rPr>
                <w:rStyle w:val="IndexLink"/>
                <w:rtl w:val="true"/>
              </w:rPr>
              <w:t>:</w:t>
              <w:tab/>
            </w:r>
            <w:r>
              <w:rPr>
                <w:rStyle w:val="IndexLink"/>
              </w:rPr>
              <w:t>50</w:t>
            </w:r>
          </w:hyperlink>
        </w:p>
        <w:p>
          <w:pPr>
            <w:pStyle w:val="Contents2"/>
            <w:tabs>
              <w:tab w:val="clear" w:pos="8743"/>
              <w:tab w:val="right" w:pos="9026" w:leader="dot"/>
            </w:tabs>
            <w:rPr/>
          </w:pPr>
          <w:hyperlink w:anchor="__RefHeading___Toc16827_1468164448">
            <w:r>
              <w:rPr>
                <w:webHidden/>
                <w:rStyle w:val="IndexLink"/>
                <w:rtl w:val="true"/>
              </w:rPr>
              <w:t>القائمة الثامنة</w:t>
            </w:r>
            <w:r>
              <w:rPr>
                <w:rStyle w:val="IndexLink"/>
                <w:rtl w:val="true"/>
              </w:rPr>
              <w:t xml:space="preserve">: </w:t>
            </w:r>
            <w:r>
              <w:rPr>
                <w:rStyle w:val="IndexLink"/>
                <w:rtl w:val="true"/>
              </w:rPr>
              <w:t>صفات القائد المثالي</w:t>
            </w:r>
            <w:r>
              <w:rPr>
                <w:rStyle w:val="IndexLink"/>
                <w:rtl w:val="true"/>
              </w:rPr>
              <w:t>:</w:t>
              <w:tab/>
            </w:r>
            <w:r>
              <w:rPr>
                <w:rStyle w:val="IndexLink"/>
              </w:rPr>
              <w:t>51</w:t>
            </w:r>
          </w:hyperlink>
        </w:p>
        <w:p>
          <w:pPr>
            <w:pStyle w:val="Contents2"/>
            <w:tabs>
              <w:tab w:val="clear" w:pos="8743"/>
              <w:tab w:val="right" w:pos="9026" w:leader="dot"/>
            </w:tabs>
            <w:rPr/>
          </w:pPr>
          <w:hyperlink w:anchor="__RefHeading___Toc16829_1468164448">
            <w:r>
              <w:rPr>
                <w:webHidden/>
                <w:rStyle w:val="IndexLink"/>
                <w:rtl w:val="true"/>
              </w:rPr>
              <w:t>القائمة التاسعة</w:t>
            </w:r>
            <w:r>
              <w:rPr>
                <w:rStyle w:val="IndexLink"/>
                <w:rtl w:val="true"/>
              </w:rPr>
              <w:t xml:space="preserve">: </w:t>
            </w:r>
            <w:r>
              <w:rPr>
                <w:rStyle w:val="IndexLink"/>
                <w:rtl w:val="true"/>
              </w:rPr>
              <w:t>صفات القاضي</w:t>
            </w:r>
            <w:r>
              <w:rPr>
                <w:rStyle w:val="IndexLink"/>
                <w:rtl w:val="true"/>
              </w:rPr>
              <w:t>:</w:t>
              <w:tab/>
            </w:r>
            <w:r>
              <w:rPr>
                <w:rStyle w:val="IndexLink"/>
              </w:rPr>
              <w:t>54</w:t>
            </w:r>
          </w:hyperlink>
        </w:p>
        <w:p>
          <w:pPr>
            <w:pStyle w:val="Contents2"/>
            <w:tabs>
              <w:tab w:val="clear" w:pos="8743"/>
              <w:tab w:val="right" w:pos="9026" w:leader="dot"/>
            </w:tabs>
            <w:rPr/>
          </w:pPr>
          <w:hyperlink w:anchor="__RefHeading___Toc16831_1468164448">
            <w:r>
              <w:rPr>
                <w:webHidden/>
                <w:rStyle w:val="IndexLink"/>
                <w:rtl w:val="true"/>
              </w:rPr>
              <w:t>القائمة العاشرة</w:t>
            </w:r>
            <w:r>
              <w:rPr>
                <w:rStyle w:val="IndexLink"/>
                <w:rtl w:val="true"/>
              </w:rPr>
              <w:t xml:space="preserve">: </w:t>
            </w:r>
            <w:r>
              <w:rPr>
                <w:rStyle w:val="IndexLink"/>
                <w:rtl w:val="true"/>
              </w:rPr>
              <w:t>واجبات الوالي تجاه القاضي</w:t>
            </w:r>
            <w:r>
              <w:rPr>
                <w:rStyle w:val="IndexLink"/>
                <w:rtl w:val="true"/>
              </w:rPr>
              <w:t>:</w:t>
              <w:tab/>
            </w:r>
            <w:r>
              <w:rPr>
                <w:rStyle w:val="IndexLink"/>
              </w:rPr>
              <w:t>56</w:t>
            </w:r>
          </w:hyperlink>
        </w:p>
        <w:p>
          <w:pPr>
            <w:pStyle w:val="Contents2"/>
            <w:tabs>
              <w:tab w:val="clear" w:pos="8743"/>
              <w:tab w:val="right" w:pos="9026" w:leader="dot"/>
            </w:tabs>
            <w:rPr/>
          </w:pPr>
          <w:hyperlink w:anchor="__RefHeading___Toc16833_1468164448">
            <w:r>
              <w:rPr>
                <w:webHidden/>
                <w:rStyle w:val="IndexLink"/>
                <w:rtl w:val="true"/>
              </w:rPr>
              <w:t>القائمة الحادية عشرة</w:t>
            </w:r>
            <w:r>
              <w:rPr>
                <w:rStyle w:val="IndexLink"/>
                <w:rtl w:val="true"/>
              </w:rPr>
              <w:t xml:space="preserve">: </w:t>
            </w:r>
            <w:r>
              <w:rPr>
                <w:rStyle w:val="IndexLink"/>
                <w:rtl w:val="true"/>
              </w:rPr>
              <w:t>معايير اختيار العمال</w:t>
            </w:r>
            <w:r>
              <w:rPr>
                <w:rStyle w:val="IndexLink"/>
                <w:rtl w:val="true"/>
              </w:rPr>
              <w:t>:</w:t>
              <w:tab/>
            </w:r>
            <w:r>
              <w:rPr>
                <w:rStyle w:val="IndexLink"/>
              </w:rPr>
              <w:t>58</w:t>
            </w:r>
          </w:hyperlink>
        </w:p>
        <w:p>
          <w:pPr>
            <w:pStyle w:val="Contents2"/>
            <w:tabs>
              <w:tab w:val="clear" w:pos="8743"/>
              <w:tab w:val="right" w:pos="9026" w:leader="dot"/>
            </w:tabs>
            <w:rPr/>
          </w:pPr>
          <w:hyperlink w:anchor="__RefHeading___Toc16835_1468164448">
            <w:r>
              <w:rPr>
                <w:webHidden/>
                <w:rStyle w:val="IndexLink"/>
                <w:rtl w:val="true"/>
              </w:rPr>
              <w:t>القائمة الثانية عشرة</w:t>
            </w:r>
            <w:r>
              <w:rPr>
                <w:rStyle w:val="IndexLink"/>
                <w:rtl w:val="true"/>
              </w:rPr>
              <w:t xml:space="preserve">: </w:t>
            </w:r>
            <w:r>
              <w:rPr>
                <w:rStyle w:val="IndexLink"/>
                <w:rtl w:val="true"/>
              </w:rPr>
              <w:t>صفات كتاب الديوان</w:t>
            </w:r>
            <w:r>
              <w:rPr>
                <w:rStyle w:val="IndexLink"/>
                <w:rtl w:val="true"/>
              </w:rPr>
              <w:t>:</w:t>
              <w:tab/>
            </w:r>
            <w:r>
              <w:rPr>
                <w:rStyle w:val="IndexLink"/>
              </w:rPr>
              <w:t>60</w:t>
            </w:r>
          </w:hyperlink>
        </w:p>
        <w:p>
          <w:pPr>
            <w:pStyle w:val="Contents2"/>
            <w:tabs>
              <w:tab w:val="clear" w:pos="8743"/>
              <w:tab w:val="right" w:pos="9026" w:leader="dot"/>
            </w:tabs>
            <w:rPr/>
          </w:pPr>
          <w:hyperlink w:anchor="__RefHeading___Toc16837_1468164448">
            <w:r>
              <w:rPr>
                <w:webHidden/>
                <w:rStyle w:val="IndexLink"/>
                <w:rtl w:val="true"/>
              </w:rPr>
              <w:t>القائمة الثالثة عشرة</w:t>
            </w:r>
            <w:r>
              <w:rPr>
                <w:rStyle w:val="IndexLink"/>
                <w:rtl w:val="true"/>
              </w:rPr>
              <w:t xml:space="preserve">: </w:t>
            </w:r>
            <w:r>
              <w:rPr>
                <w:rStyle w:val="IndexLink"/>
                <w:rtl w:val="true"/>
              </w:rPr>
              <w:t>أقسام التجار وأهل الصناعات</w:t>
            </w:r>
            <w:r>
              <w:rPr>
                <w:rStyle w:val="IndexLink"/>
                <w:rtl w:val="true"/>
              </w:rPr>
              <w:t>:</w:t>
              <w:tab/>
            </w:r>
            <w:r>
              <w:rPr>
                <w:rStyle w:val="IndexLink"/>
              </w:rPr>
              <w:t>62</w:t>
            </w:r>
          </w:hyperlink>
        </w:p>
        <w:p>
          <w:pPr>
            <w:pStyle w:val="Contents2"/>
            <w:tabs>
              <w:tab w:val="clear" w:pos="8743"/>
              <w:tab w:val="right" w:pos="9026" w:leader="dot"/>
            </w:tabs>
            <w:rPr/>
          </w:pPr>
          <w:hyperlink w:anchor="__RefHeading___Toc16839_1468164448">
            <w:r>
              <w:rPr>
                <w:webHidden/>
                <w:rStyle w:val="IndexLink"/>
                <w:rtl w:val="true"/>
              </w:rPr>
              <w:t>القائمة الرابعة عشرة</w:t>
            </w:r>
            <w:r>
              <w:rPr>
                <w:rStyle w:val="IndexLink"/>
                <w:rtl w:val="true"/>
              </w:rPr>
              <w:t xml:space="preserve">: </w:t>
            </w:r>
            <w:r>
              <w:rPr>
                <w:rStyle w:val="IndexLink"/>
                <w:rtl w:val="true"/>
              </w:rPr>
              <w:t>أعمال التجّار الإيجابية</w:t>
            </w:r>
            <w:r>
              <w:rPr>
                <w:rStyle w:val="IndexLink"/>
                <w:rtl w:val="true"/>
              </w:rPr>
              <w:t>:</w:t>
              <w:tab/>
            </w:r>
            <w:r>
              <w:rPr>
                <w:rStyle w:val="IndexLink"/>
              </w:rPr>
              <w:t>63</w:t>
            </w:r>
          </w:hyperlink>
        </w:p>
        <w:p>
          <w:pPr>
            <w:pStyle w:val="Contents2"/>
            <w:tabs>
              <w:tab w:val="clear" w:pos="8743"/>
              <w:tab w:val="right" w:pos="9026" w:leader="dot"/>
            </w:tabs>
            <w:rPr/>
          </w:pPr>
          <w:hyperlink w:anchor="__RefHeading___Toc16841_1468164448">
            <w:r>
              <w:rPr>
                <w:webHidden/>
                <w:rStyle w:val="IndexLink"/>
                <w:rtl w:val="true"/>
              </w:rPr>
              <w:t>القائمة الخامسة عشر</w:t>
            </w:r>
            <w:r>
              <w:rPr>
                <w:rStyle w:val="IndexLink"/>
                <w:rtl w:val="true"/>
              </w:rPr>
              <w:t xml:space="preserve">: </w:t>
            </w:r>
            <w:r>
              <w:rPr>
                <w:rStyle w:val="IndexLink"/>
                <w:rtl w:val="true"/>
              </w:rPr>
              <w:t>صفات التجّار السلبية</w:t>
            </w:r>
            <w:r>
              <w:rPr>
                <w:rStyle w:val="IndexLink"/>
                <w:rtl w:val="true"/>
              </w:rPr>
              <w:tab/>
            </w:r>
            <w:r>
              <w:rPr>
                <w:rStyle w:val="IndexLink"/>
              </w:rPr>
              <w:t>64</w:t>
            </w:r>
          </w:hyperlink>
        </w:p>
        <w:p>
          <w:pPr>
            <w:pStyle w:val="Contents2"/>
            <w:tabs>
              <w:tab w:val="clear" w:pos="8743"/>
              <w:tab w:val="right" w:pos="9026" w:leader="dot"/>
            </w:tabs>
            <w:rPr/>
          </w:pPr>
          <w:hyperlink w:anchor="__RefHeading___Toc16843_1468164448">
            <w:r>
              <w:rPr>
                <w:webHidden/>
                <w:rStyle w:val="IndexLink"/>
                <w:rtl w:val="true"/>
              </w:rPr>
              <w:t>القائمة السادسة عشرة</w:t>
            </w:r>
            <w:r>
              <w:rPr>
                <w:rStyle w:val="IndexLink"/>
                <w:rtl w:val="true"/>
              </w:rPr>
              <w:t xml:space="preserve">: </w:t>
            </w:r>
            <w:r>
              <w:rPr>
                <w:rStyle w:val="IndexLink"/>
                <w:rtl w:val="true"/>
              </w:rPr>
              <w:t>أصناف الطبقة السفلى</w:t>
            </w:r>
            <w:r>
              <w:rPr>
                <w:rStyle w:val="IndexLink"/>
                <w:rtl w:val="true"/>
              </w:rPr>
              <w:t>:</w:t>
              <w:tab/>
            </w:r>
            <w:r>
              <w:rPr>
                <w:rStyle w:val="IndexLink"/>
              </w:rPr>
              <w:t>66</w:t>
            </w:r>
          </w:hyperlink>
        </w:p>
        <w:p>
          <w:pPr>
            <w:pStyle w:val="Contents2"/>
            <w:tabs>
              <w:tab w:val="clear" w:pos="8743"/>
              <w:tab w:val="right" w:pos="9026" w:leader="dot"/>
            </w:tabs>
            <w:rPr/>
          </w:pPr>
          <w:hyperlink w:anchor="__RefHeading___Toc16845_1468164448">
            <w:r>
              <w:rPr>
                <w:webHidden/>
                <w:rStyle w:val="IndexLink"/>
                <w:rtl w:val="true"/>
              </w:rPr>
              <w:t>القائمة السابعة عشرة</w:t>
            </w:r>
            <w:r>
              <w:rPr>
                <w:rStyle w:val="IndexLink"/>
                <w:rtl w:val="true"/>
              </w:rPr>
              <w:t xml:space="preserve">: </w:t>
            </w:r>
            <w:r>
              <w:rPr>
                <w:rStyle w:val="IndexLink"/>
                <w:rtl w:val="true"/>
              </w:rPr>
              <w:t>مساويء احتجاب الوالي عن الرعية</w:t>
            </w:r>
            <w:r>
              <w:rPr>
                <w:rStyle w:val="IndexLink"/>
                <w:rtl w:val="true"/>
              </w:rPr>
              <w:t>:</w:t>
              <w:tab/>
            </w:r>
            <w:r>
              <w:rPr>
                <w:rStyle w:val="IndexLink"/>
              </w:rPr>
              <w:t>67</w:t>
            </w:r>
          </w:hyperlink>
        </w:p>
        <w:p>
          <w:pPr>
            <w:pStyle w:val="Contents2"/>
            <w:tabs>
              <w:tab w:val="clear" w:pos="8743"/>
              <w:tab w:val="right" w:pos="9026" w:leader="dot"/>
            </w:tabs>
            <w:rPr/>
          </w:pPr>
          <w:hyperlink w:anchor="__RefHeading___Toc16847_1468164448">
            <w:r>
              <w:rPr>
                <w:webHidden/>
                <w:rStyle w:val="IndexLink"/>
                <w:rtl w:val="true"/>
              </w:rPr>
              <w:t>القائمة الثامنة عشرة</w:t>
            </w:r>
            <w:r>
              <w:rPr>
                <w:rStyle w:val="IndexLink"/>
                <w:rtl w:val="true"/>
              </w:rPr>
              <w:t xml:space="preserve">: </w:t>
            </w:r>
            <w:r>
              <w:rPr>
                <w:rStyle w:val="IndexLink"/>
                <w:rtl w:val="true"/>
              </w:rPr>
              <w:t xml:space="preserve">وصايا تعامل الوالي مع البطانة </w:t>
            </w:r>
            <w:r>
              <w:rPr>
                <w:rStyle w:val="IndexLink"/>
                <w:rtl w:val="true"/>
              </w:rPr>
              <w:t>(</w:t>
            </w:r>
            <w:r>
              <w:rPr>
                <w:rStyle w:val="IndexLink"/>
                <w:rtl w:val="true"/>
              </w:rPr>
              <w:t>الحاشية</w:t>
            </w:r>
            <w:r>
              <w:rPr>
                <w:rStyle w:val="IndexLink"/>
                <w:rtl w:val="true"/>
              </w:rPr>
              <w:t>):</w:t>
              <w:tab/>
            </w:r>
            <w:r>
              <w:rPr>
                <w:rStyle w:val="IndexLink"/>
              </w:rPr>
              <w:t>69</w:t>
            </w:r>
          </w:hyperlink>
        </w:p>
        <w:p>
          <w:pPr>
            <w:pStyle w:val="Contents2"/>
            <w:tabs>
              <w:tab w:val="clear" w:pos="8743"/>
              <w:tab w:val="right" w:pos="9026" w:leader="dot"/>
            </w:tabs>
            <w:rPr/>
          </w:pPr>
          <w:hyperlink w:anchor="__RefHeading___Toc16849_1468164448">
            <w:r>
              <w:rPr>
                <w:webHidden/>
                <w:rStyle w:val="IndexLink"/>
                <w:rtl w:val="true"/>
              </w:rPr>
              <w:t>القائمة التاسعة عشرة</w:t>
            </w:r>
            <w:r>
              <w:rPr>
                <w:rStyle w:val="IndexLink"/>
                <w:rtl w:val="true"/>
              </w:rPr>
              <w:t xml:space="preserve">: </w:t>
            </w:r>
            <w:r>
              <w:rPr>
                <w:rStyle w:val="IndexLink"/>
                <w:rtl w:val="true"/>
              </w:rPr>
              <w:t>فوائد الصلح المحمود</w:t>
            </w:r>
            <w:r>
              <w:rPr>
                <w:rStyle w:val="IndexLink"/>
                <w:rtl w:val="true"/>
              </w:rPr>
              <w:t>:</w:t>
              <w:tab/>
            </w:r>
            <w:r>
              <w:rPr>
                <w:rStyle w:val="IndexLink"/>
              </w:rPr>
              <w:t>70</w:t>
            </w:r>
          </w:hyperlink>
        </w:p>
        <w:p>
          <w:pPr>
            <w:pStyle w:val="Contents2"/>
            <w:tabs>
              <w:tab w:val="clear" w:pos="8743"/>
              <w:tab w:val="right" w:pos="9026" w:leader="dot"/>
            </w:tabs>
            <w:rPr/>
          </w:pPr>
          <w:hyperlink w:anchor="__RefHeading___Toc16851_1468164448">
            <w:r>
              <w:rPr>
                <w:webHidden/>
                <w:rStyle w:val="IndexLink"/>
                <w:rtl w:val="true"/>
              </w:rPr>
              <w:t>القائمة العشرون</w:t>
            </w:r>
            <w:r>
              <w:rPr>
                <w:rStyle w:val="IndexLink"/>
                <w:rtl w:val="true"/>
              </w:rPr>
              <w:t xml:space="preserve">: </w:t>
            </w:r>
            <w:r>
              <w:rPr>
                <w:rStyle w:val="IndexLink"/>
                <w:rtl w:val="true"/>
              </w:rPr>
              <w:t>عواقب سفك الدماء</w:t>
            </w:r>
            <w:r>
              <w:rPr>
                <w:rStyle w:val="IndexLink"/>
                <w:rtl w:val="true"/>
              </w:rPr>
              <w:t>:</w:t>
              <w:tab/>
            </w:r>
            <w:r>
              <w:rPr>
                <w:rStyle w:val="IndexLink"/>
              </w:rPr>
              <w:t>71</w:t>
            </w:r>
          </w:hyperlink>
        </w:p>
        <w:p>
          <w:pPr>
            <w:pStyle w:val="Contents2"/>
            <w:tabs>
              <w:tab w:val="clear" w:pos="8743"/>
              <w:tab w:val="right" w:pos="9026" w:leader="dot"/>
            </w:tabs>
            <w:rPr/>
          </w:pPr>
          <w:hyperlink w:anchor="__RefHeading___Toc16853_1468164448">
            <w:r>
              <w:rPr>
                <w:webHidden/>
                <w:rStyle w:val="IndexLink"/>
                <w:rtl w:val="true"/>
              </w:rPr>
              <w:t xml:space="preserve">المطلب الثالث المقاربات التداولية في قوائم عهد الإمام </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2"/>
            <w:tabs>
              <w:tab w:val="clear" w:pos="8743"/>
              <w:tab w:val="right" w:pos="9026" w:leader="dot"/>
            </w:tabs>
            <w:rPr/>
          </w:pPr>
          <w:hyperlink w:anchor="__RefHeading___Toc16855_1468164448">
            <w:r>
              <w:rPr>
                <w:webHidden/>
                <w:rStyle w:val="IndexLink"/>
                <w:rtl w:val="true"/>
              </w:rPr>
              <w:t>أولاً</w:t>
            </w:r>
            <w:r>
              <w:rPr>
                <w:rStyle w:val="IndexLink"/>
                <w:rtl w:val="true"/>
              </w:rPr>
              <w:t xml:space="preserve">: </w:t>
            </w:r>
            <w:r>
              <w:rPr>
                <w:rStyle w:val="IndexLink"/>
                <w:rtl w:val="true"/>
              </w:rPr>
              <w:t>المعجم القُرآنیّ والحديثي</w:t>
            </w:r>
            <w:r>
              <w:rPr>
                <w:rStyle w:val="IndexLink"/>
                <w:rtl w:val="true"/>
              </w:rPr>
              <w:t>:</w:t>
              <w:tab/>
            </w:r>
            <w:r>
              <w:rPr>
                <w:rStyle w:val="IndexLink"/>
              </w:rPr>
              <w:t>80</w:t>
            </w:r>
          </w:hyperlink>
        </w:p>
        <w:p>
          <w:pPr>
            <w:pStyle w:val="Contents2"/>
            <w:tabs>
              <w:tab w:val="clear" w:pos="8743"/>
              <w:tab w:val="right" w:pos="9026" w:leader="dot"/>
            </w:tabs>
            <w:rPr/>
          </w:pPr>
          <w:hyperlink w:anchor="__RefHeading___Toc16857_1468164448">
            <w:r>
              <w:rPr>
                <w:webHidden/>
                <w:rStyle w:val="IndexLink"/>
                <w:rtl w:val="true"/>
              </w:rPr>
              <w:t>ثانياً</w:t>
            </w:r>
            <w:r>
              <w:rPr>
                <w:rStyle w:val="IndexLink"/>
                <w:rtl w:val="true"/>
              </w:rPr>
              <w:t xml:space="preserve">: </w:t>
            </w:r>
            <w:r>
              <w:rPr>
                <w:rStyle w:val="IndexLink"/>
                <w:rtl w:val="true"/>
              </w:rPr>
              <w:t>قواعد التخاطب اللساني</w:t>
            </w:r>
            <w:r>
              <w:rPr>
                <w:rStyle w:val="IndexLink"/>
                <w:rtl w:val="true"/>
              </w:rPr>
              <w:t>:</w:t>
              <w:tab/>
            </w:r>
            <w:r>
              <w:rPr>
                <w:rStyle w:val="IndexLink"/>
              </w:rPr>
              <w:t>89</w:t>
            </w:r>
          </w:hyperlink>
        </w:p>
        <w:p>
          <w:pPr>
            <w:pStyle w:val="Contents2"/>
            <w:tabs>
              <w:tab w:val="clear" w:pos="8743"/>
              <w:tab w:val="right" w:pos="9026" w:leader="dot"/>
            </w:tabs>
            <w:rPr/>
          </w:pPr>
          <w:hyperlink w:anchor="__RefHeading___Toc16859_1468164448">
            <w:r>
              <w:rPr>
                <w:webHidden/>
                <w:rStyle w:val="IndexLink"/>
                <w:rtl w:val="true"/>
              </w:rPr>
              <w:t>ثالثاً</w:t>
            </w:r>
            <w:r>
              <w:rPr>
                <w:rStyle w:val="IndexLink"/>
                <w:rtl w:val="true"/>
              </w:rPr>
              <w:t xml:space="preserve">: </w:t>
            </w:r>
            <w:r>
              <w:rPr>
                <w:rStyle w:val="IndexLink"/>
                <w:rtl w:val="true"/>
              </w:rPr>
              <w:t>الأفعال الكلامية المباشرة وغير المباشرة</w:t>
            </w:r>
            <w:r>
              <w:rPr>
                <w:rStyle w:val="IndexLink"/>
                <w:rtl w:val="true"/>
              </w:rPr>
              <w:t>:</w:t>
              <w:tab/>
            </w:r>
            <w:r>
              <w:rPr>
                <w:rStyle w:val="IndexLink"/>
              </w:rPr>
              <w:t>98</w:t>
            </w:r>
          </w:hyperlink>
        </w:p>
        <w:p>
          <w:pPr>
            <w:pStyle w:val="Contents2"/>
            <w:tabs>
              <w:tab w:val="clear" w:pos="8743"/>
              <w:tab w:val="right" w:pos="9026" w:leader="dot"/>
            </w:tabs>
            <w:rPr/>
          </w:pPr>
          <w:hyperlink w:anchor="__RefHeading___Toc16861_1468164448">
            <w:r>
              <w:rPr>
                <w:webHidden/>
                <w:rStyle w:val="IndexLink"/>
                <w:rtl w:val="true"/>
              </w:rPr>
              <w:t>خاتمة البحث ونتائجه</w:t>
            </w:r>
            <w:r>
              <w:rPr>
                <w:rStyle w:val="IndexLink"/>
                <w:rtl w:val="true"/>
              </w:rPr>
              <w:tab/>
            </w:r>
            <w:r>
              <w:rPr>
                <w:rStyle w:val="IndexLink"/>
              </w:rPr>
              <w:t>106</w:t>
            </w:r>
          </w:hyperlink>
        </w:p>
        <w:p>
          <w:pPr>
            <w:pStyle w:val="Contents2"/>
            <w:tabs>
              <w:tab w:val="clear" w:pos="8743"/>
              <w:tab w:val="right" w:pos="9026" w:leader="dot"/>
            </w:tabs>
            <w:rPr/>
          </w:pPr>
          <w:hyperlink w:anchor="__RefHeading___Toc16863_1468164448">
            <w:r>
              <w:rPr>
                <w:webHidden/>
                <w:rStyle w:val="IndexLink"/>
                <w:rtl w:val="true"/>
              </w:rPr>
              <w:t>مصادر البحث ومراجعه</w:t>
            </w:r>
            <w:r>
              <w:rPr>
                <w:rStyle w:val="IndexLink"/>
                <w:rtl w:val="true"/>
              </w:rPr>
              <w:tab/>
            </w:r>
            <w:r>
              <w:rPr>
                <w:rStyle w:val="IndexLink"/>
              </w:rPr>
              <w:t>111</w:t>
            </w:r>
          </w:hyperlink>
        </w:p>
        <w:p>
          <w:pPr>
            <w:pStyle w:val="Contents2"/>
            <w:tabs>
              <w:tab w:val="clear" w:pos="8743"/>
              <w:tab w:val="right" w:pos="9026" w:leader="dot"/>
            </w:tabs>
            <w:rPr/>
          </w:pPr>
          <w:hyperlink w:anchor="__RefHeading___Toc16865_1468164448">
            <w:r>
              <w:rPr>
                <w:webHidden/>
                <w:rStyle w:val="IndexLink"/>
                <w:rtl w:val="true"/>
              </w:rPr>
              <w:t>المحتويات</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86_78333"/>
      <w:bookmarkStart w:id="1" w:name="pg10786_78333"/>
      <w:bookmarkEnd w:id="1"/>
    </w:p>
    <w:p>
      <w:pPr>
        <w:pStyle w:val="Heading2"/>
        <w:numPr>
          <w:ilvl w:val="1"/>
          <w:numId w:val="1"/>
        </w:numPr>
        <w:rPr/>
      </w:pPr>
      <w:bookmarkStart w:id="2" w:name="pg10786_78333"/>
      <w:bookmarkStart w:id="3" w:name="__RefHeading___Toc16797_1468164448"/>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أثرُ القَوَائمِ في تَكشيفِ الدَّلالاتِ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أنموذجاً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تداولية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السنة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BP38.09.D3 S5 2017 :LC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9789933585104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المؤلف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الشريفي، رحیم کریم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القوائم في تكشيف 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أنموذجاً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تداولية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الاستاذ المساعد الدكتور رحيم كريم علي الشريفي، الأستاذ المساعد الدكتور حسين علي حسين الفتلي، تقديم السيد نبيل الحسني الكربلائي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99_1468164448"/>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السنة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BP38.09.D3 S5 2017 :LC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9789933585104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المؤلف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الشريفي، رحیم کریم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القوائم في تكشيف 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أنموذجاً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تداولية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الاستاذ المساعد الدكتور رحيم كريم علي الشريفي، الأستاذ المساعد الدكتور حسين علي حسين الفتلي، تقديم السيد نبيل الحسني الكربلائي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المادي</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وحدة علوم اللغة العربية؛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ببيلوغرافية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عهد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مالك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دلالية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الفتلي، حسين علي حسين،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نبيل قدوري حسن،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بن موسی،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مالك الأشتر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المقدسة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دراسات في عهد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علوم اللغة العربية أثرُ القَوَائمِ في تَكشيفِ الدَّلالات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أنموذجاً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مقاربةُ تداوليّةٌ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رحيم كريم عليّ الشَّريفيّ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حسين علي حسين الفتليّ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Inahj.org</w:t>
      </w:r>
      <w:r>
        <w:rPr>
          <w:rFonts w:eastAsia="Times New Roman" w:cs="Times New Roman" w:ascii="Times New Roman" w:hAnsi="Times New Roman"/>
          <w:color w:val="111111"/>
          <w:sz w:val="28"/>
          <w:szCs w:val="28"/>
          <w:rtl w:val="true"/>
          <w:lang w:val="en-US" w:bidi="en-US"/>
        </w:rPr>
        <w:t xml:space="preserve"> </w:t>
      </w:r>
      <w:bookmarkStart w:id="7" w:name="pg10786_7833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6801_1468164448"/>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أبرز الحقائق التي ارتبطت بالعترة النبوية هي حقيقة الملازمة بين النص القرآني والنص النبوي ونصوص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خير ما يُرجع إليه في المصادیق لَحديث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صلاحية النص القرآني لكل الأزمنة متلازماً مع صلاحيّة النصوص الشريفة للعترة النبوية لكل الأزمنة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كتاب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أنموذجاً واحداً من بين المئات التي زخرت بها المكتبة الإسلامية والتي اكتنزت في متونها الكثير من الحقول المعرفية مظهرة بذلك احتياج الإنسان إلى نصوص الثقلين في 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ارتأت مؤسسة علوم نهج البلاغة أن تخصص حقلاً معرفياً ضمن نتاجها المعرفي التخصصي في حياة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وفكره، متّخذة من عهده الشريف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خصبة للعلوم الإنسانية التي هي أشرف العلوم ومدار بناء الإنسان وإصلاح متعلقاته الحياتية وذلك ضمن سلسلة بحثية علمية والموسومة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دراسات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ستصدر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أثر القوائم في تكشيف الدلالات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وحدة علوم اللغة العربية، إذ تركز جهد الباحثين </w:t>
      </w:r>
    </w:p>
    <w:p>
      <w:pPr>
        <w:pStyle w:val="BookText"/>
        <w:rPr/>
      </w:pPr>
      <w:r>
        <w:rPr>
          <w:rFonts w:ascii="Amiri" w:hAnsi="Amiri" w:eastAsia="Amiri" w:cs="Amiri"/>
          <w:color w:val="111111"/>
          <w:sz w:val="28"/>
          <w:sz w:val="28"/>
          <w:szCs w:val="28"/>
          <w:rtl w:val="true"/>
          <w:lang w:bidi="ar-SA"/>
        </w:rPr>
        <w:t>على حصر الألفاظ التي تنساق تحت مسمى يجمع دلالتها العامة، ثم رصد ما تفيض به هذه الألفاظ من دلالات تقرب المقاصد الكامنة في طياتها، وتطلعا الباحثين أيضاً إلى مناقشتها من منظور هما التداولي على وفق أهم المحاور التداولية وهي متضمنات القول والأفعال الكلامية بغية الوصول إلى فهم أدق وأوسع لكوامن العهد الإصلاحية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الباحثين خير الجزاء فقد بذلا جهدهما وعلى الله أجرهما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bookmarkStart w:id="10" w:name="pg10786_78341"/>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6803_1468164448"/>
      <w:bookmarkStart w:id="12" w:name="_Toc4"/>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الحمدُ لله الذي لاتُعدُّ قوائُم نَعْمائِهِ وآلائه، ولا تُقیَّد عناصرُ فَضْلهِ وإحسانهِ، وصَلّى اللهُ على محور التقوى والهُدي نبيّ الرحمة محمّدِ، وعلى آله تِبيانِ الدّلالات والرَّشاد، والأحكام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فمِن أجلِ الوصول إلى نتائج مُعجِبة لَمنْهَج يُحْيي الدّلالاتِ، ويُشِيعُ ثقافة الفهم السريع، والتصوّر اللامتناهي للمفاهیم، نعتمد آلية منهجيّة لفهم خطاب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صنع منهجيّ منظّم، قائم على نَسْج قوائم وجداول </w:t>
      </w:r>
    </w:p>
    <w:p>
      <w:pPr>
        <w:pStyle w:val="BookText"/>
        <w:rPr/>
      </w:pPr>
      <w:r>
        <w:rPr>
          <w:rFonts w:ascii="IRNazanin" w:hAnsi="IRNazanin" w:eastAsia="IRNazanin"/>
          <w:color w:val="111111"/>
          <w:sz w:val="28"/>
          <w:sz w:val="28"/>
          <w:szCs w:val="28"/>
          <w:rtl w:val="true"/>
          <w:lang w:bidi="fa-IR"/>
        </w:rPr>
        <w:t xml:space="preserve">للمفاهيم، والكلمات المحوريّة التي تنتظم في سياق واحد من أجل حصرها مرّة، ومقاربتها دلالیًّا مرّة أخرى، وهي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تطرحْ من قبلُ، ممّا يجعل دراستنا جديدة في بابها، إذ لم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اطّلاعنا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صنیعًا سُبقنا إليه على وَفْقِ ما نترسّمه إنْ تنظيرًا أو تطبيقًا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سيتناوشُه البحثُ في ضوء مباحثتنا التي جعلت الخطاب العلوّي الإصلاحيّ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بحثنا ومحط دراستنا إذ ألفينا كثرة القوائم فيه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ظلّ هذه المعاينة، والإلماحة المتبصرة في العهد المبارك، نرى أنْ يقوم البحثُ على ثلاثة </w:t>
      </w:r>
    </w:p>
    <w:p>
      <w:pPr>
        <w:pStyle w:val="BookText"/>
        <w:rPr/>
      </w:pPr>
      <w:r>
        <w:rPr>
          <w:rFonts w:ascii="Amiri" w:hAnsi="Amiri" w:eastAsia="Amiri" w:cs="Amiri"/>
          <w:color w:val="111111"/>
          <w:sz w:val="28"/>
          <w:sz w:val="28"/>
          <w:szCs w:val="28"/>
          <w:rtl w:val="true"/>
          <w:lang w:bidi="ar-SA"/>
        </w:rPr>
        <w:t>مطالبَ،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القوائم في صنع الثقافة إذ لا يخفى على المتبصّر أنّ القوائم والجداول تُعدّ أساسًا في ضبط البيانات، والحؤول دون تشظيّها وتناثرها، فضلًا عن أنّها تعد ركيزةً صلبةً في تكشيف الدلالات التي يرقبها القارئ، والمتدبّر في هذه البيانات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تنتظم فيها 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القوائم في رسالة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دراسةً تطبيقيةً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سَنَفْلي في هذا المطلب القوائم التي ترشّحت في العهد المبارك، إذ يمثّل العنوانُ الرئيسُ للقائمة البؤرةَ المركزيّةَ، القادرة على استدعاء مجموعة من العناصر التي تنتظم فيه، عبر نَسْجِ شبكة من المسارات والتتابعات، والمجالات الدّلالية التي تُعدّ عناصر متضافرة في استجلاء مفهوم العنوان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المقاربات التداولية للقوائم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هذا المطلب سنقارب تداولیًّا بين العناصر المنتظمة في القائمة الواحدة بمعاينة السياقات المصاحبة لهذه العناصر سواءٌ أكانت لفظيّةً أم مقاميّةً إذ يعملُ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الرئيسُ على استدعائه، فالاقترانات اللفظّية المترشحة في هذه القوائم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أثرٌ في استظهار المعاني، وتكشيف الدّلالات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 xml:space="preserve">. </w:t>
      </w:r>
      <w:bookmarkStart w:id="13" w:name="pg10786_783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6805_1468164448"/>
      <w:bookmarkStart w:id="15" w:name="_Toc5"/>
      <w:bookmarkEnd w:id="13"/>
      <w:bookmarkEnd w:id="14"/>
      <w:r>
        <w:rPr>
          <w:rtl w:val="true"/>
        </w:rPr>
        <w:t xml:space="preserve">المطلب الأول أثرُ القوائم في الثقافة </w:t>
      </w:r>
      <w:r>
        <w:rPr>
          <w:rtl w:val="true"/>
        </w:rPr>
        <w:t>(</w:t>
      </w:r>
      <w:r>
        <w:rPr>
          <w:rtl w:val="true"/>
        </w:rPr>
        <w:t>مقاربة تداولية</w:t>
      </w:r>
      <w:r>
        <w:rPr>
          <w:rtl w:val="true"/>
        </w:rPr>
        <w:t>)</w:t>
      </w:r>
      <w:bookmarkEnd w:id="1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0786_78347"/>
      <w:bookmarkStart w:id="17" w:name="pg10786_78347"/>
      <w:bookmarkEnd w:id="17"/>
    </w:p>
    <w:p>
      <w:pPr>
        <w:pStyle w:val="BookText"/>
        <w:rPr/>
      </w:pPr>
      <w:bookmarkStart w:id="18" w:name="pg10786_78347"/>
      <w:bookmarkEnd w:id="18"/>
      <w:r>
        <w:rPr>
          <w:rFonts w:ascii="Amiri" w:hAnsi="Amiri" w:eastAsia="Amiri" w:cs="Amiri"/>
          <w:color w:val="111111"/>
          <w:sz w:val="28"/>
          <w:sz w:val="28"/>
          <w:szCs w:val="28"/>
          <w:rtl w:val="true"/>
          <w:lang w:bidi="ar-SA"/>
        </w:rPr>
        <w:t>في هذا المطلب سنكشف الخِمار عن أمرين مهمّين، نحسب أنّهما يعينانِ على الوصول إلى المقاربات الدّلالية التداوُليّة لمصطلح القوائم من جهة، وبيان أهميتها في الثقافة الاجتماعية التداولية من جهة أخرى</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6807_1468164448"/>
      <w:bookmarkStart w:id="20" w:name="_Toc6"/>
      <w:bookmarkEnd w:id="19"/>
      <w:r>
        <w:rPr>
          <w:rtl w:val="true"/>
        </w:rPr>
        <w:t>أولاً</w:t>
      </w:r>
      <w:r>
        <w:rPr>
          <w:rtl w:val="true"/>
        </w:rPr>
        <w:t xml:space="preserve">: </w:t>
      </w:r>
      <w:r>
        <w:rPr>
          <w:rtl w:val="true"/>
        </w:rPr>
        <w:t>القوائم مقاربة تأصيلية</w:t>
      </w:r>
      <w:r>
        <w:rPr>
          <w:rtl w:val="true"/>
        </w:rPr>
        <w:t>:</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فارس 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أصلانِ صحيحانِ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یَدُلُّ أَحَدَهُمَا عَلَی جَمَاعَةِ نَاسٍ، وَرُبَّمَا اسْتُعِیرَ فِی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عَلَی انْتِصَابٍ </w:t>
      </w:r>
    </w:p>
    <w:p>
      <w:pPr>
        <w:pStyle w:val="BookText"/>
        <w:rPr/>
      </w:pPr>
      <w:r>
        <w:rPr>
          <w:rFonts w:ascii="Amiri" w:hAnsi="Amiri" w:eastAsia="Amiri" w:cs="Amiri"/>
          <w:color w:val="111111"/>
          <w:sz w:val="28"/>
          <w:sz w:val="28"/>
          <w:szCs w:val="28"/>
          <w:rtl w:val="true"/>
          <w:lang w:bidi="ar-SA"/>
        </w:rPr>
        <w:t>أَوْ عَزْم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ويتكشّف لنا في ضوء هذا النصّ أنَّ القائمة حاصلة في ضوء مجموعة من العناصر، وهذا ما عبّر عنه ابن فارس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استعير في غيرهم، زِدْ على ذلك أنَّ القائمة تدلُّ على الحَتْم والعَزْم والضَّبط؛ لمقتضى مجيئها لهذا الغرض</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وتتجلّى 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الاستعمال الاجتماعيّ التداوليّ، بمجموع العناصر والمكونات فيها كقائمة السرير والدابة وقوائم الخوان، وصولاً إلى قائمة الكتاب، قال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وقامَت الدابةُ على قوائِمَها، وهذه قَائِمَةِ الجِوَانِ والسَّرِيرِ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لعبةُ الشطرنج صارَت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الکَرْمَ بالقَوَائِم والكَرْمةَ بالقائِمةَ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قال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والقائمةُ واحدةُ قوائمِ الدابةِ، والورقةُ من الكتابِ، ومن السيفِ مقبضُهُ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ونَرْقُبُ هذا البيان تداولیًا عند مرتضى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من الكِتَابِ، وَقد تُطلَقُ على مَجْمُوع البَرنَامَج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الخِوَانِ والسَّرِيرِ والدَّابَّةِ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وقَوِائِمُ الخِوَانٍ ونَحوُهَا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وتأسيساً على ذلك نَرْصدُ مقاربة تداولية لدلالة القائمة ألصق بمباحثتنا وهي الورقة التي تقيّد بها الأسماء، والأشياء في صنف قائم</w:t>
      </w:r>
      <w:r>
        <w:rPr>
          <w:rStyle w:val="FootnoteAnchor"/>
          <w:rtl w:val="true"/>
        </w:rPr>
        <w:footnoteReference w:id="7"/>
      </w:r>
      <w:r>
        <w:rPr>
          <w:rFonts w:ascii="Amiri" w:hAnsi="Amiri" w:eastAsia="Amiri" w:cs="Amiri"/>
          <w:color w:val="111111"/>
          <w:sz w:val="28"/>
          <w:sz w:val="28"/>
          <w:szCs w:val="28"/>
          <w:rtl w:val="true"/>
          <w:lang w:bidi="ar-SA"/>
        </w:rPr>
        <w:t xml:space="preserve">، وفي صورة صفوة وأعمدة، وتكون على هيأة عناصر </w:t>
      </w:r>
    </w:p>
    <w:p>
      <w:pPr>
        <w:pStyle w:val="BookText"/>
        <w:rPr/>
      </w:pPr>
      <w:r>
        <w:rPr>
          <w:rFonts w:ascii="Amiri" w:hAnsi="Amiri" w:eastAsia="Amiri" w:cs="Amiri"/>
          <w:color w:val="111111"/>
          <w:sz w:val="28"/>
          <w:sz w:val="28"/>
          <w:szCs w:val="28"/>
          <w:rtl w:val="true"/>
          <w:lang w:bidi="ar-SA"/>
        </w:rPr>
        <w:t>زمرة، حَلْقة، أو بنية جبريّة</w:t>
      </w:r>
      <w:r>
        <w:rPr>
          <w:rStyle w:val="FootnoteAnchor"/>
          <w:rtl w:val="true"/>
        </w:rPr>
        <w:footnoteReference w:id="8"/>
      </w:r>
      <w:r>
        <w:rPr>
          <w:rFonts w:ascii="IRNazanin" w:hAnsi="IRNazanin" w:eastAsia="IRNazanin"/>
          <w:color w:val="111111"/>
          <w:sz w:val="28"/>
          <w:sz w:val="28"/>
          <w:szCs w:val="28"/>
          <w:rtl w:val="true"/>
          <w:lang w:bidi="fa-IR"/>
        </w:rPr>
        <w:t>، باستحضار الانتظام، والتتابع، والاطّراد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ظلّ معاينة حدّ القائمة في الكتب التي وقفنا عليها، وجدنا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مصطلحاً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عن الدلالة اللّغوية، التي رَصَدْناها في المعجمات العربية، وهي الورقةُ التي تقيّد بها الأسماء، والأشياء في صفٍّ قائم أو عموديّ رَغْبةً في اختصار الزمن، والمسافات، وتحصيل المعلومات بسرعة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فالقائمة هي الوعاء، أو الظَّرْف الذي تنتظم فيه العناصر والأرقام وغيرها؛ من أجل </w:t>
      </w:r>
      <w:bookmarkStart w:id="21" w:name="pg10786_78351"/>
    </w:p>
    <w:p>
      <w:pPr>
        <w:pStyle w:val="BookText"/>
        <w:rPr/>
      </w:pPr>
      <w:bookmarkEnd w:id="21"/>
      <w:r>
        <w:rPr>
          <w:rFonts w:ascii="Amiri" w:hAnsi="Amiri" w:eastAsia="Amiri" w:cs="Amiri"/>
          <w:color w:val="111111"/>
          <w:sz w:val="28"/>
          <w:sz w:val="28"/>
          <w:szCs w:val="28"/>
          <w:rtl w:val="true"/>
          <w:lang w:bidi="ar-SA"/>
        </w:rPr>
        <w:t>تحليلها والوصول في ضوئها إلى النتائج المرجوّة</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مجموعة من العناصر التي تنتظم فيها، ونرغب في دراستها، رَغْبةً في الحصول على بعض النتائج حولها، ومن هنا فهي العتبة القصدية التي يجري البحث عنها، والتي تحقّق أغراض الدراسة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16809_1468164448"/>
      <w:bookmarkStart w:id="23" w:name="_Toc7"/>
      <w:bookmarkEnd w:id="22"/>
      <w:r>
        <w:rPr>
          <w:rtl w:val="true"/>
        </w:rPr>
        <w:t>ثانياً</w:t>
      </w:r>
      <w:r>
        <w:rPr>
          <w:rtl w:val="true"/>
        </w:rPr>
        <w:t xml:space="preserve">: </w:t>
      </w:r>
      <w:r>
        <w:rPr>
          <w:rtl w:val="true"/>
        </w:rPr>
        <w:t>أهمية القوائم في الثقافة التداولية</w:t>
      </w:r>
      <w:r>
        <w:rPr>
          <w:rtl w:val="true"/>
        </w:rPr>
        <w:t>:</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يخفى على ذي نُهية أنّ العقل قائمٌ على التنظيم والترتيب، وحصر العناصر في قوائمَ وجداولَ خوفاً من تشظّيها وتناثرها، ويبدو أنّ مسايرة العقل الفعّال في هذا الصنيع يدلّ على أنّ الحياة تتطلب التعيين والتخصص، لا العبثية والفوضوية من أجل الوصول إلى المقاربات الحقيقية، والمحدّدات الواضحة للعلم المراد بیانه بَلْهَ الموضوعات والمطالب والمفردات </w:t>
      </w:r>
    </w:p>
    <w:p>
      <w:pPr>
        <w:pStyle w:val="BookText"/>
        <w:rPr/>
      </w:pPr>
      <w:r>
        <w:rPr>
          <w:rFonts w:ascii="Amiri" w:hAnsi="Amiri" w:eastAsia="Amiri" w:cs="Amiri"/>
          <w:color w:val="111111"/>
          <w:sz w:val="28"/>
          <w:sz w:val="28"/>
          <w:szCs w:val="28"/>
          <w:rtl w:val="true"/>
          <w:lang w:bidi="ar-SA"/>
        </w:rPr>
        <w:t>المرغوبُ تفضيلها واستظهارها، وتفصيلها، ومن هنا جاءت تلكمُ القوائمُ والجداول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وتأسيساً هذا الفَهْم والتصور انبرى العقل إلى التفكير في تقييد العلم، وجَدْوَلته في استشرافه القضية المتحدث عنها، وهذا ما نلمحه، ونرصده في المنظومة الثقافية الإسلامية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أن نستحضر ما یعنّ لنا من مُثُل بهذا الصدد، يجدر بنا أن نستحضر حقيقة مفادها أنّ القرآن الكريم بوصفة كتاب العربية الأكبر، والمدوّنة الإلهية العظمى الذي انطوى على المسائل العقدية والفقهية والثوابت الأخلاقية والاجتماعية والقضايا الكونية والعلمية، وغيرها، التي جاءت بأسلوب غاير أساليب العرب وفارق نظمهم في السموّ والعلوّ، فجاء نسيج وحده و فرید نظمه بَلْهَ أسره للقلوب، و أخذه بمجاميعها، ونستشعر الوجه التأثيري المتحصل لكتاب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قلوب </w:t>
      </w:r>
    </w:p>
    <w:p>
      <w:pPr>
        <w:pStyle w:val="BookText"/>
        <w:rPr/>
      </w:pPr>
      <w:r>
        <w:rPr>
          <w:rFonts w:ascii="Amiri" w:hAnsi="Amiri" w:eastAsia="Amiri" w:cs="Amiri"/>
          <w:color w:val="111111"/>
          <w:sz w:val="28"/>
          <w:sz w:val="28"/>
          <w:szCs w:val="28"/>
          <w:rtl w:val="true"/>
          <w:lang w:bidi="ar-SA"/>
        </w:rPr>
        <w:t xml:space="preserve">سامعيه، إذ نجد الوجه الإعجازي للنصّ القرآني، بوصفه وجاً له سُهمة في وجوه إعجاز القرآن الكريم، قال أبو سليمان الخطّابيّ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في إعجاز القرآن وجهاً آخر ذهب عنه الناس فلا يكاد يعرفه إلا الشّاذ من آحادهم، وذلك صنيعه بالقلوب وتأثيره في النفوس، فإنّك لا تسمع كلاماً غير القرآن منظوماً ولا منثوراً إذا قرع السمع خلص له إلى القلب من اللّذة والحلاوة في حال ومن الروعة والمهابة في أخرى ما يخلص منه إليه تستبشر به النفوس وتنشرح له الصدور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فالنصوص الإبداعية العالية البناء الفنية الأداء غزيرة الوجود إنتاجاً من العقلية البشرية، مهما بلغ مداها، لا تصل إلى مبلغ النص القرآني، أو تقترب منه على استحياء قطُّ، فعامل التأثير في النص القرآني ليس له نظير يشابهه، ولا يداني بنظير ألبتة، وهذا </w:t>
      </w:r>
    </w:p>
    <w:p>
      <w:pPr>
        <w:pStyle w:val="BookText"/>
        <w:rPr/>
      </w:pPr>
      <w:r>
        <w:rPr>
          <w:rFonts w:ascii="IRNazanin" w:hAnsi="IRNazanin" w:eastAsia="IRNazanin"/>
          <w:color w:val="111111"/>
          <w:sz w:val="28"/>
          <w:sz w:val="28"/>
          <w:szCs w:val="28"/>
          <w:rtl w:val="true"/>
          <w:lang w:bidi="fa-IR"/>
        </w:rPr>
        <w:t>تجلت سمة الاختراق بين ما هو كلام بشريّ، وما هو كلام إلهيّ، فتتحقق في الثاني قوة التأثير الخطابي، وعامل الإقناع النصیّ الذي يُغيّر حياة الإنسان كليّاً، وهذا ما لا يمكن أن يحقّقه أيّ نصّ آخر غير النصّ القرآني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وعَوْدًا على بِدْء والعود أحمدُ، فإنّنا نرى أنّ القرآن الكريم إذا ما استثنينا المدوّنات التي سبقت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أكانت کتباً سماوية أم كتباً فلسفية ومقالات أخلاقية وأدبية ندّت من لدن كبار فلاسفة اليونان والرومان والهنود، فإنَّنا نجزم قاطعين أنّ القرآن الكريم قد أسّس لتغطية القوائم والجداول في المجالات التداولية الثقافية الإسلامية التي تمثّل العتبات المختارة مادّتها، ودراستها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النص القرآني قد ألمح إلى هذا </w:t>
      </w:r>
    </w:p>
    <w:p>
      <w:pPr>
        <w:pStyle w:val="BookText"/>
        <w:rPr/>
      </w:pPr>
      <w:r>
        <w:rPr>
          <w:rFonts w:ascii="Amiri" w:hAnsi="Amiri" w:eastAsia="Amiri" w:cs="Amiri"/>
          <w:color w:val="111111"/>
          <w:sz w:val="28"/>
          <w:sz w:val="28"/>
          <w:szCs w:val="28"/>
          <w:rtl w:val="true"/>
          <w:lang w:bidi="ar-SA"/>
        </w:rPr>
        <w:t>التبويب والتفصيل المنظّم للقضايا والمسائل المختلفة التي عرضها،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تَصْدِيقَ الَّذِي بَيْنَ يَدَيْهِ وَتَفْصِيلَ الْكِتَابِ</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صَرَّفْنَا فِي هَذَا الْقُرْآنِ لِلنَّاسِ مِنْ كُلِّ مَثَلٍ</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فالتفصيل والبيان والتبيان والتنوير والنطق </w:t>
      </w:r>
    </w:p>
    <w:p>
      <w:pPr>
        <w:pStyle w:val="BookText"/>
        <w:rPr/>
      </w:pPr>
      <w:r>
        <w:rPr>
          <w:rFonts w:ascii="Amiri" w:hAnsi="Amiri" w:eastAsia="Amiri" w:cs="Amiri"/>
          <w:color w:val="111111"/>
          <w:sz w:val="28"/>
          <w:sz w:val="28"/>
          <w:szCs w:val="28"/>
          <w:rtl w:val="true"/>
          <w:lang w:bidi="ar-SA"/>
        </w:rPr>
        <w:t xml:space="preserve">بالحق والتصريف كلّها أمارات ودلائل على القوائم والجداول بوصفها آليّة من آليّات التفصيل والتبيان والبيان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رُحْنا إلى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هذه القوائم والجداول شاخصة أمامنا، ففي سورة الفاتحة بوصفها السورة الأولى في المصحف الشريف نجد هذه التقنية حاضرة، تأمّل معنا أوصاف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هيأة قائمة مؤلّفة من أربعة عناصر الحمد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القائمة آيات عن صفات الله عزّ وجل، وإذا ما صرفنا وجهَنا تلقاء سورة الإخلاص التي تمثّل السورة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 القران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هذه التقنية حاضرة في 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أنواع تكلّم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 </w:t>
      </w:r>
    </w:p>
    <w:p>
      <w:pPr>
        <w:pStyle w:val="BookText"/>
        <w:rPr/>
      </w:pPr>
      <w:r>
        <w:rPr>
          <w:rFonts w:ascii="Amiri" w:hAnsi="Amiri" w:eastAsia="Amiri" w:cs="Amiri"/>
          <w:color w:val="111111"/>
          <w:sz w:val="28"/>
          <w:sz w:val="28"/>
          <w:szCs w:val="28"/>
          <w:rtl w:val="true"/>
          <w:lang w:bidi="ar-SA"/>
        </w:rPr>
        <w:t>القرآني بوصفها قوائم واضحة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وَرَاءِ حِجَابٍ أَوْ يُرْسِلَ رَسُولًا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 مِنْ وراء حجاب، يرسل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الأمثلة كثيرة جداً لا تُعدّ ولا تُحصى نخشى من الإطالة و الخروج عن الإيجاز الذي ننشده في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هذا التأسيس القرآني قد أفاد منه علماء العربية، فنجدُ النحويين يركنون إلى هذا الصنيع من أجل التقييد والتبين والتفصيل قال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كلامنا لفظٌ مفیدٌ کاستقم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وفعلٌ ثم حرفٌ الكلم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الكلمة ثلاثة أقسام اسم، فعل، حرف، والفعل ماض، مضارع، أمر، وغيرها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البلاغيين أقسام علم البلاغة علم المعاني، وعلم البيان، وعلم البديع</w:t>
      </w:r>
      <w:r>
        <w:rPr>
          <w:rStyle w:val="FootnoteAnchor"/>
          <w:rtl w:val="true"/>
        </w:rPr>
        <w:footnoteReference w:id="20"/>
      </w:r>
      <w:r>
        <w:rPr>
          <w:rFonts w:ascii="Amiri" w:hAnsi="Amiri" w:eastAsia="Amiri" w:cs="Amiri"/>
          <w:color w:val="111111"/>
          <w:sz w:val="28"/>
          <w:sz w:val="28"/>
          <w:szCs w:val="28"/>
          <w:rtl w:val="true"/>
          <w:lang w:bidi="ar-SA"/>
        </w:rPr>
        <w:t>، وغيرها من التقسيمات في معارف العربية المختلفة</w:t>
      </w:r>
      <w:r>
        <w:rPr>
          <w:rFonts w:eastAsia="Amiri" w:cs="Amiri" w:ascii="Amiri" w:hAnsi="Amiri"/>
          <w:color w:val="111111"/>
          <w:sz w:val="28"/>
          <w:szCs w:val="28"/>
          <w:rtl w:val="true"/>
          <w:lang w:bidi="ar-SA"/>
        </w:rPr>
        <w:t xml:space="preserve">. </w:t>
      </w:r>
      <w:bookmarkStart w:id="24" w:name="pg10786_783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16811_1468164448"/>
      <w:bookmarkStart w:id="26" w:name="_Toc8"/>
      <w:bookmarkEnd w:id="24"/>
      <w:bookmarkEnd w:id="25"/>
      <w:r>
        <w:rPr>
          <w:rtl w:val="true"/>
        </w:rPr>
        <w:t xml:space="preserve">المطلب الثاني القوائم في عهد الإمام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رضي الله عنه</w:t>
      </w:r>
      <w:r>
        <w:rPr>
          <w:rtl w:val="true"/>
        </w:rPr>
        <w:t xml:space="preserve">) </w:t>
      </w:r>
      <w:r>
        <w:rPr>
          <w:rtl w:val="true"/>
        </w:rPr>
        <w:t>دراسة تطبيقية</w:t>
      </w:r>
      <w:bookmarkEnd w:id="2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لا جَرَمَ أنَّ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انتظم في النهج المبارك، وغيرها من المدوّنات التي توافرت على نقل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على أنّها تنبع وتمتح من مصدر واحد، إذ إنّ جلاء النصوص ورصفها وتناسب موضوعاتها ومضامينها تدلّ على هذا النبع الخلّاق، والمتح العظيم، وأنّها تجري کالسلسبيل من مجرى واحد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فطن إليه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إذا تأملت نهج </w:t>
      </w:r>
    </w:p>
    <w:p>
      <w:pPr>
        <w:pStyle w:val="BookText"/>
        <w:rPr/>
      </w:pPr>
      <w:r>
        <w:rPr>
          <w:rFonts w:ascii="Amiri" w:hAnsi="Amiri" w:eastAsia="Amiri" w:cs="Amiri"/>
          <w:color w:val="111111"/>
          <w:sz w:val="28"/>
          <w:sz w:val="28"/>
          <w:szCs w:val="28"/>
          <w:rtl w:val="true"/>
          <w:lang w:bidi="ar-SA"/>
        </w:rPr>
        <w:t>البلاغة وجدته كلّه ماءً واحداً، ونفساً واحداً، وأسلوباً واحداً كالجسم البسيط الذي ليس بعض من أبعاضه مخالفاً لباقي الأبعاض في الماهية، وكالقرآن العزيز أوّله كأوسطه، وأوسطه كآخره، وكلّ سورة وكلّ آية مماثلة في المأخذ والمذهب والفنّ والطريق والنظم لباقي الآيات والسور، ولو كان بعض نهج البلاغة منحولاً وبعضه صحيحاً لم يكن ذلك كذلك، فقد ظهر لك هذا البرهان الواضح ضلال مَن زعم أنّ الكتاب أو بعضه منحولاً إلى أمير المؤمنين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نبصر عهده الشريف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النصّ المحكم والمتقن، وهي من أمارات صحة سنده؛ وذلك لما يمتاز به هذا المتن من سبك منقطع النظير في المعنى والمبنى، وإنّ الباحث الخبير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ليشعر أنّ روحاً نورانية تكمن وراء كلّ عبارة من عباراته، وأنّ هناك خيوطاً نسجت أفكاره، ومفاهيمه لا يدركها إلّا مَن توغّل في أعماقها، واكتشف الروح السامية والمعاني العالية من وراء الألفاظ التي تعبّر عنها، يقول الدكتور عباس علي الفحّام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يُطعَنَ في صحة نسبة الكلام في نهج البلاغة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اشتماله على التقسيم العددي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مخالف لما أثبته الأسلوب القرآنيّ، وأكد استعماله وأكثر من الحديث النبويّ في تقسيماته الأخلاقية، أما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مستكثر عليه أسلوب الحصر والتقسيم العددي، لما عرف من ملكات لغوية هائلة وتنظيم فكري عجيب، يستطيع به التوليد على الأثر القرآني والنبويّ في مجالي الفنّ والموضوع الشائع فيهما هذا الاستعال</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وآن الأوان أن نستكشف أهم القوائم التي انطوى عليها هذا العهد المبارك، الذي يعدّ من أهمّ النصوص وأغناها، وأجمعها لمحاسن الأخلاق، والقيم والمعارف في مجالات الحكم والسياسة وحقوق الإدارة والاجتماع والاقتصاد والتربية، وهو البرنامج العلمي الأمثل لإدارة الدولة وقيادة المجتمع</w:t>
      </w:r>
      <w:r>
        <w:rPr>
          <w:rStyle w:val="FootnoteAnchor"/>
          <w:rtl w:val="true"/>
        </w:rPr>
        <w:footnoteReference w:id="24"/>
      </w:r>
      <w:r>
        <w:rPr>
          <w:rFonts w:ascii="Amiri" w:hAnsi="Amiri" w:eastAsia="Amiri" w:cs="Amiri"/>
          <w:color w:val="111111"/>
          <w:sz w:val="28"/>
          <w:sz w:val="28"/>
          <w:szCs w:val="28"/>
          <w:rtl w:val="true"/>
          <w:lang w:bidi="ar-SA"/>
        </w:rPr>
        <w:t>، في ظلّ استشراف العنوان الرئيس للقائمة الذي يمثل البؤرة المركزية القادرة على استدعاء مجموعة من العناصر والبيانات، والأرقام المنتظمة منها عبر تناسلها على سطح القائمة باسترفاد السياقات والتتابعات الكلامية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وبدا لنا أنّ استغوار القوائم، واستنباشها من المتن العلويّ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يتطلّب خبرة وإحالة عميقة للفكرة، إذ هو ليس متیسّراً لكل أحد، إلا </w:t>
      </w:r>
      <w:bookmarkStart w:id="27" w:name="pg10786_78365"/>
    </w:p>
    <w:p>
      <w:pPr>
        <w:pStyle w:val="BookText"/>
        <w:rPr/>
      </w:pPr>
      <w:bookmarkEnd w:id="27"/>
      <w:r>
        <w:rPr>
          <w:rFonts w:ascii="IRNazanin" w:hAnsi="IRNazanin" w:eastAsia="IRNazanin"/>
          <w:color w:val="111111"/>
          <w:sz w:val="28"/>
          <w:sz w:val="28"/>
          <w:szCs w:val="28"/>
          <w:rtl w:val="true"/>
          <w:lang w:bidi="fa-IR"/>
        </w:rPr>
        <w:t xml:space="preserve">لأولئك الذين امتلكوا زمام اللغة، وخبروا دقائقها وأسرارها، ولا سيّما المتكلّم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أعمل فكره في استظهار عناصر القضيّة المراد بيانها و تنفیلها، فضلاً عن ذلك مقدرته على لُملَمة الأفكار وتسييجها من أجل الإحاطة بها من أنحائها جمعاء</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6813_1468164448"/>
      <w:bookmarkStart w:id="29" w:name="_Toc9"/>
      <w:bookmarkEnd w:id="28"/>
      <w:r>
        <w:rPr>
          <w:rtl w:val="true"/>
        </w:rPr>
        <w:t>القائمة الأولى</w:t>
      </w:r>
      <w:r>
        <w:rPr>
          <w:rtl w:val="true"/>
        </w:rPr>
        <w:t xml:space="preserve">: </w:t>
      </w:r>
      <w:r>
        <w:rPr>
          <w:rtl w:val="true"/>
        </w:rPr>
        <w:t>أعمال الوالي ووظائفه</w:t>
      </w:r>
      <w:r>
        <w:rPr>
          <w:rtl w:val="true"/>
        </w:rPr>
        <w:t>:</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جباية الخراج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العدو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استصلاح الأهل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البلاد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أَمَرَ بِهِ عَبْدُاللَّهِ عَلِیٌّ أَمِیْرُالْمُؤْمِنِینَ مَالِكَ بْنَ الْحَارِثِ الْأَشْتَرَ </w:t>
      </w:r>
    </w:p>
    <w:p>
      <w:pPr>
        <w:pStyle w:val="BookText"/>
        <w:rPr/>
      </w:pPr>
      <w:r>
        <w:rPr>
          <w:rFonts w:ascii="Amiri" w:hAnsi="Amiri" w:eastAsia="Amiri" w:cs="Amiri"/>
          <w:color w:val="111111"/>
          <w:sz w:val="28"/>
          <w:sz w:val="28"/>
          <w:szCs w:val="28"/>
          <w:rtl w:val="true"/>
          <w:lang w:bidi="ar-SA"/>
        </w:rPr>
        <w:t>فِی عَهْدِهِ إِلَیْهِ حِیْنَ وَلَّاهُ مِصْرَ جِبَایَهَ خَرَاجِهَا وَ جِهَادَ عَدُوِّهَا وَ اسْتِصْلَاحَ أَهْلِهَا وَ عِمَارَةَ بِلادِهَا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الكلمات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الجباية، الجهاد، الاستصلاح،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عناصر وأرقاماً وبيانات فهي مرتكزات رئيسة وأركان مهمة تقوم عليها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المدار الاقتصادي للدولة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المدار العسكري والأمني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بالجانب الإداري والاجتماعي والأخلاقي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بالجانب العمراني الموصول بتنمية البلاد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ويتجلّى لنا أنّ البؤرة الرئيسة للقائمة هي مسؤولية الحاكم اتجاه شعبة إذ تنحصر مهامه وترتكز في أربعة عناصر حدّدها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باستشراف تنامي فكره الذي يستدعي </w:t>
      </w:r>
    </w:p>
    <w:p>
      <w:pPr>
        <w:pStyle w:val="BookText"/>
        <w:rPr/>
      </w:pPr>
      <w:r>
        <w:rPr>
          <w:rFonts w:ascii="Amiri" w:hAnsi="Amiri" w:eastAsia="Amiri" w:cs="Amiri"/>
          <w:color w:val="111111"/>
          <w:sz w:val="28"/>
          <w:sz w:val="28"/>
          <w:szCs w:val="28"/>
          <w:rtl w:val="true"/>
          <w:lang w:bidi="ar-SA"/>
        </w:rPr>
        <w:t>نوعاً من الرؤية في حصر الفكرة باسترفاد عناصر منتظمة مستوفية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الحقيق بالذكر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الرغم من أنَّه قد قدم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مطاوي العهد الشريف نراه ينبّه مالكاً على تقديم عمارة الأرض على استجلاب الخراج عند التزاحم والعمل بالمرجوح دون الراجح</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وَلْيَکُنْ نَظَرُكَ فِي عِمَارَةِ الاَرْضِ أَبْلَغَ مِنْ نَظَرِكَ فِي اسْتِجْلاَبِ الْخَرَاجِ لاَنَّ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30" w:name="pg10786_78368"/>
    </w:p>
    <w:p>
      <w:pPr>
        <w:pStyle w:val="Heading2"/>
        <w:numPr>
          <w:ilvl w:val="1"/>
          <w:numId w:val="1"/>
        </w:numPr>
        <w:rPr/>
      </w:pPr>
      <w:bookmarkStart w:id="31" w:name="__RefHeading___Toc16815_1468164448"/>
      <w:bookmarkStart w:id="32" w:name="_Toc10"/>
      <w:bookmarkEnd w:id="30"/>
      <w:bookmarkEnd w:id="31"/>
      <w:r>
        <w:rPr>
          <w:rtl w:val="true"/>
        </w:rPr>
        <w:t>القائمة الثانية</w:t>
      </w:r>
      <w:r>
        <w:rPr>
          <w:rtl w:val="true"/>
        </w:rPr>
        <w:t xml:space="preserve">: </w:t>
      </w:r>
      <w:r>
        <w:rPr>
          <w:rtl w:val="true"/>
        </w:rPr>
        <w:t>صفات الوالي والقائد الإيمانية</w:t>
      </w:r>
      <w:r>
        <w:rPr>
          <w:rtl w:val="true"/>
        </w:rPr>
        <w:t>:</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إيثار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اتّباع أحكام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وفرائضه وسننه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بالقلب واليد واللسان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 النفس عن الشهوات، ومنعها من المآرب غير الصالحة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بِتَقْوَی اللَّهِ وَإِیثَارِ طَاعَتِهِ وَاتِّبَاعِ مَا أَمَرَ بِهِ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فَرَائِضِهِ وَ سُنَنِه الَّتِی لَا یسْعَدُ أَحَدٌ إِلَّا بِاتِّبَاعِهَا وَ لَا یشْقَی إِلَّا مَعَ جُحُودِهَا وَإِضَاعَتِهَا وَأَنْ ینْصُرَ اللَّهَ سُبْحانَهُ بِقَلْبِهِ وَیدِهِ وَلِسَانِهِ فَإِنَّهُ جَلَّ اسْمُهُ قَدْ تَکَفَّلَ بِنَصْرِ مَنْ نَصَرَهُ وَإِعْزَازِ مَنْ أَعَزَّهُ وَ أَمَرَهُ أَنْ یکْسِرَ نَفْسَهُ مِنَ </w:t>
      </w:r>
    </w:p>
    <w:p>
      <w:pPr>
        <w:pStyle w:val="BookText"/>
        <w:rPr/>
      </w:pPr>
      <w:r>
        <w:rPr>
          <w:rFonts w:ascii="Amiri" w:hAnsi="Amiri" w:eastAsia="Amiri" w:cs="Amiri"/>
          <w:color w:val="111111"/>
          <w:sz w:val="28"/>
          <w:sz w:val="28"/>
          <w:szCs w:val="28"/>
          <w:rtl w:val="true"/>
          <w:lang w:bidi="ar-SA"/>
        </w:rPr>
        <w:t>الشَّهَوَاتِ وَ یزَعَهَا عِنْدَ الْجَمَحَاتِ فَإِنَّ النَّفْسَ أَمَّارَةٌ بِالسُّوءِ، إِلَّا مَا رَحِمَ اللَّهُ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خمساً في إصلاح النفس وهي مقدمات لازمة في تحلي الولاة بها، قبل تولي إدارة البلاد، والقيام بأمر العمران، هذه الإشارات العلوية لا تختصّ بوالٍ دون آخر، ولا بلد من البلدان، إنّها تشمل الجميع من أجل تذوّق السعادة المنشودة، والمستقبل المأمول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وبدا لنا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استثمر المعجم القرآني في سرد هذه العناصر المتصلة بالقائمة، هذا التثمير الماتع الناجع يمثل قرينة سياقيّة عظيمة الموضوع عالية البيان،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وَاتَّقُونِ يَا أُولِي </w:t>
      </w:r>
      <w:bookmarkStart w:id="33" w:name="pg10786_78370"/>
    </w:p>
    <w:p>
      <w:pPr>
        <w:pStyle w:val="BookText"/>
        <w:rPr/>
      </w:pPr>
      <w:bookmarkEnd w:id="33"/>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 إِلَيْهِ يَصْعَدُ الْكَلِمُ الطَّيِّبُ وَالْعَمَلُ الصَّالِحُ يَرْفَعُهُ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16817_1468164448"/>
      <w:bookmarkStart w:id="35" w:name="_Toc11"/>
      <w:bookmarkEnd w:id="34"/>
      <w:r>
        <w:rPr>
          <w:rtl w:val="true"/>
        </w:rPr>
        <w:t>القائمة الثالثة</w:t>
      </w:r>
      <w:r>
        <w:rPr>
          <w:rtl w:val="true"/>
        </w:rPr>
        <w:t xml:space="preserve">: </w:t>
      </w:r>
      <w:r>
        <w:rPr>
          <w:rtl w:val="true"/>
        </w:rPr>
        <w:t>قائمة ذخائر العمل الصالح والسعادات</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كبح جماح النفس، البخل في رغباتها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التعامل 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لهم، المحبة لهم، اللطف بهم، العفو والصفح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الابتعاد عن عداوة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الندم على العفو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التبجّح بالعقوبة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التسرع على عمل فيه سعة من العفو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الغرور بإقامة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فَلْیکُنْ أَحَبَّ الذَّخَائِرِ إِلَیكَ ذَخِیرَةُ الْعَمِلِ الصَّالِحِ فَامْلِكْ هَوَاكَ وَ شُحَّ بِنَفْسِكَ عَمَّا لَا یحِلُّ لَكَ فَإِنَّ الشُّحَّ بِالنَّفْسِ الْإِنْصَافُ مِنْهَا فَیما أَحَبَّتْ أَوْ کَرِهَتْ وَأَشْعِرْ قَلْبَكَ الرَّحْمَةَ لِلرَّعِیةِ وَالْمَحَبَّةَ لَهُمْ وَاللُّطْفَ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فَأَعْطِهِمْ مِنْ عَفْوِكَ وَصَفْحِكَ مِثْلَ الَّذِی تُحِبُّ وَتَرْضَی أَنْ یُعْطِیَكَ اللَّهُ مِنْ عَفْوِهِ وَصَفْحِهِ فَإِنَّكَ فَوْقَهُمْ وَوَآلِی الْأَمْرِ عَلَیْكَ فَوْقَكَ وَاللَّهُ فَوْقَ مَنْ وَلَّاكَ وَقَدِ اسْتَکْفَاكَ أَمْرَهُمْ وَابْتَلَاكَ بِهِمْ </w:t>
      </w:r>
    </w:p>
    <w:p>
      <w:pPr>
        <w:pStyle w:val="BookText"/>
        <w:rPr/>
      </w:pPr>
      <w:r>
        <w:rPr>
          <w:rFonts w:ascii="Amiri" w:hAnsi="Amiri" w:eastAsia="Amiri" w:cs="Amiri"/>
          <w:color w:val="111111"/>
          <w:sz w:val="28"/>
          <w:sz w:val="28"/>
          <w:szCs w:val="28"/>
          <w:rtl w:val="true"/>
          <w:lang w:bidi="ar-SA"/>
        </w:rPr>
        <w:t>وَلَا تَنْصِبَنَّ نَفْسَكَ لِحَرْبِ اللَّهِ فَإِنَّهُ لَا یَدَ لَكَ بِنِقْمَتِهِ وَلَا غِنَی بِكَ عَنْ عَفْوِهِ وَرَحْمَتِهِ وَلَا تَنْدَمَنَّ عَلَی عَفْوٍ وَلَا تَبْجَحَنَّ بِعُقُوبَةٍ وَلَا تُسْرِعَنَّ إِلَی بَادِرَةٍ وَجَدْتَ مِنْهَا مَنْدُوحَةً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لا شكّ فيه أنّ خير ما يذخره الإنسان لدنياه وآخرته هو العمل الصالح؛ لأنّ المال إلى نفاد وزوال،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والباقيات الصالحات هي الرصيد الذي يختزنه الإنسان في كتاب لا يضلّ ربي ولا ينسى، وإنّ من أصدق مصاديق العمل الصالح أداء العبادات الشرعية الواجبة والمستحبّة، وقضاء حوائج الناس، </w:t>
      </w:r>
      <w:bookmarkStart w:id="36" w:name="pg10786_78373"/>
    </w:p>
    <w:p>
      <w:pPr>
        <w:pStyle w:val="BookText"/>
        <w:rPr/>
      </w:pPr>
      <w:bookmarkEnd w:id="36"/>
      <w:r>
        <w:rPr>
          <w:rFonts w:ascii="IRNazanin" w:hAnsi="IRNazanin" w:eastAsia="IRNazanin"/>
          <w:color w:val="111111"/>
          <w:sz w:val="28"/>
          <w:sz w:val="28"/>
          <w:szCs w:val="28"/>
          <w:rtl w:val="true"/>
          <w:lang w:bidi="fa-IR"/>
        </w:rPr>
        <w:t>وعدم اتّباع الهوى والشهوات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ونلمح الرحمة والمحبة للناس بوصفهما عنصرین أساسين من عناصر نجاح القائد،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16819_1468164448"/>
      <w:bookmarkStart w:id="38" w:name="_Toc12"/>
      <w:bookmarkEnd w:id="37"/>
      <w:r>
        <w:rPr>
          <w:rtl w:val="true"/>
        </w:rPr>
        <w:t>القائمة الرابعة</w:t>
      </w:r>
      <w:r>
        <w:rPr>
          <w:rtl w:val="true"/>
        </w:rPr>
        <w:t xml:space="preserve">: </w:t>
      </w:r>
      <w:r>
        <w:rPr>
          <w:rtl w:val="true"/>
        </w:rPr>
        <w:t>معايير قبول الأعمال لدى الإنسان</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أوسطها في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أعمّها في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أجمعها لرضى الرعية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وَلْيَكُنْ أَحَبَّ الاْمُورِ إِلَيْكَ أَوْسَطُهَا فِي الْحَقِّ وَأَعَمُّهَا فِي الْعَدْلِ وَ </w:t>
      </w:r>
    </w:p>
    <w:p>
      <w:pPr>
        <w:pStyle w:val="BookText"/>
        <w:rPr/>
      </w:pPr>
      <w:r>
        <w:rPr>
          <w:rFonts w:ascii="Amiri" w:hAnsi="Amiri" w:eastAsia="Amiri" w:cs="Amiri"/>
          <w:color w:val="111111"/>
          <w:sz w:val="28"/>
          <w:sz w:val="28"/>
          <w:szCs w:val="28"/>
          <w:rtl w:val="true"/>
          <w:lang w:bidi="ar-SA"/>
        </w:rPr>
        <w:t>أَجْمَعُهَا لِرِضَى الرَّعِيَّةِ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جرم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ترسّم عناصر ثلاثة متظافرة في استظهار حب الأمور لدى الوالي، من أجل ضمان سعادة الناس وإحراز رضاهم، وقد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أمرية مؤدّاة بالفعل المضارع المقترن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الوجوب زد على ذلك توخّي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اسم التفضيل أربع مرّات، من أجل شدّ العناصر في القائمة مع البؤرة الرئيسة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الأمور، إذ جاءت العناصر الثلاثة مبتدئة باسم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أوسطها، أعمّها، أجمعها</w:t>
      </w:r>
      <w:r>
        <w:rPr>
          <w:rFonts w:eastAsia="Amiri" w:cs="Amiri" w:ascii="Amiri" w:hAnsi="Amiri"/>
          <w:color w:val="111111"/>
          <w:sz w:val="28"/>
          <w:szCs w:val="28"/>
          <w:rtl w:val="true"/>
          <w:lang w:bidi="ar-SA"/>
        </w:rPr>
        <w:t xml:space="preserve">). </w:t>
      </w:r>
      <w:bookmarkStart w:id="39" w:name="pg10786_78375"/>
    </w:p>
    <w:p>
      <w:pPr>
        <w:pStyle w:val="Heading2"/>
        <w:numPr>
          <w:ilvl w:val="1"/>
          <w:numId w:val="1"/>
        </w:numPr>
        <w:rPr/>
      </w:pPr>
      <w:bookmarkStart w:id="40" w:name="__RefHeading___Toc16821_1468164448"/>
      <w:bookmarkStart w:id="41" w:name="_Toc13"/>
      <w:bookmarkEnd w:id="39"/>
      <w:bookmarkEnd w:id="40"/>
      <w:r>
        <w:rPr>
          <w:rtl w:val="true"/>
        </w:rPr>
        <w:t>القائمة الخامسة</w:t>
      </w:r>
      <w:r>
        <w:rPr>
          <w:rtl w:val="true"/>
        </w:rPr>
        <w:t xml:space="preserve">: </w:t>
      </w:r>
      <w:r>
        <w:rPr>
          <w:rtl w:val="true"/>
        </w:rPr>
        <w:t>صفات المبعدين عن المشاورة</w:t>
      </w:r>
      <w:r>
        <w:rPr>
          <w:rtl w:val="true"/>
        </w:rPr>
        <w:t>.</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وزير الأشرار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الشريك في الآثام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 الأثمة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الظلمة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تُدخِلَنّ فِي مَشُورَتِكَ بَخِيلًا يَعدِلُ بِكَ عَنِ الفَضلِ وَ يَعِدُكَ الفَقرَ وَ لَا جَبَاناً يُضعِفُكَ عَنِ الأُمُورِ وَ لَا حَرِيصاً يُزَيّنُ لَكَ الشّرَهَ بِالجَورِ فَإِنّ البُخلَ وَ الجُبنَ وَ الحِرصَ غَرَائِزُ شَتّي يَجمَعُهَا سُوءُ الظّنّ بِاللّهِ إِنّ شَرّ وُزَرَائِكَ </w:t>
      </w:r>
      <w:bookmarkStart w:id="42" w:name="pg10786_78376"/>
    </w:p>
    <w:p>
      <w:pPr>
        <w:pStyle w:val="BookText"/>
        <w:rPr/>
      </w:pPr>
      <w:bookmarkEnd w:id="42"/>
      <w:r>
        <w:rPr>
          <w:rFonts w:ascii="Amiri" w:hAnsi="Amiri" w:eastAsia="Amiri" w:cs="Amiri"/>
          <w:color w:val="111111"/>
          <w:sz w:val="28"/>
          <w:sz w:val="28"/>
          <w:szCs w:val="28"/>
          <w:rtl w:val="true"/>
          <w:lang w:bidi="ar-SA"/>
        </w:rPr>
        <w:t>مَن كَانَ لِلأَشرَارِ قَبلَكَ وَزِيراً وَ مَن شَرِكَهُم فِي الآثَامِ فَلَا يَكُونَنّ لَكَ بِطَانَةً فَإِنّهُم أَعوَانُ الأَثَمَةِ وَ إِخوَانُ الظّلَمَةِ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ويتجلى لنا في تقسيمات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الدقة، والتثبّت من سرد عناصر القائمة، فضلاً عن ذلك بيان صفة كلّ عنصر إتماماً للمعنی، و إزادة في الفكرة والمضمون، ولا يغيب عن الذهن تراتبية هذه العناصر بحسب قوّتها في السلب</w:t>
      </w:r>
      <w:r>
        <w:rPr>
          <w:rFonts w:eastAsia="IRNazanin" w:cs="IRNazanin"/>
          <w:color w:val="111111"/>
          <w:sz w:val="28"/>
          <w:szCs w:val="28"/>
          <w:rtl w:val="true"/>
          <w:lang w:bidi="fa-IR"/>
        </w:rPr>
        <w:t>.</w:t>
      </w:r>
    </w:p>
    <w:p>
      <w:pPr>
        <w:pStyle w:val="Heading2"/>
        <w:numPr>
          <w:ilvl w:val="1"/>
          <w:numId w:val="1"/>
        </w:numPr>
        <w:rPr/>
      </w:pPr>
      <w:bookmarkStart w:id="43" w:name="__RefHeading___Toc16823_1468164448"/>
      <w:bookmarkStart w:id="44" w:name="_Toc14"/>
      <w:bookmarkEnd w:id="43"/>
      <w:r>
        <w:rPr>
          <w:rtl w:val="true"/>
        </w:rPr>
        <w:t>القائمة السادسة</w:t>
      </w:r>
      <w:r>
        <w:rPr>
          <w:rtl w:val="true"/>
        </w:rPr>
        <w:t xml:space="preserve">: </w:t>
      </w:r>
      <w:r>
        <w:rPr>
          <w:rtl w:val="true"/>
        </w:rPr>
        <w:t>طبقات الرعية</w:t>
      </w:r>
      <w:r>
        <w:rPr>
          <w:rtl w:val="true"/>
        </w:rPr>
        <w:t>:</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جنود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العامّة والخاصّة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قضاة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عمّال الإنصاف والرفق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الجزية والخراج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مسلمة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الصناعات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السفلى من ذوي الحاجة والمسكنة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الرَّعِیَّةَ طَبَقَاتٌ لَا یَصْلُحُ بَعْضُهَا إِلَّا بِبَعْضٍ وَلَا غِنَی بِبَعْضِهَا عَنْ بَعْضٍ فَمِنْهَا جُنُودُ اللَّهِ وَمِنْهَا کُتَّابُ الْعَامَّةِ وَالْخَاصَّةِ وَمِنْهَا قُضَاةُ الْعَدْلِ وَمِنْهَا عُمَّالُ الْأِنْصَافِ وَالرِّفْقِ وَمِنْهَا أَهْلُ الْجِزْیَةِ وَالْخَرَاجِ مِنْ أَهْلِ الذِّمَّةِ وَمُسْلِمَةِ النَّاسِ وَمِنْهَا التُّجَّارُ وَأَهْلُ الصِّنَاعَاتِ وَمِنْهَا الطَّبَقَةُ السُّفْلَی مِنْ ذَوِی الْحَاجَةِ وَالْمَسْکَنَةِ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هذه اللوحة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تعمّقاً في الخطاب العلويّ حينها يقسّم الرعية طبقات، معطياً كلّ طبقة حقها ومستحقّها، وفاقاً لأثرها في المجتمع الإنساني،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يؤسّس للمدينة الفاضلة التي قوامها العدل والإنصاف، وأساسها التعاون والتحابب والتوادد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التقسيم الأنثروبولوجي الرائع للمجتمع من لدن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بدراية طبقات المجتمع وتصوّره الحقيقي المدعوم بالأدلة على الفهم الكامل بالمنظومة المجتمعية كافّة</w:t>
      </w:r>
      <w:r>
        <w:rPr>
          <w:rFonts w:eastAsia="Amiri" w:cs="Amiri" w:ascii="Amiri" w:hAnsi="Amiri"/>
          <w:color w:val="111111"/>
          <w:sz w:val="28"/>
          <w:szCs w:val="28"/>
          <w:rtl w:val="true"/>
          <w:lang w:bidi="ar-SA"/>
        </w:rPr>
        <w:t xml:space="preserve">. </w:t>
      </w:r>
      <w:bookmarkStart w:id="45" w:name="pg10786_78379"/>
    </w:p>
    <w:p>
      <w:pPr>
        <w:pStyle w:val="Heading2"/>
        <w:numPr>
          <w:ilvl w:val="1"/>
          <w:numId w:val="1"/>
        </w:numPr>
        <w:rPr/>
      </w:pPr>
      <w:bookmarkStart w:id="46" w:name="__RefHeading___Toc16825_1468164448"/>
      <w:bookmarkStart w:id="47" w:name="_Toc15"/>
      <w:bookmarkEnd w:id="45"/>
      <w:bookmarkEnd w:id="46"/>
      <w:r>
        <w:rPr>
          <w:rtl w:val="true"/>
        </w:rPr>
        <w:t>القائمة السابعة</w:t>
      </w:r>
      <w:r>
        <w:rPr>
          <w:rtl w:val="true"/>
        </w:rPr>
        <w:t xml:space="preserve">: </w:t>
      </w:r>
      <w:r>
        <w:rPr>
          <w:rtl w:val="true"/>
        </w:rPr>
        <w:t>واجبات الجنود ومسؤولياتهم</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حُصُون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 الوُلاةِ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بِإِذْنِ اللهِ حُصُونُ الرَّعِيَّةِ وَ زَيْنُ الْوُلاَةِ وَعِزُّ الدِّينِ وَسُبُلُ الاَمْنِ وَلَيْسَ تَقُومُ الرَّعِيَّةُ إِلاَّ بِهِمْ ثُمَّ لاَ قِوَامَ لِلْجُنُودِ إِلاَّ بِمَا يُخْرِجُ اللهُ لَهُمْ مِنَ الْخَرَاجِ الَّذِي يَقْوَوْنَ بِهِ عَلَى جِهَادِ عَدُوِّهِمْ وَيَعْتَمِدُونَ عَلَيْهِ فِيمَا يُصْلِحُهُمْ وَيَکُونُ مِنْ وَرَاءِ حَاجَتِهِمْ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بتقسیم محکم واجبات الجنود ومهامّهم، بعناصر أربعة أُدّيت بمركبات </w:t>
      </w:r>
      <w:bookmarkStart w:id="48" w:name="pg10786_78380"/>
    </w:p>
    <w:p>
      <w:pPr>
        <w:pStyle w:val="BookText"/>
        <w:rPr/>
      </w:pPr>
      <w:bookmarkEnd w:id="48"/>
      <w:r>
        <w:rPr>
          <w:rFonts w:ascii="Amiri" w:hAnsi="Amiri" w:eastAsia="Amiri" w:cs="Amiri"/>
          <w:color w:val="111111"/>
          <w:sz w:val="28"/>
          <w:sz w:val="28"/>
          <w:szCs w:val="28"/>
          <w:rtl w:val="true"/>
          <w:lang w:bidi="ar-SA"/>
        </w:rPr>
        <w:t>إضافية ناقصة، ويلحظ أنّ الجامع لهذه التقسيمات الأربعة هو الغرض الأمني المتمثّل بحفظ البلاد والعباد، فأعظم به من غرض عظيم، ومن هنا نلمح أنّ الإمام قد سنّ لهم قانوناً لحفظ حقوقهم، وحقوق عوائلهم</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6827_1468164448"/>
      <w:bookmarkStart w:id="50" w:name="_Toc16"/>
      <w:bookmarkEnd w:id="49"/>
      <w:r>
        <w:rPr>
          <w:rtl w:val="true"/>
        </w:rPr>
        <w:t>القائمة الثامنة</w:t>
      </w:r>
      <w:r>
        <w:rPr>
          <w:rtl w:val="true"/>
        </w:rPr>
        <w:t xml:space="preserve">: </w:t>
      </w:r>
      <w:r>
        <w:rPr>
          <w:rtl w:val="true"/>
        </w:rPr>
        <w:t>صفات القائد المثالي</w:t>
      </w:r>
      <w:r>
        <w:rPr>
          <w:rtl w:val="true"/>
        </w:rPr>
        <w:t>:</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الناصح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نقيّ الجيب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بطيء الغضب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قابلٌ للعذر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رؤوف بالضعفاء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مستكين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المروءة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 حسب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أصله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تاريخه مشرّف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سمح</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 مِنْ جُنُودِكَ أَنْصَحَهُمْ فِى نَفْسِكَ لِلَّهِ وَ لِرَسُولِهِ وَ لِإِمَامِكَ وَ أَنْقَاهُمْ جَيْباً وَ أَفْضَلَهُمْ حِلْماً مِمَّنْ يُبْطِئُ عَنِ الْغَضَبِ وَ </w:t>
      </w:r>
    </w:p>
    <w:p>
      <w:pPr>
        <w:pStyle w:val="BookText"/>
        <w:rPr/>
      </w:pPr>
      <w:r>
        <w:rPr>
          <w:rFonts w:ascii="Amiri" w:hAnsi="Amiri" w:eastAsia="Amiri" w:cs="Amiri"/>
          <w:color w:val="111111"/>
          <w:sz w:val="28"/>
          <w:sz w:val="28"/>
          <w:szCs w:val="28"/>
          <w:rtl w:val="true"/>
          <w:lang w:bidi="ar-SA"/>
        </w:rPr>
        <w:t>يَسْتَرِيحُ إِلَى الْعُذْرِ وَ يَرْأَفُ بِالضُّعَفَاءِ وَ يَنْبُو عَلَى الْأَقْوِيَاءِ وَ مِمَّنْ لايُثِيرُهُ الْعُنْفُ وَ لايَقْعُدُ بِهِ الضَّعْفُ</w:t>
      </w:r>
    </w:p>
    <w:p>
      <w:pPr>
        <w:pStyle w:val="BookText"/>
        <w:rPr/>
      </w:pPr>
      <w:r>
        <w:rPr>
          <w:rFonts w:ascii="Amiri" w:hAnsi="Amiri" w:eastAsia="Amiri" w:cs="Amiri"/>
          <w:color w:val="111111"/>
          <w:sz w:val="28"/>
          <w:sz w:val="28"/>
          <w:szCs w:val="28"/>
          <w:rtl w:val="true"/>
          <w:lang w:bidi="ar-SA"/>
        </w:rPr>
        <w:t>ثُمَّ الْصَقْ بِذَوِى الْمَرُوءَاتِ الْأَحْسَابِ وَ أَهْلِ الْبُيُوتَاتِ الصَّالِحَةِ وَ السَّوَابِقِ الْحَسَنَةِ ثُمَّ أَهْلِ النَّجْدَةِ وَالشَّجَاعَةِ وَالسَّخَاءِ وَالسَّمَاح</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مسرداً تفصيلياً بصفات القائد، مستغرقاً في ذكرها؛ فهي تمثّل حقلاً دلالياً، ويتبدّى لنا أنّ عظمة مهمّة القائد، وجلالة مسؤوليّته تتطلب صفات خاصّة أشار إليها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صفات عظيمة المضمون، جليلة القدر</w:t>
      </w:r>
      <w:r>
        <w:rPr>
          <w:rFonts w:eastAsia="Amiri" w:cs="Amiri" w:ascii="Amiri" w:hAnsi="Amiri"/>
          <w:color w:val="111111"/>
          <w:sz w:val="28"/>
          <w:szCs w:val="28"/>
          <w:rtl w:val="true"/>
          <w:lang w:bidi="ar-SA"/>
        </w:rPr>
        <w:t xml:space="preserve">. </w:t>
      </w:r>
      <w:bookmarkStart w:id="51" w:name="pg10786_78383"/>
    </w:p>
    <w:p>
      <w:pPr>
        <w:pStyle w:val="Heading2"/>
        <w:numPr>
          <w:ilvl w:val="1"/>
          <w:numId w:val="1"/>
        </w:numPr>
        <w:rPr/>
      </w:pPr>
      <w:bookmarkStart w:id="52" w:name="__RefHeading___Toc16829_1468164448"/>
      <w:bookmarkStart w:id="53" w:name="_Toc17"/>
      <w:bookmarkEnd w:id="51"/>
      <w:bookmarkEnd w:id="52"/>
      <w:r>
        <w:rPr>
          <w:rtl w:val="true"/>
        </w:rPr>
        <w:t>القائمة التاسعة</w:t>
      </w:r>
      <w:r>
        <w:rPr>
          <w:rtl w:val="true"/>
        </w:rPr>
        <w:t xml:space="preserve">: </w:t>
      </w:r>
      <w:r>
        <w:rPr>
          <w:rtl w:val="true"/>
        </w:rPr>
        <w:t>صفات القاضي</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تضيق به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تمحّکه الخصوم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يتمادى في الزلّة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يتابع الحق إذا 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تشرف نفسه على طمع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يتقصّى الفهم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بالشبهات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أخوذ بالحجج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قليل التبرّم بمراجعة الخصم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صبور في تكشّف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قويّ عند اتّضاح الأمور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يزهو بالإطراء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يُستمال للإغراء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لِلْحُکْمِ بَيْنَ النَّاسِ أَفْضَلَ رَعِيَّتِكَ فِي نَفْسِكَ مِمَّنْ لاَ تَضِيقُ بِهِ الاُمُورُ وَلاَ تُمَحِّکُهُ الْخُصُومُ وَلاَ يَتَمَادَى فِي الزَّلَّةِ وَلاَ يَحْصَرُ مِنَ الْفَيْءِ إِلَى الْحَقِّ إِذَا عَرَفَهُ وَلاَ تُشْرِفُ نَفْسُهُ عَلَى طَمَع وَلاَ يَکْتَفِي بِأَدْنَى فَهْم دُونَ أَقْصَاهُ وَأَوْقَفَهُمْ فِي الشُّبُهَاتِ وَآخَذَهُمْ بِالْحُجَجِ وَأَقَلَّهُمْ تَبَرُّماً بِمُرَاجَعَةِ الْخَصْمِ وَأَصْبَرَهُمْ عَلَى تَکَشُّفِ الاُمُورِ وَأَصْرَمَهُمْ عِنْدَ اتِّضَاحِ الْحُکْمِ مِمَّنْ لاَ يَزْدَهِيهِ إِطْرَاءٌ وَلاَ يَسْتَمِيلُهُ إِغْرَاء</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 كثرة عناصر هذه القائمة التي حفلت بكلمات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القضاء، </w:t>
      </w:r>
      <w:bookmarkStart w:id="54" w:name="pg10786_78385"/>
    </w:p>
    <w:p>
      <w:pPr>
        <w:pStyle w:val="BookText"/>
        <w:rPr/>
      </w:pPr>
      <w:bookmarkEnd w:id="54"/>
      <w:r>
        <w:rPr>
          <w:rFonts w:ascii="Amiri" w:hAnsi="Amiri" w:eastAsia="Amiri" w:cs="Amiri"/>
          <w:color w:val="111111"/>
          <w:sz w:val="28"/>
          <w:sz w:val="28"/>
          <w:szCs w:val="28"/>
          <w:rtl w:val="true"/>
          <w:lang w:bidi="ar-SA"/>
        </w:rPr>
        <w:t xml:space="preserve">وصفات القاضي؛ لأنه من المراكز الحسّاسة في الدولة الإسلامية، إذ اشترط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القضاة أن يكونوا أفضل أبناء الأمة تقوًي وورعاً وكمالاً ونزاهةً، إذ تُعدّ من العناصر المشرّفة والبيانات العظيمة</w:t>
      </w:r>
      <w:r>
        <w:rPr>
          <w:rStyle w:val="FootnoteAnchor"/>
          <w:rtl w:val="true"/>
        </w:rPr>
        <w:footnoteReference w:id="45"/>
      </w:r>
    </w:p>
    <w:p>
      <w:pPr>
        <w:pStyle w:val="Heading2"/>
        <w:numPr>
          <w:ilvl w:val="1"/>
          <w:numId w:val="1"/>
        </w:numPr>
        <w:rPr/>
      </w:pPr>
      <w:bookmarkStart w:id="55" w:name="__RefHeading___Toc16831_1468164448"/>
      <w:bookmarkStart w:id="56" w:name="_Toc18"/>
      <w:bookmarkEnd w:id="55"/>
      <w:r>
        <w:rPr>
          <w:rtl w:val="true"/>
        </w:rPr>
        <w:t>القائمة العاشرة</w:t>
      </w:r>
      <w:r>
        <w:rPr>
          <w:rtl w:val="true"/>
        </w:rPr>
        <w:t xml:space="preserve">: </w:t>
      </w:r>
      <w:r>
        <w:rPr>
          <w:rtl w:val="true"/>
        </w:rPr>
        <w:t>واجبات الوالي تجاه القاضي</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تعاهد أحكامه الصادرة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إكرامه وبذل العطاء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إنزاله منزلة رفيعة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أَکْثِرْ تَعَاهُدَ قَضَائِهِ وَافْسَحْ لَهُ فِي الْبَذْلِ مَا يُزِيلُ عِلَّتَهُ وَتَقِلُّ مَعَهُ حَاجَتُهُ إِلَى النَّاس وَأَعْطِهِ مِنَ الْمَنْزِلَةِ لَدَيْكَ مَا لاَ يَطْمَعُ فِيهِ غَيْرُهُ مِنْ خَاصَّتِكَ لِيَأْمَنَ بِذَلِكَ </w:t>
      </w:r>
    </w:p>
    <w:p>
      <w:pPr>
        <w:pStyle w:val="BookText"/>
        <w:rPr/>
      </w:pPr>
      <w:r>
        <w:rPr>
          <w:rFonts w:ascii="Amiri" w:hAnsi="Amiri" w:eastAsia="Amiri" w:cs="Amiri"/>
          <w:color w:val="111111"/>
          <w:sz w:val="28"/>
          <w:sz w:val="28"/>
          <w:szCs w:val="28"/>
          <w:rtl w:val="true"/>
          <w:lang w:bidi="ar-SA"/>
        </w:rPr>
        <w:t>اغْتِيَالَ الرِّجَالِ لَهُ عِنْدَكَ فَانْظُرْ فِي ذَلِكَ نَظَراً بَلِيغاً فَإِنَّ هَذَا الدِّينَ قَدْ کَانَ أَسِيراً فِي أَيْدِي الاَشْرَارِ يُعْمَلُ فِيهِ بِالْهَوَى وَتُطْلَبُ بِهِ الدُّنْيَا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إسباغ القاضي جملة من النعم الظاهرة المشجّعة، والحوافز السخيّة؛ من أجل صيانة القضاء والإبقاء على مهابته، لأنَّه بصلاح القاضي، وقوّته يصلح القضاء ويتّسم بالقوة والمهابة، ومن هنا جاءت عناصر هذه القائمة مؤكدة الثقة التامة بأحكام القاضي وتعاهدها، وإجزال العطاء المادي والمعنوي له، وإنزاله المنزلة الرفيعة، مهابة الناس من جهة، ولا يمدّ عينه إلى رشوة أو هبة أو عطية وإلى ذلك؛ لعلم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القضاء أهمّ جهاز في الدولة وهذا ما ألفيناه في بیان علة هذه العناصر في الخطاب العلويّ</w:t>
      </w:r>
      <w:r>
        <w:rPr>
          <w:rFonts w:eastAsia="IRNazanin" w:cs="IRNazanin"/>
          <w:color w:val="111111"/>
          <w:sz w:val="28"/>
          <w:szCs w:val="28"/>
          <w:rtl w:val="true"/>
          <w:lang w:bidi="fa-IR"/>
        </w:rPr>
        <w:t xml:space="preserve">. </w:t>
      </w:r>
      <w:bookmarkStart w:id="57" w:name="pg10786_78387"/>
    </w:p>
    <w:p>
      <w:pPr>
        <w:pStyle w:val="Heading2"/>
        <w:numPr>
          <w:ilvl w:val="1"/>
          <w:numId w:val="1"/>
        </w:numPr>
        <w:rPr/>
      </w:pPr>
      <w:bookmarkStart w:id="58" w:name="__RefHeading___Toc16833_1468164448"/>
      <w:bookmarkStart w:id="59" w:name="_Toc19"/>
      <w:bookmarkEnd w:id="57"/>
      <w:bookmarkEnd w:id="58"/>
      <w:r>
        <w:rPr>
          <w:rtl w:val="true"/>
        </w:rPr>
        <w:t>القائمة الحادية عشرة</w:t>
      </w:r>
      <w:r>
        <w:rPr>
          <w:rtl w:val="true"/>
        </w:rPr>
        <w:t xml:space="preserve">: </w:t>
      </w:r>
      <w:r>
        <w:rPr>
          <w:rtl w:val="true"/>
        </w:rPr>
        <w:t>معايير اختيار العمال</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الابتعاد عن المحاباة في اختيارهم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استعال أهل التجربة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العفّة والحياء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قدمة في الإسلام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فِی أُمُورِ عُمَّالِكَ فَاسْتَعْمِلْهُمُ اخْتِبَاراً وَلَا تُوَلِّهِمْ مُحَابَاةً وَأَثَرَةً فَإِنَّهُمَا جِمَاعٌ مِنْ شُعَبِ الْجَوْرِ وَالْخِیَانَةِ وَتَوَخَّ مِنْهُمْ أَهْلَ التَّجْرِبَةِ وَالْحَیَاءِ مِنْ أَهْلِ الْبُیُوتَاتِ الصَّالِحَةِ وَالْقَدَمِ فِی الْإِسْلَامِ الْمُتَقَدِّمَةِ فَإِنَّهُمْ أَکْرَمُ أَخْلَاقاً وَأَصَحُّ أَعْرَاضاً وَأَقَلُّ فِی الْمَطَامِعِ إِشْرَاقاً وَأَبْلَغُ فِی عَوَاقِبِ الْأُمُورِ نَظَراً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معايير وضوابط جليلة في اختبار العمّال باسترفاد تقنيّة التفصيل من أجل استيفاء الدلالات، والإحاطة بها، إذ کشف عن ماهية كلّ عنصر من هذه العناصر التي انتظمت في هذه القائمة، وهذا ما نستشرفه في النصّ المبارك، ولا يخفى استلماح ثيمة الأفضلية والأحسنية في النصّ بلحاظ کثرة أسماء التفضيل فيه من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أصحّ، أقلّ، أبلغ، زد على ذلك معاينة دلالات الكلمات،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توخّ منهم، من أهل البيوتات الصالحة والمتقدّمة؛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استظهار معايير التعيين الصائب، وضوابط الاختبار الموفّق</w:t>
      </w:r>
      <w:r>
        <w:rPr>
          <w:rFonts w:eastAsia="IRNazanin" w:cs="IRNazanin"/>
          <w:color w:val="111111"/>
          <w:sz w:val="28"/>
          <w:szCs w:val="28"/>
          <w:rtl w:val="true"/>
          <w:lang w:bidi="fa-IR"/>
        </w:rPr>
        <w:t xml:space="preserve">. </w:t>
      </w:r>
      <w:bookmarkStart w:id="60" w:name="pg10786_78389"/>
    </w:p>
    <w:p>
      <w:pPr>
        <w:pStyle w:val="Heading2"/>
        <w:numPr>
          <w:ilvl w:val="1"/>
          <w:numId w:val="1"/>
        </w:numPr>
        <w:rPr/>
      </w:pPr>
      <w:bookmarkStart w:id="61" w:name="__RefHeading___Toc16835_1468164448"/>
      <w:bookmarkStart w:id="62" w:name="_Toc20"/>
      <w:bookmarkEnd w:id="60"/>
      <w:bookmarkEnd w:id="61"/>
      <w:r>
        <w:rPr>
          <w:rtl w:val="true"/>
        </w:rPr>
        <w:t>القائمة الثانية عشرة</w:t>
      </w:r>
      <w:r>
        <w:rPr>
          <w:rtl w:val="true"/>
        </w:rPr>
        <w:t xml:space="preserve">: </w:t>
      </w:r>
      <w:r>
        <w:rPr>
          <w:rtl w:val="true"/>
        </w:rPr>
        <w:t>صفات كتاب الديوان</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استصفاء الخيّر والمحمود السيرة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شاكر للنعمة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فطن لا يعرف الغفلة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يثق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قويّ في التصريح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منزلة وأثر في القوم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انْظُرْ فِي حَالِ كُتَّابِكَ فَوَلِّ عَلَى أُمُورِكَ خَيْرَهُمْ وَاخْصُصْ رَسَائِلَكَ الَّتِي تُدْخِلُ فِيهَا مَكَائِدَكَ وَأَسْرَارَكَ بِأَجْمَعِهِمْ لِوُجُوهِ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الاَخْلاَقِ مِمَّنْ لاَ تُبْطِرُهُ الْكَرَامَةُ فَيَجْتَرِئَ بِهَا عَلَيْكَ فِي خِلاَف لَكَ بِحَضْرَةِ مَلاَ وَلاَ تَقْصُرُ بِهِ الْغَفْلَةُ عَنْ إِيرَادِ مُكَاتَبَاتِ عُمَّالِكَ عَلَيْكَ وَإِصْدَارِ جَوَابَاتِهَا عَلَى الصَّوَابِ عَنْكَ فِيَما يَأْخُذُ لَكَ وَيُعْطِي مِنْكَ وَلاَ يُضْعِفُ عَقْداً اعْتَقَدَهُ لَكَ وَلاَ يَعْجِزُ عَنْ إِطْلاَقِ مَا عُقِدَ عَلَيْكَ وَلاَ يَجْهَلُ مَبْلَغَ قَدْرِ نَفْسِهِ فِي الاُمُورِ فَإِنَّ الْجَاهِلَ بِقَدْرِ نَفْسِهِ يَكُونُ بِقَدْرِ غَيْرِهِ أَجْهَلَ ثُمَّ لاَ يَكُنِ اخْتِيَارُكَ إِيَّاهُمْ عَلَى فِرَاسَتِكَ وَاسْتِنَامَتِكَ وَحُسْنِ الظَّنِّ مِنْكَ فَإِنَّ الرِّجَالَ يَتَعَرَّضُونَ لِفِرَاسَاتِ الْوُلاَةِ بِتَصَنُّعِهِمْ وَحُسْنِ خِدْمَتِهِمْ وَلَيْسَ وَرَاءَ ذلِكَ مِنَ النَّصِيحَةِ وَالاَمَانَةِ شَيْءٌ وَلكِنِ اخْتَبِرْهُمْ بِمَا وُلُّوا لِلصَّالِحِينَ قَبْلَكَ فَاعْمِدْ لاَحْسَنِهِمْ كَان فِي الْعَامَّةِ أَثَراً، وَ أَعْرَفِهِمْ بِالاَمَانَةِ وَجْهاً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63" w:name="pg10786_78391"/>
    </w:p>
    <w:p>
      <w:pPr>
        <w:pStyle w:val="BookText"/>
        <w:rPr/>
      </w:pPr>
      <w:bookmarkEnd w:id="63"/>
      <w:r>
        <w:rPr>
          <w:rFonts w:ascii="Amiri" w:hAnsi="Amiri" w:eastAsia="Amiri" w:cs="Amiri"/>
          <w:color w:val="111111"/>
          <w:sz w:val="28"/>
          <w:sz w:val="28"/>
          <w:szCs w:val="28"/>
          <w:rtl w:val="true"/>
          <w:lang w:bidi="ar-SA"/>
        </w:rPr>
        <w:t xml:space="preserve">ويتجلى الأمن الثقافي في عناصر هذه القائمة المتّصلة بصفات الكتّاب، إذ حرص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سرد صفات الكاتب الذي يجدر بالوالي أن ينتبه عليها، ويحرص على وجودها فيه، فهو موضع سرّه، ويده اليمنى، والأمين على صناعة إنشاء الكتب، والدواوين والرسائل والوصايا التي تخرج من دار الولاية والإمارة</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6837_1468164448"/>
      <w:bookmarkStart w:id="65" w:name="_Toc21"/>
      <w:bookmarkEnd w:id="64"/>
      <w:r>
        <w:rPr>
          <w:rtl w:val="true"/>
        </w:rPr>
        <w:t>القائمة الثالثة عشرة</w:t>
      </w:r>
      <w:r>
        <w:rPr>
          <w:rtl w:val="true"/>
        </w:rPr>
        <w:t xml:space="preserve">: </w:t>
      </w:r>
      <w:r>
        <w:rPr>
          <w:rtl w:val="true"/>
        </w:rPr>
        <w:t>أقسام التجار وأهل الصناعات</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المقيم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المضطرب بماله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المتردّد به بين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المترفّق ببدنه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المكتسب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اسْتَوْصِ بِالتُّجَّارِ وَذَوِی الصِّنَاعَاتِ وَأَوْصِ بِهِمْ خَیْراً الْمُقِیمِ مِنْهُمْ وَ </w:t>
      </w:r>
      <w:bookmarkStart w:id="66" w:name="pg10786_78392"/>
    </w:p>
    <w:p>
      <w:pPr>
        <w:pStyle w:val="BookText"/>
        <w:rPr/>
      </w:pPr>
      <w:bookmarkEnd w:id="66"/>
      <w:r>
        <w:rPr>
          <w:rFonts w:ascii="Amiri" w:hAnsi="Amiri" w:eastAsia="Amiri" w:cs="Amiri"/>
          <w:color w:val="111111"/>
          <w:sz w:val="28"/>
          <w:sz w:val="28"/>
          <w:szCs w:val="28"/>
          <w:rtl w:val="true"/>
          <w:lang w:bidi="ar-SA"/>
        </w:rPr>
        <w:t>الْمُضْطَرِبِ بِمَالِهِ وَالْمُتَرَفِّقِ بِبَدَنِهِ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التجار وذوي الصناعات في ثلاثة عناصر، إذ أُدّيت بأسماء الفاعلين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المضطرب، المترفّق، لأنّ الثلاثة من جنس واحد، فناسب بينها</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6839_1468164448"/>
      <w:bookmarkStart w:id="68" w:name="_Toc22"/>
      <w:bookmarkEnd w:id="67"/>
      <w:r>
        <w:rPr>
          <w:rtl w:val="true"/>
        </w:rPr>
        <w:t>القائمة الرابعة عشرة</w:t>
      </w:r>
      <w:r>
        <w:rPr>
          <w:rtl w:val="true"/>
        </w:rPr>
        <w:t xml:space="preserve">: </w:t>
      </w:r>
      <w:r>
        <w:rPr>
          <w:rtl w:val="true"/>
        </w:rPr>
        <w:t>أعمال التجّار الإيجابية</w:t>
      </w:r>
      <w:r>
        <w:rPr>
          <w:rtl w:val="true"/>
        </w:rPr>
        <w:t>:</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موادّ 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المرافق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ينتفع به من الأدوات والآنية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جُلّاب البضائع من الأماكن القريبة والبعيدة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أمان من العوز والفقر</w:t>
      </w:r>
      <w:r>
        <w:rPr>
          <w:rFonts w:eastAsia="IRNazanin" w:cs="IRNazanin"/>
          <w:color w:val="111111"/>
          <w:sz w:val="28"/>
          <w:szCs w:val="28"/>
          <w:rtl w:val="true"/>
          <w:lang w:bidi="fa-IR"/>
        </w:rPr>
        <w:t xml:space="preserve">. </w:t>
      </w:r>
      <w:bookmarkStart w:id="69" w:name="pg10786_78393"/>
    </w:p>
    <w:p>
      <w:pPr>
        <w:pStyle w:val="BookText"/>
        <w:rPr/>
      </w:pPr>
      <w:bookmarkEnd w:id="6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اطمئنان و وثاقة بمعاملاتهم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مَوَادُّ الْمَنَافِعِ وَأَسْبَابُ الْمَرَافِقِ وَجُلَّابُهَا مِنَ الْمَبَاعِدِ وَالْمَطَارِحِ فِی بَرِّكَ وَبَحْرِكَ وَسَهْلِكَ وَجَبَلِكَ وَحَیْثُ لَا یَلْتَئِمُ النَّاسُ لِمَوَاضِعِهَا وَلَا یَجْتَرِءُونَ عَلَیْهَا فَإِنَّهُمْ سِلْمٌ لَا تُخَافُ بَائِقَتُهُ وَصُلْحٌ لَا تُخْشَی غَائِلَتُهُ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عدّ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عناصر من قائمة أعمال التجّار الجيدة، إذ جاءت على هيأة خمس جمل مؤكّدة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المشبهة بالفعل على نسق يكاد يكون متشابهاً</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6841_1468164448"/>
      <w:bookmarkStart w:id="71" w:name="_Toc23"/>
      <w:bookmarkEnd w:id="70"/>
      <w:r>
        <w:rPr>
          <w:rtl w:val="true"/>
        </w:rPr>
        <w:t>القائمة الخامسة عشر</w:t>
      </w:r>
      <w:r>
        <w:rPr>
          <w:rtl w:val="true"/>
        </w:rPr>
        <w:t xml:space="preserve">: </w:t>
      </w:r>
      <w:r>
        <w:rPr>
          <w:rtl w:val="true"/>
        </w:rPr>
        <w:t>صفات التجّار السلبية</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الضيق الفاحش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الشحيح القبيح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المتحكّم بالبِياعات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فِی کَثِیرٍ مِنْهُمْ ضِیقاً فَاحِشاً وَشُحّاً قَبِیحاً وَاحْتِکَاراً لِلْمَنَافِعِ وَتَحَکُّماً فِی الْبِیَاعَاتِ وَذَلِكَ بَابُ مَضَرَّةٍ لِلْعَامَّةِ وَعَیْبٌ عَلَی الْوُلَاةِ فَامْنَعْ مِنَ الِاحْتِکَارِ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وَلْیَکُنِ الْبَیْعُ بَیْعاً سَمْحاً بِمَوَازِینِ عَدْلٍ وَأَسْعَارٍ لَا تُجْحِفُ بِالْفَرِیقَیْنِ مِنَ الْبَائِعِ وَالْمُبْتَاعِ فَمَنْ قَارَفَ حُکْرَةً بَعْدَ نَهْیِكَ إِیَّاهُ فَنَکِّلْ بِهِ وَعَاقِبْهُ فِی غَیْرِ إِسْرَافٍ</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فالمتأمّل في النصّ يجد أنّ الإمام قَد أبانَ عن صفات التجّار السَّلبيّة من عسر المعاملة والبخل، وحَبس المطعوم، ونحوه عن الناس لا يسمحون به </w:t>
      </w:r>
      <w:bookmarkStart w:id="72" w:name="pg10786_78395"/>
    </w:p>
    <w:p>
      <w:pPr>
        <w:pStyle w:val="BookText"/>
        <w:rPr/>
      </w:pPr>
      <w:bookmarkEnd w:id="72"/>
      <w:r>
        <w:rPr>
          <w:rFonts w:ascii="Amiri" w:hAnsi="Amiri" w:eastAsia="Amiri" w:cs="Amiri"/>
          <w:color w:val="111111"/>
          <w:sz w:val="28"/>
          <w:sz w:val="28"/>
          <w:szCs w:val="28"/>
          <w:rtl w:val="true"/>
          <w:lang w:bidi="ar-SA"/>
        </w:rPr>
        <w:t xml:space="preserve">إلَّا بأثمانٍ فاحشةٍ، وقد أطنَبَ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الاحتكار، لما لها من مضرّة للعامة، ومذمّة على الولاة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ونرصد في النص العلويّ المعايَن قائمة صغری البيع السَّمح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انتظمت في عنصرين؛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العدل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الأسعار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ويتبدّى لنا أنّ تداخل القوائم في النصّ العلويّ دليل على الرؤية العلوية الثاقبة، والإحاطة الوسيعة بأحوال المجتمع</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6843_1468164448"/>
      <w:bookmarkStart w:id="74" w:name="_Toc24"/>
      <w:bookmarkEnd w:id="73"/>
      <w:r>
        <w:rPr>
          <w:rtl w:val="true"/>
        </w:rPr>
        <w:t>القائمة السادسة عشرة</w:t>
      </w:r>
      <w:r>
        <w:rPr>
          <w:rtl w:val="true"/>
        </w:rPr>
        <w:t xml:space="preserve">: </w:t>
      </w:r>
      <w:r>
        <w:rPr>
          <w:rtl w:val="true"/>
        </w:rPr>
        <w:t>أصناف الطبقة السفلى</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المحتاجين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البؤسی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الزَّمنی</w:t>
      </w:r>
      <w:r>
        <w:rPr>
          <w:rFonts w:eastAsia="Amiri" w:cs="Amiri" w:ascii="Amiri" w:hAnsi="Amiri"/>
          <w:color w:val="111111"/>
          <w:sz w:val="28"/>
          <w:szCs w:val="28"/>
          <w:rtl w:val="true"/>
          <w:lang w:bidi="ar-SA"/>
        </w:rPr>
        <w:t xml:space="preserve">. </w:t>
      </w:r>
      <w:bookmarkStart w:id="75" w:name="pg10786_78396"/>
    </w:p>
    <w:p>
      <w:pPr>
        <w:pStyle w:val="BookText"/>
        <w:rPr/>
      </w:pPr>
      <w:bookmarkEnd w:id="75"/>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السُّفْلَى مِنَ الَّذِينَ لاَ حِيلَةَ لَهُمْ مِنَ الْمَسَاکِينِ وَالْمُحْتَاجِينَ وَأَهْلِ الْبُؤْسَى وَ الزَّمْنَى</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16845_1468164448"/>
      <w:bookmarkStart w:id="77" w:name="_Toc25"/>
      <w:bookmarkEnd w:id="76"/>
      <w:r>
        <w:rPr>
          <w:rtl w:val="true"/>
        </w:rPr>
        <w:t>القائمة السابعة عشرة</w:t>
      </w:r>
      <w:r>
        <w:rPr>
          <w:rtl w:val="true"/>
        </w:rPr>
        <w:t xml:space="preserve">: </w:t>
      </w:r>
      <w:r>
        <w:rPr>
          <w:rtl w:val="true"/>
        </w:rPr>
        <w:t>مساويء احتجاب الوالي عن الرعية</w:t>
      </w:r>
      <w:r>
        <w:rPr>
          <w:rtl w:val="true"/>
        </w:rPr>
        <w:t>:</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شعبة من الضيق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علم بالأمور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اشتباه الأمور وخلطها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تصغير الرعية للعظيم من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تعظيم الرعية لصغار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تحسين الرعية القبيح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تقبيح الرعية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خلط الرعية العمل الصالح بالعمل الطالح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بَعْدُ فَلَا تُطَوِّلَنَّ احْتِجَابَكَ عَنْ رَعِیَّتِكَ فَإِنَّ احْتِجَابَ الْوُلَاَِ عَنِ الرَّعِیَّةِ شُعْبَةٌ مِنَ الضِّیقِ وَقِلَّةُ عِلْمٍ بِالْأُمُورِ وَالْإِحْتِجَابُ مِنْهُمْ یَقْطَعُ عَنْهُمْ عِلْمَ مَا احْتَجَبُوا دُونَهُ فَیَصْغُرُ عِنْدَهُمُ الْکَبِیرُ وَیَعْظُمُ الصَّغِیرُ وَیَقْبُحُ الْحَسَنَ وَیَحْسُنُ الْقَبِیحُ وَیُشَابُ الْحَقُّ بِالْبَاطِلِ</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دراية واسعة بمساوي الاحتجاب عن الرعية، عارفاً بنتائجه ومآلاته ولا يخفى التسلسل الواعي لهذه العناصر التي تمثل بيانات واضحات للقائمة الرئيسة</w:t>
      </w:r>
      <w:r>
        <w:rPr>
          <w:rFonts w:eastAsia="Amiri" w:cs="Amiri" w:ascii="Amiri" w:hAnsi="Amiri"/>
          <w:color w:val="111111"/>
          <w:sz w:val="28"/>
          <w:szCs w:val="28"/>
          <w:rtl w:val="true"/>
          <w:lang w:bidi="ar-SA"/>
        </w:rPr>
        <w:t xml:space="preserve">. </w:t>
      </w:r>
      <w:bookmarkStart w:id="78" w:name="pg10786_78398"/>
    </w:p>
    <w:p>
      <w:pPr>
        <w:pStyle w:val="Heading2"/>
        <w:numPr>
          <w:ilvl w:val="1"/>
          <w:numId w:val="1"/>
        </w:numPr>
        <w:rPr/>
      </w:pPr>
      <w:bookmarkStart w:id="79" w:name="__RefHeading___Toc16847_1468164448"/>
      <w:bookmarkStart w:id="80" w:name="_Toc26"/>
      <w:bookmarkEnd w:id="78"/>
      <w:bookmarkEnd w:id="79"/>
      <w:r>
        <w:rPr>
          <w:rtl w:val="true"/>
        </w:rPr>
        <w:t>القائمة الثامنة عشرة</w:t>
      </w:r>
      <w:r>
        <w:rPr>
          <w:rtl w:val="true"/>
        </w:rPr>
        <w:t xml:space="preserve">: </w:t>
      </w:r>
      <w:r>
        <w:rPr>
          <w:rtl w:val="true"/>
        </w:rPr>
        <w:t xml:space="preserve">وصايا تعامل الوالي مع البطانة </w:t>
      </w:r>
      <w:r>
        <w:rPr>
          <w:rtl w:val="true"/>
        </w:rPr>
        <w:t>(</w:t>
      </w:r>
      <w:r>
        <w:rPr>
          <w:rtl w:val="true"/>
        </w:rPr>
        <w:t>الحاشية</w:t>
      </w:r>
      <w:r>
        <w:rPr>
          <w:rtl w:val="true"/>
        </w:rPr>
        <w:t>):</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 من الاستئثار والتطاول وقلة الانصاف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المِنحةِ من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بالحقِّ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لِلْوَالِي خَاصَّةً وَبِطَانَةً فِيهِمُ اسْتِئْثَارٌ وَتَطَاوُلٌ وَقِلَّةُ إِنْصَاف فِي مُعَامَلَة فَاحْسِمْ مَادَّةَ أُولَئِكَ بِقَطْعِ أَسْبَابِ تِلْكَ الْأَحْوَالِ وَلاَ تُقْطِعَنَّ لاِأَحَد مِنْ حَاشِيَتِكَ وَحَامَّتِكَ قَطِيعَةً وَلاَ يَطْمَعَنَّ مِنْكَ فِي اعْتِقَادِ عُقْدَة تَضُرُّ بِمَنْ يَلِيهَا مِنَ النَّاسِ فِي شِرْب أَوْ عَمَل مُشْتَرَك يَحْمِلُونَ مَؤُونَتَهُ عَلَى غَيْرِهِمْ فَيَکُونَ مَهْنَأُ ذَلِكَ لَهُمْ دُونَكَ وَعَيْبُهُ عَلَيْكَ فِي الدُّنْيَا وَالآْخِرَةِ وَأَلْزِمِ الْحَقَّ مَنْ لَزِمَهُ مِنَ الْقَرِيبِ وَالْبَعِيدِ وَکُنْ فِي ذَلِكَ صَابِرا مُحْتَسِباً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81" w:name="pg10786_78399"/>
    </w:p>
    <w:p>
      <w:pPr>
        <w:pStyle w:val="Heading2"/>
        <w:numPr>
          <w:ilvl w:val="1"/>
          <w:numId w:val="1"/>
        </w:numPr>
        <w:rPr/>
      </w:pPr>
      <w:bookmarkStart w:id="82" w:name="__RefHeading___Toc16849_1468164448"/>
      <w:bookmarkStart w:id="83" w:name="_Toc27"/>
      <w:bookmarkEnd w:id="81"/>
      <w:bookmarkEnd w:id="82"/>
      <w:r>
        <w:rPr>
          <w:rtl w:val="true"/>
        </w:rPr>
        <w:t>القائمة التاسعة عشرة</w:t>
      </w:r>
      <w:r>
        <w:rPr>
          <w:rtl w:val="true"/>
        </w:rPr>
        <w:t xml:space="preserve">: </w:t>
      </w:r>
      <w:r>
        <w:rPr>
          <w:rtl w:val="true"/>
        </w:rPr>
        <w:t>فوائد الصلح المحمود</w:t>
      </w:r>
      <w:r>
        <w:rPr>
          <w:rtl w:val="true"/>
        </w:rPr>
        <w:t>:</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الدعة للجنود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الراحة من الهموم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أمن للبلاد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وَلاَ تَدْفَعَنَّ صُلْحاً دَعَاكَ إِلَيْهِ عَدُوُّ كَ لله فِيهِ رِضًا فإِنَّ فِي الصُّلْحِ دَعَةً لِجُنُودِكَ وَرَاحَةً مِنْ هُمُومِكَ وأَمْناً لِبِلاَدِكَ</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نلحظ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استوفي أقسام فوائد الصلح، وهي أقسام جوهرية عامة، بكلمات قصار</w:t>
      </w:r>
      <w:r>
        <w:rPr>
          <w:rFonts w:eastAsia="Amiri" w:cs="Amiri" w:ascii="Amiri" w:hAnsi="Amiri"/>
          <w:color w:val="111111"/>
          <w:sz w:val="28"/>
          <w:szCs w:val="28"/>
          <w:rtl w:val="true"/>
          <w:lang w:bidi="ar-SA"/>
        </w:rPr>
        <w:t xml:space="preserve">. </w:t>
      </w:r>
      <w:bookmarkStart w:id="84" w:name="pg10786_78400"/>
    </w:p>
    <w:p>
      <w:pPr>
        <w:pStyle w:val="Heading2"/>
        <w:numPr>
          <w:ilvl w:val="1"/>
          <w:numId w:val="1"/>
        </w:numPr>
        <w:rPr/>
      </w:pPr>
      <w:bookmarkStart w:id="85" w:name="__RefHeading___Toc16851_1468164448"/>
      <w:bookmarkStart w:id="86" w:name="_Toc28"/>
      <w:bookmarkEnd w:id="84"/>
      <w:bookmarkEnd w:id="85"/>
      <w:r>
        <w:rPr>
          <w:rtl w:val="true"/>
        </w:rPr>
        <w:t>القائمة العشرون</w:t>
      </w:r>
      <w:r>
        <w:rPr>
          <w:rtl w:val="true"/>
        </w:rPr>
        <w:t xml:space="preserve">: </w:t>
      </w:r>
      <w:r>
        <w:rPr>
          <w:rtl w:val="true"/>
        </w:rPr>
        <w:t>عواقب سفك الدماء</w:t>
      </w:r>
      <w:r>
        <w:rPr>
          <w:rtl w:val="true"/>
        </w:rPr>
        <w:t>:</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جَلبُ النّقمة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العاقبة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زوال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بِغَيْرِ حِلِّهَا فَإِنَّهُ لَيْسَ شَيْءٌ أَدْعَى لِنِقْمَةٍ وَلاَ أَعْظَمَ لِتَبِعَةٍ وَلاَ أَحْرَى بِزَوَالِ نِعْمَةٍ وَانْقِطَاعِ مُدَّةٍ مِنْ سَفْكِ الدِّمَاءِ بِغَيْرِ حَقِّهَا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حقن الدماء، وحفظها إذ إنّ شرافة الإنسان وقداسته هو أساس الوجود، ومن هنا فإنّ سفك دمه بغير وجه حقّ يوجب عواقب لا تُحمد، ونتائج لا تسرّ</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قوائم ندّت من هذا العهد المبارك دسسناها لقلّة عناصرها، واختلاط بعضها بالقوائم التي ذكرناها، وكذلك رغبة في الإيجاز والاختزال</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0786_78403"/>
      <w:bookmarkStart w:id="88" w:name="pg10786_78403"/>
      <w:bookmarkEnd w:id="8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pg10786_78403"/>
      <w:bookmarkStart w:id="90" w:name="__RefHeading___Toc16853_1468164448"/>
      <w:bookmarkStart w:id="91" w:name="_Toc29"/>
      <w:bookmarkEnd w:id="89"/>
      <w:bookmarkEnd w:id="90"/>
      <w:r>
        <w:rPr>
          <w:rtl w:val="true"/>
        </w:rPr>
        <w:t xml:space="preserve">المطلب الثالث المقاربات التداولية في قوائم عهد الإمام </w:t>
      </w:r>
      <w:r>
        <w:rPr>
          <w:rtl w:val="true"/>
        </w:rPr>
        <w:t>(</w:t>
      </w:r>
      <w:r>
        <w:rPr>
          <w:rtl w:val="true"/>
        </w:rPr>
        <w:t>علیه السلام</w:t>
      </w:r>
      <w:r>
        <w:rPr>
          <w:rtl w:val="true"/>
        </w:rPr>
        <w:t>)</w:t>
      </w:r>
      <w:bookmarkEnd w:id="9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هذا المطلب سَنَفلي أهم المقاربات التداوُليَّة التي نَحسَبُ أنّ العهد العلويّ المبارك قَدِ انطوى عليها، وسيكون الإيجاز والاختزال الطريق المُثلى تماشيًا مع سنن البحث العلميّ تارةً، ولكون البحث متّصِلاً بتكشيف القوائم والجداول التي انتظمت في العهد الشريف، وإنّ الاستغوار في تلكم المقاربات التداولية قد يُبعدنا عمّا يَمَمنا وقَصَدنا تارةً أخرى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العناصر أو البيانات التي تحصّلت من القوائم التي سردناها من قبل في 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نقطع جازمين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جاءت مطابقة للمجتمع الإسلاميّ آنذاك من جهة أنّها تلاطف المجال التداولي وتغازله، وأنّ العهد الشريف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p>
    <w:p>
      <w:pPr>
        <w:pStyle w:val="BookText"/>
        <w:rPr/>
      </w:pP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 المقاربات التداوُليّة أصبحت مَألوفة وسائدة في الدراسات اللسانيّة الحديثة، ولا سيّما في تحليل الخطاب سواءٌ أكانت التراثية أم المعاصرة، إذ لا تكتفي هذه المقاربات على القراءة، والرؤى من داخل النصّ، بل تستدعي القراءة الفاحصة والدقيقة قراءة الأفكار والمقاصد باستشراف الواقع المعيش فيه، ومعاينة الظروف والقرائن المختلفة سواء أكانت الحالية أم المقامية المحيطة بالنصّ، وكذلك التبصرة بالعوامل النفسية والاجتماعية والتاريخية المتصلة بالنصّ</w:t>
      </w:r>
      <w:r>
        <w:rPr>
          <w:rStyle w:val="FootnoteAnchor"/>
          <w:rtl w:val="true"/>
        </w:rPr>
        <w:footnoteReference w:id="5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ألفيناه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فليس العهد نصّاً أدبياً سارحًا في الخيال، أو نظریات مثالية مجرّدة لا تمتُّ </w:t>
      </w:r>
    </w:p>
    <w:p>
      <w:pPr>
        <w:pStyle w:val="BookText"/>
        <w:rPr/>
      </w:pPr>
      <w:r>
        <w:rPr>
          <w:rFonts w:ascii="IRNazanin" w:hAnsi="IRNazanin" w:eastAsia="IRNazanin"/>
          <w:color w:val="111111"/>
          <w:sz w:val="28"/>
          <w:sz w:val="28"/>
          <w:szCs w:val="28"/>
          <w:rtl w:val="true"/>
          <w:lang w:bidi="fa-IR"/>
        </w:rPr>
        <w:t xml:space="preserve">إلى الواقع بلحمة ونَسب، إنَّما هو منهج واقعي، وتعاليم وقواعد وأسس حاضرة في المجتمع الإنساني جسّدها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حکومته الراشدة على الأرض، وفي تجربته السياسية والإدارية المعقّدة في إدارة الدولة</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جسّد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خرائط القيم وسلالمها السياسية الإدارية والاجتماعية والأخلاقية والثقافية في أبهى صورة، وأجمل تمثيل، فتلمح القائد السياسي والإداري والإمام الإنساني المثاليّ، والمعلم التربويّ وغيرها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وتترسَّم المقاربات التداولية في العهد الشريف باستكشاف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نصوص هذا العهد ودلالاته، ولا سيّما القوائم والجداول والعناصر التي انتظمت </w:t>
      </w:r>
    </w:p>
    <w:p>
      <w:pPr>
        <w:pStyle w:val="BookText"/>
        <w:rPr/>
      </w:pPr>
      <w:r>
        <w:rPr>
          <w:rFonts w:ascii="Amiri" w:hAnsi="Amiri" w:eastAsia="Amiri" w:cs="Amiri"/>
          <w:color w:val="111111"/>
          <w:sz w:val="28"/>
          <w:sz w:val="28"/>
          <w:szCs w:val="28"/>
          <w:rtl w:val="true"/>
          <w:lang w:bidi="ar-SA"/>
        </w:rPr>
        <w:t>فيها تزخر بالقيم والمبادئ والقوانين، وتشعُّ بالتعاليم الأخلاقية والإنسانية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إصلاح المجتمع، والتعايش السلميّ، وحبّ الفقراء والإحسان إليهم، والعفو والصلح والعدل، وحقن الدماء، وغيرها،</w:t>
      </w:r>
      <w:r>
        <w:rPr>
          <w:rStyle w:val="FootnoteAnchor"/>
          <w:rtl w:val="true"/>
        </w:rPr>
        <w:footnoteReference w:id="61"/>
      </w:r>
      <w:r>
        <w:rPr>
          <w:rFonts w:ascii="Amiri" w:hAnsi="Amiri" w:eastAsia="Amiri" w:cs="Amiri"/>
          <w:color w:val="111111"/>
          <w:sz w:val="28"/>
          <w:sz w:val="28"/>
          <w:szCs w:val="28"/>
          <w:rtl w:val="true"/>
          <w:lang w:bidi="ar-SA"/>
        </w:rPr>
        <w:t xml:space="preserve">وهي بطبيعتها لا ترتبط بالماضي أو تقف عند زمن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تلاطف الحاضر والمستقبل، ولا سيّما المجتمعات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 ما تكون إليها خصوصاً في هذا الزمن الذي يشهدُ صراعًا حضاريًا في الفكر والإرادة والهُوِية، كما يشهد هيمنة الغرب، ونظام العولمة، وظلم الحكومات المستبدّة وتعسّفها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المقاربات التداولية التي نَرقُبُبها في العهد الشريف، ما يأتي</w:t>
      </w:r>
      <w:r>
        <w:rPr>
          <w:rFonts w:eastAsia="Amiri" w:cs="Amiri" w:ascii="Amiri" w:hAnsi="Amiri"/>
          <w:color w:val="111111"/>
          <w:sz w:val="28"/>
          <w:szCs w:val="28"/>
          <w:rtl w:val="true"/>
          <w:lang w:bidi="ar-SA"/>
        </w:rPr>
        <w:t xml:space="preserve">: </w:t>
      </w:r>
      <w:bookmarkStart w:id="92" w:name="pg10786_78409"/>
    </w:p>
    <w:p>
      <w:pPr>
        <w:pStyle w:val="Heading2"/>
        <w:numPr>
          <w:ilvl w:val="1"/>
          <w:numId w:val="1"/>
        </w:numPr>
        <w:rPr/>
      </w:pPr>
      <w:bookmarkStart w:id="93" w:name="__RefHeading___Toc16855_1468164448"/>
      <w:bookmarkStart w:id="94" w:name="_Toc30"/>
      <w:bookmarkEnd w:id="92"/>
      <w:bookmarkEnd w:id="93"/>
      <w:r>
        <w:rPr>
          <w:rtl w:val="true"/>
        </w:rPr>
        <w:t>أولاً</w:t>
      </w:r>
      <w:r>
        <w:rPr>
          <w:rtl w:val="true"/>
        </w:rPr>
        <w:t xml:space="preserve">: </w:t>
      </w:r>
      <w:r>
        <w:rPr>
          <w:rtl w:val="true"/>
        </w:rPr>
        <w:t>المعجم القُرآنیّ والحديثي</w:t>
      </w:r>
      <w:r>
        <w:rPr>
          <w:rtl w:val="true"/>
        </w:rPr>
        <w:t>:</w:t>
      </w:r>
      <w:bookmarkEnd w:id="94"/>
    </w:p>
    <w:p>
      <w:pPr>
        <w:pStyle w:val="BookText"/>
        <w:rPr/>
      </w:pPr>
      <w:r>
        <w:rPr>
          <w:rFonts w:ascii="IRNazanin" w:hAnsi="IRNazanin" w:eastAsia="IRNazanin"/>
          <w:color w:val="111111"/>
          <w:sz w:val="28"/>
          <w:sz w:val="28"/>
          <w:szCs w:val="28"/>
          <w:rtl w:val="true"/>
          <w:lang w:bidi="fa-IR"/>
        </w:rPr>
        <w:t xml:space="preserve">استثمر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المبارك المعجم القُرآنیّ والحديثي فنجد الذوبان والانصهار الكامل في كتاب العربية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تمثل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تمثيلاً عميقاً، فنجد الاستحضار والاستشراف الواعيين للنصّ القرآني، وكذلك السنّة النبوية المطهّرة، فقد انسربت نصوص قرآنية ومضامين ودلالات قرآنية وحديثية في النهج المبارك، ولا سيّما العهد الشريف</w:t>
      </w:r>
      <w:r>
        <w:rPr>
          <w:rStyle w:val="FootnoteAnchor"/>
          <w:rtl w:val="true"/>
        </w:rPr>
        <w:footnoteReference w:id="6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ونستشرفُ هذا المتحَ الخلّاقَ من النبعِ الصافي القرآن الكريم، والموردِ العَذب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الجليّ، قال ابن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وسَلّم وزد وبارك على السيد المطهّر والإمام المظفّر والشجاع الغضنفر أبي شُبّر وشُبير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الدين </w:t>
      </w:r>
    </w:p>
    <w:p>
      <w:pPr>
        <w:pStyle w:val="BookText"/>
        <w:rPr/>
      </w:pPr>
      <w:r>
        <w:rPr>
          <w:rFonts w:ascii="Amiri" w:hAnsi="Amiri" w:eastAsia="Amiri" w:cs="Amiri"/>
          <w:color w:val="111111"/>
          <w:sz w:val="28"/>
          <w:sz w:val="28"/>
          <w:szCs w:val="28"/>
          <w:rtl w:val="true"/>
          <w:lang w:bidi="ar-SA"/>
        </w:rPr>
        <w:t xml:space="preserve">الوالي الولي السيد الرضيّ الإمام الوصيّ الحاكم بالنصّ الجليّ المخلص الصفيّ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ونرصد هذا التثمير الماتع في العهد المبارك في ظلّ الإشارات البيّنات لدى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حديثه عن عناصر قائمة الطبقة السفلى من ذوي الحاجات والمسكنة،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الطَّبَقَةُ السُّفْلَی مِنْ ذَوِی الْحَاجَةِ وَالْمَسْکَنَةِ وَ کُلٌّ قَدْ سَمَّی اللَّهُ لَهُ سَهْمَهُ وَوَضَعَ عَلَی حَدِّهِ فَرِیضَةً فِی کِتَابِهِ أَوْسُنَّةِ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استحضار عناصر قائمة أعمال الوالي المرضية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وَارْدُدْ إِلَى اللهِ وَرَسُولِهِ </w:t>
      </w:r>
    </w:p>
    <w:p>
      <w:pPr>
        <w:pStyle w:val="BookText"/>
        <w:rPr/>
      </w:pPr>
      <w:r>
        <w:rPr>
          <w:rFonts w:ascii="Amiri" w:hAnsi="Amiri" w:eastAsia="Amiri" w:cs="Amiri"/>
          <w:color w:val="111111"/>
          <w:sz w:val="28"/>
          <w:sz w:val="28"/>
          <w:szCs w:val="28"/>
          <w:rtl w:val="true"/>
          <w:lang w:bidi="ar-SA"/>
        </w:rPr>
        <w:t>مَا يُضْلِعُكَ مِنَ الْخُطُوبِ وَيَشْتَبِهُ عَلَيْكَ مِنَ الاُمُورِ فَقَدْ قَالَ اللهُ تَعَالَى لِقَوْم أَحَبَّ إِرْشَادَهُمْ يا أَيُّهَا الَّذِينَ آمَنُوا أَطِيعُوا اللهَ وَأَطِيعُوا الرَّسُولَ وَأُولِي الاَمْرِ مِنْکُمْ فَإِنْ تَنازَعْتُمْ فِي شَيْء فَرُدُّوهُ إِلَى اللهِ وَالرَّسُولِ فَالرَّدُّ إِلَى اللهِ الاَخْذُ بِمُحْکَمِ کِتَابِهِ وَالرَّدُّ إِلَى الرَّسُولِ الاَخْذُ بِسُنَّتِهِ الْجَامِعَةِ غَيْرِ الْمُفَرِّقَةِ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ويَستحضِرُ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السياقات القُرآنية عند سَردِه عناصر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تَدْفَعَنَّ صُلْحاً دَعَاكَ إِلَيْهِ عَدُوُّكَ وَلِلّهِ فِيهِ رِضىً، فإِنَّ فِي الصُّلْحِ دَعَةً لِجُنُودِكَ وَرَاحَةً مِنْ هُمُومِكَ وَأَمْناً لِبِلَادِكَ</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يتّصل بالمعجم الحديثي، فنجد المتحَ المثمرَ من النبع الصافي كلام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ونَرصُد هذا الأثر الحديثي في تعابير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لِذَوِی الْحَاجَاتِ مِنْكَ قِسْماً تُفَرِّغُ لَهُمْ فِیهِ شَخْصَكَ وَتَجْلِسُ لَهُمْ مَجْلِساً عَامّاً فَتَتَوَاضَعُ فِیهِ لِلَّهِ الَّذِی خَلَقَكَ وَتُقْعِدَ عَنْهُمْ جُنْدَكَ وَأَعْوَانَكَ مِنْ أَحْرَاسِكَ وَشُرَطِكَ حَتَّی یُکَلِّمَكَ مُتَکَلِّمُهُمْ غَیْرَ مُتَتَعْتِعٍ فَإِنِّی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غَیْرِ مَوْطِنٍ لَنْ تُقَدَّسَ أُمَّهٌ لَا یُؤْخَذُ لِلضَّعِیفِ فِیهَا حَقُّهُ مِنَ الْقَوِیِّ</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عناصر صلاة الوالي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وَجَّهَنِی إِلَی اَلْیَمَنِ کَیْفَ أُصَلِّی بِهِمْ فَقَالَ صَلِّ بِهِمْ صَلاَهَ أَضْعَفِهِمْ وَ کُنْ بِالْمُؤْمِنِینَ رَحِیماً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جَرَمَ أنّ الإحالة المرجعية لها أثر في فهم الخطاب، إذ تعطيه بعدًا حقيقيًا في الأداء، إذ إنّ تتمة الفائدة في الكلام تتوقّف على مدى مطابقة الخطاب للواقع، فكلّ وحدة لغوية تتوافر على الجوانب الاتية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اللفظية، والدلالة، والمرجعيّة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فإنّ استثمار المرجعيات هو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استرجاع المدلولات ذكرت في مرحلة سابقة، أو عملية استقدام مدلولات يتوقع القارئُ مجيئها </w:t>
      </w:r>
    </w:p>
    <w:p>
      <w:pPr>
        <w:pStyle w:val="BookText"/>
        <w:rPr/>
      </w:pPr>
      <w:r>
        <w:rPr>
          <w:rFonts w:ascii="Amiri" w:hAnsi="Amiri" w:eastAsia="Amiri" w:cs="Amiri"/>
          <w:color w:val="111111"/>
          <w:sz w:val="28"/>
          <w:sz w:val="28"/>
          <w:szCs w:val="28"/>
          <w:rtl w:val="true"/>
          <w:lang w:bidi="ar-SA"/>
        </w:rPr>
        <w:t>بمرحلة لاحقة في الخطاب، وهذه العملية تتمّ عن طريق العنصر الإحالي الذي يتطابقُ في الخصائص الدلالية مع العنصر المحيل إليه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 على بَدءٍ، فإنّ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درجة كبيرة من الاستثمار الواعي لكلام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مخصوصاً من دون الصحابة بخلوات كان يخلو بها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يطلع أحد من الناس على ما يدور بينهما وكان كثير السؤال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معاني القرآن وعن معاني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يسال ابتداه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بالتعليم والتثقيف ولم يكن أحد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بل كانوا أقساما فمنهم من يهابه أن يسأله وهم الذين يحبون </w:t>
      </w:r>
    </w:p>
    <w:p>
      <w:pPr>
        <w:pStyle w:val="BookText"/>
        <w:rPr/>
      </w:pPr>
      <w:r>
        <w:rPr>
          <w:rFonts w:ascii="IRNazanin" w:hAnsi="IRNazanin" w:eastAsia="IRNazanin"/>
          <w:color w:val="111111"/>
          <w:sz w:val="28"/>
          <w:sz w:val="28"/>
          <w:szCs w:val="28"/>
          <w:rtl w:val="true"/>
          <w:lang w:bidi="fa-IR"/>
        </w:rPr>
        <w:t xml:space="preserve">أن يجئ الأعرابي أو الطارئ فيسأله وهم يسمعون ومنهم من كان بليدا بعيد الفهم قليل الهمة في النظر والبحث ومنهم من كان مشغولا عن طلب العلم وفهم المعاني أما بعبادة أو دنيا ومنهم المقلد یری أن فرضه السكوت وترك السؤال ومنهم المبغض الشاني الذي ليس للدين عنده من الموقع ما يضيع وقته وزمانه بالسؤال عن دقائقه وغوامضه وانضاف إلى الامر الخاص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ذكاؤه وفطنته وطهارة طينته وإشراق نفسه وضوءها وإذا كان المحل قابلا متهيئا كان الفاعل المؤثر موجودا والموانع مرتفعة حصل الأثر على أتم ما يمكن فلذلك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البصري رباني هذه الأمة وذا فضلها ولذا تسميه الفلاسفة إمام الأئمة وحکیم العرب</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وتتجلّى هذه المقاربة التداولية في استحضار قول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قائمة الصفات السلبية للتجار،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اسْتَوْصِ بِالتُّجَّارِ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فَامْنَعْ مِنَ الاِحْتِکَارِ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 لْیَکُنِ الْبَیْعُ بَیْعاً سَمْحاً بِمَوَازِینِ عَدْلٍ وَ أَسْعَارٍ لاَ تُجْحِفُ بِالْفَرِیقَیْنِ مِنَ الْبَائِعِ وَ الْمُبْتَاعِ</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الاستشرافُ الثَّبتُ من كلام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یَحْتَکِرُ إلاّ خَاطئٌ</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اِحْتَکَرَ عَلَی اَلْمُسْلِمِینَ طَعَاماً ضَرَبَهُ اَللَّهُ بِالْجُذَامِ وَ اَلْإِفْلاَسِ</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يتصل بالجنبة الثانية من نصّ الإمام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المؤدّاة بأسلوب الأمر بصيغة الفعل المضارع المقرون بلام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البيع سمحًا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استشرافه حديث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 رَجُلاً سَمَحاً اِذا بَاعَ، وَ اِذَا اشْتَرَی، وَ اِذَا اقْتَضَی</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بالاستثمار القرآنی والحديثي بوصفهما مجالين تداوليّين عظيمَين بل نراه يلاطف مجالات تداولية أخرى تنبع من البيئات الصالحة والسنن المحمودة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تَنْقُضْ سُنَّةً صَالِحَةً عَمِلَ بِهَا صُدُورُ هَذِه الأُمَّةِ واجْتَمَعَتْ بِهَا الأُلْفَةُ وصَلَحَتْ عَلَيْهَا الرَّعِيَّةُ ولَا تُحْدِثَنَّ سُنَّةً تَضُرُّ بِشَيْءٍ مِنْ مَاضِي تِلْكَ السُّنَنِ فَيَكُونَ الأَجْرُ لِمَنْ سَنَّهَا والْوِزْرُ عَلَيْكَ بِمَا </w:t>
      </w:r>
      <w:bookmarkStart w:id="95" w:name="pg10786_78418"/>
    </w:p>
    <w:p>
      <w:pPr>
        <w:pStyle w:val="BookText"/>
        <w:rPr/>
      </w:pPr>
      <w:bookmarkEnd w:id="95"/>
      <w:r>
        <w:rPr>
          <w:rFonts w:ascii="Amiri" w:hAnsi="Amiri" w:eastAsia="Amiri" w:cs="Amiri"/>
          <w:color w:val="111111"/>
          <w:sz w:val="28"/>
          <w:sz w:val="28"/>
          <w:szCs w:val="28"/>
          <w:rtl w:val="true"/>
          <w:lang w:bidi="ar-SA"/>
        </w:rPr>
        <w:t>نَقَضْتَ مِنْهَا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وَالْوَاجِبُ عَلَیكَ أَنْ تَتَذَكَّرَ مَا مَضَی لِمَنْ تَقَدَّمَكَ مِنْ حُكُومَةٍ عَادِلَةٍ أَوْ سُنَّةٍ فَاضِلَةٍ أَوْ أَثَرٍ عَنْ 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فَرِیضَةٍ فِی كِتَابِ اللَّهِ فَتَقْتَدِی بِمَا شَاهَدْتَ مِمَّا عَمِلْنَا بِهِ فِیهَا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16857_1468164448"/>
      <w:bookmarkStart w:id="97" w:name="_Toc31"/>
      <w:bookmarkEnd w:id="96"/>
      <w:r>
        <w:rPr>
          <w:rtl w:val="true"/>
        </w:rPr>
        <w:t>ثانياً</w:t>
      </w:r>
      <w:r>
        <w:rPr>
          <w:rtl w:val="true"/>
        </w:rPr>
        <w:t xml:space="preserve">: </w:t>
      </w:r>
      <w:r>
        <w:rPr>
          <w:rtl w:val="true"/>
        </w:rPr>
        <w:t>قواعد التخاطب اللساني</w:t>
      </w:r>
      <w:r>
        <w:rPr>
          <w:rtl w:val="true"/>
        </w:rPr>
        <w:t>:</w:t>
      </w:r>
      <w:bookmarkEnd w:id="9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قواعدُ التخاطُب اللسانيّة من المسلّمات التحاوُريّة، وهي تعني مجموعة من المعايير والأسس التي يفترض أن يقفَ عندها كلُّ متكلّم في أثناء حديثه مع غيره، بمعنى أنّ الكفاءة التداوُلية تفرض نفسها في رسم خريطة التواصل والتحاوُر بين المتكلم والمخاطب، وهذا ما نبّه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والتحاور</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إذ وجّه بحثه نحو استخراج مجموعة من المبادئ المنظمة للتواصل المثالي، واهتمّ أيضاً بالمعاني الضمنية اهتماماً واضحاً، وهذا دليل على أنّ تجليات المعني لا تحكمها قواعد لغوية دلالية فحسب، بل تحكمها طريقة إنجاز الملفوظ داخل المقام، والمبادئ العامة للتواصل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فإننا سنبصر قاعدتين من هذه القواعد التي تترشح من التخاطب اللساني القائم على الحوار، والتواصل المنظم، ولا سيما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الافتراض المسبق</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يبني المتكلِّم حدیثه على الافتراضات المسبقة اللازمة لنجاح كلّ تواصل کلاميّ، على أساس </w:t>
      </w:r>
    </w:p>
    <w:p>
      <w:pPr>
        <w:pStyle w:val="BookText"/>
        <w:rPr/>
      </w:pPr>
      <w:r>
        <w:rPr>
          <w:rFonts w:ascii="Amiri" w:hAnsi="Amiri" w:eastAsia="Amiri" w:cs="Amiri"/>
          <w:color w:val="111111"/>
          <w:sz w:val="28"/>
          <w:sz w:val="28"/>
          <w:szCs w:val="28"/>
          <w:rtl w:val="true"/>
          <w:lang w:bidi="ar-SA"/>
        </w:rPr>
        <w:t xml:space="preserve">ما 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معلوم له، وقد لوحظ أنّ الافتراض السابق يكون مرتبطاً ببعض العبارات اللغوية دون بعض، فإذا قال رجلٌ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 النافذة، فالمفترض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النافذة مفتوحة، وأنّ هناك مسوغًا يدعو إلى إغلاقه، وأنّ المخاطب قادر على الحركة، وأنّ المتكلم في منزلة الآمر، وكلّ ذلك موصول بسياق الحال وعلاقة المتكلم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جَرَمَ أنّ الخطاب أصبح على وَفق مقولات التداولية الحامل اللغويّ لمقاصد المتكلم موجّهاً إلى المتلقيّ، وبما أنّ الخطاب يولد في سياق تخاطبي، وبلغة مشتركة فهو يقوم على افتراضات مسبقة، ومن هنا فالافتراض المسبق يتّسع ليشمل المعلومات العامّة، وسياق الحال والعرف الاجتماعي، والعهديين </w:t>
      </w:r>
    </w:p>
    <w:p>
      <w:pPr>
        <w:pStyle w:val="BookText"/>
        <w:rPr/>
      </w:pPr>
      <w:r>
        <w:rPr>
          <w:rFonts w:ascii="Amiri" w:hAnsi="Amiri" w:eastAsia="Amiri" w:cs="Amiri"/>
          <w:color w:val="111111"/>
          <w:sz w:val="28"/>
          <w:sz w:val="28"/>
          <w:szCs w:val="28"/>
          <w:rtl w:val="true"/>
          <w:lang w:bidi="ar-SA"/>
        </w:rPr>
        <w:t>المخاطبين الذي يجعل المتلقي يفهم مراد المتكلم</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ومن المواضع التي رصدناها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عناصر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المستشار الإيجابية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فِی مَشُورَتِكَ بِخِیلاً یَعْدِلُ بِكَ عَنِ الْفَضْلِ وَیَعِدُكَ الْفَقْرَ وَلاَ جَبَاناً یُضْعِفُكَ عَنِ الْأُمُورِ وَلاَ حَرِیصاً یُزَیِّنُ لَكَ الشَّرَهَ بِالْجَوْرِ فَإِنَّ الْبُخْلَ وَالْجُبْنَ وَالْحِرْصَ غَرَائِزُ شَتَّی یَجْمَعُهَا سُوءُ الظَّنِّ بِاللّهِ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شريف عالي يستقي من مورده الحكماء، فإنّ الجامع بين هؤلاء هو سوء الظنّ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ألمح ابن أبي الحديد المعتزلي إلى مقولات </w:t>
      </w:r>
    </w:p>
    <w:p>
      <w:pPr>
        <w:pStyle w:val="BookText"/>
        <w:rPr/>
      </w:pPr>
      <w:r>
        <w:rPr>
          <w:rFonts w:ascii="Amiri" w:hAnsi="Amiri" w:eastAsia="Amiri" w:cs="Amiri"/>
          <w:color w:val="111111"/>
          <w:sz w:val="28"/>
          <w:sz w:val="28"/>
          <w:szCs w:val="28"/>
          <w:rtl w:val="true"/>
          <w:lang w:bidi="ar-SA"/>
        </w:rPr>
        <w:t>الافتراض المسبق في الكلام العلويّ المعاين، فالجبان يقول في نفسه إن أقدمتُ قتلت، والبخيل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سمحتُ وأنفقتُ افتقرت، والحريص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أجدّ واجتهد وأدأب فاتني ما أروم، وكل هذه الأمور ترجع إلى سوء الظنّ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أحسن الظنّ الإنسان بالله، وكان يقينه صادقاً لعلم أنّ الأجل مقدّر وأنّ الرزق مقدّر، وأنّ الغني والفقر مقدّران وأنَّه لا يكون من ذلك إلّا ما قضى الله تعالى</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وتنفيل عناصر قائمة صفات الوالي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 وَإِيثَارِ طَاعَتِهِ وَاتِّبَاعِ مَا أَمَرَ بِهِ فِي كِتَابِهِ مِنْ فَرَائِضِهِ وَسُنَنِهِ الَّتِي لاَ يَسْعَدُ أَحَدٌ إِلاَّ بِاتِّبَاعِهَا وَلاَ يَشْقَى إِلاَّ مَعَ جُحُودِهَا وَإِضَاعَتِهَا</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تبدّي لنا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عناصر هذه القائمة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اعتمد على الافتراض المسبق، فقد وَعى فهم مالك للفرائض والسنن التي ذكرها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بمعنی أنّ الافتراض مسلّمٌ به من لدن المتكلم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والطرف الآخر في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الأشتر، ولا يخفى تلكم الفرائض والسنن، سواءٌ أكانت أصول الدين أم فروعه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والعدل والنبوّة والإمامة والمعاد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وكالصلاة والصيام والحج والزكاة والأمر بالمعروف والنهي عن المنكر، وأداء الأمانة وقول الحقّ وغيرها، ولا 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مواضع الافتراض المسبق في العهد المبارك كثيرة، بسبب المعرفة المشتركة بين المتخاطبَين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المعرفة المشتركة بينها تعدّ الأرضية التي يتّكئ عليها طرف الخطاب في التواصل والتحاور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المُضمَر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القاعدة الأخرى من قواعد التخاطب اللّساني، ويرتبط بوضعية الخطاب ومقامه على عکس الافتراض المسبق الذي يحدد على أساس معطيات لغوية، ومن هنا فإنّ القول المضمر هو كتلة المعلومات التي يمكن للخطاب أن يحتويها، ولكن تحقيقها في الواقع يبقى رهن خواصّ سياق الحديث</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الكلام لا يعني دائماً التصريح، بل يعني أحياناً حمل المتلقي على التفكير في شيء غير مصرّح به، ومن هنا فالعبارات اللغوية تصنّف صنفين المعاني الصريحة، وتدلّ عليها الصيغة الحرفية للعبارة والمعاني الضمنية ونكشف عن قرائن الخطاب وسياقاته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تبدى لنا في ضوء استغوار العهد الشريف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 من القول المضمر، ومن ثمّ استتار المعاني الضمنية ويظهر أنّ اضطمام النصّ الشريف على القوائم المتعددة والمتنوّعة، وما تنتظم فيها من عناصر جعل من هذه القاعدة أن تحوز مساحة واسعة، زد على ذلك تقصّد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الصنيع من الإضهار من أجل تحقيق مطابقة الكلام لمقتضى الحال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معنا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اعْلَمْ یَا مَالِكُ أَنِّی قَدْ وَجَّهْتُكَ إِلَی بِلاَدٍ قَدْ جَرَتْ عَلَیْهَا دُوَلٌ قَبْلَكَ مِنْ عَدْلٍ وَ جَوْرٍ وَ أَنَّ النَّاسَ یَنْظُرُونَ مِنْ أُمُورِكَ فِی مِثْلِ مَا کُنْتَ تَنْظُرُ فِیهِ مِنْ أُمُورِ الْوُلاَةِ قَبْلَكَ وَ یَقُولُونَ فِیكَ مَا کُنْتَ تَقُولُ فِیهِمْ وَ إِنَّمَا یُسْتَدَلُّ عَلَی الصَّالِحِینَ بِمَا یُجْرِی اللَّهُ لَهُمْ عَلَی أَلْسُنِ </w:t>
      </w:r>
    </w:p>
    <w:p>
      <w:pPr>
        <w:pStyle w:val="BookText"/>
        <w:rPr/>
      </w:pP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يتجلّى الإضمار القوليّ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البلاد من دون التصريح بها،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الدول التي سبقت حکم مالك، وهي الحكومات التي سبقته من زمن الخليفة عثمان بن عفّان، وما ابتليت به من جور وما نعمت من 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صَلِّ بِهِمْ کَصَلاَهِ أَضْعَفِهِمْ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كصلاة أضعفهم کناية استعملها الإمام عن المريض، والذي به عاهة وغير ذلك</w:t>
      </w:r>
      <w:r>
        <w:rPr>
          <w:rFonts w:eastAsia="IRNazanin" w:cs="IRNazanin"/>
          <w:color w:val="111111"/>
          <w:sz w:val="28"/>
          <w:szCs w:val="28"/>
          <w:rtl w:val="true"/>
          <w:lang w:bidi="fa-IR"/>
        </w:rPr>
        <w:t xml:space="preserve">. </w:t>
      </w:r>
      <w:bookmarkStart w:id="98" w:name="pg10786_78427"/>
    </w:p>
    <w:p>
      <w:pPr>
        <w:pStyle w:val="Heading2"/>
        <w:numPr>
          <w:ilvl w:val="1"/>
          <w:numId w:val="1"/>
        </w:numPr>
        <w:rPr/>
      </w:pPr>
      <w:bookmarkStart w:id="99" w:name="__RefHeading___Toc16859_1468164448"/>
      <w:bookmarkStart w:id="100" w:name="_Toc32"/>
      <w:bookmarkEnd w:id="98"/>
      <w:bookmarkEnd w:id="99"/>
      <w:r>
        <w:rPr>
          <w:rtl w:val="true"/>
        </w:rPr>
        <w:t>ثالثاً</w:t>
      </w:r>
      <w:r>
        <w:rPr>
          <w:rtl w:val="true"/>
        </w:rPr>
        <w:t xml:space="preserve">: </w:t>
      </w:r>
      <w:r>
        <w:rPr>
          <w:rtl w:val="true"/>
        </w:rPr>
        <w:t>الأفعال الكلامية المباشرة وغير المباشرة</w:t>
      </w:r>
      <w:r>
        <w:rPr>
          <w:rtl w:val="true"/>
        </w:rPr>
        <w:t>:</w:t>
      </w:r>
      <w:bookmarkEnd w:id="100"/>
    </w:p>
    <w:p>
      <w:pPr>
        <w:pStyle w:val="BookText"/>
        <w:rPr/>
      </w:pPr>
      <w:r>
        <w:rPr>
          <w:rFonts w:ascii="Amiri" w:hAnsi="Amiri" w:eastAsia="Amiri" w:cs="Amiri"/>
          <w:color w:val="111111"/>
          <w:sz w:val="28"/>
          <w:sz w:val="28"/>
          <w:szCs w:val="28"/>
          <w:rtl w:val="true"/>
          <w:lang w:bidi="ar-SA"/>
        </w:rPr>
        <w:t>تعدّ الأفعال الكلامية إحدى الأسس التي قامت عليها نظرية أفعال الكلام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يتلفظ بها المرسل في خطابه، وهو يعني حرفيّاً ما يقول، وفي هذه الحالة فإنّ المرسل يقصد أن ينتج أثراً إنجازياً على المرسل إليه، ويقصد أن ينتج هذا الأثر في ضوء جعل المرسل إليه يدرك قصده في الإنتاج</w:t>
      </w:r>
      <w:r>
        <w:rPr>
          <w:rStyle w:val="FootnoteAnchor"/>
          <w:rtl w:val="true"/>
        </w:rPr>
        <w:footnoteReference w:id="9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الدكتور محمود أحمد نحلة أنّ الأفعال الكلامية المباشرة تمثل قدراً ضئيلاً في اللغة، وينحصر في ما يسمى الأفعال المؤسّساتية أو التشريعية كالتوكيل والتفويض والوصية والتوريث والإجازة، ونحوها، أما الأفعال غير المباشرة، فتمثل القدر الأكبر في اللغة، ويكثر استعمالها في سياقات التأدّب </w:t>
      </w:r>
    </w:p>
    <w:p>
      <w:pPr>
        <w:pStyle w:val="BookText"/>
        <w:rPr/>
      </w:pPr>
      <w:r>
        <w:rPr>
          <w:rFonts w:ascii="Amiri" w:hAnsi="Amiri" w:eastAsia="Amiri" w:cs="Amiri"/>
          <w:color w:val="111111"/>
          <w:sz w:val="28"/>
          <w:sz w:val="28"/>
          <w:szCs w:val="28"/>
          <w:rtl w:val="true"/>
          <w:lang w:bidi="ar-SA"/>
        </w:rPr>
        <w:t>في الطلب</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ويتبدى لنا أنّ تقسيم الأفعال الكلامية إلى مباشرة وغير مباشرة بلحاظ القوة الإنجازية والتأثيرية المتحصلة من الجملة، ومن هنا قد قسّمت الأفعال الكلامية المباشرة بحسب تصنيف أوستن إلى خمسة أصناف، هي</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الحكمیات، والتنفيذيات، والوعديات، والسلوكيات، والعرضيات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التبينيات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الأصناف تظهر فيها القوة الإنجازية التأثيرية مباشرة، بمعنی تتجلى فيها الدلالات الحقيقية، أما في ما يخص الأفعال الكلامية غير المباشرة، إذ يتحصل التخالف للقوة الإنشائية للجملة بحسب مراد المتكلم وبمعاينة السياق المقامي والحاليّ، فيكون قوله غير مطابق لما يعنيه، </w:t>
      </w:r>
    </w:p>
    <w:p>
      <w:pPr>
        <w:pStyle w:val="BookText"/>
        <w:rPr/>
      </w:pPr>
      <w:r>
        <w:rPr>
          <w:rFonts w:ascii="Amiri" w:hAnsi="Amiri" w:eastAsia="Amiri" w:cs="Amiri"/>
          <w:color w:val="111111"/>
          <w:sz w:val="28"/>
          <w:sz w:val="28"/>
          <w:szCs w:val="28"/>
          <w:rtl w:val="true"/>
          <w:lang w:bidi="ar-SA"/>
        </w:rPr>
        <w:t xml:space="preserve">فلم يعد الإخبار والتخاطب هو القصد الوحيد عند المرسّل، وإنَّما عددناه واحداً من مقاصده، فالقصد الرئيس أصبح مختفياً، وظهر بدله قصد آخر، وهذا ما اصطلح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والسياق الإنتاجي التوليدي</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وسنتناوش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الكلامية المباشرة في العهد الشريف في ضوء القوائم التي رصدناها، والعناصر التي انتظمت فيها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قائمة ذخائر العمل الصالح والسعادات تتناسَل الأفعال الكلامية المباشرة فيها، باسترفاد الأفعال الأمرية المؤدّاة بصيغة الفعل المضارع المقرون باللام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الأمر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املِك، شُحّ، أشعِر، أعطهم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على الوجوب على </w:t>
      </w:r>
    </w:p>
    <w:p>
      <w:pPr>
        <w:pStyle w:val="BookText"/>
        <w:rPr/>
      </w:pPr>
      <w:r>
        <w:rPr>
          <w:rFonts w:ascii="Amiri" w:hAnsi="Amiri" w:eastAsia="Amiri" w:cs="Amiri"/>
          <w:color w:val="111111"/>
          <w:sz w:val="28"/>
          <w:sz w:val="28"/>
          <w:szCs w:val="28"/>
          <w:rtl w:val="true"/>
          <w:lang w:bidi="ar-SA"/>
        </w:rPr>
        <w:t>سبيل الحتم والإلزام، وهي القوة الإنجازية التأثيرية الرئيسة لفعل الأمر باسترفاد قرينة السياق اللفظية والمقاميّة</w:t>
      </w:r>
      <w:r>
        <w:rPr>
          <w:rStyle w:val="FootnoteAnchor"/>
          <w:rtl w:val="true"/>
        </w:rPr>
        <w:footnoteReference w:id="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فَلْیکُنْ أَحَبَّ الذَّخَائِرِ إِلَیكَ ذَخِیرَةُ الْعَمِلِ الصَّالِحِ فَامْلِكْ هَوَاكَ وَ شُحَّ بِنَفْسِكَ عَمَّا لَا یحِلُّ لَكَ فَإِنَّ الشُّحَّ بِالنَّفْسِ الْإِنْصَافُ مِنْهَا فَیما أَحَبَّتْ أَوْ کَرِهَتْ وَأَشْعِرْ قَلْبَكَ الرَّحْمَةَ لِلرَّعِیةِ وَالْمَحَبَّةَ لَهُمْ وَاللُّطْفَ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مِنْ عَفْوِكَ</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ونترسّم الأفعال الكلامية المباشرة في القائمة نفسها بلحاظ صيغة النهي باستحضار الفعل المضارع المؤكد بنون التوكيد الثقيلة المسبوق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الطلبية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تكونَنَّ، لا تَنصبَنَّ، لا تندمنّ، لا تبجّحنَ، لا تسرعنّ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الوجوب والحرمة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والنهي والمنع من إرادة الفعل على سبيل الحتم والإلزام، بمعاينة السياق اللفظي والمقامي،</w:t>
      </w:r>
      <w:r>
        <w:rPr>
          <w:rStyle w:val="FootnoteAnchor"/>
          <w:rtl w:val="true"/>
        </w:rPr>
        <w:footnoteReference w:id="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تَکُونَنَّ عَلَیْهِمْ سَبُعاً ضَارِیاً تَغْتَنِمُ أَکْلَهُمْ فَإِنَّهُمْ صِنْفَانِ إِمَّا أَخٌ لَكَ فِی الدِّینِ أَوْ نَظِیرٌ لَكَ فِی الْخَلْقِ یَفْرُطُ مِنْهُمُ الزَّلَلُ وَتَعْرِضُ لَهُمُ الْعِلَلُ وَیُؤْتَی عَلَی أَیْدِیهِمْ فِی الْعَمْدِ وَالْخَطَأِ فَأَعْطِهِمْ مِنْ عَفْوِكَ وَصَفْحِكَ مِثْلَ الَّذِی تُحِبُّ وَتَرْضَی أَنْ یُعْطِیَكَ اللَّهُ مِنْ عَفْوِهِ وَصَفْحِهِ فَإِنَّكَ فَوْقَهُمْ وَوَالِی الْأَمْرِ عَلَیْكَ فَوْقَكَ وَاللَّهُ فَوْقَ مَنْ وَلَّاكَ وَقَدِ اسْتَکْفَاكَ أَمْرَهُمْ وَابْتَلَاكَ بِهِمْ وَلَا تَنْصِبَنَّ نَفْسَكَ لِحَرْبِ اللَّهِ فَإِنَّهُ لَا یَدَ لَكَ بِنِقْمَتِهِ وَلَا غِنَی بِكَ عَنْ عَفْوِهِ وَرَحْمَتِهِ وَلَا تَنْدَمَنَّ عَلَی عَفْوٍ وَلَا تَبْجَحَنَّ بِعُقُوبَةٍ وَلَا تُسْرِعَنَّ إِلَی </w:t>
      </w:r>
    </w:p>
    <w:p>
      <w:pPr>
        <w:pStyle w:val="BookText"/>
        <w:rPr/>
      </w:pPr>
      <w:r>
        <w:rPr>
          <w:rFonts w:ascii="Amiri" w:hAnsi="Amiri" w:eastAsia="Amiri" w:cs="Amiri"/>
          <w:color w:val="111111"/>
          <w:sz w:val="28"/>
          <w:sz w:val="28"/>
          <w:szCs w:val="28"/>
          <w:rtl w:val="true"/>
          <w:lang w:bidi="ar-SA"/>
        </w:rPr>
        <w:t>بَادِرَةٍ وَجَدْتَ مِنْهَا مَنْدُوحَةً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ما يتصل بالأفعال الكلامية غير المباشرة التي نلمحها في العهد الشريف في ضوء القوائم التي وقفنا عليها، والعناصر التي انتظمت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نستشعر دلالة التحذير والإرشاد بوصفها قوة إنجازية للفعل المضارع المسبوق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الطلبية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بهدي السياق الكلامي المقامي في القائمة،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تُدْخِلَنَّ فِي مَشُورَتِكَ بَخِيلاً يَعْدِلُ بِكَ عَنِ الْفَضْلِ وَيَعِدُكَ الْفَقْرَ وَلاَ جَبَاناً يُضعِّفُكَ عَنِ الاْمُورِ وَلاَ حَرِيصاً يُزَيِّنُ لَكَ الشَّرَهَ بِالْجَوْرِ فَإِنَّ الْبُخْلَ وَالْجُبْنَ وَالْحِرْصَ غَرَائِزُ شَتَّى يَجْمَعُهَا سُوءُ الظَّنِّ بِاللهِ إِنَّ شَرُّ وُزَرَائِكَ مَنْ كَانَ لِلاْشْرَارِ قَبْلَكَ وَزِيراً وَمَنْ شَرِكَهُمْ فِي الاْثَامِ فَلاَ يَكُونَنَّ لَكَ بِطَانَةً فَإِنَّهُمْ أَعْوَانُ </w:t>
      </w:r>
    </w:p>
    <w:p>
      <w:pPr>
        <w:pStyle w:val="BookText"/>
        <w:rPr/>
      </w:pPr>
      <w:r>
        <w:rPr>
          <w:rFonts w:ascii="Amiri" w:hAnsi="Amiri" w:eastAsia="Amiri" w:cs="Amiri"/>
          <w:color w:val="111111"/>
          <w:sz w:val="28"/>
          <w:sz w:val="28"/>
          <w:szCs w:val="28"/>
          <w:rtl w:val="true"/>
          <w:lang w:bidi="ar-SA"/>
        </w:rPr>
        <w:t>الاْثَمَةِ وَإِخْوَانُ الظَّلَمَةِ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ونقدح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قوة إنجازية غير مباشرة، للفعل الأمري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السياق المقامي، تأمل معنا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الرَّعِیَّةَ طَبَقَاتٌ لَایَصْلُحُ بَعْضُهَا إِلَّا بِبَعْضٍ وَ لَاغِنَی بِبَعْضِهَا عَنْ بَعْضٍ فَمِنْهَا جُنُودُ اللَّهِ وَ مِنْهَا کُتَّابُ الْعَامَّةِ وَالْخَاصَّةِ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الْحَاجَةِ وَالْمَسْکَنَةِ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ونترسم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والسياق الإنتاجي التي </w:t>
      </w:r>
    </w:p>
    <w:p>
      <w:pPr>
        <w:pStyle w:val="BookText"/>
        <w:rPr/>
      </w:pPr>
      <w:r>
        <w:rPr>
          <w:rFonts w:ascii="Amiri" w:hAnsi="Amiri" w:eastAsia="Amiri" w:cs="Amiri"/>
          <w:color w:val="111111"/>
          <w:sz w:val="28"/>
          <w:sz w:val="28"/>
          <w:szCs w:val="28"/>
          <w:rtl w:val="true"/>
          <w:lang w:bidi="ar-SA"/>
        </w:rPr>
        <w:t xml:space="preserve">تمثل قوة إنجازية غير مباشرة للفعل الأمري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بمعاينة السياق المقامي والحالي،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فِى نَفْسِكَ لِلَّهِ وَ لِرَسُولِهِ وَ لِإِمَامِكَ وَ أَنْقَاهُمْ جَيْباً وَ أَفْضَلَهُمْ حِلْماً مِمَّنْ يُبْطِئُ عَنِ الْغَضَبِ وَ يَسْتَرِيحُ إِلَى الْعُذْرِ وَ يَرْأَفُ بِالضُّعَفَاءِ وَ يَنْبُو عَلَى الْأَقْوِيَاءِ وَ مِمَّنْ لايُثِيرُهُ الْعُنْفُ وَ لايَقْعُدُ بِهِ الضَّعْفُ ثُمَّ الْصَقْ بِذَوِى الْأَحْسَابِ وَ أَهْلِ الْبُيُوتَاتِ الصَّالِحَةِ وَ السَّوَابِقِ الْحَسَنَةِ ثُمَّ أَهْلِ النَّجْدَةِ وَالشَّجَاعَةِ وَالسَّخَاءِ وَالسَّمَاحَةِ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معانٍ مجازية أو سياقات إنتاجية وتوليدية أخرى تمثّل أفعالاً كلامية إنجازية غير مباشرة يمكن رصدها في العهد الشريف، وبدا لنا أنّ السياقات الإنتاجية التي تمثل قوى إنجازية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كلامية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الأكثر حضوراً ووروداً في العهد المبارك</w:t>
      </w:r>
      <w:r>
        <w:rPr>
          <w:rFonts w:eastAsia="Amiri" w:cs="Amiri" w:ascii="Amiri" w:hAnsi="Amiri"/>
          <w:color w:val="111111"/>
          <w:sz w:val="28"/>
          <w:szCs w:val="28"/>
          <w:rtl w:val="true"/>
          <w:lang w:bidi="ar-SA"/>
        </w:rPr>
        <w:t xml:space="preserve">. </w:t>
      </w:r>
      <w:bookmarkStart w:id="101" w:name="pg10786_7843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 w:name="__RefHeading___Toc16861_1468164448"/>
      <w:bookmarkStart w:id="103" w:name="_Toc33"/>
      <w:bookmarkEnd w:id="101"/>
      <w:bookmarkEnd w:id="102"/>
      <w:r>
        <w:rPr>
          <w:rtl w:val="true"/>
        </w:rPr>
        <w:t>خاتمة البحث ونتائجه</w:t>
      </w:r>
      <w:bookmarkEnd w:id="10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حان الحين أن نستجلي أهمّ قطاف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القوائم في تنشيف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لنا أنّ القوائم والجداول، وما تنطوي عليها من عناصر وبيانات لها أهمية في حصر المعلومات وتقييدها ومن ثمّ فهمها واقتناص دلالاتها بسرعة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المبارك مجموعة كثيرة ومتنوّعة من القوائم والجداول وقد انتظمت فيها أرقام وعناصر متعددة، وهو أمر يدلّ على الإحاطة المعرفية الوسيعة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ودرايته بالمجالات التداولية الثقافية </w:t>
      </w:r>
    </w:p>
    <w:p>
      <w:pPr>
        <w:pStyle w:val="BookText"/>
        <w:rPr/>
      </w:pPr>
      <w:r>
        <w:rPr>
          <w:rFonts w:ascii="Amiri" w:hAnsi="Amiri" w:eastAsia="Amiri" w:cs="Amiri"/>
          <w:color w:val="111111"/>
          <w:sz w:val="28"/>
          <w:sz w:val="28"/>
          <w:szCs w:val="28"/>
          <w:rtl w:val="true"/>
          <w:lang w:bidi="ar-SA"/>
        </w:rPr>
        <w:t xml:space="preserve">السائدة آنذاك، زد على ذلك المنظور المستقبلي والاستشرافي الذي ترسمه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معاينتنا للقوائم التي ترشحت من العهد الشريف القرآن الكريم والحديث النبوي الشريف وهذا ما ألفيناه في العهد المبارك في ضوء الإحالات المرجعية الماتعة عليها، تصريحاً وتلميحاً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القوائم التي تحصلت في العهد المبارك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رعى فطنة المتلقي مالك الأشتر من جهة، والباصر بالمجال التداولي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المعيش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رأينا ظهور قاعدتي التخاطب اللساني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الافتراض المسبق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تلكم القوائم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معاينة القوائم والجداول التي تحصلت من العهد الشريف وجدنا أنّ الأفعال </w:t>
      </w:r>
    </w:p>
    <w:p>
      <w:pPr>
        <w:pStyle w:val="BookText"/>
        <w:rPr/>
      </w:pPr>
      <w:r>
        <w:rPr>
          <w:rFonts w:ascii="Amiri" w:hAnsi="Amiri" w:eastAsia="Amiri" w:cs="Amiri"/>
          <w:color w:val="111111"/>
          <w:sz w:val="28"/>
          <w:sz w:val="28"/>
          <w:szCs w:val="28"/>
          <w:rtl w:val="true"/>
          <w:lang w:bidi="ar-SA"/>
        </w:rPr>
        <w:t xml:space="preserve">الكلامية غير المباشرة التي تمثل قوىً إنجازية وتأثيرية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سياقات إنتاجية وتوليدية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الأكثر وروداً وبزوغاً، بخلاف الأفعال الكلامية المباشرة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w:t>
      </w:r>
      <w:bookmarkStart w:id="104" w:name="pg10786_78440"/>
    </w:p>
    <w:p>
      <w:pPr>
        <w:pStyle w:val="Heading2"/>
        <w:numPr>
          <w:ilvl w:val="1"/>
          <w:numId w:val="1"/>
        </w:numPr>
        <w:rPr/>
      </w:pPr>
      <w:bookmarkStart w:id="105" w:name="__RefHeading___Toc16863_1468164448"/>
      <w:bookmarkStart w:id="106" w:name="_Toc34"/>
      <w:bookmarkEnd w:id="104"/>
      <w:bookmarkEnd w:id="105"/>
      <w:r>
        <w:rPr>
          <w:rtl w:val="true"/>
        </w:rPr>
        <w:t>مصادر البحث ومراجعه</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آفاق جديدة في البحث اللغوي المعاصر، محمود أحمد نحلة،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المعرفة الجامعية، مصر،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الأثر القرآنيّ في نهج البلاغة، الدكتور عباس علي الفحّام، مطبعة الرافدين،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جار الله أبو القاسم محمود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الدكتور محمود فهمي حجازي، سلسلة الذخائر المؤسّسة العامة لقصور الثقافة، مصر،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لغوية 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بن ظافر الشهري،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الجديدة،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في علوم البلاغة العربية، الخطيب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البرنامج الأمثل لإدارة الدولة وقيادة المجتمع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السيد حسين بركة الشامي،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الإسلام، بغداد،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بلاغة النهج في نهج البلاغة، الدكتور عباس علي الفحام، 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الرضوان، الأردن،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إعجاز القرآن، أبو سليمان حمد بن محمد 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مطبوع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رسائل في إعجاز القرآن للخطابي والرماني و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رشيد،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فارس الحرستاني،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عمار، الأردن،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محمد بن 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مكتبة الحياة،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التداولية عند العلماء العرب، دراسة تداولية لظاهرة الأفعال الكلامية في التراث اللساني العربي، مسعود صحراوي،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الطليعة،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التداولية واستراتيجية التواصل، ذهبيّة حمو الحاج،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رؤبة،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في أصول الفقه، الدكتور صدر الدين فضل الله،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الهادي،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الجداول الجامعة في العلوم النافعة، الدكتور جاسم </w:t>
      </w:r>
    </w:p>
    <w:p>
      <w:pPr>
        <w:pStyle w:val="BookText"/>
        <w:rPr/>
      </w:pPr>
      <w:r>
        <w:rPr>
          <w:rFonts w:ascii="IRNazanin" w:hAnsi="IRNazanin" w:eastAsia="IRNazanin"/>
          <w:color w:val="111111"/>
          <w:sz w:val="28"/>
          <w:sz w:val="28"/>
          <w:szCs w:val="28"/>
          <w:rtl w:val="true"/>
          <w:lang w:bidi="fa-IR"/>
        </w:rPr>
        <w:t xml:space="preserve">بن محمد بن مهلهل الياسين،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الريان، بیروت،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البيانات وطرق المعاينة،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علوان مطلق،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العبيكان للنشر، الرياض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علم الأصول، السيد محمد باقر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طهران،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الباحثين في المنهجية والترقيم والعدد والتوثيق،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إبراهيم الشاعر،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شاكر سعيد،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صفاء، الأردن،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عبد الله بن عقيل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محيي الدين عبد الحميد،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منير، بغداد،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المدائني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التراث العربي، القاهرة،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للإمام أبي الحسن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اعتنى به أبو صهيب البكري، بيت </w:t>
      </w:r>
    </w:p>
    <w:p>
      <w:pPr>
        <w:pStyle w:val="BookText"/>
        <w:rPr/>
      </w:pPr>
      <w:r>
        <w:rPr>
          <w:rFonts w:ascii="Amiri" w:hAnsi="Amiri" w:eastAsia="Amiri" w:cs="Amiri"/>
          <w:color w:val="111111"/>
          <w:sz w:val="28"/>
          <w:sz w:val="28"/>
          <w:szCs w:val="28"/>
          <w:rtl w:val="true"/>
          <w:lang w:bidi="ar-SA"/>
        </w:rPr>
        <w:t xml:space="preserve">الأفكار الدولية، السعودية،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الأصول،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قراءات لغوية في النص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النقد التفسيري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سيروان عبد الزهرة الجنابي،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الأمير، النجف،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المحيط، مجد الدين محمد بن يعقوب الفيروز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اللسان والميزان أو التكوثر العقلي، الدكتور طه عبد الرحمن،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المركز الثقافي العربي، الدار البيضاء،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اللسانيات التداولية في الخطاب القانوني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استكشافية للتفكير التداولي عند القانونيين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مرتضی جبار كاظم،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عدنان، بغداد،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أحمد بن محمد بن علي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الإيمان، مصر،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المعالم الحضارية في نهج البلاغة، الشيخ باقر </w:t>
      </w:r>
    </w:p>
    <w:p>
      <w:pPr>
        <w:pStyle w:val="BookText"/>
        <w:rPr/>
      </w:pPr>
      <w:r>
        <w:rPr>
          <w:rFonts w:ascii="Amiri" w:hAnsi="Amiri" w:eastAsia="Amiri" w:cs="Amiri"/>
          <w:color w:val="111111"/>
          <w:sz w:val="28"/>
          <w:sz w:val="28"/>
          <w:szCs w:val="28"/>
          <w:rtl w:val="true"/>
          <w:lang w:bidi="ar-SA"/>
        </w:rPr>
        <w:t xml:space="preserve">شريف القرشي، تحقيق مهدي باقر القريشي،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اللغة العربية، الدكتور أحمد مختار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مصطفى، وأحمد حسن الزيات وحامد عبد القادر ومحمد علي النجار، مؤسسة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مقاييس اللغة، أبو الحسين أحمد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وصحّحه إبراهيم شمس الدين،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شركة الأعلمي، بيروت،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ومنهج العنايات، رضي الدين أبو القاسم علي بن موسی ابن طاووس الحلي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الفجر، بيروت،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المصطلح في التراث العربي الديني والعلمي والأدبي، الدكتور محمد الكناني،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میثاق إدارة الدولة 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الشيخ زین العابدین قرباني،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نظرية أفعال الكلام العامة كيف تنجز الأشياء بالكلام؟ جون أوستن، ترجمة عبد القادر قنیني،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أفريقيا الشرق، المغرب،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 نصه وابتكر فهارسه العلمية، الدكتور صبحي الصالح، الطبعة الأولى، بيروت،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تحقيق السيد هاشم الميلاني،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إيران،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الجامعية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ضوء علم اللغة النصيّ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صبري علوان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قسم اللغة العربية، الجامعة المستنصرية،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البحوث والدوريات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إسهام الحكومة العلوية المثالية في رمزية مدينة الكوفة، الدكتور رحيم كريم الشريفي، بحث مقدم إلى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سيد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 للإبداع الفكري، والأدبي،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السياقات الإنتاجية للخطاب الإنشائي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النداء أنموذجاً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رحیم کریم الشريفي، والدكتور حسين المحنى، مجلة دواة، المجلد الأول، العدد الثالث، قسم الإعلام، العتبة الحسينية المقدسة، كربلاء،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معالم إنسانية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دراسة تحليلية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الدكتور رحیم کریم الشريفي، والدكتور حسن كاظم أسد، مقدم إلى مؤتمر الغدير العالمي الثالث، العتبة العلوية المقدسة،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bookmarkStart w:id="107" w:name="pg10786_78447"/>
    </w:p>
    <w:p>
      <w:pPr>
        <w:pStyle w:val="Heading2"/>
        <w:numPr>
          <w:ilvl w:val="1"/>
          <w:numId w:val="1"/>
        </w:numPr>
        <w:rPr/>
      </w:pPr>
      <w:bookmarkStart w:id="108" w:name="__RefHeading___Toc16865_1468164448"/>
      <w:bookmarkStart w:id="109" w:name="_Toc35"/>
      <w:bookmarkEnd w:id="107"/>
      <w:bookmarkEnd w:id="108"/>
      <w:r>
        <w:rPr>
          <w:rtl w:val="true"/>
        </w:rPr>
        <w:t>المحتويات</w:t>
      </w:r>
      <w:bookmarkEnd w:id="109"/>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المطلب الأول أثرُ القوائم في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تداولية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القوائم مقاربة تأصيلية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القوائم في الثقافة التداولية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المطلب الثاني القوائم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تطبيقية</w:t>
      </w:r>
    </w:p>
    <w:p>
      <w:pPr>
        <w:pStyle w:val="BookText"/>
        <w:rPr/>
      </w:pPr>
      <w:r>
        <w:rPr>
          <w:rFonts w:ascii="Amiri" w:hAnsi="Amiri" w:eastAsia="Amiri" w:cs="Amiri"/>
          <w:color w:val="111111"/>
          <w:sz w:val="28"/>
          <w:sz w:val="28"/>
          <w:szCs w:val="28"/>
          <w:rtl w:val="true"/>
          <w:lang w:bidi="ar-SA"/>
        </w:rPr>
        <w:t>القائمة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الوالي ووظائفه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القائمة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الوالي والقائد الإيمانية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القائمة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ذخائر العمل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قبول الأعمال لدى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القائمة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المُبعدين عن المشاورة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القائمة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القائمة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الجنود ومسؤولياتهم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القائمة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القائد المثالي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القائمة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القائمة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الوالي تجاه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القائمة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اختيار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القائمة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كُتّاب الديوان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القائمة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التجّار وأهل الصناعات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القائمة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التجّار الإيجابية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القائمة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التجّار السلبية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القائمة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الطبقة السفلى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القائمة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مساويء احتجاب الوالي عن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القائمة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تعامل الوالي مع البطانة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القائمة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الصلح المحمود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عواقب سفك الدماء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الثالث المقاربات التداولية في قوائم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القُرآنیّ والحديثي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التخاطب اللساني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الكلامية المباشرة وغير المباشرة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خاتمة البحث ونتائجه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البحث و مراجعه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نكتة البحث الطريفة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في بَدْء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فكرة قدح بها الدكتور رحيم الشَّريفيّ إلى طلبة الدراسات العليا في قسم علوم القرآن، كلية الدراسات القرآنية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الفيومي،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قوم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قوم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قوم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قوم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إبراهيم مصطفى وزملاؤه،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قوم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معجم اللغة العربية المعاصرة، الدكتور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المصطلح في التراث العربي الديني والعلمي والأدبي،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الكتاني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والجداول الجامعة في العلوم النافعة، جاسم مهلهل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البيانات وطرق المعاينة،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علوان مطلق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الباحثين في المنهجية والترقيم والعدد والتوثيق،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إبراهيم الشاعر،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شاکر سعید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قراءات لغوية في النص القرآني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النقد التفسيري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سیروان عبد الزهرة الجنابي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الآيثة </w:t>
      </w:r>
      <w:r>
        <w:rPr>
          <w:rFonts w:eastAsia="IRNazanin" w:cs="IRNazanin"/>
          <w:b w:val="false"/>
          <w:bCs w:val="false"/>
          <w:i w:val="false"/>
          <w:iCs w:val="false"/>
          <w:color w:val="333333"/>
          <w:sz w:val="20"/>
          <w:szCs w:val="20"/>
        </w:rPr>
        <w:t>51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عقیل،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علوم نهج البلاغة، الخطيب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البرنامج الأمثل لإدارة الدولة وقيادة المجتمع في عهد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لمالك الأشتر، السيد حسين بركة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النهج في نهج البلاغة،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والأثر القرآني في نهج البلاغة، عباس علي الفحام،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البرنامج الأمثل لإدارة الدولة وقيادة المجتمع، </w:t>
      </w:r>
      <w:r>
        <w:rPr>
          <w:rFonts w:eastAsia="IRNazanin" w:cs="IRNazanin"/>
          <w:b w:val="false"/>
          <w:bCs w:val="false"/>
          <w:i w:val="false"/>
          <w:iCs w:val="false"/>
          <w:color w:val="333333"/>
          <w:sz w:val="20"/>
          <w:szCs w:val="20"/>
        </w:rPr>
        <w:t>28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النهج في نهج البلاغة، </w:t>
      </w:r>
      <w:r>
        <w:rPr>
          <w:rFonts w:eastAsia="IRNazanin" w:cs="IRNazanin"/>
          <w:b w:val="false"/>
          <w:bCs w:val="false"/>
          <w:i w:val="false"/>
          <w:iCs w:val="false"/>
          <w:color w:val="333333"/>
          <w:sz w:val="20"/>
          <w:szCs w:val="20"/>
        </w:rPr>
        <w:t>180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مرتضى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میثاق إدارة الدولة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عهد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لمالك الأشتر، الشيخ زین العابدین قرباني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البرنامج الأمثل لإدارة الدولة وقيادة المجتمع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إنسانية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ضوء عهده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تحليلية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 الشريفي،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كاظم أسد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الحضارية في نهج البلاغة، باقر شريف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437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السيد هاشم الميلاني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البرنامج الأمثل لإدارة الدولة وقيادة المجتمع،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والتحليل الإحصائي للبيانات، </w:t>
      </w:r>
      <w:r>
        <w:rPr>
          <w:rFonts w:eastAsia="IRNazanin" w:cs="IRNazanin"/>
          <w:b w:val="false"/>
          <w:bCs w:val="false"/>
          <w:i w:val="false"/>
          <w:iCs w:val="false"/>
          <w:color w:val="333333"/>
          <w:sz w:val="20"/>
          <w:szCs w:val="20"/>
        </w:rPr>
        <w:t>29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إسهام الحكومة العلوية المثالية في رمزية مدينة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کریم الشريفي، </w:t>
      </w:r>
      <w:r>
        <w:rPr>
          <w:rFonts w:eastAsia="IRNazanin" w:cs="IRNazanin"/>
          <w:b w:val="false"/>
          <w:bCs w:val="false"/>
          <w:i w:val="false"/>
          <w:iCs w:val="false"/>
          <w:color w:val="333333"/>
          <w:sz w:val="20"/>
          <w:szCs w:val="20"/>
        </w:rPr>
        <w:t>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إنسانية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ضوء عهده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تحليلية،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 کریم الشريفي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کاظم أسد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البرنامج الأمثل لإدارة الدولة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القرآني في نهج البلاغة،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الفحام، </w:t>
      </w:r>
      <w:r>
        <w:rPr>
          <w:rFonts w:eastAsia="IRNazanin" w:cs="IRNazanin"/>
          <w:b w:val="false"/>
          <w:bCs w:val="false"/>
          <w:i w:val="false"/>
          <w:iCs w:val="false"/>
          <w:color w:val="333333"/>
          <w:sz w:val="20"/>
          <w:szCs w:val="20"/>
        </w:rPr>
        <w:t>83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الدعوات و منهج العنايات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القرآني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البعد التداولي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مؤيد آل صوينت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استراتيجيات الخطاب مقاربة لغوية تداولية، عبد الهادي بن ظافر الشهري،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واللسان والميزان أو التكوثر الفعلي، طه عبد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آفاق جديدة في البحث اللغوي المعاصر، محمد أحمد نحلة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التداولية واستراتيجية التواصل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ذهبية حمو الحاج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التداولية عند العلماء العرب، </w:t>
      </w:r>
      <w:r>
        <w:rPr>
          <w:rFonts w:eastAsia="IRNazanin" w:cs="IRNazanin"/>
          <w:b w:val="false"/>
          <w:bCs w:val="false"/>
          <w:i w:val="false"/>
          <w:iCs w:val="false"/>
          <w:color w:val="333333"/>
          <w:sz w:val="20"/>
          <w:szCs w:val="20"/>
        </w:rPr>
        <w:t>32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اللسانيات التداولية في الخطاب القانوني،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جبار کاظم، </w:t>
      </w:r>
      <w:r>
        <w:rPr>
          <w:rFonts w:eastAsia="IRNazanin" w:cs="IRNazanin"/>
          <w:b w:val="false"/>
          <w:bCs w:val="false"/>
          <w:i w:val="false"/>
          <w:iCs w:val="false"/>
          <w:color w:val="333333"/>
          <w:sz w:val="20"/>
          <w:szCs w:val="20"/>
        </w:rPr>
        <w:t>75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استراتيجيات الخطاب مقاربة تداولية، عبد الهادي ظاهر الشهري، </w:t>
      </w:r>
      <w:r>
        <w:rPr>
          <w:rFonts w:eastAsia="IRNazanin" w:cs="IRNazanin"/>
          <w:b w:val="false"/>
          <w:bCs w:val="false"/>
          <w:i w:val="false"/>
          <w:iCs w:val="false"/>
          <w:color w:val="333333"/>
          <w:sz w:val="20"/>
          <w:szCs w:val="20"/>
        </w:rPr>
        <w:t>135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آفاق جديدة في البحث اللغوي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الكلام العامة، كيف تنجز الأشياء بالكلام، أوسن، ترجمة عبد القادر قنیني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السياقات الإنتاجية للخطاب الإنشائي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أسلوب النداء أنموذجاً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 الشريفي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المحنی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 محمد باقر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في أصول الفقه،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فضل الله، </w:t>
      </w:r>
      <w:r>
        <w:rPr>
          <w:rFonts w:eastAsia="IRNazanin" w:cs="IRNazanin"/>
          <w:b w:val="false"/>
          <w:bCs w:val="false"/>
          <w:i w:val="false"/>
          <w:iCs w:val="false"/>
          <w:color w:val="333333"/>
          <w:sz w:val="20"/>
          <w:szCs w:val="20"/>
        </w:rPr>
        <w:t>34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10615</Words>
  <Characters>51214</Characters>
  <CharactersWithSpaces>61174</CharactersWithSpaces>
  <Paragraphs>895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2026-08-27T17:54:26Z</dcterms:created>
  <dc:creator>ghaemiyeh.com</dc:creator>
  <dc:description/>
  <dc:language>en-US</dc:language>
  <cp:lastModifiedBy/>
  <dcterms:modified xsi:type="dcterms:W3CDTF">2026-08-27T21:24:29Z</dcterms:modified>
  <cp:revision>1</cp:revision>
  <dc:subject/>
  <dc:title>أثر القوائم فی تکشیف الدلالات عهد الإمام علی علیه السلام لمالک الأشتر رضی الله عنه أنموذجاً مقاربة تداولیة</dc:title>
</cp:coreProperties>
</file>

<file path=docProps/custom.xml><?xml version="1.0" encoding="utf-8"?>
<Properties xmlns="http://schemas.openxmlformats.org/officeDocument/2006/custom-properties" xmlns:vt="http://schemas.openxmlformats.org/officeDocument/2006/docPropsVTypes"/>
</file>