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شورى الفقهاء والقیادات الإسلامیة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23924_1051229030">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8923926_105122903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8923928_1051229030">
            <w:r>
              <w:rPr>
                <w:webHidden/>
                <w:rStyle w:val="IndexLink"/>
                <w:rtl w:val="true"/>
              </w:rPr>
              <w:t>الإهداء</w:t>
            </w:r>
            <w:r>
              <w:rPr>
                <w:rStyle w:val="IndexLink"/>
                <w:rtl w:val="true"/>
              </w:rPr>
              <w:tab/>
            </w:r>
            <w:r>
              <w:rPr>
                <w:rStyle w:val="IndexLink"/>
              </w:rPr>
              <w:t>18</w:t>
            </w:r>
          </w:hyperlink>
        </w:p>
        <w:p>
          <w:pPr>
            <w:pStyle w:val="Contents2"/>
            <w:tabs>
              <w:tab w:val="clear" w:pos="8743"/>
              <w:tab w:val="right" w:pos="9026" w:leader="dot"/>
            </w:tabs>
            <w:rPr/>
          </w:pPr>
          <w:hyperlink w:anchor="__RefHeading___Toc8923930_1051229030">
            <w:r>
              <w:rPr>
                <w:webHidden/>
                <w:rStyle w:val="IndexLink"/>
                <w:rtl w:val="true"/>
              </w:rPr>
              <w:t>المقدمة</w:t>
            </w:r>
            <w:r>
              <w:rPr>
                <w:rStyle w:val="IndexLink"/>
                <w:rtl w:val="true"/>
              </w:rPr>
              <w:tab/>
            </w:r>
            <w:r>
              <w:rPr>
                <w:rStyle w:val="IndexLink"/>
              </w:rPr>
              <w:t>20</w:t>
            </w:r>
          </w:hyperlink>
        </w:p>
        <w:p>
          <w:pPr>
            <w:pStyle w:val="Contents2"/>
            <w:tabs>
              <w:tab w:val="clear" w:pos="8743"/>
              <w:tab w:val="right" w:pos="9026" w:leader="dot"/>
            </w:tabs>
            <w:rPr/>
          </w:pPr>
          <w:hyperlink w:anchor="__RefHeading___Toc8923932_1051229030">
            <w:r>
              <w:rPr>
                <w:webHidden/>
                <w:rStyle w:val="IndexLink"/>
                <w:rtl w:val="true"/>
              </w:rPr>
              <w:t>المقدمة المنهجية للكتاب</w:t>
            </w:r>
            <w:r>
              <w:rPr>
                <w:rStyle w:val="IndexLink"/>
                <w:rtl w:val="true"/>
              </w:rPr>
              <w:tab/>
            </w:r>
            <w:r>
              <w:rPr>
                <w:rStyle w:val="IndexLink"/>
              </w:rPr>
              <w:t>28</w:t>
            </w:r>
          </w:hyperlink>
        </w:p>
        <w:p>
          <w:pPr>
            <w:pStyle w:val="Contents3"/>
            <w:tabs>
              <w:tab w:val="clear" w:pos="8459"/>
              <w:tab w:val="right" w:pos="9026" w:leader="dot"/>
            </w:tabs>
            <w:rPr/>
          </w:pPr>
          <w:hyperlink w:anchor="__RefHeading___Toc8923934_1051229030">
            <w:r>
              <w:rPr>
                <w:webHidden/>
                <w:rStyle w:val="IndexLink"/>
                <w:rtl w:val="true"/>
              </w:rPr>
              <w:t>موضوع البحث ونطاقه</w:t>
            </w:r>
            <w:r>
              <w:rPr>
                <w:rStyle w:val="IndexLink"/>
                <w:rtl w:val="true"/>
              </w:rPr>
              <w:tab/>
            </w:r>
            <w:r>
              <w:rPr>
                <w:rStyle w:val="IndexLink"/>
              </w:rPr>
              <w:t>28</w:t>
            </w:r>
          </w:hyperlink>
        </w:p>
        <w:p>
          <w:pPr>
            <w:pStyle w:val="Contents2"/>
            <w:tabs>
              <w:tab w:val="clear" w:pos="8743"/>
              <w:tab w:val="right" w:pos="9026" w:leader="dot"/>
            </w:tabs>
            <w:rPr/>
          </w:pPr>
          <w:hyperlink w:anchor="__RefHeading___Toc8923936_1051229030">
            <w:r>
              <w:rPr>
                <w:webHidden/>
                <w:rStyle w:val="IndexLink"/>
                <w:rtl w:val="true"/>
              </w:rPr>
              <w:t>مباني البحث</w:t>
            </w:r>
            <w:r>
              <w:rPr>
                <w:rStyle w:val="IndexLink"/>
                <w:rtl w:val="true"/>
              </w:rPr>
              <w:tab/>
            </w:r>
            <w:r>
              <w:rPr>
                <w:rStyle w:val="IndexLink"/>
              </w:rPr>
              <w:t>30</w:t>
            </w:r>
          </w:hyperlink>
        </w:p>
        <w:p>
          <w:pPr>
            <w:pStyle w:val="Contents3"/>
            <w:tabs>
              <w:tab w:val="clear" w:pos="8459"/>
              <w:tab w:val="right" w:pos="9026" w:leader="dot"/>
            </w:tabs>
            <w:rPr/>
          </w:pPr>
          <w:hyperlink w:anchor="__RefHeading___Toc8923938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8923940_1051229030">
            <w:r>
              <w:rPr>
                <w:webHidden/>
                <w:rStyle w:val="IndexLink"/>
                <w:rtl w:val="true"/>
              </w:rPr>
              <w:t>معضلة البحث</w:t>
            </w:r>
            <w:r>
              <w:rPr>
                <w:rStyle w:val="IndexLink"/>
                <w:rtl w:val="true"/>
              </w:rPr>
              <w:tab/>
            </w:r>
            <w:r>
              <w:rPr>
                <w:rStyle w:val="IndexLink"/>
              </w:rPr>
              <w:t>31</w:t>
            </w:r>
          </w:hyperlink>
        </w:p>
        <w:p>
          <w:pPr>
            <w:pStyle w:val="Contents3"/>
            <w:tabs>
              <w:tab w:val="clear" w:pos="8459"/>
              <w:tab w:val="right" w:pos="9026" w:leader="dot"/>
            </w:tabs>
            <w:rPr/>
          </w:pPr>
          <w:hyperlink w:anchor="__RefHeading___Toc8923942_1051229030">
            <w:r>
              <w:rPr>
                <w:webHidden/>
                <w:rStyle w:val="IndexLink"/>
                <w:rtl w:val="true"/>
              </w:rPr>
              <w:t>منهجية البحث والمخاطبون به</w:t>
            </w:r>
            <w:r>
              <w:rPr>
                <w:rStyle w:val="IndexLink"/>
                <w:rtl w:val="true"/>
              </w:rPr>
              <w:tab/>
            </w:r>
            <w:r>
              <w:rPr>
                <w:rStyle w:val="IndexLink"/>
              </w:rPr>
              <w:t>32</w:t>
            </w:r>
          </w:hyperlink>
        </w:p>
        <w:p>
          <w:pPr>
            <w:pStyle w:val="Contents3"/>
            <w:tabs>
              <w:tab w:val="clear" w:pos="8459"/>
              <w:tab w:val="right" w:pos="9026" w:leader="dot"/>
            </w:tabs>
            <w:rPr/>
          </w:pPr>
          <w:hyperlink w:anchor="__RefHeading___Toc8923944_1051229030">
            <w:r>
              <w:rPr>
                <w:webHidden/>
                <w:rStyle w:val="IndexLink"/>
                <w:rtl w:val="true"/>
              </w:rPr>
              <w:t>هيكليته ومصادره</w:t>
            </w:r>
            <w:r>
              <w:rPr>
                <w:rStyle w:val="IndexLink"/>
                <w:rtl w:val="true"/>
              </w:rPr>
              <w:tab/>
            </w:r>
            <w:r>
              <w:rPr>
                <w:rStyle w:val="IndexLink"/>
              </w:rPr>
              <w:t>32</w:t>
            </w:r>
          </w:hyperlink>
        </w:p>
        <w:p>
          <w:pPr>
            <w:pStyle w:val="Contents2"/>
            <w:tabs>
              <w:tab w:val="clear" w:pos="8743"/>
              <w:tab w:val="right" w:pos="9026" w:leader="dot"/>
            </w:tabs>
            <w:rPr/>
          </w:pPr>
          <w:hyperlink w:anchor="__RefHeading___Toc8923946_1051229030">
            <w:r>
              <w:rPr>
                <w:webHidden/>
                <w:rStyle w:val="IndexLink"/>
                <w:rtl w:val="true"/>
              </w:rPr>
              <w:t>الباب الأول</w:t>
            </w:r>
            <w:r>
              <w:rPr>
                <w:rStyle w:val="IndexLink"/>
                <w:rtl w:val="true"/>
              </w:rPr>
              <w:tab/>
            </w:r>
            <w:r>
              <w:rPr>
                <w:rStyle w:val="IndexLink"/>
              </w:rPr>
              <w:t>34</w:t>
            </w:r>
          </w:hyperlink>
        </w:p>
        <w:p>
          <w:pPr>
            <w:pStyle w:val="Contents3"/>
            <w:tabs>
              <w:tab w:val="clear" w:pos="8459"/>
              <w:tab w:val="right" w:pos="9026" w:leader="dot"/>
            </w:tabs>
            <w:rPr/>
          </w:pPr>
          <w:hyperlink w:anchor="__RefHeading___Toc8923948_105122903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8923950_1051229030">
            <w:r>
              <w:rPr>
                <w:webHidden/>
                <w:rStyle w:val="IndexLink"/>
                <w:rtl w:val="true"/>
              </w:rPr>
              <w:t>القسم الأول</w:t>
            </w:r>
            <w:r>
              <w:rPr>
                <w:rStyle w:val="IndexLink"/>
                <w:rtl w:val="true"/>
              </w:rPr>
              <w:tab/>
            </w:r>
            <w:r>
              <w:rPr>
                <w:rStyle w:val="IndexLink"/>
              </w:rPr>
              <w:t>34</w:t>
            </w:r>
          </w:hyperlink>
        </w:p>
        <w:p>
          <w:pPr>
            <w:pStyle w:val="Contents4"/>
            <w:tabs>
              <w:tab w:val="clear" w:pos="8176"/>
              <w:tab w:val="right" w:pos="9026" w:leader="dot"/>
            </w:tabs>
            <w:rPr/>
          </w:pPr>
          <w:hyperlink w:anchor="__RefHeading___Toc8923952_105122903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8923954_1051229030">
            <w:r>
              <w:rPr>
                <w:webHidden/>
                <w:rStyle w:val="IndexLink"/>
                <w:rtl w:val="true"/>
              </w:rPr>
              <w:t>الفصل الأول</w:t>
            </w:r>
            <w:r>
              <w:rPr>
                <w:rStyle w:val="IndexLink"/>
                <w:rtl w:val="true"/>
              </w:rPr>
              <w:t xml:space="preserve">: </w:t>
            </w:r>
            <w:r>
              <w:rPr>
                <w:rStyle w:val="IndexLink"/>
                <w:rtl w:val="true"/>
              </w:rPr>
              <w:t>في الاستدلال بقاعدة دفع الضرر المحتمل</w:t>
            </w:r>
            <w:r>
              <w:rPr>
                <w:rStyle w:val="IndexLink"/>
                <w:rtl w:val="true"/>
              </w:rPr>
              <w:tab/>
            </w:r>
            <w:r>
              <w:rPr>
                <w:rStyle w:val="IndexLink"/>
              </w:rPr>
              <w:t>34</w:t>
            </w:r>
          </w:hyperlink>
        </w:p>
        <w:p>
          <w:pPr>
            <w:pStyle w:val="Contents5"/>
            <w:tabs>
              <w:tab w:val="clear" w:pos="7892"/>
              <w:tab w:val="right" w:pos="9026" w:leader="dot"/>
            </w:tabs>
            <w:rPr/>
          </w:pPr>
          <w:hyperlink w:anchor="__RefHeading___Toc8923956_105122903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8923958_1051229030">
            <w:r>
              <w:rPr>
                <w:webHidden/>
                <w:rStyle w:val="IndexLink"/>
                <w:rtl w:val="true"/>
              </w:rPr>
              <w:t>الاستدلال بدفع الضرر البالغ المحتمل</w:t>
            </w:r>
            <w:r>
              <w:rPr>
                <w:rStyle w:val="IndexLink"/>
                <w:rtl w:val="true"/>
              </w:rPr>
              <w:tab/>
            </w:r>
            <w:r>
              <w:rPr>
                <w:rStyle w:val="IndexLink"/>
              </w:rPr>
              <w:t>36</w:t>
            </w:r>
          </w:hyperlink>
        </w:p>
        <w:p>
          <w:pPr>
            <w:pStyle w:val="Contents6"/>
            <w:tabs>
              <w:tab w:val="clear" w:pos="7609"/>
              <w:tab w:val="right" w:pos="9026" w:leader="dot"/>
            </w:tabs>
            <w:rPr/>
          </w:pPr>
          <w:hyperlink w:anchor="__RefHeading___Toc8923960_1051229030">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8923962_1051229030">
            <w:r>
              <w:rPr>
                <w:webHidden/>
                <w:rStyle w:val="IndexLink"/>
                <w:rtl w:val="true"/>
              </w:rPr>
              <w:t>اتباع الرأي الواحد إلقاء للناس في التهلكة</w:t>
            </w:r>
            <w:r>
              <w:rPr>
                <w:rStyle w:val="IndexLink"/>
                <w:rtl w:val="true"/>
              </w:rPr>
              <w:tab/>
            </w:r>
            <w:r>
              <w:rPr>
                <w:rStyle w:val="IndexLink"/>
              </w:rPr>
              <w:t>38</w:t>
            </w:r>
          </w:hyperlink>
        </w:p>
        <w:p>
          <w:pPr>
            <w:pStyle w:val="Contents6"/>
            <w:tabs>
              <w:tab w:val="clear" w:pos="7609"/>
              <w:tab w:val="right" w:pos="9026" w:leader="dot"/>
            </w:tabs>
            <w:rPr/>
          </w:pPr>
          <w:hyperlink w:anchor="__RefHeading___Toc8923964_1051229030">
            <w:r>
              <w:rPr>
                <w:webHidden/>
                <w:rStyle w:val="IndexLink"/>
                <w:rtl w:val="true"/>
              </w:rPr>
              <w:t>الإشكال بأن رأي الفقيه حجة شرعاً وإن انفرد</w:t>
            </w:r>
            <w:r>
              <w:rPr>
                <w:rStyle w:val="IndexLink"/>
                <w:rtl w:val="true"/>
              </w:rPr>
              <w:tab/>
            </w:r>
            <w:r>
              <w:rPr>
                <w:rStyle w:val="IndexLink"/>
              </w:rPr>
              <w:t>39</w:t>
            </w:r>
          </w:hyperlink>
        </w:p>
        <w:p>
          <w:pPr>
            <w:pStyle w:val="Contents6"/>
            <w:tabs>
              <w:tab w:val="clear" w:pos="7609"/>
              <w:tab w:val="right" w:pos="9026" w:leader="dot"/>
            </w:tabs>
            <w:rPr/>
          </w:pPr>
          <w:hyperlink w:anchor="__RefHeading___Toc8923966_1051229030">
            <w:r>
              <w:rPr>
                <w:webHidden/>
                <w:rStyle w:val="IndexLink"/>
                <w:rtl w:val="true"/>
              </w:rPr>
              <w:t>الجواب</w:t>
            </w:r>
            <w:r>
              <w:rPr>
                <w:rStyle w:val="IndexLink"/>
                <w:rtl w:val="true"/>
              </w:rPr>
              <w:t>:</w:t>
              <w:tab/>
            </w:r>
            <w:r>
              <w:rPr>
                <w:rStyle w:val="IndexLink"/>
              </w:rPr>
              <w:t>40</w:t>
            </w:r>
          </w:hyperlink>
        </w:p>
        <w:p>
          <w:pPr>
            <w:pStyle w:val="Contents6"/>
            <w:tabs>
              <w:tab w:val="clear" w:pos="7609"/>
              <w:tab w:val="right" w:pos="9026" w:leader="dot"/>
            </w:tabs>
            <w:rPr/>
          </w:pPr>
          <w:hyperlink w:anchor="__RefHeading___Toc8923968_1051229030">
            <w:r>
              <w:rPr>
                <w:webHidden/>
                <w:rStyle w:val="IndexLink"/>
              </w:rPr>
              <w:t>1</w:t>
            </w:r>
            <w:r>
              <w:rPr>
                <w:rStyle w:val="IndexLink"/>
                <w:rtl w:val="true"/>
              </w:rPr>
              <w:t xml:space="preserve">: </w:t>
            </w:r>
            <w:r>
              <w:rPr>
                <w:rStyle w:val="IndexLink"/>
                <w:rtl w:val="true"/>
              </w:rPr>
              <w:t>أجنبية الفتوى عن الحكومة</w:t>
            </w:r>
            <w:r>
              <w:rPr>
                <w:rStyle w:val="IndexLink"/>
                <w:rtl w:val="true"/>
              </w:rPr>
              <w:tab/>
            </w:r>
            <w:r>
              <w:rPr>
                <w:rStyle w:val="IndexLink"/>
              </w:rPr>
              <w:t>40</w:t>
            </w:r>
          </w:hyperlink>
        </w:p>
        <w:p>
          <w:pPr>
            <w:pStyle w:val="Contents6"/>
            <w:tabs>
              <w:tab w:val="clear" w:pos="7609"/>
              <w:tab w:val="right" w:pos="9026" w:leader="dot"/>
            </w:tabs>
            <w:rPr/>
          </w:pPr>
          <w:hyperlink w:anchor="__RefHeading___Toc8923970_1051229030">
            <w:r>
              <w:rPr>
                <w:webHidden/>
                <w:rStyle w:val="IndexLink"/>
              </w:rPr>
              <w:t>2</w:t>
            </w:r>
            <w:r>
              <w:rPr>
                <w:rStyle w:val="IndexLink"/>
                <w:rtl w:val="true"/>
              </w:rPr>
              <w:t xml:space="preserve">: </w:t>
            </w:r>
            <w:r>
              <w:rPr>
                <w:rStyle w:val="IndexLink"/>
                <w:rtl w:val="true"/>
              </w:rPr>
              <w:t>الترجيح مع الأكثرية</w:t>
            </w:r>
            <w:r>
              <w:rPr>
                <w:rStyle w:val="IndexLink"/>
                <w:rtl w:val="true"/>
              </w:rPr>
              <w:tab/>
            </w:r>
            <w:r>
              <w:rPr>
                <w:rStyle w:val="IndexLink"/>
              </w:rPr>
              <w:t>41</w:t>
            </w:r>
          </w:hyperlink>
        </w:p>
        <w:p>
          <w:pPr>
            <w:pStyle w:val="Contents6"/>
            <w:tabs>
              <w:tab w:val="clear" w:pos="7609"/>
              <w:tab w:val="right" w:pos="9026" w:leader="dot"/>
            </w:tabs>
            <w:rPr/>
          </w:pPr>
          <w:hyperlink w:anchor="__RefHeading___Toc8923972_1051229030">
            <w:r>
              <w:rPr>
                <w:webHidden/>
                <w:rStyle w:val="IndexLink"/>
                <w:rtl w:val="true"/>
              </w:rPr>
              <w:t>الإشكال باحتمال كون رأي الفقيه حجة تعبدية</w:t>
            </w:r>
            <w:r>
              <w:rPr>
                <w:rStyle w:val="IndexLink"/>
                <w:rtl w:val="true"/>
              </w:rPr>
              <w:tab/>
            </w:r>
            <w:r>
              <w:rPr>
                <w:rStyle w:val="IndexLink"/>
              </w:rPr>
              <w:t>42</w:t>
            </w:r>
          </w:hyperlink>
        </w:p>
        <w:p>
          <w:pPr>
            <w:pStyle w:val="Contents6"/>
            <w:tabs>
              <w:tab w:val="clear" w:pos="7609"/>
              <w:tab w:val="right" w:pos="9026" w:leader="dot"/>
            </w:tabs>
            <w:rPr/>
          </w:pPr>
          <w:hyperlink w:anchor="__RefHeading___Toc8923974_1051229030">
            <w:r>
              <w:rPr>
                <w:webHidden/>
                <w:rStyle w:val="IndexLink"/>
                <w:rtl w:val="true"/>
              </w:rPr>
              <w:t>الجواب</w:t>
            </w:r>
            <w:r>
              <w:rPr>
                <w:rStyle w:val="IndexLink"/>
                <w:rtl w:val="true"/>
              </w:rPr>
              <w:t xml:space="preserve">: </w:t>
            </w:r>
            <w:r>
              <w:rPr>
                <w:rStyle w:val="IndexLink"/>
                <w:rtl w:val="true"/>
              </w:rPr>
              <w:t>بل حجيته لأماريته وطريقيته</w:t>
            </w:r>
            <w:r>
              <w:rPr>
                <w:rStyle w:val="IndexLink"/>
                <w:rtl w:val="true"/>
              </w:rPr>
              <w:tab/>
            </w:r>
            <w:r>
              <w:rPr>
                <w:rStyle w:val="IndexLink"/>
              </w:rPr>
              <w:t>42</w:t>
            </w:r>
          </w:hyperlink>
        </w:p>
        <w:p>
          <w:pPr>
            <w:pStyle w:val="Contents6"/>
            <w:tabs>
              <w:tab w:val="clear" w:pos="7609"/>
              <w:tab w:val="right" w:pos="9026" w:leader="dot"/>
            </w:tabs>
            <w:rPr/>
          </w:pPr>
          <w:hyperlink w:anchor="__RefHeading___Toc8923976_1051229030">
            <w:r>
              <w:rPr>
                <w:webHidden/>
                <w:rStyle w:val="IndexLink"/>
                <w:rtl w:val="true"/>
              </w:rPr>
              <w:t xml:space="preserve">الإشكال بأن حجيته طريقية </w:t>
            </w:r>
            <w:r>
              <w:rPr>
                <w:rStyle w:val="IndexLink"/>
                <w:rtl w:val="true"/>
              </w:rPr>
              <w:t xml:space="preserve">- </w:t>
            </w:r>
            <w:r>
              <w:rPr>
                <w:rStyle w:val="IndexLink"/>
                <w:rtl w:val="true"/>
              </w:rPr>
              <w:t>تعبدية</w:t>
            </w:r>
            <w:r>
              <w:rPr>
                <w:rStyle w:val="IndexLink"/>
                <w:rtl w:val="true"/>
              </w:rPr>
              <w:tab/>
            </w:r>
            <w:r>
              <w:rPr>
                <w:rStyle w:val="IndexLink"/>
              </w:rPr>
              <w:t>44</w:t>
            </w:r>
          </w:hyperlink>
        </w:p>
        <w:p>
          <w:pPr>
            <w:pStyle w:val="Contents6"/>
            <w:tabs>
              <w:tab w:val="clear" w:pos="7609"/>
              <w:tab w:val="right" w:pos="9026" w:leader="dot"/>
            </w:tabs>
            <w:rPr/>
          </w:pPr>
          <w:hyperlink w:anchor="__RefHeading___Toc8923978_1051229030">
            <w:r>
              <w:rPr>
                <w:webHidden/>
                <w:rStyle w:val="IndexLink"/>
                <w:rtl w:val="true"/>
              </w:rPr>
              <w:t>الجواب</w:t>
            </w:r>
            <w:r>
              <w:rPr>
                <w:rStyle w:val="IndexLink"/>
                <w:rtl w:val="true"/>
              </w:rPr>
              <w:t xml:space="preserve">: </w:t>
            </w:r>
            <w:r>
              <w:rPr>
                <w:rStyle w:val="IndexLink"/>
                <w:rtl w:val="true"/>
              </w:rPr>
              <w:t>أصالة عدم أخذ أمر زائد تعبداً</w:t>
            </w:r>
            <w:r>
              <w:rPr>
                <w:rStyle w:val="IndexLink"/>
                <w:rtl w:val="true"/>
              </w:rPr>
              <w:tab/>
            </w:r>
            <w:r>
              <w:rPr>
                <w:rStyle w:val="IndexLink"/>
              </w:rPr>
              <w:t>44</w:t>
            </w:r>
          </w:hyperlink>
        </w:p>
        <w:p>
          <w:pPr>
            <w:pStyle w:val="Contents6"/>
            <w:tabs>
              <w:tab w:val="clear" w:pos="7609"/>
              <w:tab w:val="right" w:pos="9026" w:leader="dot"/>
            </w:tabs>
            <w:rPr/>
          </w:pPr>
          <w:hyperlink w:anchor="__RefHeading___Toc8923980_1051229030">
            <w:r>
              <w:rPr>
                <w:webHidden/>
                <w:rStyle w:val="IndexLink"/>
                <w:rtl w:val="true"/>
              </w:rPr>
              <w:t>من موارد إلغاء الفقهاء الخصوصية المحتمل تعبديتها</w:t>
            </w:r>
            <w:r>
              <w:rPr>
                <w:rStyle w:val="IndexLink"/>
                <w:rtl w:val="true"/>
              </w:rPr>
              <w:tab/>
            </w:r>
            <w:r>
              <w:rPr>
                <w:rStyle w:val="IndexLink"/>
              </w:rPr>
              <w:t>45</w:t>
            </w:r>
          </w:hyperlink>
        </w:p>
        <w:p>
          <w:pPr>
            <w:pStyle w:val="Contents6"/>
            <w:tabs>
              <w:tab w:val="clear" w:pos="7609"/>
              <w:tab w:val="right" w:pos="9026" w:leader="dot"/>
            </w:tabs>
            <w:rPr/>
          </w:pPr>
          <w:hyperlink w:anchor="__RefHeading___Toc8923982_1051229030">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8923984_1051229030">
            <w:r>
              <w:rPr>
                <w:webHidden/>
                <w:rStyle w:val="IndexLink"/>
                <w:rtl w:val="true"/>
              </w:rPr>
              <w:t>أ</w:t>
            </w:r>
            <w:r>
              <w:rPr>
                <w:rStyle w:val="IndexLink"/>
                <w:rtl w:val="true"/>
              </w:rPr>
              <w:t xml:space="preserve">: </w:t>
            </w:r>
            <w:r>
              <w:rPr>
                <w:rStyle w:val="IndexLink"/>
                <w:rtl w:val="true"/>
              </w:rPr>
              <w:t>جواز قضاء القاضي بعلمه رغم نصوص الحصر بغيره</w:t>
            </w:r>
            <w:r>
              <w:rPr>
                <w:rStyle w:val="IndexLink"/>
                <w:rtl w:val="true"/>
              </w:rPr>
              <w:tab/>
            </w:r>
            <w:r>
              <w:rPr>
                <w:rStyle w:val="IndexLink"/>
              </w:rPr>
              <w:t>45</w:t>
            </w:r>
          </w:hyperlink>
        </w:p>
        <w:p>
          <w:pPr>
            <w:pStyle w:val="Contents6"/>
            <w:tabs>
              <w:tab w:val="clear" w:pos="7609"/>
              <w:tab w:val="right" w:pos="9026" w:leader="dot"/>
            </w:tabs>
            <w:rPr/>
          </w:pPr>
          <w:hyperlink w:anchor="__RefHeading___Toc8923986_1051229030">
            <w:r>
              <w:rPr>
                <w:webHidden/>
                <w:rStyle w:val="IndexLink"/>
                <w:rtl w:val="true"/>
              </w:rPr>
              <w:t>ب</w:t>
            </w:r>
            <w:r>
              <w:rPr>
                <w:rStyle w:val="IndexLink"/>
                <w:rtl w:val="true"/>
              </w:rPr>
              <w:t xml:space="preserve">: </w:t>
            </w:r>
            <w:r>
              <w:rPr>
                <w:rStyle w:val="IndexLink"/>
                <w:rtl w:val="true"/>
              </w:rPr>
              <w:t>استدلال المشهور لتعين تقليد الأعلم ببناء العقلاء ليس إلا لكونه الأقرب</w:t>
            </w:r>
            <w:r>
              <w:rPr>
                <w:rStyle w:val="IndexLink"/>
                <w:rtl w:val="true"/>
              </w:rPr>
              <w:tab/>
            </w:r>
            <w:r>
              <w:rPr>
                <w:rStyle w:val="IndexLink"/>
              </w:rPr>
              <w:t>47</w:t>
            </w:r>
          </w:hyperlink>
        </w:p>
        <w:p>
          <w:pPr>
            <w:pStyle w:val="Contents6"/>
            <w:tabs>
              <w:tab w:val="clear" w:pos="7609"/>
              <w:tab w:val="right" w:pos="9026" w:leader="dot"/>
            </w:tabs>
            <w:rPr/>
          </w:pPr>
          <w:hyperlink w:anchor="__RefHeading___Toc8923988_1051229030">
            <w:r>
              <w:rPr>
                <w:webHidden/>
                <w:rStyle w:val="IndexLink"/>
                <w:rtl w:val="true"/>
              </w:rPr>
              <w:t>الإشكال باشتراط العدالة و</w:t>
            </w:r>
            <w:r>
              <w:rPr>
                <w:rStyle w:val="IndexLink"/>
                <w:rtl w:val="true"/>
              </w:rPr>
              <w:t>...</w:t>
              <w:tab/>
            </w:r>
            <w:r>
              <w:rPr>
                <w:rStyle w:val="IndexLink"/>
              </w:rPr>
              <w:t>49</w:t>
            </w:r>
          </w:hyperlink>
        </w:p>
        <w:p>
          <w:pPr>
            <w:pStyle w:val="Contents6"/>
            <w:tabs>
              <w:tab w:val="clear" w:pos="7609"/>
              <w:tab w:val="right" w:pos="9026" w:leader="dot"/>
            </w:tabs>
            <w:rPr/>
          </w:pPr>
          <w:hyperlink w:anchor="__RefHeading___Toc8923990_1051229030">
            <w:r>
              <w:rPr>
                <w:webHidden/>
                <w:rStyle w:val="IndexLink"/>
                <w:rtl w:val="true"/>
              </w:rPr>
              <w:t>جوابان عن الإشكال</w:t>
            </w:r>
            <w:r>
              <w:rPr>
                <w:rStyle w:val="IndexLink"/>
                <w:rtl w:val="true"/>
              </w:rPr>
              <w:tab/>
            </w:r>
            <w:r>
              <w:rPr>
                <w:rStyle w:val="IndexLink"/>
              </w:rPr>
              <w:t>49</w:t>
            </w:r>
          </w:hyperlink>
        </w:p>
        <w:p>
          <w:pPr>
            <w:pStyle w:val="Contents6"/>
            <w:tabs>
              <w:tab w:val="clear" w:pos="7609"/>
              <w:tab w:val="right" w:pos="9026" w:leader="dot"/>
            </w:tabs>
            <w:rPr/>
          </w:pPr>
          <w:hyperlink w:anchor="__RefHeading___Toc8923992_1051229030">
            <w:r>
              <w:rPr>
                <w:webHidden/>
                <w:rStyle w:val="IndexLink"/>
                <w:rtl w:val="true"/>
              </w:rPr>
              <w:t>ج</w:t>
            </w:r>
            <w:r>
              <w:rPr>
                <w:rStyle w:val="IndexLink"/>
                <w:rtl w:val="true"/>
              </w:rPr>
              <w:t xml:space="preserve">: </w:t>
            </w:r>
            <w:r>
              <w:rPr>
                <w:rStyle w:val="IndexLink"/>
                <w:rtl w:val="true"/>
              </w:rPr>
              <w:t>التزام المشهور بالتعدي عن المرجحات المنصوصة</w:t>
            </w:r>
            <w:r>
              <w:rPr>
                <w:rStyle w:val="IndexLink"/>
                <w:rtl w:val="true"/>
              </w:rPr>
              <w:tab/>
            </w:r>
            <w:r>
              <w:rPr>
                <w:rStyle w:val="IndexLink"/>
              </w:rPr>
              <w:t>51</w:t>
            </w:r>
          </w:hyperlink>
        </w:p>
        <w:p>
          <w:pPr>
            <w:pStyle w:val="Contents6"/>
            <w:tabs>
              <w:tab w:val="clear" w:pos="7609"/>
              <w:tab w:val="right" w:pos="9026" w:leader="dot"/>
            </w:tabs>
            <w:rPr/>
          </w:pPr>
          <w:hyperlink w:anchor="__RefHeading___Toc8923994_1051229030">
            <w:r>
              <w:rPr>
                <w:webHidden/>
                <w:rStyle w:val="IndexLink"/>
                <w:rtl w:val="true"/>
              </w:rPr>
              <w:t>د</w:t>
            </w:r>
            <w:r>
              <w:rPr>
                <w:rStyle w:val="IndexLink"/>
                <w:rtl w:val="true"/>
              </w:rPr>
              <w:t xml:space="preserve">: </w:t>
            </w:r>
            <w:r>
              <w:rPr>
                <w:rStyle w:val="IndexLink"/>
                <w:rtl w:val="true"/>
              </w:rPr>
              <w:t>كون الأصل في التعليل</w:t>
            </w:r>
            <w:r>
              <w:rPr>
                <w:rStyle w:val="IndexLink"/>
                <w:rtl w:val="true"/>
              </w:rPr>
              <w:t xml:space="preserve">: </w:t>
            </w:r>
            <w:r>
              <w:rPr>
                <w:rStyle w:val="IndexLink"/>
                <w:rtl w:val="true"/>
              </w:rPr>
              <w:t>التعليل بأمر ارتكازي</w:t>
            </w:r>
            <w:r>
              <w:rPr>
                <w:rStyle w:val="IndexLink"/>
                <w:rtl w:val="true"/>
              </w:rPr>
              <w:tab/>
            </w:r>
            <w:r>
              <w:rPr>
                <w:rStyle w:val="IndexLink"/>
              </w:rPr>
              <w:t>53</w:t>
            </w:r>
          </w:hyperlink>
        </w:p>
        <w:p>
          <w:pPr>
            <w:pStyle w:val="Contents6"/>
            <w:tabs>
              <w:tab w:val="clear" w:pos="7609"/>
              <w:tab w:val="right" w:pos="9026" w:leader="dot"/>
            </w:tabs>
            <w:rPr/>
          </w:pPr>
          <w:hyperlink w:anchor="__RefHeading___Toc8923996_1051229030">
            <w:r>
              <w:rPr>
                <w:webHidden/>
                <w:rStyle w:val="IndexLink"/>
                <w:rtl w:val="true"/>
              </w:rPr>
              <w:t>ه</w:t>
            </w:r>
            <w:r>
              <w:rPr>
                <w:rStyle w:val="IndexLink"/>
                <w:rtl w:val="true"/>
              </w:rPr>
              <w:t xml:space="preserve">: </w:t>
            </w:r>
            <w:r>
              <w:rPr>
                <w:rStyle w:val="IndexLink"/>
                <w:rtl w:val="true"/>
              </w:rPr>
              <w:t>استدلال الفقهاء لوجوب تقليد الأعلم بروايات باب القضاء</w:t>
            </w:r>
            <w:r>
              <w:rPr>
                <w:rStyle w:val="IndexLink"/>
                <w:rtl w:val="true"/>
              </w:rPr>
              <w:tab/>
            </w:r>
            <w:r>
              <w:rPr>
                <w:rStyle w:val="IndexLink"/>
              </w:rPr>
              <w:t>55</w:t>
            </w:r>
          </w:hyperlink>
        </w:p>
        <w:p>
          <w:pPr>
            <w:pStyle w:val="Contents4"/>
            <w:tabs>
              <w:tab w:val="clear" w:pos="8176"/>
              <w:tab w:val="right" w:pos="9026" w:leader="dot"/>
            </w:tabs>
            <w:rPr/>
          </w:pPr>
          <w:hyperlink w:anchor="__RefHeading___Toc8923998_1051229030">
            <w:r>
              <w:rPr>
                <w:webHidden/>
                <w:rStyle w:val="IndexLink"/>
                <w:rtl w:val="true"/>
              </w:rPr>
              <w:t>الفصل الثاني</w:t>
            </w:r>
            <w:r>
              <w:rPr>
                <w:rStyle w:val="IndexLink"/>
                <w:rtl w:val="true"/>
              </w:rPr>
              <w:t xml:space="preserve">: </w:t>
            </w:r>
            <w:r>
              <w:rPr>
                <w:rStyle w:val="IndexLink"/>
                <w:rtl w:val="true"/>
              </w:rPr>
              <w:t>في الاستدلال ببرهان الدوران والترديد</w:t>
            </w:r>
            <w:r>
              <w:rPr>
                <w:rStyle w:val="IndexLink"/>
                <w:rtl w:val="true"/>
              </w:rPr>
              <w:tab/>
            </w:r>
            <w:r>
              <w:rPr>
                <w:rStyle w:val="IndexLink"/>
              </w:rPr>
              <w:t>58</w:t>
            </w:r>
          </w:hyperlink>
        </w:p>
        <w:p>
          <w:pPr>
            <w:pStyle w:val="Contents5"/>
            <w:tabs>
              <w:tab w:val="clear" w:pos="7892"/>
              <w:tab w:val="right" w:pos="9026" w:leader="dot"/>
            </w:tabs>
            <w:rPr/>
          </w:pPr>
          <w:hyperlink w:anchor="__RefHeading___Toc8924000_105122903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8924002_1051229030">
            <w:r>
              <w:rPr>
                <w:webHidden/>
                <w:rStyle w:val="IndexLink"/>
                <w:rtl w:val="true"/>
              </w:rPr>
              <w:t>برهان الدوران والترديد</w:t>
            </w:r>
            <w:r>
              <w:rPr>
                <w:rStyle w:val="IndexLink"/>
                <w:rtl w:val="true"/>
              </w:rPr>
              <w:tab/>
            </w:r>
            <w:r>
              <w:rPr>
                <w:rStyle w:val="IndexLink"/>
              </w:rPr>
              <w:t>60</w:t>
            </w:r>
          </w:hyperlink>
        </w:p>
        <w:p>
          <w:pPr>
            <w:pStyle w:val="Contents6"/>
            <w:tabs>
              <w:tab w:val="clear" w:pos="7609"/>
              <w:tab w:val="right" w:pos="9026" w:leader="dot"/>
            </w:tabs>
            <w:rPr/>
          </w:pPr>
          <w:hyperlink w:anchor="__RefHeading___Toc8924004_1051229030">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8924006_1051229030">
            <w:r>
              <w:rPr>
                <w:webHidden/>
                <w:rStyle w:val="IndexLink"/>
              </w:rPr>
              <w:t>1</w:t>
            </w:r>
            <w:r>
              <w:rPr>
                <w:rStyle w:val="IndexLink"/>
                <w:rtl w:val="true"/>
              </w:rPr>
              <w:t xml:space="preserve">: </w:t>
            </w:r>
            <w:r>
              <w:rPr>
                <w:rStyle w:val="IndexLink"/>
                <w:rtl w:val="true"/>
              </w:rPr>
              <w:t>مناقشة فكرة نفوذ أمر كل فقيه على مقلديه فحسب</w:t>
            </w:r>
            <w:r>
              <w:rPr>
                <w:rStyle w:val="IndexLink"/>
                <w:rtl w:val="true"/>
              </w:rPr>
              <w:tab/>
            </w:r>
            <w:r>
              <w:rPr>
                <w:rStyle w:val="IndexLink"/>
              </w:rPr>
              <w:t>60</w:t>
            </w:r>
          </w:hyperlink>
        </w:p>
        <w:p>
          <w:pPr>
            <w:pStyle w:val="Contents6"/>
            <w:tabs>
              <w:tab w:val="clear" w:pos="7609"/>
              <w:tab w:val="right" w:pos="9026" w:leader="dot"/>
            </w:tabs>
            <w:rPr/>
          </w:pPr>
          <w:hyperlink w:anchor="__RefHeading___Toc8924008_1051229030">
            <w:r>
              <w:rPr>
                <w:webHidden/>
                <w:rStyle w:val="IndexLink"/>
                <w:rtl w:val="true"/>
              </w:rPr>
              <w:t>أما الأول</w:t>
            </w:r>
            <w:r>
              <w:rPr>
                <w:rStyle w:val="IndexLink"/>
                <w:rtl w:val="true"/>
              </w:rPr>
              <w:t>:</w:t>
              <w:tab/>
            </w:r>
            <w:r>
              <w:rPr>
                <w:rStyle w:val="IndexLink"/>
              </w:rPr>
              <w:t>60</w:t>
            </w:r>
          </w:hyperlink>
        </w:p>
        <w:p>
          <w:pPr>
            <w:pStyle w:val="Contents6"/>
            <w:tabs>
              <w:tab w:val="clear" w:pos="7609"/>
              <w:tab w:val="right" w:pos="9026" w:leader="dot"/>
            </w:tabs>
            <w:rPr/>
          </w:pPr>
          <w:hyperlink w:anchor="__RefHeading___Toc8924010_1051229030">
            <w:r>
              <w:rPr>
                <w:webHidden/>
                <w:rStyle w:val="IndexLink"/>
              </w:rPr>
              <w:t>2</w:t>
            </w:r>
            <w:r>
              <w:rPr>
                <w:rStyle w:val="IndexLink"/>
                <w:rtl w:val="true"/>
              </w:rPr>
              <w:t xml:space="preserve">: </w:t>
            </w:r>
            <w:r>
              <w:rPr>
                <w:rStyle w:val="IndexLink"/>
                <w:rtl w:val="true"/>
              </w:rPr>
              <w:t>مناقشة نظرية نفوذ أمر أحدهم غير المعين</w:t>
            </w:r>
            <w:r>
              <w:rPr>
                <w:rStyle w:val="IndexLink"/>
                <w:rtl w:val="true"/>
              </w:rPr>
              <w:tab/>
            </w:r>
            <w:r>
              <w:rPr>
                <w:rStyle w:val="IndexLink"/>
              </w:rPr>
              <w:t>66</w:t>
            </w:r>
          </w:hyperlink>
        </w:p>
        <w:p>
          <w:pPr>
            <w:pStyle w:val="Contents6"/>
            <w:tabs>
              <w:tab w:val="clear" w:pos="7609"/>
              <w:tab w:val="right" w:pos="9026" w:leader="dot"/>
            </w:tabs>
            <w:rPr/>
          </w:pPr>
          <w:hyperlink w:anchor="__RefHeading___Toc8924012_1051229030">
            <w:r>
              <w:rPr>
                <w:webHidden/>
                <w:rStyle w:val="IndexLink"/>
                <w:rtl w:val="true"/>
              </w:rPr>
              <w:t>وأما الثاني</w:t>
            </w:r>
            <w:r>
              <w:rPr>
                <w:rStyle w:val="IndexLink"/>
                <w:rtl w:val="true"/>
              </w:rPr>
              <w:t>:</w:t>
              <w:tab/>
            </w:r>
            <w:r>
              <w:rPr>
                <w:rStyle w:val="IndexLink"/>
              </w:rPr>
              <w:t>66</w:t>
            </w:r>
          </w:hyperlink>
        </w:p>
        <w:p>
          <w:pPr>
            <w:pStyle w:val="Contents6"/>
            <w:tabs>
              <w:tab w:val="clear" w:pos="7609"/>
              <w:tab w:val="right" w:pos="9026" w:leader="dot"/>
            </w:tabs>
            <w:rPr/>
          </w:pPr>
          <w:hyperlink w:anchor="__RefHeading___Toc8924014_1051229030">
            <w:r>
              <w:rPr>
                <w:webHidden/>
                <w:rStyle w:val="IndexLink"/>
              </w:rPr>
              <w:t>3</w:t>
            </w:r>
            <w:r>
              <w:rPr>
                <w:rStyle w:val="IndexLink"/>
                <w:rtl w:val="true"/>
              </w:rPr>
              <w:t xml:space="preserve">: </w:t>
            </w:r>
            <w:r>
              <w:rPr>
                <w:rStyle w:val="IndexLink"/>
                <w:rtl w:val="true"/>
              </w:rPr>
              <w:t>مناقشة فكرة نفوذ أمر أحدهم المعين</w:t>
            </w:r>
            <w:r>
              <w:rPr>
                <w:rStyle w:val="IndexLink"/>
                <w:rtl w:val="true"/>
              </w:rPr>
              <w:tab/>
            </w:r>
            <w:r>
              <w:rPr>
                <w:rStyle w:val="IndexLink"/>
              </w:rPr>
              <w:t>67</w:t>
            </w:r>
          </w:hyperlink>
        </w:p>
        <w:p>
          <w:pPr>
            <w:pStyle w:val="Contents6"/>
            <w:tabs>
              <w:tab w:val="clear" w:pos="7609"/>
              <w:tab w:val="right" w:pos="9026" w:leader="dot"/>
            </w:tabs>
            <w:rPr/>
          </w:pPr>
          <w:hyperlink w:anchor="__RefHeading___Toc8924016_1051229030">
            <w:r>
              <w:rPr>
                <w:webHidden/>
                <w:rStyle w:val="IndexLink"/>
                <w:rtl w:val="true"/>
              </w:rPr>
              <w:t>وأما الثالث</w:t>
            </w:r>
            <w:r>
              <w:rPr>
                <w:rStyle w:val="IndexLink"/>
                <w:rtl w:val="true"/>
              </w:rPr>
              <w:t>:</w:t>
              <w:tab/>
            </w:r>
            <w:r>
              <w:rPr>
                <w:rStyle w:val="IndexLink"/>
              </w:rPr>
              <w:t>67</w:t>
            </w:r>
          </w:hyperlink>
        </w:p>
        <w:p>
          <w:pPr>
            <w:pStyle w:val="Contents6"/>
            <w:tabs>
              <w:tab w:val="clear" w:pos="7609"/>
              <w:tab w:val="right" w:pos="9026" w:leader="dot"/>
            </w:tabs>
            <w:rPr/>
          </w:pPr>
          <w:hyperlink w:anchor="__RefHeading___Toc8924018_1051229030">
            <w:r>
              <w:rPr>
                <w:webHidden/>
                <w:rStyle w:val="IndexLink"/>
                <w:rtl w:val="true"/>
              </w:rPr>
              <w:t>أ</w:t>
            </w:r>
            <w:r>
              <w:rPr>
                <w:rStyle w:val="IndexLink"/>
                <w:rtl w:val="true"/>
              </w:rPr>
              <w:t xml:space="preserve">: </w:t>
            </w:r>
            <w:r>
              <w:rPr>
                <w:rStyle w:val="IndexLink"/>
                <w:rtl w:val="true"/>
              </w:rPr>
              <w:t>نفوذ حكم الأعلم والمناقشات</w:t>
            </w:r>
            <w:r>
              <w:rPr>
                <w:rStyle w:val="IndexLink"/>
                <w:rtl w:val="true"/>
              </w:rPr>
              <w:tab/>
            </w:r>
            <w:r>
              <w:rPr>
                <w:rStyle w:val="IndexLink"/>
              </w:rPr>
              <w:t>67</w:t>
            </w:r>
          </w:hyperlink>
        </w:p>
        <w:p>
          <w:pPr>
            <w:pStyle w:val="Contents6"/>
            <w:tabs>
              <w:tab w:val="clear" w:pos="7609"/>
              <w:tab w:val="right" w:pos="9026" w:leader="dot"/>
            </w:tabs>
            <w:rPr/>
          </w:pPr>
          <w:hyperlink w:anchor="__RefHeading___Toc8924020_1051229030">
            <w:r>
              <w:rPr>
                <w:webHidden/>
                <w:rStyle w:val="IndexLink"/>
                <w:rtl w:val="true"/>
              </w:rPr>
              <w:t>ب</w:t>
            </w:r>
            <w:r>
              <w:rPr>
                <w:rStyle w:val="IndexLink"/>
                <w:rtl w:val="true"/>
              </w:rPr>
              <w:t xml:space="preserve">: </w:t>
            </w:r>
            <w:r>
              <w:rPr>
                <w:rStyle w:val="IndexLink"/>
                <w:rtl w:val="true"/>
              </w:rPr>
              <w:t>نفوذ حكم ولي الأمر، والجواب</w:t>
            </w:r>
            <w:r>
              <w:rPr>
                <w:rStyle w:val="IndexLink"/>
                <w:rtl w:val="true"/>
              </w:rPr>
              <w:tab/>
            </w:r>
            <w:r>
              <w:rPr>
                <w:rStyle w:val="IndexLink"/>
              </w:rPr>
              <w:t>74</w:t>
            </w:r>
          </w:hyperlink>
        </w:p>
        <w:p>
          <w:pPr>
            <w:pStyle w:val="Contents6"/>
            <w:tabs>
              <w:tab w:val="clear" w:pos="7609"/>
              <w:tab w:val="right" w:pos="9026" w:leader="dot"/>
            </w:tabs>
            <w:rPr/>
          </w:pPr>
          <w:hyperlink w:anchor="__RefHeading___Toc8924022_1051229030">
            <w:r>
              <w:rPr>
                <w:webHidden/>
                <w:rStyle w:val="IndexLink"/>
                <w:rtl w:val="true"/>
              </w:rPr>
              <w:t>ج</w:t>
            </w:r>
            <w:r>
              <w:rPr>
                <w:rStyle w:val="IndexLink"/>
                <w:rtl w:val="true"/>
              </w:rPr>
              <w:t xml:space="preserve">: </w:t>
            </w:r>
            <w:r>
              <w:rPr>
                <w:rStyle w:val="IndexLink"/>
                <w:rtl w:val="true"/>
              </w:rPr>
              <w:t>مناقشة نظرية نفوذ حكم الفقيه الحاكم</w:t>
            </w:r>
            <w:r>
              <w:rPr>
                <w:rStyle w:val="IndexLink"/>
                <w:rtl w:val="true"/>
              </w:rPr>
              <w:tab/>
            </w:r>
            <w:r>
              <w:rPr>
                <w:rStyle w:val="IndexLink"/>
              </w:rPr>
              <w:t>75</w:t>
            </w:r>
          </w:hyperlink>
        </w:p>
        <w:p>
          <w:pPr>
            <w:pStyle w:val="Contents6"/>
            <w:tabs>
              <w:tab w:val="clear" w:pos="7609"/>
              <w:tab w:val="right" w:pos="9026" w:leader="dot"/>
            </w:tabs>
            <w:rPr/>
          </w:pPr>
          <w:hyperlink w:anchor="__RefHeading___Toc8924024_1051229030">
            <w:r>
              <w:rPr>
                <w:webHidden/>
                <w:rStyle w:val="IndexLink"/>
                <w:rtl w:val="true"/>
              </w:rPr>
              <w:t>د</w:t>
            </w:r>
            <w:r>
              <w:rPr>
                <w:rStyle w:val="IndexLink"/>
                <w:rtl w:val="true"/>
              </w:rPr>
              <w:t xml:space="preserve">: </w:t>
            </w:r>
            <w:r>
              <w:rPr>
                <w:rStyle w:val="IndexLink"/>
                <w:rtl w:val="true"/>
              </w:rPr>
              <w:t>مناقشة نظرية نفوذ حكم السابق من الفقهاء</w:t>
            </w:r>
            <w:r>
              <w:rPr>
                <w:rStyle w:val="IndexLink"/>
                <w:rtl w:val="true"/>
              </w:rPr>
              <w:tab/>
            </w:r>
            <w:r>
              <w:rPr>
                <w:rStyle w:val="IndexLink"/>
              </w:rPr>
              <w:t>79</w:t>
            </w:r>
          </w:hyperlink>
        </w:p>
        <w:p>
          <w:pPr>
            <w:pStyle w:val="Contents6"/>
            <w:tabs>
              <w:tab w:val="clear" w:pos="7609"/>
              <w:tab w:val="right" w:pos="9026" w:leader="dot"/>
            </w:tabs>
            <w:rPr/>
          </w:pPr>
          <w:hyperlink w:anchor="__RefHeading___Toc8924026_1051229030">
            <w:r>
              <w:rPr>
                <w:webHidden/>
                <w:rStyle w:val="IndexLink"/>
              </w:rPr>
              <w:t>4</w:t>
            </w:r>
            <w:r>
              <w:rPr>
                <w:rStyle w:val="IndexLink"/>
                <w:rtl w:val="true"/>
              </w:rPr>
              <w:t xml:space="preserve">: </w:t>
            </w:r>
            <w:r>
              <w:rPr>
                <w:rStyle w:val="IndexLink"/>
                <w:rtl w:val="true"/>
              </w:rPr>
              <w:t>مناقشة فكرة نفوذ أمر أحدهم المخير</w:t>
            </w:r>
            <w:r>
              <w:rPr>
                <w:rStyle w:val="IndexLink"/>
                <w:rtl w:val="true"/>
              </w:rPr>
              <w:tab/>
            </w:r>
            <w:r>
              <w:rPr>
                <w:rStyle w:val="IndexLink"/>
              </w:rPr>
              <w:t>86</w:t>
            </w:r>
          </w:hyperlink>
        </w:p>
        <w:p>
          <w:pPr>
            <w:pStyle w:val="Contents6"/>
            <w:tabs>
              <w:tab w:val="clear" w:pos="7609"/>
              <w:tab w:val="right" w:pos="9026" w:leader="dot"/>
            </w:tabs>
            <w:rPr/>
          </w:pPr>
          <w:hyperlink w:anchor="__RefHeading___Toc8924028_1051229030">
            <w:r>
              <w:rPr>
                <w:webHidden/>
                <w:rStyle w:val="IndexLink"/>
                <w:rtl w:val="true"/>
              </w:rPr>
              <w:t>وأما الرابع</w:t>
            </w:r>
            <w:r>
              <w:rPr>
                <w:rStyle w:val="IndexLink"/>
                <w:rtl w:val="true"/>
              </w:rPr>
              <w:t>:</w:t>
              <w:tab/>
            </w:r>
            <w:r>
              <w:rPr>
                <w:rStyle w:val="IndexLink"/>
              </w:rPr>
              <w:t>86</w:t>
            </w:r>
          </w:hyperlink>
        </w:p>
        <w:p>
          <w:pPr>
            <w:pStyle w:val="Contents6"/>
            <w:tabs>
              <w:tab w:val="clear" w:pos="7609"/>
              <w:tab w:val="right" w:pos="9026" w:leader="dot"/>
            </w:tabs>
            <w:rPr/>
          </w:pPr>
          <w:hyperlink w:anchor="__RefHeading___Toc8924030_1051229030">
            <w:r>
              <w:rPr>
                <w:webHidden/>
                <w:rStyle w:val="IndexLink"/>
                <w:rtl w:val="true"/>
              </w:rPr>
              <w:t>فلا مناص إلاّ من حكومة أكثرية الفقهاء</w:t>
            </w:r>
            <w:r>
              <w:rPr>
                <w:rStyle w:val="IndexLink"/>
                <w:rtl w:val="true"/>
              </w:rPr>
              <w:tab/>
            </w:r>
            <w:r>
              <w:rPr>
                <w:rStyle w:val="IndexLink"/>
              </w:rPr>
              <w:t>86</w:t>
            </w:r>
          </w:hyperlink>
        </w:p>
        <w:p>
          <w:pPr>
            <w:pStyle w:val="Contents4"/>
            <w:tabs>
              <w:tab w:val="clear" w:pos="8176"/>
              <w:tab w:val="right" w:pos="9026" w:leader="dot"/>
            </w:tabs>
            <w:rPr/>
          </w:pPr>
          <w:hyperlink w:anchor="__RefHeading___Toc8924032_1051229030">
            <w:r>
              <w:rPr>
                <w:webHidden/>
                <w:rStyle w:val="IndexLink"/>
                <w:rtl w:val="true"/>
              </w:rPr>
              <w:t>الفصل الثالث</w:t>
            </w:r>
            <w:r>
              <w:rPr>
                <w:rStyle w:val="IndexLink"/>
                <w:rtl w:val="true"/>
              </w:rPr>
              <w:tab/>
            </w:r>
            <w:r>
              <w:rPr>
                <w:rStyle w:val="IndexLink"/>
              </w:rPr>
              <w:t>88</w:t>
            </w:r>
          </w:hyperlink>
        </w:p>
        <w:p>
          <w:pPr>
            <w:pStyle w:val="Contents5"/>
            <w:tabs>
              <w:tab w:val="clear" w:pos="7892"/>
              <w:tab w:val="right" w:pos="9026" w:leader="dot"/>
            </w:tabs>
            <w:rPr/>
          </w:pPr>
          <w:hyperlink w:anchor="__RefHeading___Toc8924034_105122903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8924036_1051229030">
            <w:r>
              <w:rPr>
                <w:webHidden/>
                <w:rStyle w:val="IndexLink"/>
                <w:rtl w:val="true"/>
              </w:rPr>
              <w:t>الاستدلال بالتركب من آحاد كلها حجج</w:t>
            </w:r>
            <w:r>
              <w:rPr>
                <w:rStyle w:val="IndexLink"/>
                <w:rtl w:val="true"/>
              </w:rPr>
              <w:tab/>
            </w:r>
            <w:r>
              <w:rPr>
                <w:rStyle w:val="IndexLink"/>
              </w:rPr>
              <w:t>90</w:t>
            </w:r>
          </w:hyperlink>
        </w:p>
        <w:p>
          <w:pPr>
            <w:pStyle w:val="Contents5"/>
            <w:tabs>
              <w:tab w:val="clear" w:pos="7892"/>
              <w:tab w:val="right" w:pos="9026" w:leader="dot"/>
            </w:tabs>
            <w:rPr/>
          </w:pPr>
          <w:hyperlink w:anchor="__RefHeading___Toc8924038_1051229030">
            <w:r>
              <w:rPr>
                <w:webHidden/>
                <w:rStyle w:val="IndexLink"/>
                <w:rtl w:val="true"/>
              </w:rPr>
              <w:t>الاستدلال بالصدق على القليل والكثير</w:t>
            </w:r>
            <w:r>
              <w:rPr>
                <w:rStyle w:val="IndexLink"/>
                <w:rtl w:val="true"/>
              </w:rPr>
              <w:tab/>
            </w:r>
            <w:r>
              <w:rPr>
                <w:rStyle w:val="IndexLink"/>
              </w:rPr>
              <w:t>91</w:t>
            </w:r>
          </w:hyperlink>
        </w:p>
        <w:p>
          <w:pPr>
            <w:pStyle w:val="Contents5"/>
            <w:tabs>
              <w:tab w:val="clear" w:pos="7892"/>
              <w:tab w:val="right" w:pos="9026" w:leader="dot"/>
            </w:tabs>
            <w:rPr/>
          </w:pPr>
          <w:hyperlink w:anchor="__RefHeading___Toc8924040_1051229030">
            <w:r>
              <w:rPr>
                <w:webHidden/>
                <w:rStyle w:val="IndexLink"/>
                <w:rtl w:val="true"/>
              </w:rPr>
              <w:t>الموانع المتوهمة عن الرجوع إلى رأي الأكثرية</w:t>
            </w:r>
            <w:r>
              <w:rPr>
                <w:rStyle w:val="IndexLink"/>
                <w:rtl w:val="true"/>
              </w:rPr>
              <w:tab/>
            </w:r>
            <w:r>
              <w:rPr>
                <w:rStyle w:val="IndexLink"/>
              </w:rPr>
              <w:t>93</w:t>
            </w:r>
          </w:hyperlink>
        </w:p>
        <w:p>
          <w:pPr>
            <w:pStyle w:val="Contents5"/>
            <w:tabs>
              <w:tab w:val="clear" w:pos="7892"/>
              <w:tab w:val="right" w:pos="9026" w:leader="dot"/>
            </w:tabs>
            <w:rPr/>
          </w:pPr>
          <w:hyperlink w:anchor="__RefHeading___Toc8924042_1051229030">
            <w:r>
              <w:rPr>
                <w:webHidden/>
                <w:rStyle w:val="IndexLink"/>
                <w:rtl w:val="true"/>
              </w:rPr>
              <w:t xml:space="preserve">الأجوبة </w:t>
            </w:r>
            <w:r>
              <w:rPr>
                <w:rStyle w:val="IndexLink"/>
                <w:rtl w:val="true"/>
              </w:rPr>
              <w:t>:</w:t>
              <w:tab/>
            </w:r>
            <w:r>
              <w:rPr>
                <w:rStyle w:val="IndexLink"/>
              </w:rPr>
              <w:t>93</w:t>
            </w:r>
          </w:hyperlink>
        </w:p>
        <w:p>
          <w:pPr>
            <w:pStyle w:val="Contents5"/>
            <w:tabs>
              <w:tab w:val="clear" w:pos="7892"/>
              <w:tab w:val="right" w:pos="9026" w:leader="dot"/>
            </w:tabs>
            <w:rPr/>
          </w:pPr>
          <w:hyperlink w:anchor="__RefHeading___Toc8924044_1051229030">
            <w:r>
              <w:rPr>
                <w:webHidden/>
                <w:rStyle w:val="IndexLink"/>
                <w:rtl w:val="true"/>
              </w:rPr>
              <w:t>الوجوب التخييري للتقليد فطري أو عقلي وهو أعم</w:t>
            </w:r>
            <w:r>
              <w:rPr>
                <w:rStyle w:val="IndexLink"/>
                <w:rtl w:val="true"/>
              </w:rPr>
              <w:tab/>
            </w:r>
            <w:r>
              <w:rPr>
                <w:rStyle w:val="IndexLink"/>
              </w:rPr>
              <w:t>94</w:t>
            </w:r>
          </w:hyperlink>
        </w:p>
        <w:p>
          <w:pPr>
            <w:pStyle w:val="Contents5"/>
            <w:tabs>
              <w:tab w:val="clear" w:pos="7892"/>
              <w:tab w:val="right" w:pos="9026" w:leader="dot"/>
            </w:tabs>
            <w:rPr/>
          </w:pPr>
          <w:hyperlink w:anchor="__RefHeading___Toc8924046_1051229030">
            <w:r>
              <w:rPr>
                <w:webHidden/>
                <w:rStyle w:val="IndexLink"/>
                <w:rtl w:val="true"/>
              </w:rPr>
              <w:t>الاستناد للإطلاق المقامي واللفظي</w:t>
            </w:r>
            <w:r>
              <w:rPr>
                <w:rStyle w:val="IndexLink"/>
                <w:rtl w:val="true"/>
              </w:rPr>
              <w:tab/>
            </w:r>
            <w:r>
              <w:rPr>
                <w:rStyle w:val="IndexLink"/>
              </w:rPr>
              <w:t>99</w:t>
            </w:r>
          </w:hyperlink>
        </w:p>
        <w:p>
          <w:pPr>
            <w:pStyle w:val="Contents5"/>
            <w:tabs>
              <w:tab w:val="clear" w:pos="7892"/>
              <w:tab w:val="right" w:pos="9026" w:leader="dot"/>
            </w:tabs>
            <w:rPr/>
          </w:pPr>
          <w:hyperlink w:anchor="__RefHeading___Toc8924048_1051229030">
            <w:r>
              <w:rPr>
                <w:webHidden/>
                <w:rStyle w:val="IndexLink"/>
                <w:rtl w:val="true"/>
              </w:rPr>
              <w:t>الجواب عن إشكال أن المقام من الدوران بين المتباينين</w:t>
            </w:r>
            <w:r>
              <w:rPr>
                <w:rStyle w:val="IndexLink"/>
                <w:rtl w:val="true"/>
              </w:rPr>
              <w:tab/>
            </w:r>
            <w:r>
              <w:rPr>
                <w:rStyle w:val="IndexLink"/>
              </w:rPr>
              <w:t>99</w:t>
            </w:r>
          </w:hyperlink>
        </w:p>
        <w:p>
          <w:pPr>
            <w:pStyle w:val="Contents5"/>
            <w:tabs>
              <w:tab w:val="clear" w:pos="7892"/>
              <w:tab w:val="right" w:pos="9026" w:leader="dot"/>
            </w:tabs>
            <w:rPr/>
          </w:pPr>
          <w:hyperlink w:anchor="__RefHeading___Toc8924050_1051229030">
            <w:r>
              <w:rPr>
                <w:webHidden/>
                <w:rStyle w:val="IndexLink"/>
                <w:rtl w:val="true"/>
              </w:rPr>
              <w:t xml:space="preserve">الملحق </w:t>
            </w:r>
            <w:r>
              <w:rPr>
                <w:rStyle w:val="IndexLink"/>
                <w:rtl w:val="true"/>
              </w:rPr>
              <w:t>(</w:t>
            </w:r>
            <w:r>
              <w:rPr>
                <w:rStyle w:val="IndexLink"/>
              </w:rPr>
              <w:t>1</w:t>
            </w:r>
            <w:r>
              <w:rPr>
                <w:rStyle w:val="IndexLink"/>
                <w:rtl w:val="true"/>
              </w:rPr>
              <w:t>)</w:t>
              <w:tab/>
            </w:r>
            <w:r>
              <w:rPr>
                <w:rStyle w:val="IndexLink"/>
              </w:rPr>
              <w:t>102</w:t>
            </w:r>
          </w:hyperlink>
        </w:p>
        <w:p>
          <w:pPr>
            <w:pStyle w:val="Contents5"/>
            <w:tabs>
              <w:tab w:val="clear" w:pos="7892"/>
              <w:tab w:val="right" w:pos="9026" w:leader="dot"/>
            </w:tabs>
            <w:rPr/>
          </w:pPr>
          <w:hyperlink w:anchor="__RefHeading___Toc8924052_1051229030">
            <w:r>
              <w:rPr>
                <w:webHidden/>
                <w:rStyle w:val="IndexLink"/>
                <w:rtl w:val="true"/>
              </w:rPr>
              <w:t xml:space="preserve">الملحق </w:t>
            </w:r>
            <w:r>
              <w:rPr>
                <w:rStyle w:val="IndexLink"/>
                <w:rtl w:val="true"/>
              </w:rPr>
              <w:t>(</w:t>
            </w:r>
            <w:r>
              <w:rPr>
                <w:rStyle w:val="IndexLink"/>
              </w:rPr>
              <w:t>2</w:t>
            </w:r>
            <w:r>
              <w:rPr>
                <w:rStyle w:val="IndexLink"/>
                <w:rtl w:val="true"/>
              </w:rPr>
              <w:t>)</w:t>
              <w:tab/>
            </w:r>
            <w:r>
              <w:rPr>
                <w:rStyle w:val="IndexLink"/>
              </w:rPr>
              <w:t>109</w:t>
            </w:r>
          </w:hyperlink>
        </w:p>
        <w:p>
          <w:pPr>
            <w:pStyle w:val="Contents6"/>
            <w:tabs>
              <w:tab w:val="clear" w:pos="7609"/>
              <w:tab w:val="right" w:pos="9026" w:leader="dot"/>
            </w:tabs>
            <w:rPr/>
          </w:pPr>
          <w:hyperlink w:anchor="__RefHeading___Toc8924054_1051229030">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8924056_1051229030">
            <w:r>
              <w:rPr>
                <w:webHidden/>
                <w:rStyle w:val="IndexLink"/>
                <w:rtl w:val="true"/>
              </w:rPr>
              <w:t>تنبيه</w:t>
            </w:r>
            <w:r>
              <w:rPr>
                <w:rStyle w:val="IndexLink"/>
                <w:rtl w:val="true"/>
              </w:rPr>
              <w:t>:</w:t>
              <w:tab/>
            </w:r>
            <w:r>
              <w:rPr>
                <w:rStyle w:val="IndexLink"/>
              </w:rPr>
              <w:t>111</w:t>
            </w:r>
          </w:hyperlink>
        </w:p>
        <w:p>
          <w:pPr>
            <w:pStyle w:val="Contents6"/>
            <w:tabs>
              <w:tab w:val="clear" w:pos="7609"/>
              <w:tab w:val="right" w:pos="9026" w:leader="dot"/>
            </w:tabs>
            <w:rPr/>
          </w:pPr>
          <w:hyperlink w:anchor="__RefHeading___Toc8924058_1051229030">
            <w:r>
              <w:rPr>
                <w:webHidden/>
                <w:rStyle w:val="IndexLink"/>
                <w:rtl w:val="true"/>
              </w:rPr>
              <w:t>مناقشة مع الآخوند في نفيه الإطلاق في أدلة التقليد</w:t>
            </w:r>
            <w:r>
              <w:rPr>
                <w:rStyle w:val="IndexLink"/>
                <w:rtl w:val="true"/>
              </w:rPr>
              <w:tab/>
            </w:r>
            <w:r>
              <w:rPr>
                <w:rStyle w:val="IndexLink"/>
              </w:rPr>
              <w:t>112</w:t>
            </w:r>
          </w:hyperlink>
        </w:p>
        <w:p>
          <w:pPr>
            <w:pStyle w:val="Contents6"/>
            <w:tabs>
              <w:tab w:val="clear" w:pos="7609"/>
              <w:tab w:val="right" w:pos="9026" w:leader="dot"/>
            </w:tabs>
            <w:rPr/>
          </w:pPr>
          <w:hyperlink w:anchor="__RefHeading___Toc8924060_105122903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8924062_1051229030">
            <w:r>
              <w:rPr>
                <w:webHidden/>
                <w:rStyle w:val="IndexLink"/>
                <w:rtl w:val="true"/>
              </w:rPr>
              <w:t>مناقشة أخرى مع الآخوند في نفي ملاكية القرب للواقع</w:t>
            </w:r>
            <w:r>
              <w:rPr>
                <w:rStyle w:val="IndexLink"/>
                <w:rtl w:val="true"/>
              </w:rPr>
              <w:tab/>
            </w:r>
            <w:r>
              <w:rPr>
                <w:rStyle w:val="IndexLink"/>
              </w:rPr>
              <w:t>117</w:t>
            </w:r>
          </w:hyperlink>
        </w:p>
        <w:p>
          <w:pPr>
            <w:pStyle w:val="Contents6"/>
            <w:tabs>
              <w:tab w:val="clear" w:pos="7609"/>
              <w:tab w:val="right" w:pos="9026" w:leader="dot"/>
            </w:tabs>
            <w:rPr/>
          </w:pPr>
          <w:hyperlink w:anchor="__RefHeading___Toc8924064_1051229030">
            <w:r>
              <w:rPr>
                <w:webHidden/>
                <w:rStyle w:val="IndexLink"/>
                <w:rtl w:val="true"/>
              </w:rPr>
              <w:t>تنبيه آخر</w:t>
            </w:r>
            <w:r>
              <w:rPr>
                <w:rStyle w:val="IndexLink"/>
                <w:rtl w:val="true"/>
              </w:rPr>
              <w:t>:</w:t>
              <w:tab/>
            </w:r>
            <w:r>
              <w:rPr>
                <w:rStyle w:val="IndexLink"/>
              </w:rPr>
              <w:t>121</w:t>
            </w:r>
          </w:hyperlink>
        </w:p>
        <w:p>
          <w:pPr>
            <w:pStyle w:val="Contents6"/>
            <w:tabs>
              <w:tab w:val="clear" w:pos="7609"/>
              <w:tab w:val="right" w:pos="9026" w:leader="dot"/>
            </w:tabs>
            <w:rPr/>
          </w:pPr>
          <w:hyperlink w:anchor="__RefHeading___Toc8924066_1051229030">
            <w:r>
              <w:rPr>
                <w:webHidden/>
                <w:rStyle w:val="IndexLink"/>
                <w:rtl w:val="true"/>
              </w:rPr>
              <w:t>مناقشة القول بأن الأقربية لا توجب تعين الأخذ</w:t>
            </w:r>
            <w:r>
              <w:rPr>
                <w:rStyle w:val="IndexLink"/>
                <w:rtl w:val="true"/>
              </w:rPr>
              <w:tab/>
            </w:r>
            <w:r>
              <w:rPr>
                <w:rStyle w:val="IndexLink"/>
              </w:rPr>
              <w:t>121</w:t>
            </w:r>
          </w:hyperlink>
        </w:p>
        <w:p>
          <w:pPr>
            <w:pStyle w:val="Contents5"/>
            <w:tabs>
              <w:tab w:val="clear" w:pos="7892"/>
              <w:tab w:val="right" w:pos="9026" w:leader="dot"/>
            </w:tabs>
            <w:rPr/>
          </w:pPr>
          <w:hyperlink w:anchor="__RefHeading___Toc8924068_1051229030">
            <w:r>
              <w:rPr>
                <w:webHidden/>
                <w:rStyle w:val="IndexLink"/>
                <w:rtl w:val="true"/>
              </w:rPr>
              <w:t xml:space="preserve">الملحق </w:t>
            </w:r>
            <w:r>
              <w:rPr>
                <w:rStyle w:val="IndexLink"/>
                <w:rtl w:val="true"/>
              </w:rPr>
              <w:t>(</w:t>
            </w:r>
            <w:r>
              <w:rPr>
                <w:rStyle w:val="IndexLink"/>
              </w:rPr>
              <w:t>3</w:t>
            </w:r>
            <w:r>
              <w:rPr>
                <w:rStyle w:val="IndexLink"/>
                <w:rtl w:val="true"/>
              </w:rPr>
              <w:t>)</w:t>
              <w:tab/>
            </w:r>
            <w:r>
              <w:rPr>
                <w:rStyle w:val="IndexLink"/>
              </w:rPr>
              <w:t>127</w:t>
            </w:r>
          </w:hyperlink>
        </w:p>
        <w:p>
          <w:pPr>
            <w:pStyle w:val="Contents6"/>
            <w:tabs>
              <w:tab w:val="clear" w:pos="7609"/>
              <w:tab w:val="right" w:pos="9026" w:leader="dot"/>
            </w:tabs>
            <w:rPr/>
          </w:pPr>
          <w:hyperlink w:anchor="__RefHeading___Toc8924070_105122903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8924072_1051229030">
            <w:r>
              <w:rPr>
                <w:webHidden/>
                <w:rStyle w:val="IndexLink"/>
                <w:rtl w:val="true"/>
              </w:rPr>
              <w:t>مناقشات مع المستند في قوله بالحكم الظاهري</w:t>
            </w:r>
            <w:r>
              <w:rPr>
                <w:rStyle w:val="IndexLink"/>
                <w:rtl w:val="true"/>
              </w:rPr>
              <w:tab/>
            </w:r>
            <w:r>
              <w:rPr>
                <w:rStyle w:val="IndexLink"/>
              </w:rPr>
              <w:t>132</w:t>
            </w:r>
          </w:hyperlink>
        </w:p>
        <w:p>
          <w:pPr>
            <w:pStyle w:val="Contents3"/>
            <w:tabs>
              <w:tab w:val="clear" w:pos="8459"/>
              <w:tab w:val="right" w:pos="9026" w:leader="dot"/>
            </w:tabs>
            <w:rPr/>
          </w:pPr>
          <w:hyperlink w:anchor="__RefHeading___Toc8924074_1051229030">
            <w:r>
              <w:rPr>
                <w:webHidden/>
                <w:rStyle w:val="IndexLink"/>
                <w:rtl w:val="true"/>
              </w:rPr>
              <w:t>القسم الثاني</w:t>
            </w:r>
            <w:r>
              <w:rPr>
                <w:rStyle w:val="IndexLink"/>
                <w:rtl w:val="true"/>
              </w:rPr>
              <w:t xml:space="preserve">: </w:t>
            </w:r>
            <w:r>
              <w:rPr>
                <w:rStyle w:val="IndexLink"/>
                <w:rtl w:val="true"/>
              </w:rPr>
              <w:t>الاستدلال بالآيات الكريمة</w:t>
            </w:r>
            <w:r>
              <w:rPr>
                <w:rStyle w:val="IndexLink"/>
                <w:rtl w:val="true"/>
              </w:rPr>
              <w:tab/>
            </w:r>
            <w:r>
              <w:rPr>
                <w:rStyle w:val="IndexLink"/>
              </w:rPr>
              <w:t>144</w:t>
            </w:r>
          </w:hyperlink>
        </w:p>
        <w:p>
          <w:pPr>
            <w:pStyle w:val="Contents4"/>
            <w:tabs>
              <w:tab w:val="clear" w:pos="8176"/>
              <w:tab w:val="right" w:pos="9026" w:leader="dot"/>
            </w:tabs>
            <w:rPr/>
          </w:pPr>
          <w:hyperlink w:anchor="__RefHeading___Toc8924076_1051229030">
            <w:r>
              <w:rPr>
                <w:webHidden/>
                <w:rStyle w:val="IndexLink"/>
                <w:rtl w:val="true"/>
              </w:rPr>
              <w:t>الفصل الأول</w:t>
            </w:r>
            <w:r>
              <w:rPr>
                <w:rStyle w:val="IndexLink"/>
                <w:rtl w:val="true"/>
              </w:rPr>
              <w:t xml:space="preserve">: </w:t>
            </w:r>
            <w:r>
              <w:rPr>
                <w:rStyle w:val="IndexLink"/>
                <w:rtl w:val="true"/>
              </w:rPr>
              <w:t xml:space="preserve">في الاستدلال بالآية الكريمة </w:t>
            </w:r>
            <w:r>
              <w:rPr>
                <w:rStyle w:val="IndexLink"/>
                <w:rtl w:val="true"/>
              </w:rPr>
              <w:t>: (</w:t>
            </w:r>
            <w:r>
              <w:rPr>
                <w:rStyle w:val="IndexLink"/>
                <w:rtl w:val="true"/>
              </w:rPr>
              <w:t>وَأَمْرُهُمْ شُورى بَيْنَهُمْ</w:t>
            </w:r>
            <w:r>
              <w:rPr>
                <w:rStyle w:val="IndexLink"/>
                <w:rtl w:val="true"/>
              </w:rPr>
              <w:t>)</w:t>
              <w:tab/>
            </w:r>
            <w:r>
              <w:rPr>
                <w:rStyle w:val="IndexLink"/>
              </w:rPr>
              <w:t>144</w:t>
            </w:r>
          </w:hyperlink>
        </w:p>
        <w:p>
          <w:pPr>
            <w:pStyle w:val="Contents5"/>
            <w:tabs>
              <w:tab w:val="clear" w:pos="7892"/>
              <w:tab w:val="right" w:pos="9026" w:leader="dot"/>
            </w:tabs>
            <w:rPr/>
          </w:pPr>
          <w:hyperlink w:anchor="__RefHeading___Toc8924078_105122903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8924080_1051229030">
            <w:r>
              <w:rPr>
                <w:webHidden/>
                <w:rStyle w:val="IndexLink"/>
                <w:rtl w:val="true"/>
              </w:rPr>
              <w:t>آية الشورى</w:t>
            </w:r>
            <w:r>
              <w:rPr>
                <w:rStyle w:val="IndexLink"/>
                <w:rtl w:val="true"/>
              </w:rPr>
              <w:tab/>
            </w:r>
            <w:r>
              <w:rPr>
                <w:rStyle w:val="IndexLink"/>
              </w:rPr>
              <w:t>146</w:t>
            </w:r>
          </w:hyperlink>
        </w:p>
        <w:p>
          <w:pPr>
            <w:pStyle w:val="Contents6"/>
            <w:tabs>
              <w:tab w:val="clear" w:pos="7609"/>
              <w:tab w:val="right" w:pos="9026" w:leader="dot"/>
            </w:tabs>
            <w:rPr/>
          </w:pPr>
          <w:hyperlink w:anchor="__RefHeading___Toc8924082_105122903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8924084_1051229030">
            <w:r>
              <w:rPr>
                <w:webHidden/>
                <w:rStyle w:val="IndexLink"/>
                <w:rtl w:val="true"/>
              </w:rPr>
              <w:t>الوجه الأول</w:t>
            </w:r>
            <w:r>
              <w:rPr>
                <w:rStyle w:val="IndexLink"/>
                <w:rtl w:val="true"/>
              </w:rPr>
              <w:t xml:space="preserve">: </w:t>
            </w:r>
            <w:r>
              <w:rPr>
                <w:rStyle w:val="IndexLink"/>
                <w:rtl w:val="true"/>
              </w:rPr>
              <w:t>الأصل في ما عدّ صفة للمؤمن، وجوب تحصيله</w:t>
            </w:r>
            <w:r>
              <w:rPr>
                <w:rStyle w:val="IndexLink"/>
                <w:rtl w:val="true"/>
              </w:rPr>
              <w:tab/>
            </w:r>
            <w:r>
              <w:rPr>
                <w:rStyle w:val="IndexLink"/>
              </w:rPr>
              <w:t>146</w:t>
            </w:r>
          </w:hyperlink>
        </w:p>
        <w:p>
          <w:pPr>
            <w:pStyle w:val="Contents5"/>
            <w:tabs>
              <w:tab w:val="clear" w:pos="7892"/>
              <w:tab w:val="right" w:pos="9026" w:leader="dot"/>
            </w:tabs>
            <w:rPr/>
          </w:pPr>
          <w:hyperlink w:anchor="__RefHeading___Toc8924086_1051229030">
            <w:r>
              <w:rPr>
                <w:webHidden/>
                <w:rStyle w:val="IndexLink"/>
                <w:rtl w:val="true"/>
              </w:rPr>
              <w:t>إشكالات وأجوبة</w:t>
            </w:r>
            <w:r>
              <w:rPr>
                <w:rStyle w:val="IndexLink"/>
                <w:rtl w:val="true"/>
              </w:rPr>
              <w:tab/>
            </w:r>
            <w:r>
              <w:rPr>
                <w:rStyle w:val="IndexLink"/>
              </w:rPr>
              <w:t>148</w:t>
            </w:r>
          </w:hyperlink>
        </w:p>
        <w:p>
          <w:pPr>
            <w:pStyle w:val="Contents6"/>
            <w:tabs>
              <w:tab w:val="clear" w:pos="7609"/>
              <w:tab w:val="right" w:pos="9026" w:leader="dot"/>
            </w:tabs>
            <w:rPr/>
          </w:pPr>
          <w:hyperlink w:anchor="__RefHeading___Toc8924088_105122903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8924090_1051229030">
            <w:r>
              <w:rPr>
                <w:webHidden/>
                <w:rStyle w:val="IndexLink"/>
                <w:rtl w:val="true"/>
              </w:rPr>
              <w:t>الوجه الثاني</w:t>
            </w:r>
            <w:r>
              <w:rPr>
                <w:rStyle w:val="IndexLink"/>
                <w:rtl w:val="true"/>
              </w:rPr>
              <w:t xml:space="preserve">: </w:t>
            </w:r>
            <w:r>
              <w:rPr>
                <w:rStyle w:val="IndexLink"/>
                <w:rtl w:val="true"/>
              </w:rPr>
              <w:t>دلالة السياق على الوجوب</w:t>
            </w:r>
            <w:r>
              <w:rPr>
                <w:rStyle w:val="IndexLink"/>
                <w:rtl w:val="true"/>
              </w:rPr>
              <w:tab/>
            </w:r>
            <w:r>
              <w:rPr>
                <w:rStyle w:val="IndexLink"/>
              </w:rPr>
              <w:t>150</w:t>
            </w:r>
          </w:hyperlink>
        </w:p>
        <w:p>
          <w:pPr>
            <w:pStyle w:val="Contents6"/>
            <w:tabs>
              <w:tab w:val="clear" w:pos="7609"/>
              <w:tab w:val="right" w:pos="9026" w:leader="dot"/>
            </w:tabs>
            <w:rPr/>
          </w:pPr>
          <w:hyperlink w:anchor="__RefHeading___Toc8924092_105122903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8924094_1051229030">
            <w:r>
              <w:rPr>
                <w:webHidden/>
                <w:rStyle w:val="IndexLink"/>
                <w:rtl w:val="true"/>
              </w:rPr>
              <w:t>المناقشة</w:t>
            </w:r>
            <w:r>
              <w:rPr>
                <w:rStyle w:val="IndexLink"/>
                <w:rtl w:val="true"/>
              </w:rPr>
              <w:tab/>
            </w:r>
            <w:r>
              <w:rPr>
                <w:rStyle w:val="IndexLink"/>
              </w:rPr>
              <w:t>150</w:t>
            </w:r>
          </w:hyperlink>
        </w:p>
        <w:p>
          <w:pPr>
            <w:pStyle w:val="Contents6"/>
            <w:tabs>
              <w:tab w:val="clear" w:pos="7609"/>
              <w:tab w:val="right" w:pos="9026" w:leader="dot"/>
            </w:tabs>
            <w:rPr/>
          </w:pPr>
          <w:hyperlink w:anchor="__RefHeading___Toc8924096_1051229030">
            <w:r>
              <w:rPr>
                <w:webHidden/>
                <w:rStyle w:val="IndexLink"/>
                <w:rtl w:val="true"/>
              </w:rPr>
              <w:t>الوجه الثالث</w:t>
            </w:r>
            <w:r>
              <w:rPr>
                <w:rStyle w:val="IndexLink"/>
                <w:rtl w:val="true"/>
              </w:rPr>
              <w:t xml:space="preserve">: </w:t>
            </w:r>
            <w:r>
              <w:rPr>
                <w:rStyle w:val="IndexLink"/>
                <w:rtl w:val="true"/>
              </w:rPr>
              <w:t xml:space="preserve">توقف </w:t>
            </w:r>
            <w:r>
              <w:rPr>
                <w:rStyle w:val="IndexLink"/>
                <w:rtl w:val="true"/>
              </w:rPr>
              <w:t>(</w:t>
            </w:r>
            <w:r>
              <w:rPr>
                <w:rStyle w:val="IndexLink"/>
                <w:rtl w:val="true"/>
              </w:rPr>
              <w:t>الخير من الله</w:t>
            </w:r>
            <w:r>
              <w:rPr>
                <w:rStyle w:val="IndexLink"/>
                <w:rtl w:val="true"/>
              </w:rPr>
              <w:t xml:space="preserve">) </w:t>
            </w:r>
            <w:r>
              <w:rPr>
                <w:rStyle w:val="IndexLink"/>
                <w:rtl w:val="true"/>
              </w:rPr>
              <w:t>على توفر صفات منها الشورى</w:t>
            </w:r>
            <w:r>
              <w:rPr>
                <w:rStyle w:val="IndexLink"/>
                <w:rtl w:val="true"/>
              </w:rPr>
              <w:tab/>
            </w:r>
            <w:r>
              <w:rPr>
                <w:rStyle w:val="IndexLink"/>
              </w:rPr>
              <w:t>152</w:t>
            </w:r>
          </w:hyperlink>
        </w:p>
        <w:p>
          <w:pPr>
            <w:pStyle w:val="Contents6"/>
            <w:tabs>
              <w:tab w:val="clear" w:pos="7609"/>
              <w:tab w:val="right" w:pos="9026" w:leader="dot"/>
            </w:tabs>
            <w:rPr/>
          </w:pPr>
          <w:hyperlink w:anchor="__RefHeading___Toc8924098_1051229030">
            <w:r>
              <w:rPr>
                <w:webHidden/>
                <w:rStyle w:val="IndexLink"/>
                <w:rtl w:val="true"/>
              </w:rPr>
              <w:t>الوجه الرابع</w:t>
            </w:r>
            <w:r>
              <w:rPr>
                <w:rStyle w:val="IndexLink"/>
                <w:rtl w:val="true"/>
              </w:rPr>
              <w:t>: (</w:t>
            </w:r>
            <w:r>
              <w:rPr>
                <w:rStyle w:val="IndexLink"/>
                <w:rtl w:val="true"/>
              </w:rPr>
              <w:t>أمرهم</w:t>
            </w:r>
            <w:r>
              <w:rPr>
                <w:rStyle w:val="IndexLink"/>
                <w:rtl w:val="true"/>
              </w:rPr>
              <w:t xml:space="preserve">) </w:t>
            </w:r>
            <w:r>
              <w:rPr>
                <w:rStyle w:val="IndexLink"/>
                <w:rtl w:val="true"/>
              </w:rPr>
              <w:t>إنشاء بصيغة إخبار</w:t>
            </w:r>
            <w:r>
              <w:rPr>
                <w:rStyle w:val="IndexLink"/>
                <w:rtl w:val="true"/>
              </w:rPr>
              <w:tab/>
            </w:r>
            <w:r>
              <w:rPr>
                <w:rStyle w:val="IndexLink"/>
              </w:rPr>
              <w:t>152</w:t>
            </w:r>
          </w:hyperlink>
        </w:p>
        <w:p>
          <w:pPr>
            <w:pStyle w:val="Contents6"/>
            <w:tabs>
              <w:tab w:val="clear" w:pos="7609"/>
              <w:tab w:val="right" w:pos="9026" w:leader="dot"/>
            </w:tabs>
            <w:rPr/>
          </w:pPr>
          <w:hyperlink w:anchor="__RefHeading___Toc8924100_1051229030">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8924102_1051229030">
            <w:r>
              <w:rPr>
                <w:webHidden/>
                <w:rStyle w:val="IndexLink"/>
                <w:rtl w:val="true"/>
              </w:rPr>
              <w:t>دلالة الآية على مطلوبية الشورى قبل وبعد الحكم</w:t>
            </w:r>
            <w:r>
              <w:rPr>
                <w:rStyle w:val="IndexLink"/>
                <w:rtl w:val="true"/>
              </w:rPr>
              <w:tab/>
            </w:r>
            <w:r>
              <w:rPr>
                <w:rStyle w:val="IndexLink"/>
              </w:rPr>
              <w:t>153</w:t>
            </w:r>
          </w:hyperlink>
        </w:p>
        <w:p>
          <w:pPr>
            <w:pStyle w:val="Contents6"/>
            <w:tabs>
              <w:tab w:val="clear" w:pos="7609"/>
              <w:tab w:val="right" w:pos="9026" w:leader="dot"/>
            </w:tabs>
            <w:rPr/>
          </w:pPr>
          <w:hyperlink w:anchor="__RefHeading___Toc8924104_1051229030">
            <w:r>
              <w:rPr>
                <w:webHidden/>
                <w:rStyle w:val="IndexLink"/>
                <w:rtl w:val="true"/>
              </w:rPr>
              <w:t>دلالة الآية على عموم مطلوبية الشورى</w:t>
            </w:r>
            <w:r>
              <w:rPr>
                <w:rStyle w:val="IndexLink"/>
                <w:rtl w:val="true"/>
              </w:rPr>
              <w:tab/>
            </w:r>
            <w:r>
              <w:rPr>
                <w:rStyle w:val="IndexLink"/>
              </w:rPr>
              <w:t>154</w:t>
            </w:r>
          </w:hyperlink>
        </w:p>
        <w:p>
          <w:pPr>
            <w:pStyle w:val="Contents5"/>
            <w:tabs>
              <w:tab w:val="clear" w:pos="7892"/>
              <w:tab w:val="right" w:pos="9026" w:leader="dot"/>
            </w:tabs>
            <w:rPr/>
          </w:pPr>
          <w:hyperlink w:anchor="__RefHeading___Toc8924106_1051229030">
            <w:r>
              <w:rPr>
                <w:webHidden/>
                <w:rStyle w:val="IndexLink"/>
                <w:rtl w:val="true"/>
              </w:rPr>
              <w:t>الاعتراض بالآيات التي تذم الأكثرية</w:t>
            </w:r>
            <w:r>
              <w:rPr>
                <w:rStyle w:val="IndexLink"/>
                <w:rtl w:val="true"/>
              </w:rPr>
              <w:tab/>
            </w:r>
            <w:r>
              <w:rPr>
                <w:rStyle w:val="IndexLink"/>
              </w:rPr>
              <w:t>155</w:t>
            </w:r>
          </w:hyperlink>
        </w:p>
        <w:p>
          <w:pPr>
            <w:pStyle w:val="Contents6"/>
            <w:tabs>
              <w:tab w:val="clear" w:pos="7609"/>
              <w:tab w:val="right" w:pos="9026" w:leader="dot"/>
            </w:tabs>
            <w:rPr/>
          </w:pPr>
          <w:hyperlink w:anchor="__RefHeading___Toc8924108_1051229030">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8924110_1051229030">
            <w:r>
              <w:rPr>
                <w:webHidden/>
                <w:rStyle w:val="IndexLink"/>
                <w:rtl w:val="true"/>
              </w:rPr>
              <w:t>القدح لأكثر الناس لا لأكثر الفقهاء والخبراء</w:t>
            </w:r>
            <w:r>
              <w:rPr>
                <w:rStyle w:val="IndexLink"/>
                <w:rtl w:val="true"/>
              </w:rPr>
              <w:tab/>
            </w:r>
            <w:r>
              <w:rPr>
                <w:rStyle w:val="IndexLink"/>
              </w:rPr>
              <w:t>156</w:t>
            </w:r>
          </w:hyperlink>
        </w:p>
        <w:p>
          <w:pPr>
            <w:pStyle w:val="Contents6"/>
            <w:tabs>
              <w:tab w:val="clear" w:pos="7609"/>
              <w:tab w:val="right" w:pos="9026" w:leader="dot"/>
            </w:tabs>
            <w:rPr/>
          </w:pPr>
          <w:hyperlink w:anchor="__RefHeading___Toc8924112_1051229030">
            <w:r>
              <w:rPr>
                <w:webHidden/>
                <w:rStyle w:val="IndexLink"/>
                <w:rtl w:val="true"/>
              </w:rPr>
              <w:t>الذم معلل باتباع الظن غير المعتبر</w:t>
            </w:r>
            <w:r>
              <w:rPr>
                <w:rStyle w:val="IndexLink"/>
                <w:rtl w:val="true"/>
              </w:rPr>
              <w:tab/>
            </w:r>
            <w:r>
              <w:rPr>
                <w:rStyle w:val="IndexLink"/>
              </w:rPr>
              <w:t>157</w:t>
            </w:r>
          </w:hyperlink>
        </w:p>
        <w:p>
          <w:pPr>
            <w:pStyle w:val="Contents6"/>
            <w:tabs>
              <w:tab w:val="clear" w:pos="7609"/>
              <w:tab w:val="right" w:pos="9026" w:leader="dot"/>
            </w:tabs>
            <w:rPr/>
          </w:pPr>
          <w:hyperlink w:anchor="__RefHeading___Toc8924114_1051229030">
            <w:r>
              <w:rPr>
                <w:webHidden/>
                <w:rStyle w:val="IndexLink"/>
                <w:rtl w:val="true"/>
              </w:rPr>
              <w:t>الآيات خاصة بشؤون العقائد</w:t>
            </w:r>
            <w:r>
              <w:rPr>
                <w:rStyle w:val="IndexLink"/>
                <w:rtl w:val="true"/>
              </w:rPr>
              <w:tab/>
            </w:r>
            <w:r>
              <w:rPr>
                <w:rStyle w:val="IndexLink"/>
              </w:rPr>
              <w:t>159</w:t>
            </w:r>
          </w:hyperlink>
        </w:p>
        <w:p>
          <w:pPr>
            <w:pStyle w:val="Contents6"/>
            <w:tabs>
              <w:tab w:val="clear" w:pos="7609"/>
              <w:tab w:val="right" w:pos="9026" w:leader="dot"/>
            </w:tabs>
            <w:rPr/>
          </w:pPr>
          <w:hyperlink w:anchor="__RefHeading___Toc8924116_1051229030">
            <w:r>
              <w:rPr>
                <w:webHidden/>
                <w:rStyle w:val="IndexLink"/>
                <w:rtl w:val="true"/>
              </w:rPr>
              <w:t>ليست الآيات في مقام البيان</w:t>
            </w:r>
            <w:r>
              <w:rPr>
                <w:rStyle w:val="IndexLink"/>
                <w:rtl w:val="true"/>
              </w:rPr>
              <w:tab/>
            </w:r>
            <w:r>
              <w:rPr>
                <w:rStyle w:val="IndexLink"/>
              </w:rPr>
              <w:t>165</w:t>
            </w:r>
          </w:hyperlink>
        </w:p>
        <w:p>
          <w:pPr>
            <w:pStyle w:val="Contents6"/>
            <w:tabs>
              <w:tab w:val="clear" w:pos="7609"/>
              <w:tab w:val="right" w:pos="9026" w:leader="dot"/>
            </w:tabs>
            <w:rPr/>
          </w:pPr>
          <w:hyperlink w:anchor="__RefHeading___Toc8924118_1051229030">
            <w:r>
              <w:rPr>
                <w:webHidden/>
                <w:rStyle w:val="IndexLink"/>
                <w:rtl w:val="true"/>
              </w:rPr>
              <w:t>ليس أكثر الفقهاء أكثر الناس</w:t>
            </w:r>
            <w:r>
              <w:rPr>
                <w:rStyle w:val="IndexLink"/>
                <w:rtl w:val="true"/>
              </w:rPr>
              <w:tab/>
            </w:r>
            <w:r>
              <w:rPr>
                <w:rStyle w:val="IndexLink"/>
              </w:rPr>
              <w:t>165</w:t>
            </w:r>
          </w:hyperlink>
        </w:p>
        <w:p>
          <w:pPr>
            <w:pStyle w:val="Contents4"/>
            <w:tabs>
              <w:tab w:val="clear" w:pos="8176"/>
              <w:tab w:val="right" w:pos="9026" w:leader="dot"/>
            </w:tabs>
            <w:rPr/>
          </w:pPr>
          <w:hyperlink w:anchor="__RefHeading___Toc8924120_1051229030">
            <w:r>
              <w:rPr>
                <w:webHidden/>
                <w:rStyle w:val="IndexLink"/>
                <w:rtl w:val="true"/>
              </w:rPr>
              <w:t>الفصل الثاني</w:t>
            </w:r>
            <w:r>
              <w:rPr>
                <w:rStyle w:val="IndexLink"/>
                <w:rtl w:val="true"/>
              </w:rPr>
              <w:t xml:space="preserve">: </w:t>
            </w:r>
            <w:r>
              <w:rPr>
                <w:rStyle w:val="IndexLink"/>
                <w:rtl w:val="true"/>
              </w:rPr>
              <w:t xml:space="preserve">في الاستدلال بالآية الكريمة </w:t>
            </w:r>
            <w:r>
              <w:rPr>
                <w:rStyle w:val="IndexLink"/>
                <w:rtl w:val="true"/>
              </w:rPr>
              <w:t>(</w:t>
            </w:r>
            <w:r>
              <w:rPr>
                <w:rStyle w:val="IndexLink"/>
                <w:rtl w:val="true"/>
              </w:rPr>
              <w:t>وَشاوِرْهُمْ فِي الأَمْرِ</w:t>
            </w:r>
            <w:r>
              <w:rPr>
                <w:rStyle w:val="IndexLink"/>
                <w:rtl w:val="true"/>
              </w:rPr>
              <w:t>)</w:t>
              <w:tab/>
            </w:r>
            <w:r>
              <w:rPr>
                <w:rStyle w:val="IndexLink"/>
              </w:rPr>
              <w:t>168</w:t>
            </w:r>
          </w:hyperlink>
        </w:p>
        <w:p>
          <w:pPr>
            <w:pStyle w:val="Contents5"/>
            <w:tabs>
              <w:tab w:val="clear" w:pos="7892"/>
              <w:tab w:val="right" w:pos="9026" w:leader="dot"/>
            </w:tabs>
            <w:rPr/>
          </w:pPr>
          <w:hyperlink w:anchor="__RefHeading___Toc8924122_105122903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8924124_1051229030">
            <w:r>
              <w:rPr>
                <w:webHidden/>
                <w:rStyle w:val="IndexLink"/>
                <w:rtl w:val="true"/>
              </w:rPr>
              <w:t xml:space="preserve">آية </w:t>
            </w:r>
            <w:r>
              <w:rPr>
                <w:rStyle w:val="IndexLink"/>
                <w:rtl w:val="true"/>
              </w:rPr>
              <w:t>(</w:t>
            </w:r>
            <w:r>
              <w:rPr>
                <w:rStyle w:val="IndexLink"/>
                <w:rtl w:val="true"/>
              </w:rPr>
              <w:t>وشاورهم</w:t>
            </w:r>
            <w:r>
              <w:rPr>
                <w:rStyle w:val="IndexLink"/>
                <w:rtl w:val="true"/>
              </w:rPr>
              <w:t>)</w:t>
              <w:tab/>
            </w:r>
            <w:r>
              <w:rPr>
                <w:rStyle w:val="IndexLink"/>
              </w:rPr>
              <w:t>170</w:t>
            </w:r>
          </w:hyperlink>
        </w:p>
        <w:p>
          <w:pPr>
            <w:pStyle w:val="Contents6"/>
            <w:tabs>
              <w:tab w:val="clear" w:pos="7609"/>
              <w:tab w:val="right" w:pos="9026" w:leader="dot"/>
            </w:tabs>
            <w:rPr/>
          </w:pPr>
          <w:hyperlink w:anchor="__RefHeading___Toc8924126_1051229030">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8924128_1051229030">
            <w:r>
              <w:rPr>
                <w:webHidden/>
                <w:rStyle w:val="IndexLink"/>
                <w:rtl w:val="true"/>
              </w:rPr>
              <w:t>الإشكال الأول</w:t>
            </w:r>
            <w:r>
              <w:rPr>
                <w:rStyle w:val="IndexLink"/>
                <w:rtl w:val="true"/>
              </w:rPr>
              <w:t xml:space="preserve">: </w:t>
            </w:r>
            <w:r>
              <w:rPr>
                <w:rStyle w:val="IndexLink"/>
                <w:rtl w:val="true"/>
              </w:rPr>
              <w:t xml:space="preserve">عدم عمله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بالشورى فلا تجب على غيره</w:t>
            </w:r>
            <w:r>
              <w:rPr>
                <w:rStyle w:val="IndexLink"/>
                <w:rtl w:val="true"/>
              </w:rPr>
              <w:tab/>
            </w:r>
            <w:r>
              <w:rPr>
                <w:rStyle w:val="IndexLink"/>
              </w:rPr>
              <w:t>172</w:t>
            </w:r>
          </w:hyperlink>
        </w:p>
        <w:p>
          <w:pPr>
            <w:pStyle w:val="Contents6"/>
            <w:tabs>
              <w:tab w:val="clear" w:pos="7609"/>
              <w:tab w:val="right" w:pos="9026" w:leader="dot"/>
            </w:tabs>
            <w:rPr/>
          </w:pPr>
          <w:hyperlink w:anchor="__RefHeading___Toc8924130_1051229030">
            <w:r>
              <w:rPr>
                <w:webHidden/>
                <w:rStyle w:val="IndexLink"/>
                <w:rtl w:val="true"/>
              </w:rPr>
              <w:t>الجواب الأول</w:t>
            </w:r>
            <w:r>
              <w:rPr>
                <w:rStyle w:val="IndexLink"/>
                <w:rtl w:val="true"/>
              </w:rPr>
              <w:t xml:space="preserve">: </w:t>
            </w:r>
            <w:r>
              <w:rPr>
                <w:rStyle w:val="IndexLink"/>
                <w:rtl w:val="true"/>
              </w:rPr>
              <w:t xml:space="preserve">الأدلة قائمة على عمله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بالشورى</w:t>
            </w:r>
            <w:r>
              <w:rPr>
                <w:rStyle w:val="IndexLink"/>
                <w:rtl w:val="true"/>
              </w:rPr>
              <w:tab/>
            </w:r>
            <w:r>
              <w:rPr>
                <w:rStyle w:val="IndexLink"/>
              </w:rPr>
              <w:t>173</w:t>
            </w:r>
          </w:hyperlink>
        </w:p>
        <w:p>
          <w:pPr>
            <w:pStyle w:val="Contents6"/>
            <w:tabs>
              <w:tab w:val="clear" w:pos="7609"/>
              <w:tab w:val="right" w:pos="9026" w:leader="dot"/>
            </w:tabs>
            <w:rPr/>
          </w:pPr>
          <w:hyperlink w:anchor="__RefHeading___Toc8924132_1051229030">
            <w:r>
              <w:rPr>
                <w:webHidden/>
                <w:rStyle w:val="IndexLink"/>
                <w:rtl w:val="true"/>
              </w:rPr>
              <w:t xml:space="preserve">بحث إجمالي عن حجية روايات عمله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بالشورى</w:t>
            </w:r>
            <w:r>
              <w:rPr>
                <w:rStyle w:val="IndexLink"/>
                <w:rtl w:val="true"/>
              </w:rPr>
              <w:t>:</w:t>
              <w:tab/>
            </w:r>
            <w:r>
              <w:rPr>
                <w:rStyle w:val="IndexLink"/>
              </w:rPr>
              <w:t>173</w:t>
            </w:r>
          </w:hyperlink>
        </w:p>
        <w:p>
          <w:pPr>
            <w:pStyle w:val="Contents6"/>
            <w:tabs>
              <w:tab w:val="clear" w:pos="7609"/>
              <w:tab w:val="right" w:pos="9026" w:leader="dot"/>
            </w:tabs>
            <w:rPr/>
          </w:pPr>
          <w:hyperlink w:anchor="__RefHeading___Toc8924134_1051229030">
            <w:r>
              <w:rPr>
                <w:webHidden/>
                <w:rStyle w:val="IndexLink"/>
                <w:rtl w:val="true"/>
              </w:rPr>
              <w:t>روايتها في تفسير القمي</w:t>
            </w:r>
            <w:r>
              <w:rPr>
                <w:rStyle w:val="IndexLink"/>
                <w:rtl w:val="true"/>
              </w:rPr>
              <w:tab/>
            </w:r>
            <w:r>
              <w:rPr>
                <w:rStyle w:val="IndexLink"/>
              </w:rPr>
              <w:t>173</w:t>
            </w:r>
          </w:hyperlink>
        </w:p>
        <w:p>
          <w:pPr>
            <w:pStyle w:val="Contents6"/>
            <w:tabs>
              <w:tab w:val="clear" w:pos="7609"/>
              <w:tab w:val="right" w:pos="9026" w:leader="dot"/>
            </w:tabs>
            <w:rPr/>
          </w:pPr>
          <w:hyperlink w:anchor="__RefHeading___Toc8924136_1051229030">
            <w:r>
              <w:rPr>
                <w:webHidden/>
                <w:rStyle w:val="IndexLink"/>
                <w:rtl w:val="true"/>
              </w:rPr>
              <w:t>وجه آخر</w:t>
            </w:r>
            <w:r>
              <w:rPr>
                <w:rStyle w:val="IndexLink"/>
                <w:rtl w:val="true"/>
              </w:rPr>
              <w:t xml:space="preserve">: </w:t>
            </w:r>
            <w:r>
              <w:rPr>
                <w:rStyle w:val="IndexLink"/>
                <w:rtl w:val="true"/>
              </w:rPr>
              <w:t>حجية مراسيل الثقات في التاريخ بل مطلقاً</w:t>
            </w:r>
            <w:r>
              <w:rPr>
                <w:rStyle w:val="IndexLink"/>
                <w:rtl w:val="true"/>
              </w:rPr>
              <w:tab/>
            </w:r>
            <w:r>
              <w:rPr>
                <w:rStyle w:val="IndexLink"/>
              </w:rPr>
              <w:t>176</w:t>
            </w:r>
          </w:hyperlink>
        </w:p>
        <w:p>
          <w:pPr>
            <w:pStyle w:val="Contents6"/>
            <w:tabs>
              <w:tab w:val="clear" w:pos="7609"/>
              <w:tab w:val="right" w:pos="9026" w:leader="dot"/>
            </w:tabs>
            <w:rPr/>
          </w:pPr>
          <w:hyperlink w:anchor="__RefHeading___Toc8924138_1051229030">
            <w:r>
              <w:rPr>
                <w:webHidden/>
                <w:rStyle w:val="IndexLink"/>
                <w:rtl w:val="true"/>
              </w:rPr>
              <w:t>وخلاصة القول</w:t>
            </w:r>
            <w:r>
              <w:rPr>
                <w:rStyle w:val="IndexLink"/>
                <w:rtl w:val="true"/>
              </w:rPr>
              <w:t>:</w:t>
              <w:tab/>
            </w:r>
            <w:r>
              <w:rPr>
                <w:rStyle w:val="IndexLink"/>
              </w:rPr>
              <w:t>177</w:t>
            </w:r>
          </w:hyperlink>
        </w:p>
        <w:p>
          <w:pPr>
            <w:pStyle w:val="Contents5"/>
            <w:tabs>
              <w:tab w:val="clear" w:pos="7892"/>
              <w:tab w:val="right" w:pos="9026" w:leader="dot"/>
            </w:tabs>
            <w:rPr/>
          </w:pPr>
          <w:hyperlink w:anchor="__RefHeading___Toc8924140_1051229030">
            <w:r>
              <w:rPr>
                <w:webHidden/>
                <w:rStyle w:val="IndexLink"/>
                <w:rtl w:val="true"/>
              </w:rPr>
              <w:t>الرواية الأولى</w:t>
            </w:r>
            <w:r>
              <w:rPr>
                <w:rStyle w:val="IndexLink"/>
                <w:rtl w:val="true"/>
              </w:rPr>
              <w:t xml:space="preserve">: </w:t>
            </w:r>
            <w:r>
              <w:rPr>
                <w:rStyle w:val="IndexLink"/>
                <w:rtl w:val="true"/>
              </w:rPr>
              <w:t>في معركة بدر الكبرى</w:t>
            </w:r>
            <w:r>
              <w:rPr>
                <w:rStyle w:val="IndexLink"/>
                <w:rtl w:val="true"/>
              </w:rPr>
              <w:t xml:space="preserve">: </w:t>
            </w:r>
            <w:r>
              <w:rPr>
                <w:rStyle w:val="IndexLink"/>
                <w:rtl w:val="true"/>
              </w:rPr>
              <w:t>الخروج لحرب النفير</w:t>
            </w:r>
            <w:r>
              <w:rPr>
                <w:rStyle w:val="IndexLink"/>
                <w:rtl w:val="true"/>
              </w:rPr>
              <w:tab/>
            </w:r>
            <w:r>
              <w:rPr>
                <w:rStyle w:val="IndexLink"/>
              </w:rPr>
              <w:t>179</w:t>
            </w:r>
          </w:hyperlink>
        </w:p>
        <w:p>
          <w:pPr>
            <w:pStyle w:val="Contents5"/>
            <w:tabs>
              <w:tab w:val="clear" w:pos="7892"/>
              <w:tab w:val="right" w:pos="9026" w:leader="dot"/>
            </w:tabs>
            <w:rPr/>
          </w:pPr>
          <w:hyperlink w:anchor="__RefHeading___Toc8924142_1051229030">
            <w:r>
              <w:rPr>
                <w:webHidden/>
                <w:rStyle w:val="IndexLink"/>
                <w:rtl w:val="true"/>
              </w:rPr>
              <w:t>الرواية الثانية</w:t>
            </w:r>
            <w:r>
              <w:rPr>
                <w:rStyle w:val="IndexLink"/>
                <w:rtl w:val="true"/>
              </w:rPr>
              <w:t xml:space="preserve">: </w:t>
            </w:r>
            <w:r>
              <w:rPr>
                <w:rStyle w:val="IndexLink"/>
                <w:rtl w:val="true"/>
              </w:rPr>
              <w:t>في معركة الأحزاب</w:t>
            </w:r>
            <w:r>
              <w:rPr>
                <w:rStyle w:val="IndexLink"/>
                <w:rtl w:val="true"/>
              </w:rPr>
              <w:t xml:space="preserve">: </w:t>
            </w:r>
            <w:r>
              <w:rPr>
                <w:rStyle w:val="IndexLink"/>
                <w:rtl w:val="true"/>
              </w:rPr>
              <w:t>المقام بالمدينة</w:t>
            </w:r>
            <w:r>
              <w:rPr>
                <w:rStyle w:val="IndexLink"/>
                <w:rtl w:val="true"/>
              </w:rPr>
              <w:tab/>
            </w:r>
            <w:r>
              <w:rPr>
                <w:rStyle w:val="IndexLink"/>
              </w:rPr>
              <w:t>181</w:t>
            </w:r>
          </w:hyperlink>
        </w:p>
        <w:p>
          <w:pPr>
            <w:pStyle w:val="Contents5"/>
            <w:tabs>
              <w:tab w:val="clear" w:pos="7892"/>
              <w:tab w:val="right" w:pos="9026" w:leader="dot"/>
            </w:tabs>
            <w:rPr/>
          </w:pPr>
          <w:hyperlink w:anchor="__RefHeading___Toc8924144_1051229030">
            <w:r>
              <w:rPr>
                <w:webHidden/>
                <w:rStyle w:val="IndexLink"/>
                <w:rtl w:val="true"/>
              </w:rPr>
              <w:t>الرواية الثالثة</w:t>
            </w:r>
            <w:r>
              <w:rPr>
                <w:rStyle w:val="IndexLink"/>
                <w:rtl w:val="true"/>
              </w:rPr>
              <w:t xml:space="preserve">: </w:t>
            </w:r>
            <w:r>
              <w:rPr>
                <w:rStyle w:val="IndexLink"/>
                <w:rtl w:val="true"/>
              </w:rPr>
              <w:t>وفي الأحزاب أيضاً</w:t>
            </w:r>
            <w:r>
              <w:rPr>
                <w:rStyle w:val="IndexLink"/>
                <w:rtl w:val="true"/>
              </w:rPr>
              <w:t xml:space="preserve">: </w:t>
            </w:r>
            <w:r>
              <w:rPr>
                <w:rStyle w:val="IndexLink"/>
                <w:rtl w:val="true"/>
              </w:rPr>
              <w:t>حفر الخندق</w:t>
            </w:r>
            <w:r>
              <w:rPr>
                <w:rStyle w:val="IndexLink"/>
                <w:rtl w:val="true"/>
              </w:rPr>
              <w:tab/>
            </w:r>
            <w:r>
              <w:rPr>
                <w:rStyle w:val="IndexLink"/>
              </w:rPr>
              <w:t>181</w:t>
            </w:r>
          </w:hyperlink>
        </w:p>
        <w:p>
          <w:pPr>
            <w:pStyle w:val="Contents5"/>
            <w:tabs>
              <w:tab w:val="clear" w:pos="7892"/>
              <w:tab w:val="right" w:pos="9026" w:leader="dot"/>
            </w:tabs>
            <w:rPr/>
          </w:pPr>
          <w:hyperlink w:anchor="__RefHeading___Toc8924146_1051229030">
            <w:r>
              <w:rPr>
                <w:webHidden/>
                <w:rStyle w:val="IndexLink"/>
                <w:rtl w:val="true"/>
              </w:rPr>
              <w:t>الرواية الرابعة</w:t>
            </w:r>
            <w:r>
              <w:rPr>
                <w:rStyle w:val="IndexLink"/>
                <w:rtl w:val="true"/>
              </w:rPr>
              <w:t xml:space="preserve">: </w:t>
            </w:r>
            <w:r>
              <w:rPr>
                <w:rStyle w:val="IndexLink"/>
                <w:rtl w:val="true"/>
              </w:rPr>
              <w:t>وفي الأحزاب</w:t>
            </w:r>
            <w:r>
              <w:rPr>
                <w:rStyle w:val="IndexLink"/>
                <w:rtl w:val="true"/>
              </w:rPr>
              <w:t xml:space="preserve">: </w:t>
            </w:r>
            <w:r>
              <w:rPr>
                <w:rStyle w:val="IndexLink"/>
                <w:rtl w:val="true"/>
              </w:rPr>
              <w:t>الصلح على ثلث ثمار المدينة</w:t>
            </w:r>
            <w:r>
              <w:rPr>
                <w:rStyle w:val="IndexLink"/>
                <w:rtl w:val="true"/>
              </w:rPr>
              <w:tab/>
            </w:r>
            <w:r>
              <w:rPr>
                <w:rStyle w:val="IndexLink"/>
              </w:rPr>
              <w:t>182</w:t>
            </w:r>
          </w:hyperlink>
        </w:p>
        <w:p>
          <w:pPr>
            <w:pStyle w:val="Contents6"/>
            <w:tabs>
              <w:tab w:val="clear" w:pos="7609"/>
              <w:tab w:val="right" w:pos="9026" w:leader="dot"/>
            </w:tabs>
            <w:rPr/>
          </w:pPr>
          <w:hyperlink w:anchor="__RefHeading___Toc8924148_1051229030">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8924150_1051229030">
            <w:r>
              <w:rPr>
                <w:webHidden/>
                <w:rStyle w:val="IndexLink"/>
                <w:rtl w:val="true"/>
              </w:rPr>
              <w:t>إشكال</w:t>
            </w:r>
            <w:r>
              <w:rPr>
                <w:rStyle w:val="IndexLink"/>
                <w:rtl w:val="true"/>
              </w:rPr>
              <w:t xml:space="preserve">: </w:t>
            </w:r>
            <w:r>
              <w:rPr>
                <w:rStyle w:val="IndexLink"/>
                <w:rtl w:val="true"/>
              </w:rPr>
              <w:t>لعل عمله برأي الأكثرية كان اضطراراً</w:t>
            </w:r>
            <w:r>
              <w:rPr>
                <w:rStyle w:val="IndexLink"/>
                <w:rtl w:val="true"/>
              </w:rPr>
              <w:tab/>
            </w:r>
            <w:r>
              <w:rPr>
                <w:rStyle w:val="IndexLink"/>
              </w:rPr>
              <w:t>183</w:t>
            </w:r>
          </w:hyperlink>
        </w:p>
        <w:p>
          <w:pPr>
            <w:pStyle w:val="Contents6"/>
            <w:tabs>
              <w:tab w:val="clear" w:pos="7609"/>
              <w:tab w:val="right" w:pos="9026" w:leader="dot"/>
            </w:tabs>
            <w:rPr/>
          </w:pPr>
          <w:hyperlink w:anchor="__RefHeading___Toc8924152_1051229030">
            <w:r>
              <w:rPr>
                <w:webHidden/>
                <w:rStyle w:val="IndexLink"/>
                <w:rtl w:val="true"/>
              </w:rPr>
              <w:t>الأجوبة</w:t>
            </w:r>
            <w:r>
              <w:rPr>
                <w:rStyle w:val="IndexLink"/>
                <w:rtl w:val="true"/>
              </w:rPr>
              <w:t>:</w:t>
              <w:tab/>
            </w:r>
            <w:r>
              <w:rPr>
                <w:rStyle w:val="IndexLink"/>
              </w:rPr>
              <w:t>184</w:t>
            </w:r>
          </w:hyperlink>
        </w:p>
        <w:p>
          <w:pPr>
            <w:pStyle w:val="Contents6"/>
            <w:tabs>
              <w:tab w:val="clear" w:pos="7609"/>
              <w:tab w:val="right" w:pos="9026" w:leader="dot"/>
            </w:tabs>
            <w:rPr/>
          </w:pPr>
          <w:hyperlink w:anchor="__RefHeading___Toc8924154_1051229030">
            <w:r>
              <w:rPr>
                <w:webHidden/>
                <w:rStyle w:val="IndexLink"/>
                <w:rtl w:val="true"/>
              </w:rPr>
              <w:t>العمل لا جهة له، والأصل عدم الاضطرار</w:t>
            </w:r>
            <w:r>
              <w:rPr>
                <w:rStyle w:val="IndexLink"/>
                <w:rtl w:val="true"/>
              </w:rPr>
              <w:tab/>
            </w:r>
            <w:r>
              <w:rPr>
                <w:rStyle w:val="IndexLink"/>
              </w:rPr>
              <w:t>184</w:t>
            </w:r>
          </w:hyperlink>
        </w:p>
        <w:p>
          <w:pPr>
            <w:pStyle w:val="Contents6"/>
            <w:tabs>
              <w:tab w:val="clear" w:pos="7609"/>
              <w:tab w:val="right" w:pos="9026" w:leader="dot"/>
            </w:tabs>
            <w:rPr/>
          </w:pPr>
          <w:hyperlink w:anchor="__RefHeading___Toc8924156_1051229030">
            <w:r>
              <w:rPr>
                <w:webHidden/>
                <w:rStyle w:val="IndexLink"/>
                <w:rtl w:val="true"/>
              </w:rPr>
              <w:t xml:space="preserve">الأصل في قوله وفعله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الحجية</w:t>
            </w:r>
            <w:r>
              <w:rPr>
                <w:rStyle w:val="IndexLink"/>
                <w:rtl w:val="true"/>
              </w:rPr>
              <w:tab/>
            </w:r>
            <w:r>
              <w:rPr>
                <w:rStyle w:val="IndexLink"/>
              </w:rPr>
              <w:t>184</w:t>
            </w:r>
          </w:hyperlink>
        </w:p>
        <w:p>
          <w:pPr>
            <w:pStyle w:val="Contents6"/>
            <w:tabs>
              <w:tab w:val="clear" w:pos="7609"/>
              <w:tab w:val="right" w:pos="9026" w:leader="dot"/>
            </w:tabs>
            <w:rPr/>
          </w:pPr>
          <w:hyperlink w:anchor="__RefHeading___Toc8924158_1051229030">
            <w:r>
              <w:rPr>
                <w:webHidden/>
                <w:rStyle w:val="IndexLink"/>
                <w:rtl w:val="true"/>
              </w:rPr>
              <w:t>لو كان اضطراراً لكان في غيره أولى</w:t>
            </w:r>
            <w:r>
              <w:rPr>
                <w:rStyle w:val="IndexLink"/>
                <w:rtl w:val="true"/>
              </w:rPr>
              <w:tab/>
            </w:r>
            <w:r>
              <w:rPr>
                <w:rStyle w:val="IndexLink"/>
              </w:rPr>
              <w:t>184</w:t>
            </w:r>
          </w:hyperlink>
        </w:p>
        <w:p>
          <w:pPr>
            <w:pStyle w:val="Contents6"/>
            <w:tabs>
              <w:tab w:val="clear" w:pos="7609"/>
              <w:tab w:val="right" w:pos="9026" w:leader="dot"/>
            </w:tabs>
            <w:rPr/>
          </w:pPr>
          <w:hyperlink w:anchor="__RefHeading___Toc8924160_1051229030">
            <w:r>
              <w:rPr>
                <w:webHidden/>
                <w:rStyle w:val="IndexLink"/>
                <w:rtl w:val="true"/>
              </w:rPr>
              <w:t xml:space="preserve">الظاهر أنه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لم يعمل برأيه حتى وافقته الأكثرية</w:t>
            </w:r>
            <w:r>
              <w:rPr>
                <w:rStyle w:val="IndexLink"/>
                <w:rtl w:val="true"/>
              </w:rPr>
              <w:tab/>
            </w:r>
            <w:r>
              <w:rPr>
                <w:rStyle w:val="IndexLink"/>
              </w:rPr>
              <w:t>185</w:t>
            </w:r>
          </w:hyperlink>
        </w:p>
        <w:p>
          <w:pPr>
            <w:pStyle w:val="Contents6"/>
            <w:tabs>
              <w:tab w:val="clear" w:pos="7609"/>
              <w:tab w:val="right" w:pos="9026" w:leader="dot"/>
            </w:tabs>
            <w:rPr/>
          </w:pPr>
          <w:hyperlink w:anchor="__RefHeading___Toc8924162_1051229030">
            <w:r>
              <w:rPr>
                <w:webHidden/>
                <w:rStyle w:val="IndexLink"/>
                <w:rtl w:val="true"/>
              </w:rPr>
              <w:t>رواية القمي في صلح الحديبية</w:t>
            </w:r>
            <w:r>
              <w:rPr>
                <w:rStyle w:val="IndexLink"/>
                <w:rtl w:val="true"/>
              </w:rPr>
              <w:tab/>
            </w:r>
            <w:r>
              <w:rPr>
                <w:rStyle w:val="IndexLink"/>
              </w:rPr>
              <w:t>186</w:t>
            </w:r>
          </w:hyperlink>
        </w:p>
        <w:p>
          <w:pPr>
            <w:pStyle w:val="Contents6"/>
            <w:tabs>
              <w:tab w:val="clear" w:pos="7609"/>
              <w:tab w:val="right" w:pos="9026" w:leader="dot"/>
            </w:tabs>
            <w:rPr/>
          </w:pPr>
          <w:hyperlink w:anchor="__RefHeading___Toc8924164_1051229030">
            <w:r>
              <w:rPr>
                <w:webHidden/>
                <w:rStyle w:val="IndexLink"/>
                <w:rtl w:val="true"/>
              </w:rPr>
              <w:t xml:space="preserve">الإشكال بأنه </w:t>
            </w:r>
            <w:r>
              <w:rPr>
                <w:rStyle w:val="IndexLink"/>
              </w:rPr>
              <w:t>o</w:t>
            </w:r>
            <w:r>
              <w:rPr>
                <w:rStyle w:val="IndexLink"/>
                <w:rtl w:val="true"/>
              </w:rPr>
              <w:t xml:space="preserve"> </w:t>
            </w:r>
            <w:r>
              <w:rPr>
                <w:rStyle w:val="IndexLink"/>
                <w:rtl w:val="true"/>
              </w:rPr>
              <w:t>وافق على الصلح في الحديبية دون مشورة</w:t>
            </w:r>
            <w:r>
              <w:rPr>
                <w:rStyle w:val="IndexLink"/>
                <w:rtl w:val="true"/>
              </w:rPr>
              <w:tab/>
            </w:r>
            <w:r>
              <w:rPr>
                <w:rStyle w:val="IndexLink"/>
              </w:rPr>
              <w:t>187</w:t>
            </w:r>
          </w:hyperlink>
        </w:p>
        <w:p>
          <w:pPr>
            <w:pStyle w:val="Contents6"/>
            <w:tabs>
              <w:tab w:val="clear" w:pos="7609"/>
              <w:tab w:val="right" w:pos="9026" w:leader="dot"/>
            </w:tabs>
            <w:rPr/>
          </w:pPr>
          <w:hyperlink w:anchor="__RefHeading___Toc8924166_1051229030">
            <w:r>
              <w:rPr>
                <w:webHidden/>
                <w:rStyle w:val="IndexLink"/>
                <w:rtl w:val="true"/>
              </w:rPr>
              <w:t>والجواب</w:t>
            </w:r>
            <w:r>
              <w:rPr>
                <w:rStyle w:val="IndexLink"/>
                <w:rtl w:val="true"/>
              </w:rPr>
              <w:t>:</w:t>
              <w:tab/>
            </w:r>
            <w:r>
              <w:rPr>
                <w:rStyle w:val="IndexLink"/>
              </w:rPr>
              <w:t>188</w:t>
            </w:r>
          </w:hyperlink>
        </w:p>
        <w:p>
          <w:pPr>
            <w:pStyle w:val="Contents6"/>
            <w:tabs>
              <w:tab w:val="clear" w:pos="7609"/>
              <w:tab w:val="right" w:pos="9026" w:leader="dot"/>
            </w:tabs>
            <w:rPr/>
          </w:pPr>
          <w:hyperlink w:anchor="__RefHeading___Toc8924168_1051229030">
            <w:r>
              <w:rPr>
                <w:webHidden/>
                <w:rStyle w:val="IndexLink"/>
                <w:rtl w:val="true"/>
              </w:rPr>
              <w:t>أجوبة خمسة عن الإشكال</w:t>
            </w:r>
            <w:r>
              <w:rPr>
                <w:rStyle w:val="IndexLink"/>
                <w:rtl w:val="true"/>
              </w:rPr>
              <w:tab/>
            </w:r>
            <w:r>
              <w:rPr>
                <w:rStyle w:val="IndexLink"/>
              </w:rPr>
              <w:t>188</w:t>
            </w:r>
          </w:hyperlink>
        </w:p>
        <w:p>
          <w:pPr>
            <w:pStyle w:val="Contents6"/>
            <w:tabs>
              <w:tab w:val="clear" w:pos="7609"/>
              <w:tab w:val="right" w:pos="9026" w:leader="dot"/>
            </w:tabs>
            <w:rPr/>
          </w:pPr>
          <w:hyperlink w:anchor="__RefHeading___Toc8924170_1051229030">
            <w:r>
              <w:rPr>
                <w:webHidden/>
                <w:rStyle w:val="IndexLink"/>
                <w:rtl w:val="true"/>
              </w:rPr>
              <w:t xml:space="preserve">الإشكال بأن عمله </w:t>
            </w:r>
            <w:r>
              <w:rPr>
                <w:rStyle w:val="IndexLink"/>
              </w:rPr>
              <w:t>o</w:t>
            </w:r>
            <w:r>
              <w:rPr>
                <w:rStyle w:val="IndexLink"/>
                <w:rtl w:val="true"/>
              </w:rPr>
              <w:t xml:space="preserve"> </w:t>
            </w:r>
            <w:r>
              <w:rPr>
                <w:rStyle w:val="IndexLink"/>
                <w:rtl w:val="true"/>
              </w:rPr>
              <w:t>كان على طبق الشورى لا استناداً إليها</w:t>
            </w:r>
            <w:r>
              <w:rPr>
                <w:rStyle w:val="IndexLink"/>
                <w:rtl w:val="true"/>
              </w:rPr>
              <w:tab/>
            </w:r>
            <w:r>
              <w:rPr>
                <w:rStyle w:val="IndexLink"/>
              </w:rPr>
              <w:t>190</w:t>
            </w:r>
          </w:hyperlink>
        </w:p>
        <w:p>
          <w:pPr>
            <w:pStyle w:val="Contents6"/>
            <w:tabs>
              <w:tab w:val="clear" w:pos="7609"/>
              <w:tab w:val="right" w:pos="9026" w:leader="dot"/>
            </w:tabs>
            <w:rPr/>
          </w:pPr>
          <w:hyperlink w:anchor="__RefHeading___Toc8924172_1051229030">
            <w:r>
              <w:rPr>
                <w:webHidden/>
                <w:rStyle w:val="IndexLink"/>
                <w:rtl w:val="true"/>
              </w:rPr>
              <w:t>الأجوبة</w:t>
            </w:r>
            <w:r>
              <w:rPr>
                <w:rStyle w:val="IndexLink"/>
                <w:rtl w:val="true"/>
              </w:rPr>
              <w:t>:</w:t>
              <w:tab/>
            </w:r>
            <w:r>
              <w:rPr>
                <w:rStyle w:val="IndexLink"/>
              </w:rPr>
              <w:t>191</w:t>
            </w:r>
          </w:hyperlink>
        </w:p>
        <w:p>
          <w:pPr>
            <w:pStyle w:val="Contents6"/>
            <w:tabs>
              <w:tab w:val="clear" w:pos="7609"/>
              <w:tab w:val="right" w:pos="9026" w:leader="dot"/>
            </w:tabs>
            <w:rPr/>
          </w:pPr>
          <w:hyperlink w:anchor="__RefHeading___Toc8924174_1051229030">
            <w:r>
              <w:rPr>
                <w:webHidden/>
                <w:rStyle w:val="IndexLink"/>
                <w:rtl w:val="true"/>
              </w:rPr>
              <w:t xml:space="preserve">الظاهر بقرائن عديدة عمله </w:t>
            </w:r>
            <w:r>
              <w:rPr>
                <w:rStyle w:val="IndexLink"/>
              </w:rPr>
              <w:t>o</w:t>
            </w:r>
            <w:r>
              <w:rPr>
                <w:rStyle w:val="IndexLink"/>
                <w:rtl w:val="true"/>
              </w:rPr>
              <w:t xml:space="preserve"> </w:t>
            </w:r>
            <w:r>
              <w:rPr>
                <w:rStyle w:val="IndexLink"/>
                <w:rtl w:val="true"/>
              </w:rPr>
              <w:t>استناداً إليها</w:t>
            </w:r>
            <w:r>
              <w:rPr>
                <w:rStyle w:val="IndexLink"/>
                <w:rtl w:val="true"/>
              </w:rPr>
              <w:tab/>
            </w:r>
            <w:r>
              <w:rPr>
                <w:rStyle w:val="IndexLink"/>
              </w:rPr>
              <w:t>191</w:t>
            </w:r>
          </w:hyperlink>
        </w:p>
        <w:p>
          <w:pPr>
            <w:pStyle w:val="Contents6"/>
            <w:tabs>
              <w:tab w:val="clear" w:pos="7609"/>
              <w:tab w:val="right" w:pos="9026" w:leader="dot"/>
            </w:tabs>
            <w:rPr/>
          </w:pPr>
          <w:hyperlink w:anchor="__RefHeading___Toc8924176_1051229030">
            <w:r>
              <w:rPr>
                <w:webHidden/>
                <w:rStyle w:val="IndexLink"/>
                <w:rtl w:val="true"/>
              </w:rPr>
              <w:t>دليل آخرعلى الملازمة</w:t>
            </w:r>
            <w:r>
              <w:rPr>
                <w:rStyle w:val="IndexLink"/>
                <w:rtl w:val="true"/>
              </w:rPr>
              <w:t>:</w:t>
              <w:tab/>
            </w:r>
            <w:r>
              <w:rPr>
                <w:rStyle w:val="IndexLink"/>
              </w:rPr>
              <w:t>193</w:t>
            </w:r>
          </w:hyperlink>
        </w:p>
        <w:p>
          <w:pPr>
            <w:pStyle w:val="Contents6"/>
            <w:tabs>
              <w:tab w:val="clear" w:pos="7609"/>
              <w:tab w:val="right" w:pos="9026" w:leader="dot"/>
            </w:tabs>
            <w:rPr/>
          </w:pPr>
          <w:hyperlink w:anchor="__RefHeading___Toc8924178_1051229030">
            <w:r>
              <w:rPr>
                <w:webHidden/>
                <w:rStyle w:val="IndexLink"/>
                <w:rtl w:val="true"/>
              </w:rPr>
              <w:t xml:space="preserve">عمله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بالشورى رغم مخالفتها لرأيه</w:t>
            </w:r>
            <w:r>
              <w:rPr>
                <w:rStyle w:val="IndexLink"/>
                <w:rtl w:val="true"/>
              </w:rPr>
              <w:tab/>
            </w:r>
            <w:r>
              <w:rPr>
                <w:rStyle w:val="IndexLink"/>
              </w:rPr>
              <w:t>195</w:t>
            </w:r>
          </w:hyperlink>
        </w:p>
        <w:p>
          <w:pPr>
            <w:pStyle w:val="Contents6"/>
            <w:tabs>
              <w:tab w:val="clear" w:pos="7609"/>
              <w:tab w:val="right" w:pos="9026" w:leader="dot"/>
            </w:tabs>
            <w:rPr/>
          </w:pPr>
          <w:hyperlink w:anchor="__RefHeading___Toc8924180_1051229030">
            <w:r>
              <w:rPr>
                <w:webHidden/>
                <w:rStyle w:val="IndexLink"/>
                <w:rtl w:val="true"/>
              </w:rPr>
              <w:t>العمل برأي الأكثرية مع عدم وجود النص</w:t>
            </w:r>
            <w:r>
              <w:rPr>
                <w:rStyle w:val="IndexLink"/>
                <w:rtl w:val="true"/>
              </w:rPr>
              <w:tab/>
            </w:r>
            <w:r>
              <w:rPr>
                <w:rStyle w:val="IndexLink"/>
              </w:rPr>
              <w:t>195</w:t>
            </w:r>
          </w:hyperlink>
        </w:p>
        <w:p>
          <w:pPr>
            <w:pStyle w:val="Contents5"/>
            <w:tabs>
              <w:tab w:val="clear" w:pos="7892"/>
              <w:tab w:val="right" w:pos="9026" w:leader="dot"/>
            </w:tabs>
            <w:rPr/>
          </w:pPr>
          <w:hyperlink w:anchor="__RefHeading___Toc8924182_1051229030">
            <w:r>
              <w:rPr>
                <w:webHidden/>
                <w:rStyle w:val="IndexLink"/>
                <w:rtl w:val="true"/>
              </w:rPr>
              <w:t>الرواية الخامسة</w:t>
            </w:r>
            <w:r>
              <w:rPr>
                <w:rStyle w:val="IndexLink"/>
                <w:rtl w:val="true"/>
              </w:rPr>
              <w:t xml:space="preserve">: </w:t>
            </w:r>
            <w:r>
              <w:rPr>
                <w:rStyle w:val="IndexLink"/>
                <w:rtl w:val="true"/>
              </w:rPr>
              <w:t>العدول عن الحكم بالقتل إلى أخذ الفداء موافقة لرأي الأكثرية</w:t>
            </w:r>
            <w:r>
              <w:rPr>
                <w:rStyle w:val="IndexLink"/>
                <w:rtl w:val="true"/>
              </w:rPr>
              <w:tab/>
            </w:r>
            <w:r>
              <w:rPr>
                <w:rStyle w:val="IndexLink"/>
              </w:rPr>
              <w:t>196</w:t>
            </w:r>
          </w:hyperlink>
        </w:p>
        <w:p>
          <w:pPr>
            <w:pStyle w:val="Contents6"/>
            <w:tabs>
              <w:tab w:val="clear" w:pos="7609"/>
              <w:tab w:val="right" w:pos="9026" w:leader="dot"/>
            </w:tabs>
            <w:rPr/>
          </w:pPr>
          <w:hyperlink w:anchor="__RefHeading___Toc8924184_1051229030">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8924186_1051229030">
            <w:r>
              <w:rPr>
                <w:webHidden/>
                <w:rStyle w:val="IndexLink"/>
                <w:rtl w:val="true"/>
              </w:rPr>
              <w:t>إشكال الاضطرار والجواب عنه صغروياً</w:t>
            </w:r>
            <w:r>
              <w:rPr>
                <w:rStyle w:val="IndexLink"/>
                <w:rtl w:val="true"/>
              </w:rPr>
              <w:tab/>
            </w:r>
            <w:r>
              <w:rPr>
                <w:rStyle w:val="IndexLink"/>
              </w:rPr>
              <w:t>200</w:t>
            </w:r>
          </w:hyperlink>
        </w:p>
        <w:p>
          <w:pPr>
            <w:pStyle w:val="Contents6"/>
            <w:tabs>
              <w:tab w:val="clear" w:pos="7609"/>
              <w:tab w:val="right" w:pos="9026" w:leader="dot"/>
            </w:tabs>
            <w:rPr/>
          </w:pPr>
          <w:hyperlink w:anchor="__RefHeading___Toc8924188_1051229030">
            <w:r>
              <w:rPr>
                <w:webHidden/>
                <w:rStyle w:val="IndexLink"/>
                <w:rtl w:val="true"/>
              </w:rPr>
              <w:t>وجوه عدم تمامية الاستدلال بالرواية الخامسة</w:t>
            </w:r>
            <w:r>
              <w:rPr>
                <w:rStyle w:val="IndexLink"/>
                <w:rtl w:val="true"/>
              </w:rPr>
              <w:tab/>
            </w:r>
            <w:r>
              <w:rPr>
                <w:rStyle w:val="IndexLink"/>
              </w:rPr>
              <w:t>202</w:t>
            </w:r>
          </w:hyperlink>
        </w:p>
        <w:p>
          <w:pPr>
            <w:pStyle w:val="Contents5"/>
            <w:tabs>
              <w:tab w:val="clear" w:pos="7892"/>
              <w:tab w:val="right" w:pos="9026" w:leader="dot"/>
            </w:tabs>
            <w:rPr/>
          </w:pPr>
          <w:hyperlink w:anchor="__RefHeading___Toc8924190_1051229030">
            <w:r>
              <w:rPr>
                <w:webHidden/>
                <w:rStyle w:val="IndexLink"/>
                <w:rtl w:val="true"/>
              </w:rPr>
              <w:t>الرواية السادسة</w:t>
            </w:r>
            <w:r>
              <w:rPr>
                <w:rStyle w:val="IndexLink"/>
                <w:rtl w:val="true"/>
              </w:rPr>
              <w:t xml:space="preserve">: </w:t>
            </w:r>
            <w:r>
              <w:rPr>
                <w:rStyle w:val="IndexLink"/>
                <w:rtl w:val="true"/>
              </w:rPr>
              <w:t>عمله برأي الأكثرية في الخروج من المدينة</w:t>
            </w:r>
            <w:r>
              <w:rPr>
                <w:rStyle w:val="IndexLink"/>
                <w:rtl w:val="true"/>
              </w:rPr>
              <w:tab/>
            </w:r>
            <w:r>
              <w:rPr>
                <w:rStyle w:val="IndexLink"/>
              </w:rPr>
              <w:t>204</w:t>
            </w:r>
          </w:hyperlink>
        </w:p>
        <w:p>
          <w:pPr>
            <w:pStyle w:val="Contents6"/>
            <w:tabs>
              <w:tab w:val="clear" w:pos="7609"/>
              <w:tab w:val="right" w:pos="9026" w:leader="dot"/>
            </w:tabs>
            <w:rPr/>
          </w:pPr>
          <w:hyperlink w:anchor="__RefHeading___Toc8924192_105122903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8924194_1051229030">
            <w:r>
              <w:rPr>
                <w:webHidden/>
                <w:rStyle w:val="IndexLink"/>
                <w:rtl w:val="true"/>
              </w:rPr>
              <w:t>الإشكال باختصاص موارد المشورة بالحروب والجواب</w:t>
            </w:r>
            <w:r>
              <w:rPr>
                <w:rStyle w:val="IndexLink"/>
                <w:rtl w:val="true"/>
              </w:rPr>
              <w:tab/>
            </w:r>
            <w:r>
              <w:rPr>
                <w:rStyle w:val="IndexLink"/>
              </w:rPr>
              <w:t>208</w:t>
            </w:r>
          </w:hyperlink>
        </w:p>
        <w:p>
          <w:pPr>
            <w:pStyle w:val="Contents6"/>
            <w:tabs>
              <w:tab w:val="clear" w:pos="7609"/>
              <w:tab w:val="right" w:pos="9026" w:leader="dot"/>
            </w:tabs>
            <w:rPr/>
          </w:pPr>
          <w:hyperlink w:anchor="__RefHeading___Toc8924196_1051229030">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8924198_1051229030">
            <w:r>
              <w:rPr>
                <w:webHidden/>
                <w:rStyle w:val="IndexLink"/>
                <w:rtl w:val="true"/>
              </w:rPr>
              <w:t xml:space="preserve">استشارته </w:t>
            </w:r>
            <w:r>
              <w:rPr>
                <w:rStyle w:val="IndexLink"/>
              </w:rPr>
              <w:t>o</w:t>
            </w:r>
            <w:r>
              <w:rPr>
                <w:rStyle w:val="IndexLink"/>
                <w:rtl w:val="true"/>
              </w:rPr>
              <w:t xml:space="preserve"> </w:t>
            </w:r>
            <w:r>
              <w:rPr>
                <w:rStyle w:val="IndexLink"/>
                <w:rtl w:val="true"/>
              </w:rPr>
              <w:t>في هذه الموارد غير مقيِّد للآية</w:t>
            </w:r>
            <w:r>
              <w:rPr>
                <w:rStyle w:val="IndexLink"/>
                <w:rtl w:val="true"/>
              </w:rPr>
              <w:tab/>
            </w:r>
            <w:r>
              <w:rPr>
                <w:rStyle w:val="IndexLink"/>
              </w:rPr>
              <w:t>210</w:t>
            </w:r>
          </w:hyperlink>
        </w:p>
        <w:p>
          <w:pPr>
            <w:pStyle w:val="Contents6"/>
            <w:tabs>
              <w:tab w:val="clear" w:pos="7609"/>
              <w:tab w:val="right" w:pos="9026" w:leader="dot"/>
            </w:tabs>
            <w:rPr/>
          </w:pPr>
          <w:hyperlink w:anchor="__RefHeading___Toc8924200_1051229030">
            <w:r>
              <w:rPr>
                <w:webHidden/>
                <w:rStyle w:val="IndexLink"/>
                <w:rtl w:val="true"/>
              </w:rPr>
              <w:t>أما الشق الأول</w:t>
            </w:r>
            <w:r>
              <w:rPr>
                <w:rStyle w:val="IndexLink"/>
                <w:rtl w:val="true"/>
              </w:rPr>
              <w:t>:</w:t>
              <w:tab/>
            </w:r>
            <w:r>
              <w:rPr>
                <w:rStyle w:val="IndexLink"/>
              </w:rPr>
              <w:t>210</w:t>
            </w:r>
          </w:hyperlink>
        </w:p>
        <w:p>
          <w:pPr>
            <w:pStyle w:val="Contents6"/>
            <w:tabs>
              <w:tab w:val="clear" w:pos="7609"/>
              <w:tab w:val="right" w:pos="9026" w:leader="dot"/>
            </w:tabs>
            <w:rPr/>
          </w:pPr>
          <w:hyperlink w:anchor="__RefHeading___Toc8924202_1051229030">
            <w:r>
              <w:rPr>
                <w:webHidden/>
                <w:rStyle w:val="IndexLink"/>
                <w:rtl w:val="true"/>
              </w:rPr>
              <w:t>أما الشق الثاني</w:t>
            </w:r>
            <w:r>
              <w:rPr>
                <w:rStyle w:val="IndexLink"/>
                <w:rtl w:val="true"/>
              </w:rPr>
              <w:t>:</w:t>
              <w:tab/>
            </w:r>
            <w:r>
              <w:rPr>
                <w:rStyle w:val="IndexLink"/>
              </w:rPr>
              <w:t>211</w:t>
            </w:r>
          </w:hyperlink>
        </w:p>
        <w:p>
          <w:pPr>
            <w:pStyle w:val="Contents5"/>
            <w:tabs>
              <w:tab w:val="clear" w:pos="7892"/>
              <w:tab w:val="right" w:pos="9026" w:leader="dot"/>
            </w:tabs>
            <w:rPr/>
          </w:pPr>
          <w:hyperlink w:anchor="__RefHeading___Toc8924204_1051229030">
            <w:r>
              <w:rPr>
                <w:webHidden/>
                <w:rStyle w:val="IndexLink"/>
                <w:rtl w:val="true"/>
              </w:rPr>
              <w:t>إشكالات وأجوبة</w:t>
            </w:r>
            <w:r>
              <w:rPr>
                <w:rStyle w:val="IndexLink"/>
                <w:rtl w:val="true"/>
              </w:rPr>
              <w:tab/>
            </w:r>
            <w:r>
              <w:rPr>
                <w:rStyle w:val="IndexLink"/>
              </w:rPr>
              <w:t>212</w:t>
            </w:r>
          </w:hyperlink>
        </w:p>
        <w:p>
          <w:pPr>
            <w:pStyle w:val="Contents6"/>
            <w:tabs>
              <w:tab w:val="clear" w:pos="7609"/>
              <w:tab w:val="right" w:pos="9026" w:leader="dot"/>
            </w:tabs>
            <w:rPr/>
          </w:pPr>
          <w:hyperlink w:anchor="__RefHeading___Toc8924206_1051229030">
            <w:r>
              <w:rPr>
                <w:webHidden/>
                <w:rStyle w:val="IndexLink"/>
                <w:rtl w:val="true"/>
              </w:rPr>
              <w:t xml:space="preserve">الإشكال الأول </w:t>
            </w:r>
            <w:r>
              <w:rPr>
                <w:rStyle w:val="IndexLink"/>
                <w:rtl w:val="true"/>
              </w:rPr>
              <w:t>:</w:t>
              <w:tab/>
            </w:r>
            <w:r>
              <w:rPr>
                <w:rStyle w:val="IndexLink"/>
              </w:rPr>
              <w:t>212</w:t>
            </w:r>
          </w:hyperlink>
        </w:p>
        <w:p>
          <w:pPr>
            <w:pStyle w:val="Contents6"/>
            <w:tabs>
              <w:tab w:val="clear" w:pos="7609"/>
              <w:tab w:val="right" w:pos="9026" w:leader="dot"/>
            </w:tabs>
            <w:rPr/>
          </w:pPr>
          <w:hyperlink w:anchor="__RefHeading___Toc8924208_1051229030">
            <w:r>
              <w:rPr>
                <w:webHidden/>
                <w:rStyle w:val="IndexLink"/>
                <w:rtl w:val="true"/>
              </w:rPr>
              <w:t xml:space="preserve">بحث عن احتمال ردعه </w:t>
            </w:r>
            <w:r>
              <w:rPr>
                <w:rStyle w:val="IndexLink"/>
              </w:rPr>
              <w:t>o</w:t>
            </w:r>
            <w:r>
              <w:rPr>
                <w:rStyle w:val="IndexLink"/>
                <w:rtl w:val="true"/>
              </w:rPr>
              <w:t xml:space="preserve"> </w:t>
            </w:r>
            <w:r>
              <w:rPr>
                <w:rStyle w:val="IndexLink"/>
                <w:rtl w:val="true"/>
              </w:rPr>
              <w:t>عن الشورى</w:t>
            </w:r>
            <w:r>
              <w:rPr>
                <w:rStyle w:val="IndexLink"/>
                <w:rtl w:val="true"/>
              </w:rPr>
              <w:tab/>
            </w:r>
            <w:r>
              <w:rPr>
                <w:rStyle w:val="IndexLink"/>
              </w:rPr>
              <w:t>213</w:t>
            </w:r>
          </w:hyperlink>
        </w:p>
        <w:p>
          <w:pPr>
            <w:pStyle w:val="Contents6"/>
            <w:tabs>
              <w:tab w:val="clear" w:pos="7609"/>
              <w:tab w:val="right" w:pos="9026" w:leader="dot"/>
            </w:tabs>
            <w:rPr/>
          </w:pPr>
          <w:hyperlink w:anchor="__RefHeading___Toc8924210_1051229030">
            <w:r>
              <w:rPr>
                <w:webHidden/>
                <w:rStyle w:val="IndexLink"/>
                <w:rtl w:val="true"/>
              </w:rPr>
              <w:t>هل المدح على الشورى إن طابقت الواقع؟</w:t>
            </w:r>
            <w:r>
              <w:rPr>
                <w:rStyle w:val="IndexLink"/>
                <w:rtl w:val="true"/>
              </w:rPr>
              <w:tab/>
            </w:r>
            <w:r>
              <w:rPr>
                <w:rStyle w:val="IndexLink"/>
              </w:rPr>
              <w:t>215</w:t>
            </w:r>
          </w:hyperlink>
        </w:p>
        <w:p>
          <w:pPr>
            <w:pStyle w:val="Contents6"/>
            <w:tabs>
              <w:tab w:val="clear" w:pos="7609"/>
              <w:tab w:val="right" w:pos="9026" w:leader="dot"/>
            </w:tabs>
            <w:rPr/>
          </w:pPr>
          <w:hyperlink w:anchor="__RefHeading___Toc8924212_1051229030">
            <w:r>
              <w:rPr>
                <w:webHidden/>
                <w:rStyle w:val="IndexLink"/>
                <w:rtl w:val="true"/>
              </w:rPr>
              <w:t>الجواب الثاني</w:t>
            </w:r>
            <w:r>
              <w:rPr>
                <w:rStyle w:val="IndexLink"/>
                <w:rtl w:val="true"/>
              </w:rPr>
              <w:t xml:space="preserve">: </w:t>
            </w:r>
            <w:r>
              <w:rPr>
                <w:rStyle w:val="IndexLink"/>
                <w:rtl w:val="true"/>
              </w:rPr>
              <w:t xml:space="preserve">لا دليل على مخالفته </w:t>
            </w:r>
            <w:r>
              <w:rPr>
                <w:rStyle w:val="IndexLink"/>
              </w:rPr>
              <w:t>o</w:t>
            </w:r>
            <w:r>
              <w:rPr>
                <w:rStyle w:val="IndexLink"/>
                <w:rtl w:val="true"/>
              </w:rPr>
              <w:t xml:space="preserve"> </w:t>
            </w:r>
            <w:r>
              <w:rPr>
                <w:rStyle w:val="IndexLink"/>
                <w:rtl w:val="true"/>
              </w:rPr>
              <w:t>للأكثرية</w:t>
            </w:r>
            <w:r>
              <w:rPr>
                <w:rStyle w:val="IndexLink"/>
                <w:rtl w:val="true"/>
              </w:rPr>
              <w:tab/>
            </w:r>
            <w:r>
              <w:rPr>
                <w:rStyle w:val="IndexLink"/>
              </w:rPr>
              <w:t>219</w:t>
            </w:r>
          </w:hyperlink>
        </w:p>
        <w:p>
          <w:pPr>
            <w:pStyle w:val="Contents6"/>
            <w:tabs>
              <w:tab w:val="clear" w:pos="7609"/>
              <w:tab w:val="right" w:pos="9026" w:leader="dot"/>
            </w:tabs>
            <w:rPr/>
          </w:pPr>
          <w:hyperlink w:anchor="__RefHeading___Toc8924214_1051229030">
            <w:r>
              <w:rPr>
                <w:webHidden/>
                <w:rStyle w:val="IndexLink"/>
                <w:rtl w:val="true"/>
              </w:rPr>
              <w:t>الجواب عن استصحاب عدم أخذه برأي الأكثرية ونظائره</w:t>
            </w:r>
            <w:r>
              <w:rPr>
                <w:rStyle w:val="IndexLink"/>
                <w:rtl w:val="true"/>
              </w:rPr>
              <w:tab/>
            </w:r>
            <w:r>
              <w:rPr>
                <w:rStyle w:val="IndexLink"/>
              </w:rPr>
              <w:t>220</w:t>
            </w:r>
          </w:hyperlink>
        </w:p>
        <w:p>
          <w:pPr>
            <w:pStyle w:val="Contents6"/>
            <w:tabs>
              <w:tab w:val="clear" w:pos="7609"/>
              <w:tab w:val="right" w:pos="9026" w:leader="dot"/>
            </w:tabs>
            <w:rPr/>
          </w:pPr>
          <w:hyperlink w:anchor="__RefHeading___Toc8924216_1051229030">
            <w:r>
              <w:rPr>
                <w:webHidden/>
                <w:rStyle w:val="IndexLink"/>
                <w:rtl w:val="true"/>
              </w:rPr>
              <w:t>الجواب عن إشكال</w:t>
            </w:r>
            <w:r>
              <w:rPr>
                <w:rStyle w:val="IndexLink"/>
                <w:rtl w:val="true"/>
              </w:rPr>
              <w:t xml:space="preserve">: </w:t>
            </w:r>
            <w:r>
              <w:rPr>
                <w:rStyle w:val="IndexLink"/>
                <w:rtl w:val="true"/>
              </w:rPr>
              <w:t xml:space="preserve">لو كان </w:t>
            </w:r>
            <w:r>
              <w:rPr>
                <w:rStyle w:val="IndexLink"/>
              </w:rPr>
              <w:t>o</w:t>
            </w:r>
            <w:r>
              <w:rPr>
                <w:rStyle w:val="IndexLink"/>
                <w:rtl w:val="true"/>
              </w:rPr>
              <w:t xml:space="preserve"> </w:t>
            </w:r>
            <w:r>
              <w:rPr>
                <w:rStyle w:val="IndexLink"/>
                <w:rtl w:val="true"/>
              </w:rPr>
              <w:t>عاملاً بالشورى لبان</w:t>
            </w:r>
            <w:r>
              <w:rPr>
                <w:rStyle w:val="IndexLink"/>
                <w:rtl w:val="true"/>
              </w:rPr>
              <w:tab/>
            </w:r>
            <w:r>
              <w:rPr>
                <w:rStyle w:val="IndexLink"/>
              </w:rPr>
              <w:t>222</w:t>
            </w:r>
          </w:hyperlink>
        </w:p>
        <w:p>
          <w:pPr>
            <w:pStyle w:val="Contents6"/>
            <w:tabs>
              <w:tab w:val="clear" w:pos="7609"/>
              <w:tab w:val="right" w:pos="9026" w:leader="dot"/>
            </w:tabs>
            <w:rPr/>
          </w:pPr>
          <w:hyperlink w:anchor="__RefHeading___Toc8924218_1051229030">
            <w:r>
              <w:rPr>
                <w:webHidden/>
                <w:rStyle w:val="IndexLink"/>
                <w:rtl w:val="true"/>
              </w:rPr>
              <w:t>الجواب الثالث</w:t>
            </w:r>
            <w:r>
              <w:rPr>
                <w:rStyle w:val="IndexLink"/>
                <w:rtl w:val="true"/>
              </w:rPr>
              <w:t>: (</w:t>
            </w:r>
            <w:r>
              <w:rPr>
                <w:rStyle w:val="IndexLink"/>
                <w:rtl w:val="true"/>
              </w:rPr>
              <w:t>شاورهم</w:t>
            </w:r>
            <w:r>
              <w:rPr>
                <w:rStyle w:val="IndexLink"/>
                <w:rtl w:val="true"/>
              </w:rPr>
              <w:t xml:space="preserve">) </w:t>
            </w:r>
            <w:r>
              <w:rPr>
                <w:rStyle w:val="IndexLink"/>
                <w:rtl w:val="true"/>
              </w:rPr>
              <w:t>منصرف إلى غير موارد النص الإلهي</w:t>
            </w:r>
            <w:r>
              <w:rPr>
                <w:rStyle w:val="IndexLink"/>
                <w:rtl w:val="true"/>
              </w:rPr>
              <w:tab/>
            </w:r>
            <w:r>
              <w:rPr>
                <w:rStyle w:val="IndexLink"/>
              </w:rPr>
              <w:t>224</w:t>
            </w:r>
          </w:hyperlink>
        </w:p>
        <w:p>
          <w:pPr>
            <w:pStyle w:val="Contents6"/>
            <w:tabs>
              <w:tab w:val="clear" w:pos="7609"/>
              <w:tab w:val="right" w:pos="9026" w:leader="dot"/>
            </w:tabs>
            <w:rPr/>
          </w:pPr>
          <w:hyperlink w:anchor="__RefHeading___Toc8924220_1051229030">
            <w:r>
              <w:rPr>
                <w:webHidden/>
                <w:rStyle w:val="IndexLink"/>
                <w:rtl w:val="true"/>
              </w:rPr>
              <w:t>نماذج عديدة من ورد النص الإلهي</w:t>
            </w:r>
            <w:r>
              <w:rPr>
                <w:rStyle w:val="IndexLink"/>
                <w:rtl w:val="true"/>
              </w:rPr>
              <w:tab/>
            </w:r>
            <w:r>
              <w:rPr>
                <w:rStyle w:val="IndexLink"/>
              </w:rPr>
              <w:t>224</w:t>
            </w:r>
          </w:hyperlink>
        </w:p>
        <w:p>
          <w:pPr>
            <w:pStyle w:val="Contents6"/>
            <w:tabs>
              <w:tab w:val="clear" w:pos="7609"/>
              <w:tab w:val="right" w:pos="9026" w:leader="dot"/>
            </w:tabs>
            <w:rPr/>
          </w:pPr>
          <w:hyperlink w:anchor="__RefHeading___Toc8924222_1051229030">
            <w:r>
              <w:rPr>
                <w:webHidden/>
                <w:rStyle w:val="IndexLink"/>
                <w:rtl w:val="true"/>
              </w:rPr>
              <w:t>السرّ في كثرة ورود النصوص الإلهية</w:t>
            </w:r>
            <w:r>
              <w:rPr>
                <w:rStyle w:val="IndexLink"/>
                <w:rtl w:val="true"/>
              </w:rPr>
              <w:tab/>
            </w:r>
            <w:r>
              <w:rPr>
                <w:rStyle w:val="IndexLink"/>
              </w:rPr>
              <w:t>231</w:t>
            </w:r>
          </w:hyperlink>
        </w:p>
        <w:p>
          <w:pPr>
            <w:pStyle w:val="Contents6"/>
            <w:tabs>
              <w:tab w:val="clear" w:pos="7609"/>
              <w:tab w:val="right" w:pos="9026" w:leader="dot"/>
            </w:tabs>
            <w:rPr/>
          </w:pPr>
          <w:hyperlink w:anchor="__RefHeading___Toc8924224_1051229030">
            <w:r>
              <w:rPr>
                <w:webHidden/>
                <w:rStyle w:val="IndexLink"/>
                <w:rtl w:val="true"/>
              </w:rPr>
              <w:t xml:space="preserve">نماذج من تفويض الأصحاب أصواتهم للنبي </w:t>
            </w:r>
            <w:r>
              <w:rPr>
                <w:rStyle w:val="IndexLink"/>
              </w:rPr>
              <w:t>o</w:t>
            </w:r>
            <w:r>
              <w:rPr>
                <w:rStyle w:val="IndexLink"/>
                <w:rtl w:val="true"/>
              </w:rPr>
              <w:tab/>
            </w:r>
            <w:r>
              <w:rPr>
                <w:rStyle w:val="IndexLink"/>
              </w:rPr>
              <w:t>232</w:t>
            </w:r>
          </w:hyperlink>
        </w:p>
        <w:p>
          <w:pPr>
            <w:pStyle w:val="Contents6"/>
            <w:tabs>
              <w:tab w:val="clear" w:pos="7609"/>
              <w:tab w:val="right" w:pos="9026" w:leader="dot"/>
            </w:tabs>
            <w:rPr/>
          </w:pPr>
          <w:hyperlink w:anchor="__RefHeading___Toc8924226_1051229030">
            <w:r>
              <w:rPr>
                <w:webHidden/>
                <w:rStyle w:val="IndexLink"/>
                <w:rtl w:val="true"/>
              </w:rPr>
              <w:t xml:space="preserve">محتملات وجوه عدم عمل النبي </w:t>
            </w:r>
            <w:r>
              <w:rPr>
                <w:rStyle w:val="IndexLink"/>
              </w:rPr>
              <w:t>o</w:t>
            </w:r>
            <w:r>
              <w:rPr>
                <w:rStyle w:val="IndexLink"/>
                <w:rtl w:val="true"/>
              </w:rPr>
              <w:t xml:space="preserve"> </w:t>
            </w:r>
            <w:r>
              <w:rPr>
                <w:rStyle w:val="IndexLink"/>
                <w:rtl w:val="true"/>
              </w:rPr>
              <w:t>بالشورى</w:t>
            </w:r>
            <w:r>
              <w:rPr>
                <w:rStyle w:val="IndexLink"/>
                <w:rtl w:val="true"/>
              </w:rPr>
              <w:tab/>
            </w:r>
            <w:r>
              <w:rPr>
                <w:rStyle w:val="IndexLink"/>
              </w:rPr>
              <w:t>236</w:t>
            </w:r>
          </w:hyperlink>
        </w:p>
        <w:p>
          <w:pPr>
            <w:pStyle w:val="Contents6"/>
            <w:tabs>
              <w:tab w:val="clear" w:pos="7609"/>
              <w:tab w:val="right" w:pos="9026" w:leader="dot"/>
            </w:tabs>
            <w:rPr/>
          </w:pPr>
          <w:hyperlink w:anchor="__RefHeading___Toc8924228_1051229030">
            <w:r>
              <w:rPr>
                <w:webHidden/>
                <w:rStyle w:val="IndexLink"/>
                <w:rtl w:val="true"/>
              </w:rPr>
              <w:t>الجواب الرابع</w:t>
            </w:r>
            <w:r>
              <w:rPr>
                <w:rStyle w:val="IndexLink"/>
                <w:rtl w:val="true"/>
              </w:rPr>
              <w:t xml:space="preserve">: </w:t>
            </w:r>
            <w:r>
              <w:rPr>
                <w:rStyle w:val="IndexLink"/>
                <w:rtl w:val="true"/>
              </w:rPr>
              <w:t>وجوب الشورى مردد بين الموضوعية والطريقية</w:t>
            </w:r>
            <w:r>
              <w:rPr>
                <w:rStyle w:val="IndexLink"/>
                <w:rtl w:val="true"/>
              </w:rPr>
              <w:tab/>
            </w:r>
            <w:r>
              <w:rPr>
                <w:rStyle w:val="IndexLink"/>
              </w:rPr>
              <w:t>244</w:t>
            </w:r>
          </w:hyperlink>
        </w:p>
        <w:p>
          <w:pPr>
            <w:pStyle w:val="Contents6"/>
            <w:tabs>
              <w:tab w:val="clear" w:pos="7609"/>
              <w:tab w:val="right" w:pos="9026" w:leader="dot"/>
            </w:tabs>
            <w:rPr/>
          </w:pPr>
          <w:hyperlink w:anchor="__RefHeading___Toc8924230_1051229030">
            <w:r>
              <w:rPr>
                <w:webHidden/>
                <w:rStyle w:val="IndexLink"/>
                <w:rtl w:val="true"/>
              </w:rPr>
              <w:t>الموضوعية وباب التزاحم</w:t>
            </w:r>
            <w:r>
              <w:rPr>
                <w:rStyle w:val="IndexLink"/>
                <w:rtl w:val="true"/>
              </w:rPr>
              <w:tab/>
            </w:r>
            <w:r>
              <w:rPr>
                <w:rStyle w:val="IndexLink"/>
              </w:rPr>
              <w:t>244</w:t>
            </w:r>
          </w:hyperlink>
        </w:p>
        <w:p>
          <w:pPr>
            <w:pStyle w:val="Contents6"/>
            <w:tabs>
              <w:tab w:val="clear" w:pos="7609"/>
              <w:tab w:val="right" w:pos="9026" w:leader="dot"/>
            </w:tabs>
            <w:rPr/>
          </w:pPr>
          <w:hyperlink w:anchor="__RefHeading___Toc8924232_1051229030">
            <w:r>
              <w:rPr>
                <w:webHidden/>
                <w:rStyle w:val="IndexLink"/>
                <w:rtl w:val="true"/>
              </w:rPr>
              <w:t>الطريقية والحجة الأقوى</w:t>
            </w:r>
            <w:r>
              <w:rPr>
                <w:rStyle w:val="IndexLink"/>
                <w:rtl w:val="true"/>
              </w:rPr>
              <w:tab/>
            </w:r>
            <w:r>
              <w:rPr>
                <w:rStyle w:val="IndexLink"/>
              </w:rPr>
              <w:t>245</w:t>
            </w:r>
          </w:hyperlink>
        </w:p>
        <w:p>
          <w:pPr>
            <w:pStyle w:val="Contents6"/>
            <w:tabs>
              <w:tab w:val="clear" w:pos="7609"/>
              <w:tab w:val="right" w:pos="9026" w:leader="dot"/>
            </w:tabs>
            <w:rPr/>
          </w:pPr>
          <w:hyperlink w:anchor="__RefHeading___Toc8924234_1051229030">
            <w:r>
              <w:rPr>
                <w:webHidden/>
                <w:rStyle w:val="IndexLink"/>
                <w:rtl w:val="true"/>
              </w:rPr>
              <w:t>إشكالات وأجوبة</w:t>
            </w:r>
            <w:r>
              <w:rPr>
                <w:rStyle w:val="IndexLink"/>
                <w:rtl w:val="true"/>
              </w:rPr>
              <w:tab/>
            </w:r>
            <w:r>
              <w:rPr>
                <w:rStyle w:val="IndexLink"/>
              </w:rPr>
              <w:t>246</w:t>
            </w:r>
          </w:hyperlink>
        </w:p>
        <w:p>
          <w:pPr>
            <w:pStyle w:val="Contents6"/>
            <w:tabs>
              <w:tab w:val="clear" w:pos="7609"/>
              <w:tab w:val="right" w:pos="9026" w:leader="dot"/>
            </w:tabs>
            <w:rPr/>
          </w:pPr>
          <w:hyperlink w:anchor="__RefHeading___Toc8924236_1051229030">
            <w:r>
              <w:rPr>
                <w:webHidden/>
                <w:rStyle w:val="IndexLink"/>
                <w:rtl w:val="true"/>
              </w:rPr>
              <w:t>الجواب الخامس</w:t>
            </w:r>
            <w:r>
              <w:rPr>
                <w:rStyle w:val="IndexLink"/>
                <w:rtl w:val="true"/>
              </w:rPr>
              <w:t xml:space="preserve">: </w:t>
            </w:r>
            <w:r>
              <w:rPr>
                <w:rStyle w:val="IndexLink"/>
                <w:rtl w:val="true"/>
              </w:rPr>
              <w:t xml:space="preserve">عدم وجوب الشورى عليه </w:t>
            </w:r>
            <w:r>
              <w:rPr>
                <w:rStyle w:val="IndexLink"/>
              </w:rPr>
              <w:t>o</w:t>
            </w:r>
            <w:r>
              <w:rPr>
                <w:rStyle w:val="IndexLink"/>
                <w:rtl w:val="true"/>
              </w:rPr>
              <w:t xml:space="preserve"> </w:t>
            </w:r>
            <w:r>
              <w:rPr>
                <w:rStyle w:val="IndexLink"/>
                <w:rtl w:val="true"/>
              </w:rPr>
              <w:t>لا ينفي وجوبها على المسلمين</w:t>
            </w:r>
            <w:r>
              <w:rPr>
                <w:rStyle w:val="IndexLink"/>
                <w:rtl w:val="true"/>
              </w:rPr>
              <w:tab/>
            </w:r>
            <w:r>
              <w:rPr>
                <w:rStyle w:val="IndexLink"/>
              </w:rPr>
              <w:t>248</w:t>
            </w:r>
          </w:hyperlink>
        </w:p>
        <w:p>
          <w:pPr>
            <w:pStyle w:val="Contents6"/>
            <w:tabs>
              <w:tab w:val="clear" w:pos="7609"/>
              <w:tab w:val="right" w:pos="9026" w:leader="dot"/>
            </w:tabs>
            <w:rPr/>
          </w:pPr>
          <w:hyperlink w:anchor="__RefHeading___Toc8924238_1051229030">
            <w:r>
              <w:rPr>
                <w:webHidden/>
                <w:rStyle w:val="IndexLink"/>
              </w:rPr>
              <w:t>1</w:t>
            </w:r>
            <w:r>
              <w:rPr>
                <w:rStyle w:val="IndexLink"/>
                <w:rtl w:val="true"/>
              </w:rPr>
              <w:t xml:space="preserve">: </w:t>
            </w:r>
            <w:r>
              <w:rPr>
                <w:rStyle w:val="IndexLink"/>
                <w:rtl w:val="true"/>
              </w:rPr>
              <w:t xml:space="preserve">الأصل في الأوامر القرآنية عمومها للكل وإن وردت بصيغة خطاب للنبي </w:t>
            </w:r>
            <w:r>
              <w:rPr>
                <w:rStyle w:val="IndexLink"/>
              </w:rPr>
              <w:t>o</w:t>
            </w:r>
            <w:r>
              <w:rPr>
                <w:rStyle w:val="IndexLink"/>
                <w:rtl w:val="true"/>
              </w:rPr>
              <w:tab/>
            </w:r>
            <w:r>
              <w:rPr>
                <w:rStyle w:val="IndexLink"/>
              </w:rPr>
              <w:t>248</w:t>
            </w:r>
          </w:hyperlink>
        </w:p>
        <w:p>
          <w:pPr>
            <w:pStyle w:val="Contents6"/>
            <w:tabs>
              <w:tab w:val="clear" w:pos="7609"/>
              <w:tab w:val="right" w:pos="9026" w:leader="dot"/>
            </w:tabs>
            <w:rPr/>
          </w:pPr>
          <w:hyperlink w:anchor="__RefHeading___Toc8924240_1051229030">
            <w:r>
              <w:rPr>
                <w:webHidden/>
                <w:rStyle w:val="IndexLink"/>
                <w:rtl w:val="true"/>
              </w:rPr>
              <w:t>ثمرة عمومية خطابات القرآن في المقام</w:t>
            </w:r>
            <w:r>
              <w:rPr>
                <w:rStyle w:val="IndexLink"/>
                <w:rtl w:val="true"/>
              </w:rPr>
              <w:tab/>
            </w:r>
            <w:r>
              <w:rPr>
                <w:rStyle w:val="IndexLink"/>
              </w:rPr>
              <w:t>256</w:t>
            </w:r>
          </w:hyperlink>
        </w:p>
        <w:p>
          <w:pPr>
            <w:pStyle w:val="Contents6"/>
            <w:tabs>
              <w:tab w:val="clear" w:pos="7609"/>
              <w:tab w:val="right" w:pos="9026" w:leader="dot"/>
            </w:tabs>
            <w:rPr/>
          </w:pPr>
          <w:hyperlink w:anchor="__RefHeading___Toc8924242_1051229030">
            <w:r>
              <w:rPr>
                <w:webHidden/>
                <w:rStyle w:val="IndexLink"/>
              </w:rPr>
              <w:t>2</w:t>
            </w:r>
            <w:r>
              <w:rPr>
                <w:rStyle w:val="IndexLink"/>
                <w:rtl w:val="true"/>
              </w:rPr>
              <w:t xml:space="preserve">: </w:t>
            </w:r>
            <w:r>
              <w:rPr>
                <w:rStyle w:val="IndexLink"/>
                <w:rtl w:val="true"/>
              </w:rPr>
              <w:t>استثناء الفرد الواحد لا يخل بظهور العام</w:t>
            </w:r>
            <w:r>
              <w:rPr>
                <w:rStyle w:val="IndexLink"/>
                <w:rtl w:val="true"/>
              </w:rPr>
              <w:tab/>
            </w:r>
            <w:r>
              <w:rPr>
                <w:rStyle w:val="IndexLink"/>
              </w:rPr>
              <w:t>257</w:t>
            </w:r>
          </w:hyperlink>
        </w:p>
        <w:p>
          <w:pPr>
            <w:pStyle w:val="Contents6"/>
            <w:tabs>
              <w:tab w:val="clear" w:pos="7609"/>
              <w:tab w:val="right" w:pos="9026" w:leader="dot"/>
            </w:tabs>
            <w:rPr/>
          </w:pPr>
          <w:hyperlink w:anchor="__RefHeading___Toc8924244_1051229030">
            <w:r>
              <w:rPr>
                <w:webHidden/>
                <w:rStyle w:val="IndexLink"/>
                <w:rtl w:val="true"/>
              </w:rPr>
              <w:t>الإشكال بقبح تخصيص المورد والجواب</w:t>
            </w:r>
            <w:r>
              <w:rPr>
                <w:rStyle w:val="IndexLink"/>
                <w:rtl w:val="true"/>
              </w:rPr>
              <w:tab/>
            </w:r>
            <w:r>
              <w:rPr>
                <w:rStyle w:val="IndexLink"/>
              </w:rPr>
              <w:t>258</w:t>
            </w:r>
          </w:hyperlink>
        </w:p>
        <w:p>
          <w:pPr>
            <w:pStyle w:val="Contents5"/>
            <w:tabs>
              <w:tab w:val="clear" w:pos="7892"/>
              <w:tab w:val="right" w:pos="9026" w:leader="dot"/>
            </w:tabs>
            <w:rPr/>
          </w:pPr>
          <w:hyperlink w:anchor="__RefHeading___Toc8924246_1051229030">
            <w:r>
              <w:rPr>
                <w:webHidden/>
                <w:rStyle w:val="IndexLink"/>
                <w:rtl w:val="true"/>
              </w:rPr>
              <w:t>الإشكال الثاني</w:t>
            </w:r>
            <w:r>
              <w:rPr>
                <w:rStyle w:val="IndexLink"/>
                <w:rtl w:val="true"/>
              </w:rPr>
              <w:t xml:space="preserve">: </w:t>
            </w:r>
            <w:r>
              <w:rPr>
                <w:rStyle w:val="IndexLink"/>
                <w:rtl w:val="true"/>
              </w:rPr>
              <w:t xml:space="preserve">النبي </w:t>
            </w:r>
            <w:r>
              <w:rPr>
                <w:rStyle w:val="IndexLink"/>
              </w:rPr>
              <w:t>o</w:t>
            </w:r>
            <w:r>
              <w:rPr>
                <w:rStyle w:val="IndexLink"/>
                <w:rtl w:val="true"/>
              </w:rPr>
              <w:t xml:space="preserve"> </w:t>
            </w:r>
            <w:r>
              <w:rPr>
                <w:rStyle w:val="IndexLink"/>
                <w:rtl w:val="true"/>
              </w:rPr>
              <w:t>إنما يتبع الوحي لا الأكثرية</w:t>
            </w:r>
            <w:r>
              <w:rPr>
                <w:rStyle w:val="IndexLink"/>
                <w:rtl w:val="true"/>
              </w:rPr>
              <w:tab/>
            </w:r>
            <w:r>
              <w:rPr>
                <w:rStyle w:val="IndexLink"/>
              </w:rPr>
              <w:t>260</w:t>
            </w:r>
          </w:hyperlink>
        </w:p>
        <w:p>
          <w:pPr>
            <w:pStyle w:val="Contents6"/>
            <w:tabs>
              <w:tab w:val="clear" w:pos="7609"/>
              <w:tab w:val="right" w:pos="9026" w:leader="dot"/>
            </w:tabs>
            <w:rPr/>
          </w:pPr>
          <w:hyperlink w:anchor="__RefHeading___Toc8924248_1051229030">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8924250_1051229030">
            <w:r>
              <w:rPr>
                <w:webHidden/>
                <w:rStyle w:val="IndexLink"/>
                <w:rtl w:val="true"/>
              </w:rPr>
              <w:t>الأجوبة</w:t>
            </w:r>
            <w:r>
              <w:rPr>
                <w:rStyle w:val="IndexLink"/>
                <w:rtl w:val="true"/>
              </w:rPr>
              <w:t>:</w:t>
              <w:tab/>
            </w:r>
            <w:r>
              <w:rPr>
                <w:rStyle w:val="IndexLink"/>
              </w:rPr>
              <w:t>261</w:t>
            </w:r>
          </w:hyperlink>
        </w:p>
        <w:p>
          <w:pPr>
            <w:pStyle w:val="Contents6"/>
            <w:tabs>
              <w:tab w:val="clear" w:pos="7609"/>
              <w:tab w:val="right" w:pos="9026" w:leader="dot"/>
            </w:tabs>
            <w:rPr/>
          </w:pPr>
          <w:hyperlink w:anchor="__RefHeading___Toc8924252_1051229030">
            <w:r>
              <w:rPr>
                <w:webHidden/>
                <w:rStyle w:val="IndexLink"/>
                <w:rtl w:val="true"/>
              </w:rPr>
              <w:t>إتباع الأكثرية فيما لم ينزل فيه وحي، إتباع لما يوحى إليه</w:t>
            </w:r>
            <w:r>
              <w:rPr>
                <w:rStyle w:val="IndexLink"/>
                <w:rtl w:val="true"/>
              </w:rPr>
              <w:tab/>
            </w:r>
            <w:r>
              <w:rPr>
                <w:rStyle w:val="IndexLink"/>
              </w:rPr>
              <w:t>262</w:t>
            </w:r>
          </w:hyperlink>
        </w:p>
        <w:p>
          <w:pPr>
            <w:pStyle w:val="Contents6"/>
            <w:tabs>
              <w:tab w:val="clear" w:pos="7609"/>
              <w:tab w:val="right" w:pos="9026" w:leader="dot"/>
            </w:tabs>
            <w:rPr/>
          </w:pPr>
          <w:hyperlink w:anchor="__RefHeading___Toc8924254_1051229030">
            <w:r>
              <w:rPr>
                <w:webHidden/>
                <w:rStyle w:val="IndexLink"/>
                <w:rtl w:val="true"/>
              </w:rPr>
              <w:t>الجواب عن إشكال</w:t>
            </w:r>
            <w:r>
              <w:rPr>
                <w:rStyle w:val="IndexLink"/>
                <w:rtl w:val="true"/>
              </w:rPr>
              <w:t xml:space="preserve">: </w:t>
            </w:r>
            <w:r>
              <w:rPr>
                <w:rStyle w:val="IndexLink"/>
                <w:rtl w:val="true"/>
              </w:rPr>
              <w:t xml:space="preserve">ما المصلحة في الارجاع للأكثرية مع وجوده </w:t>
            </w:r>
            <w:r>
              <w:rPr>
                <w:rStyle w:val="IndexLink"/>
              </w:rPr>
              <w:t>o</w:t>
            </w:r>
            <w:r>
              <w:rPr>
                <w:rStyle w:val="IndexLink"/>
                <w:rtl w:val="true"/>
              </w:rPr>
              <w:tab/>
            </w:r>
            <w:r>
              <w:rPr>
                <w:rStyle w:val="IndexLink"/>
              </w:rPr>
              <w:t>265</w:t>
            </w:r>
          </w:hyperlink>
        </w:p>
        <w:p>
          <w:pPr>
            <w:pStyle w:val="Contents5"/>
            <w:tabs>
              <w:tab w:val="clear" w:pos="7892"/>
              <w:tab w:val="right" w:pos="9026" w:leader="dot"/>
            </w:tabs>
            <w:rPr/>
          </w:pPr>
          <w:hyperlink w:anchor="__RefHeading___Toc8924256_1051229030">
            <w:r>
              <w:rPr>
                <w:webHidden/>
                <w:rStyle w:val="IndexLink"/>
                <w:rtl w:val="true"/>
              </w:rPr>
              <w:t>الإشكال الثالث</w:t>
            </w:r>
            <w:r>
              <w:rPr>
                <w:rStyle w:val="IndexLink"/>
                <w:rtl w:val="true"/>
              </w:rPr>
              <w:t xml:space="preserve">: </w:t>
            </w:r>
            <w:r>
              <w:rPr>
                <w:rStyle w:val="IndexLink"/>
                <w:rtl w:val="true"/>
              </w:rPr>
              <w:t>السيرة العملية ليست على الشورى، والإجماع على عدم الوجوب</w:t>
            </w:r>
            <w:r>
              <w:rPr>
                <w:rStyle w:val="IndexLink"/>
                <w:rtl w:val="true"/>
              </w:rPr>
              <w:tab/>
            </w:r>
            <w:r>
              <w:rPr>
                <w:rStyle w:val="IndexLink"/>
              </w:rPr>
              <w:t>267</w:t>
            </w:r>
          </w:hyperlink>
        </w:p>
        <w:p>
          <w:pPr>
            <w:pStyle w:val="Contents6"/>
            <w:tabs>
              <w:tab w:val="clear" w:pos="7609"/>
              <w:tab w:val="right" w:pos="9026" w:leader="dot"/>
            </w:tabs>
            <w:rPr/>
          </w:pPr>
          <w:hyperlink w:anchor="__RefHeading___Toc8924258_105122903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8924260_1051229030">
            <w:r>
              <w:rPr>
                <w:webHidden/>
                <w:rStyle w:val="IndexLink"/>
                <w:rtl w:val="true"/>
              </w:rPr>
              <w:t xml:space="preserve">الجواب </w:t>
            </w:r>
            <w:r>
              <w:rPr>
                <w:rStyle w:val="IndexLink"/>
                <w:rtl w:val="true"/>
              </w:rPr>
              <w:t>:</w:t>
              <w:tab/>
            </w:r>
            <w:r>
              <w:rPr>
                <w:rStyle w:val="IndexLink"/>
              </w:rPr>
              <w:t>267</w:t>
            </w:r>
          </w:hyperlink>
        </w:p>
        <w:p>
          <w:pPr>
            <w:pStyle w:val="Contents6"/>
            <w:tabs>
              <w:tab w:val="clear" w:pos="7609"/>
              <w:tab w:val="right" w:pos="9026" w:leader="dot"/>
            </w:tabs>
            <w:rPr/>
          </w:pPr>
          <w:hyperlink w:anchor="__RefHeading___Toc8924262_1051229030">
            <w:r>
              <w:rPr>
                <w:webHidden/>
                <w:rStyle w:val="IndexLink"/>
                <w:rtl w:val="true"/>
              </w:rPr>
              <w:t>موارد كثيرة هامة لم يتطرق لها الفقهاء بالذكر</w:t>
            </w:r>
            <w:r>
              <w:rPr>
                <w:rStyle w:val="IndexLink"/>
                <w:rtl w:val="true"/>
              </w:rPr>
              <w:tab/>
            </w:r>
            <w:r>
              <w:rPr>
                <w:rStyle w:val="IndexLink"/>
              </w:rPr>
              <w:t>270</w:t>
            </w:r>
          </w:hyperlink>
        </w:p>
        <w:p>
          <w:pPr>
            <w:pStyle w:val="Contents6"/>
            <w:tabs>
              <w:tab w:val="clear" w:pos="7609"/>
              <w:tab w:val="right" w:pos="9026" w:leader="dot"/>
            </w:tabs>
            <w:rPr/>
          </w:pPr>
          <w:hyperlink w:anchor="__RefHeading___Toc8924264_1051229030">
            <w:r>
              <w:rPr>
                <w:webHidden/>
                <w:rStyle w:val="IndexLink"/>
                <w:rtl w:val="true"/>
              </w:rPr>
              <w:t>ليست الشهرة ظناً معتبراً ليحتج بها</w:t>
            </w:r>
            <w:r>
              <w:rPr>
                <w:rStyle w:val="IndexLink"/>
                <w:rtl w:val="true"/>
              </w:rPr>
              <w:tab/>
            </w:r>
            <w:r>
              <w:rPr>
                <w:rStyle w:val="IndexLink"/>
              </w:rPr>
              <w:t>277</w:t>
            </w:r>
          </w:hyperlink>
        </w:p>
        <w:p>
          <w:pPr>
            <w:pStyle w:val="Contents6"/>
            <w:tabs>
              <w:tab w:val="clear" w:pos="7609"/>
              <w:tab w:val="right" w:pos="9026" w:leader="dot"/>
            </w:tabs>
            <w:rPr/>
          </w:pPr>
          <w:hyperlink w:anchor="__RefHeading___Toc8924266_1051229030">
            <w:r>
              <w:rPr>
                <w:webHidden/>
                <w:rStyle w:val="IndexLink"/>
                <w:rtl w:val="true"/>
              </w:rPr>
              <w:t>وعلى فرض اعتبارها فلا بد من ملاحظة سائر الأدلة</w:t>
            </w:r>
            <w:r>
              <w:rPr>
                <w:rStyle w:val="IndexLink"/>
                <w:rtl w:val="true"/>
              </w:rPr>
              <w:tab/>
            </w:r>
            <w:r>
              <w:rPr>
                <w:rStyle w:val="IndexLink"/>
              </w:rPr>
              <w:t>280</w:t>
            </w:r>
          </w:hyperlink>
        </w:p>
        <w:p>
          <w:pPr>
            <w:pStyle w:val="Contents6"/>
            <w:tabs>
              <w:tab w:val="clear" w:pos="7609"/>
              <w:tab w:val="right" w:pos="9026" w:leader="dot"/>
            </w:tabs>
            <w:rPr/>
          </w:pPr>
          <w:hyperlink w:anchor="__RefHeading___Toc8924268_1051229030">
            <w:r>
              <w:rPr>
                <w:webHidden/>
                <w:rStyle w:val="IndexLink"/>
                <w:rtl w:val="true"/>
              </w:rPr>
              <w:t>نماذج من انقلاب الشهرة</w:t>
            </w:r>
            <w:r>
              <w:rPr>
                <w:rStyle w:val="IndexLink"/>
                <w:rtl w:val="true"/>
              </w:rPr>
              <w:tab/>
            </w:r>
            <w:r>
              <w:rPr>
                <w:rStyle w:val="IndexLink"/>
              </w:rPr>
              <w:t>282</w:t>
            </w:r>
          </w:hyperlink>
        </w:p>
        <w:p>
          <w:pPr>
            <w:pStyle w:val="Contents6"/>
            <w:tabs>
              <w:tab w:val="clear" w:pos="7609"/>
              <w:tab w:val="right" w:pos="9026" w:leader="dot"/>
            </w:tabs>
            <w:rPr/>
          </w:pPr>
          <w:hyperlink w:anchor="__RefHeading___Toc8924270_1051229030">
            <w:r>
              <w:rPr>
                <w:webHidden/>
                <w:rStyle w:val="IndexLink"/>
                <w:rtl w:val="true"/>
              </w:rPr>
              <w:t xml:space="preserve">الجواب عن أن سيرة الفقهاء العملية لم تكن على الشورى، بوجوه </w:t>
            </w:r>
            <w:r>
              <w:rPr>
                <w:rStyle w:val="IndexLink"/>
                <w:rtl w:val="true"/>
              </w:rPr>
              <w:t>:</w:t>
              <w:tab/>
            </w:r>
            <w:r>
              <w:rPr>
                <w:rStyle w:val="IndexLink"/>
              </w:rPr>
              <w:t>283</w:t>
            </w:r>
          </w:hyperlink>
        </w:p>
        <w:p>
          <w:pPr>
            <w:pStyle w:val="Contents6"/>
            <w:tabs>
              <w:tab w:val="clear" w:pos="7609"/>
              <w:tab w:val="right" w:pos="9026" w:leader="dot"/>
            </w:tabs>
            <w:rPr/>
          </w:pPr>
          <w:hyperlink w:anchor="__RefHeading___Toc8924272_1051229030">
            <w:r>
              <w:rPr>
                <w:webHidden/>
                <w:rStyle w:val="IndexLink"/>
                <w:rtl w:val="true"/>
              </w:rPr>
              <w:t xml:space="preserve">بحث عن الأمور الحسبية وأنها من شؤون </w:t>
            </w:r>
            <w:r>
              <w:rPr>
                <w:rStyle w:val="IndexLink"/>
                <w:rtl w:val="true"/>
              </w:rPr>
              <w:t>(</w:t>
            </w:r>
            <w:r>
              <w:rPr>
                <w:rStyle w:val="IndexLink"/>
                <w:rtl w:val="true"/>
              </w:rPr>
              <w:t>القضاة</w:t>
            </w:r>
            <w:r>
              <w:rPr>
                <w:rStyle w:val="IndexLink"/>
                <w:rtl w:val="true"/>
              </w:rPr>
              <w:t xml:space="preserve">) </w:t>
            </w:r>
            <w:r>
              <w:rPr>
                <w:rStyle w:val="IndexLink"/>
                <w:rtl w:val="true"/>
              </w:rPr>
              <w:t xml:space="preserve">دون </w:t>
            </w:r>
            <w:r>
              <w:rPr>
                <w:rStyle w:val="IndexLink"/>
                <w:rtl w:val="true"/>
              </w:rPr>
              <w:t>(</w:t>
            </w:r>
            <w:r>
              <w:rPr>
                <w:rStyle w:val="IndexLink"/>
                <w:rtl w:val="true"/>
              </w:rPr>
              <w:t>الولاة</w:t>
            </w:r>
            <w:r>
              <w:rPr>
                <w:rStyle w:val="IndexLink"/>
                <w:rtl w:val="true"/>
              </w:rPr>
              <w:t>)</w:t>
              <w:tab/>
            </w:r>
            <w:r>
              <w:rPr>
                <w:rStyle w:val="IndexLink"/>
              </w:rPr>
              <w:t>285</w:t>
            </w:r>
          </w:hyperlink>
        </w:p>
        <w:p>
          <w:pPr>
            <w:pStyle w:val="Contents6"/>
            <w:tabs>
              <w:tab w:val="clear" w:pos="7609"/>
              <w:tab w:val="right" w:pos="9026" w:leader="dot"/>
            </w:tabs>
            <w:rPr/>
          </w:pPr>
          <w:hyperlink w:anchor="__RefHeading___Toc8924274_1051229030">
            <w:r>
              <w:rPr>
                <w:webHidden/>
                <w:rStyle w:val="IndexLink"/>
                <w:rtl w:val="true"/>
              </w:rPr>
              <w:t>أدلة عدم وجوب الشورى في الأمور الحسبية</w:t>
            </w:r>
            <w:r>
              <w:rPr>
                <w:rStyle w:val="IndexLink"/>
                <w:rtl w:val="true"/>
              </w:rPr>
              <w:tab/>
            </w:r>
            <w:r>
              <w:rPr>
                <w:rStyle w:val="IndexLink"/>
              </w:rPr>
              <w:t>293</w:t>
            </w:r>
          </w:hyperlink>
        </w:p>
        <w:p>
          <w:pPr>
            <w:pStyle w:val="Contents6"/>
            <w:tabs>
              <w:tab w:val="clear" w:pos="7609"/>
              <w:tab w:val="right" w:pos="9026" w:leader="dot"/>
            </w:tabs>
            <w:rPr/>
          </w:pPr>
          <w:hyperlink w:anchor="__RefHeading___Toc8924276_1051229030">
            <w:r>
              <w:rPr>
                <w:webHidden/>
                <w:rStyle w:val="IndexLink"/>
                <w:rtl w:val="true"/>
              </w:rPr>
              <w:t>عدم عمل الفقهاء بالشورى أعم من الالتزام بعدم الوجوب</w:t>
            </w:r>
            <w:r>
              <w:rPr>
                <w:rStyle w:val="IndexLink"/>
                <w:rtl w:val="true"/>
              </w:rPr>
              <w:tab/>
            </w:r>
            <w:r>
              <w:rPr>
                <w:rStyle w:val="IndexLink"/>
              </w:rPr>
              <w:t>295</w:t>
            </w:r>
          </w:hyperlink>
        </w:p>
        <w:p>
          <w:pPr>
            <w:pStyle w:val="Contents6"/>
            <w:tabs>
              <w:tab w:val="clear" w:pos="7609"/>
              <w:tab w:val="right" w:pos="9026" w:leader="dot"/>
            </w:tabs>
            <w:rPr/>
          </w:pPr>
          <w:hyperlink w:anchor="__RefHeading___Toc8924278_1051229030">
            <w:r>
              <w:rPr>
                <w:webHidden/>
                <w:rStyle w:val="IndexLink"/>
                <w:rtl w:val="true"/>
              </w:rPr>
              <w:t>الجواب عن دعوى الإجماع على عدم وجوبها</w:t>
            </w:r>
            <w:r>
              <w:rPr>
                <w:rStyle w:val="IndexLink"/>
                <w:rtl w:val="true"/>
              </w:rPr>
              <w:tab/>
            </w:r>
            <w:r>
              <w:rPr>
                <w:rStyle w:val="IndexLink"/>
              </w:rPr>
              <w:t>296</w:t>
            </w:r>
          </w:hyperlink>
        </w:p>
        <w:p>
          <w:pPr>
            <w:pStyle w:val="Contents5"/>
            <w:tabs>
              <w:tab w:val="clear" w:pos="7892"/>
              <w:tab w:val="right" w:pos="9026" w:leader="dot"/>
            </w:tabs>
            <w:rPr/>
          </w:pPr>
          <w:hyperlink w:anchor="__RefHeading___Toc8924280_1051229030">
            <w:r>
              <w:rPr>
                <w:webHidden/>
                <w:rStyle w:val="IndexLink"/>
                <w:rtl w:val="true"/>
              </w:rPr>
              <w:t>الإشكال الرابع</w:t>
            </w:r>
            <w:r>
              <w:rPr>
                <w:rStyle w:val="IndexLink"/>
                <w:rtl w:val="true"/>
              </w:rPr>
              <w:t>: (</w:t>
            </w:r>
            <w:r>
              <w:rPr>
                <w:rStyle w:val="IndexLink"/>
                <w:rtl w:val="true"/>
              </w:rPr>
              <w:t>شاورهم</w:t>
            </w:r>
            <w:r>
              <w:rPr>
                <w:rStyle w:val="IndexLink"/>
                <w:rtl w:val="true"/>
              </w:rPr>
              <w:t xml:space="preserve">) </w:t>
            </w:r>
            <w:r>
              <w:rPr>
                <w:rStyle w:val="IndexLink"/>
                <w:rtl w:val="true"/>
              </w:rPr>
              <w:t>وردت في سياق المستحبات فالمشورة مستحبة</w:t>
            </w:r>
            <w:r>
              <w:rPr>
                <w:rStyle w:val="IndexLink"/>
                <w:rtl w:val="true"/>
              </w:rPr>
              <w:tab/>
            </w:r>
            <w:r>
              <w:rPr>
                <w:rStyle w:val="IndexLink"/>
              </w:rPr>
              <w:t>300</w:t>
            </w:r>
          </w:hyperlink>
        </w:p>
        <w:p>
          <w:pPr>
            <w:pStyle w:val="Contents6"/>
            <w:tabs>
              <w:tab w:val="clear" w:pos="7609"/>
              <w:tab w:val="right" w:pos="9026" w:leader="dot"/>
            </w:tabs>
            <w:rPr/>
          </w:pPr>
          <w:hyperlink w:anchor="__RefHeading___Toc8924282_1051229030">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8924284_1051229030">
            <w:r>
              <w:rPr>
                <w:webHidden/>
                <w:rStyle w:val="IndexLink"/>
                <w:rtl w:val="true"/>
              </w:rPr>
              <w:t>الجواب</w:t>
            </w:r>
            <w:r>
              <w:rPr>
                <w:rStyle w:val="IndexLink"/>
                <w:rtl w:val="true"/>
              </w:rPr>
              <w:t>:</w:t>
              <w:tab/>
            </w:r>
            <w:r>
              <w:rPr>
                <w:rStyle w:val="IndexLink"/>
              </w:rPr>
              <w:t>300</w:t>
            </w:r>
          </w:hyperlink>
        </w:p>
        <w:p>
          <w:pPr>
            <w:pStyle w:val="Contents6"/>
            <w:tabs>
              <w:tab w:val="clear" w:pos="7609"/>
              <w:tab w:val="right" w:pos="9026" w:leader="dot"/>
            </w:tabs>
            <w:rPr/>
          </w:pPr>
          <w:hyperlink w:anchor="__RefHeading___Toc8924286_1051229030">
            <w:r>
              <w:rPr>
                <w:webHidden/>
                <w:rStyle w:val="IndexLink"/>
              </w:rPr>
              <w:t>1</w:t>
            </w:r>
            <w:r>
              <w:rPr>
                <w:rStyle w:val="IndexLink"/>
                <w:rtl w:val="true"/>
              </w:rPr>
              <w:t xml:space="preserve">: </w:t>
            </w:r>
            <w:r>
              <w:rPr>
                <w:rStyle w:val="IndexLink"/>
                <w:rtl w:val="true"/>
              </w:rPr>
              <w:t>ليس السياق سياق المستحبات</w:t>
            </w:r>
            <w:r>
              <w:rPr>
                <w:rStyle w:val="IndexLink"/>
                <w:rtl w:val="true"/>
              </w:rPr>
              <w:tab/>
            </w:r>
            <w:r>
              <w:rPr>
                <w:rStyle w:val="IndexLink"/>
              </w:rPr>
              <w:t>300</w:t>
            </w:r>
          </w:hyperlink>
        </w:p>
        <w:p>
          <w:pPr>
            <w:pStyle w:val="Contents6"/>
            <w:tabs>
              <w:tab w:val="clear" w:pos="7609"/>
              <w:tab w:val="right" w:pos="9026" w:leader="dot"/>
            </w:tabs>
            <w:rPr/>
          </w:pPr>
          <w:hyperlink w:anchor="__RefHeading___Toc8924288_1051229030">
            <w:r>
              <w:rPr>
                <w:webHidden/>
                <w:rStyle w:val="IndexLink"/>
              </w:rPr>
              <w:t>2</w:t>
            </w:r>
            <w:r>
              <w:rPr>
                <w:rStyle w:val="IndexLink"/>
                <w:rtl w:val="true"/>
              </w:rPr>
              <w:t xml:space="preserve">: </w:t>
            </w:r>
            <w:r>
              <w:rPr>
                <w:rStyle w:val="IndexLink"/>
                <w:rtl w:val="true"/>
              </w:rPr>
              <w:t>والسياق لا يصلح صارفاً للظواهر عن ظهورها</w:t>
            </w:r>
            <w:r>
              <w:rPr>
                <w:rStyle w:val="IndexLink"/>
                <w:rtl w:val="true"/>
              </w:rPr>
              <w:tab/>
            </w:r>
            <w:r>
              <w:rPr>
                <w:rStyle w:val="IndexLink"/>
              </w:rPr>
              <w:t>303</w:t>
            </w:r>
          </w:hyperlink>
        </w:p>
        <w:p>
          <w:pPr>
            <w:pStyle w:val="Contents5"/>
            <w:tabs>
              <w:tab w:val="clear" w:pos="7892"/>
              <w:tab w:val="right" w:pos="9026" w:leader="dot"/>
            </w:tabs>
            <w:rPr/>
          </w:pPr>
          <w:hyperlink w:anchor="__RefHeading___Toc8924290_1051229030">
            <w:r>
              <w:rPr>
                <w:webHidden/>
                <w:rStyle w:val="IndexLink"/>
                <w:rtl w:val="true"/>
              </w:rPr>
              <w:t>الإشكال الخامس</w:t>
            </w:r>
            <w:r>
              <w:rPr>
                <w:rStyle w:val="IndexLink"/>
                <w:rtl w:val="true"/>
              </w:rPr>
              <w:t xml:space="preserve">: </w:t>
            </w:r>
            <w:r>
              <w:rPr>
                <w:rStyle w:val="IndexLink"/>
                <w:rtl w:val="true"/>
              </w:rPr>
              <w:t xml:space="preserve">المراد ب </w:t>
            </w:r>
            <w:r>
              <w:rPr>
                <w:rStyle w:val="IndexLink"/>
                <w:rtl w:val="true"/>
              </w:rPr>
              <w:t>(</w:t>
            </w:r>
            <w:r>
              <w:rPr>
                <w:rStyle w:val="IndexLink"/>
                <w:rtl w:val="true"/>
              </w:rPr>
              <w:t>الأمر</w:t>
            </w:r>
            <w:r>
              <w:rPr>
                <w:rStyle w:val="IndexLink"/>
                <w:rtl w:val="true"/>
              </w:rPr>
              <w:t xml:space="preserve">) </w:t>
            </w:r>
            <w:r>
              <w:rPr>
                <w:rStyle w:val="IndexLink"/>
                <w:rtl w:val="true"/>
              </w:rPr>
              <w:t>أمر الحرب</w:t>
            </w:r>
            <w:r>
              <w:rPr>
                <w:rStyle w:val="IndexLink"/>
                <w:rtl w:val="true"/>
              </w:rPr>
              <w:tab/>
            </w:r>
            <w:r>
              <w:rPr>
                <w:rStyle w:val="IndexLink"/>
              </w:rPr>
              <w:t>307</w:t>
            </w:r>
          </w:hyperlink>
        </w:p>
        <w:p>
          <w:pPr>
            <w:pStyle w:val="Contents6"/>
            <w:tabs>
              <w:tab w:val="clear" w:pos="7609"/>
              <w:tab w:val="right" w:pos="9026" w:leader="dot"/>
            </w:tabs>
            <w:rPr/>
          </w:pPr>
          <w:hyperlink w:anchor="__RefHeading___Toc8924292_1051229030">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8924294_1051229030">
            <w:r>
              <w:rPr>
                <w:webHidden/>
                <w:rStyle w:val="IndexLink"/>
                <w:rtl w:val="true"/>
              </w:rPr>
              <w:t>الجواب</w:t>
            </w:r>
            <w:r>
              <w:rPr>
                <w:rStyle w:val="IndexLink"/>
                <w:rtl w:val="true"/>
              </w:rPr>
              <w:t>:</w:t>
              <w:tab/>
            </w:r>
            <w:r>
              <w:rPr>
                <w:rStyle w:val="IndexLink"/>
              </w:rPr>
              <w:t>307</w:t>
            </w:r>
          </w:hyperlink>
        </w:p>
        <w:p>
          <w:pPr>
            <w:pStyle w:val="Contents6"/>
            <w:tabs>
              <w:tab w:val="clear" w:pos="7609"/>
              <w:tab w:val="right" w:pos="9026" w:leader="dot"/>
            </w:tabs>
            <w:rPr/>
          </w:pPr>
          <w:hyperlink w:anchor="__RefHeading___Toc8924296_1051229030">
            <w:r>
              <w:rPr>
                <w:webHidden/>
                <w:rStyle w:val="IndexLink"/>
              </w:rPr>
              <w:t>1</w:t>
            </w:r>
            <w:r>
              <w:rPr>
                <w:rStyle w:val="IndexLink"/>
                <w:rtl w:val="true"/>
              </w:rPr>
              <w:t xml:space="preserve">: </w:t>
            </w:r>
            <w:r>
              <w:rPr>
                <w:rStyle w:val="IndexLink"/>
                <w:rtl w:val="true"/>
              </w:rPr>
              <w:t>الأصل في اللام انها للجنس</w:t>
            </w:r>
            <w:r>
              <w:rPr>
                <w:rStyle w:val="IndexLink"/>
                <w:rtl w:val="true"/>
              </w:rPr>
              <w:tab/>
            </w:r>
            <w:r>
              <w:rPr>
                <w:rStyle w:val="IndexLink"/>
              </w:rPr>
              <w:t>307</w:t>
            </w:r>
          </w:hyperlink>
        </w:p>
        <w:p>
          <w:pPr>
            <w:pStyle w:val="Contents6"/>
            <w:tabs>
              <w:tab w:val="clear" w:pos="7609"/>
              <w:tab w:val="right" w:pos="9026" w:leader="dot"/>
            </w:tabs>
            <w:rPr/>
          </w:pPr>
          <w:hyperlink w:anchor="__RefHeading___Toc8924298_1051229030">
            <w:r>
              <w:rPr>
                <w:webHidden/>
                <w:rStyle w:val="IndexLink"/>
                <w:rtl w:val="true"/>
              </w:rPr>
              <w:t>المشهور</w:t>
            </w:r>
            <w:r>
              <w:rPr>
                <w:rStyle w:val="IndexLink"/>
                <w:rtl w:val="true"/>
              </w:rPr>
              <w:t xml:space="preserve">: </w:t>
            </w:r>
            <w:r>
              <w:rPr>
                <w:rStyle w:val="IndexLink"/>
                <w:rtl w:val="true"/>
              </w:rPr>
              <w:t>كلما ترددت اللام بين العهد والجنس، كانت للجنس</w:t>
            </w:r>
            <w:r>
              <w:rPr>
                <w:rStyle w:val="IndexLink"/>
                <w:rtl w:val="true"/>
              </w:rPr>
              <w:tab/>
            </w:r>
            <w:r>
              <w:rPr>
                <w:rStyle w:val="IndexLink"/>
              </w:rPr>
              <w:t>311</w:t>
            </w:r>
          </w:hyperlink>
        </w:p>
        <w:p>
          <w:pPr>
            <w:pStyle w:val="Contents6"/>
            <w:tabs>
              <w:tab w:val="clear" w:pos="7609"/>
              <w:tab w:val="right" w:pos="9026" w:leader="dot"/>
            </w:tabs>
            <w:rPr/>
          </w:pPr>
          <w:hyperlink w:anchor="__RefHeading___Toc8924300_1051229030">
            <w:r>
              <w:rPr>
                <w:webHidden/>
                <w:rStyle w:val="IndexLink"/>
                <w:rtl w:val="true"/>
              </w:rPr>
              <w:t xml:space="preserve">الجواب عن أن القدر المتيقن من </w:t>
            </w:r>
            <w:r>
              <w:rPr>
                <w:rStyle w:val="IndexLink"/>
                <w:rtl w:val="true"/>
              </w:rPr>
              <w:t>(</w:t>
            </w:r>
            <w:r>
              <w:rPr>
                <w:rStyle w:val="IndexLink"/>
                <w:rtl w:val="true"/>
              </w:rPr>
              <w:t>الأمر</w:t>
            </w:r>
            <w:r>
              <w:rPr>
                <w:rStyle w:val="IndexLink"/>
                <w:rtl w:val="true"/>
              </w:rPr>
              <w:t xml:space="preserve">) </w:t>
            </w:r>
            <w:r>
              <w:rPr>
                <w:rStyle w:val="IndexLink"/>
                <w:rtl w:val="true"/>
              </w:rPr>
              <w:t>هو أمر الحرب</w:t>
            </w:r>
            <w:r>
              <w:rPr>
                <w:rStyle w:val="IndexLink"/>
                <w:rtl w:val="true"/>
              </w:rPr>
              <w:tab/>
            </w:r>
            <w:r>
              <w:rPr>
                <w:rStyle w:val="IndexLink"/>
              </w:rPr>
              <w:t>314</w:t>
            </w:r>
          </w:hyperlink>
        </w:p>
        <w:p>
          <w:pPr>
            <w:pStyle w:val="Contents6"/>
            <w:tabs>
              <w:tab w:val="clear" w:pos="7609"/>
              <w:tab w:val="right" w:pos="9026" w:leader="dot"/>
            </w:tabs>
            <w:rPr/>
          </w:pPr>
          <w:hyperlink w:anchor="__RefHeading___Toc8924302_1051229030">
            <w:r>
              <w:rPr>
                <w:webHidden/>
                <w:rStyle w:val="IndexLink"/>
                <w:rtl w:val="true"/>
              </w:rPr>
              <w:t>بحث عن أن المطلق كالعام في الدلالة على الشمول</w:t>
            </w:r>
            <w:r>
              <w:rPr>
                <w:rStyle w:val="IndexLink"/>
                <w:rtl w:val="true"/>
              </w:rPr>
              <w:tab/>
            </w:r>
            <w:r>
              <w:rPr>
                <w:rStyle w:val="IndexLink"/>
              </w:rPr>
              <w:t>314</w:t>
            </w:r>
          </w:hyperlink>
        </w:p>
        <w:p>
          <w:pPr>
            <w:pStyle w:val="Contents6"/>
            <w:tabs>
              <w:tab w:val="clear" w:pos="7609"/>
              <w:tab w:val="right" w:pos="9026" w:leader="dot"/>
            </w:tabs>
            <w:rPr/>
          </w:pPr>
          <w:hyperlink w:anchor="__RefHeading___Toc8924304_1051229030">
            <w:r>
              <w:rPr>
                <w:webHidden/>
                <w:rStyle w:val="IndexLink"/>
                <w:rtl w:val="true"/>
              </w:rPr>
              <w:t xml:space="preserve">الجواب عن إشكال عدم جريان مقدمات الحكمة في </w:t>
            </w:r>
            <w:r>
              <w:rPr>
                <w:rStyle w:val="IndexLink"/>
                <w:rtl w:val="true"/>
              </w:rPr>
              <w:t>(</w:t>
            </w:r>
            <w:r>
              <w:rPr>
                <w:rStyle w:val="IndexLink"/>
                <w:rtl w:val="true"/>
              </w:rPr>
              <w:t>الأمر</w:t>
            </w:r>
            <w:r>
              <w:rPr>
                <w:rStyle w:val="IndexLink"/>
                <w:rtl w:val="true"/>
              </w:rPr>
              <w:t>)</w:t>
              <w:tab/>
            </w:r>
            <w:r>
              <w:rPr>
                <w:rStyle w:val="IndexLink"/>
              </w:rPr>
              <w:t>319</w:t>
            </w:r>
          </w:hyperlink>
        </w:p>
        <w:p>
          <w:pPr>
            <w:pStyle w:val="Contents6"/>
            <w:tabs>
              <w:tab w:val="clear" w:pos="7609"/>
              <w:tab w:val="right" w:pos="9026" w:leader="dot"/>
            </w:tabs>
            <w:rPr/>
          </w:pPr>
          <w:hyperlink w:anchor="__RefHeading___Toc8924306_1051229030">
            <w:r>
              <w:rPr>
                <w:webHidden/>
                <w:rStyle w:val="IndexLink"/>
              </w:rPr>
              <w:t>2</w:t>
            </w:r>
            <w:r>
              <w:rPr>
                <w:rStyle w:val="IndexLink"/>
                <w:rtl w:val="true"/>
              </w:rPr>
              <w:t xml:space="preserve">: </w:t>
            </w:r>
            <w:r>
              <w:rPr>
                <w:rStyle w:val="IndexLink"/>
                <w:rtl w:val="true"/>
              </w:rPr>
              <w:t>خصوصية المورد لا تخصص الوارد</w:t>
            </w:r>
            <w:r>
              <w:rPr>
                <w:rStyle w:val="IndexLink"/>
                <w:rtl w:val="true"/>
              </w:rPr>
              <w:tab/>
            </w:r>
            <w:r>
              <w:rPr>
                <w:rStyle w:val="IndexLink"/>
              </w:rPr>
              <w:t>322</w:t>
            </w:r>
          </w:hyperlink>
        </w:p>
        <w:p>
          <w:pPr>
            <w:pStyle w:val="Contents6"/>
            <w:tabs>
              <w:tab w:val="clear" w:pos="7609"/>
              <w:tab w:val="right" w:pos="9026" w:leader="dot"/>
            </w:tabs>
            <w:rPr/>
          </w:pPr>
          <w:hyperlink w:anchor="__RefHeading___Toc8924308_1051229030">
            <w:r>
              <w:rPr>
                <w:webHidden/>
                <w:rStyle w:val="IndexLink"/>
              </w:rPr>
              <w:t>3</w:t>
            </w:r>
            <w:r>
              <w:rPr>
                <w:rStyle w:val="IndexLink"/>
                <w:rtl w:val="true"/>
              </w:rPr>
              <w:t xml:space="preserve">: </w:t>
            </w:r>
            <w:r>
              <w:rPr>
                <w:rStyle w:val="IndexLink"/>
                <w:rtl w:val="true"/>
              </w:rPr>
              <w:t>سياق الآية شاهد بعدم الاختصاص بالحرب</w:t>
            </w:r>
            <w:r>
              <w:rPr>
                <w:rStyle w:val="IndexLink"/>
                <w:rtl w:val="true"/>
              </w:rPr>
              <w:tab/>
            </w:r>
            <w:r>
              <w:rPr>
                <w:rStyle w:val="IndexLink"/>
              </w:rPr>
              <w:t>322</w:t>
            </w:r>
          </w:hyperlink>
        </w:p>
        <w:p>
          <w:pPr>
            <w:pStyle w:val="Contents6"/>
            <w:tabs>
              <w:tab w:val="clear" w:pos="7609"/>
              <w:tab w:val="right" w:pos="9026" w:leader="dot"/>
            </w:tabs>
            <w:rPr/>
          </w:pPr>
          <w:hyperlink w:anchor="__RefHeading___Toc8924310_1051229030">
            <w:r>
              <w:rPr>
                <w:webHidden/>
                <w:rStyle w:val="IndexLink"/>
              </w:rPr>
              <w:t>4</w:t>
            </w:r>
            <w:r>
              <w:rPr>
                <w:rStyle w:val="IndexLink"/>
                <w:rtl w:val="true"/>
              </w:rPr>
              <w:t xml:space="preserve">: </w:t>
            </w:r>
            <w:r>
              <w:rPr>
                <w:rStyle w:val="IndexLink"/>
                <w:rtl w:val="true"/>
              </w:rPr>
              <w:t>تتميم الاستدلال بعدم القول بالفصل وتنقيح المناط</w:t>
            </w:r>
            <w:r>
              <w:rPr>
                <w:rStyle w:val="IndexLink"/>
                <w:rtl w:val="true"/>
              </w:rPr>
              <w:tab/>
            </w:r>
            <w:r>
              <w:rPr>
                <w:rStyle w:val="IndexLink"/>
              </w:rPr>
              <w:t>325</w:t>
            </w:r>
          </w:hyperlink>
        </w:p>
        <w:p>
          <w:pPr>
            <w:pStyle w:val="Contents5"/>
            <w:tabs>
              <w:tab w:val="clear" w:pos="7892"/>
              <w:tab w:val="right" w:pos="9026" w:leader="dot"/>
            </w:tabs>
            <w:rPr/>
          </w:pPr>
          <w:hyperlink w:anchor="__RefHeading___Toc8924312_1051229030">
            <w:r>
              <w:rPr>
                <w:webHidden/>
                <w:rStyle w:val="IndexLink"/>
                <w:rtl w:val="true"/>
              </w:rPr>
              <w:t>الإشكال السادس</w:t>
            </w:r>
            <w:r>
              <w:rPr>
                <w:rStyle w:val="IndexLink"/>
                <w:rtl w:val="true"/>
              </w:rPr>
              <w:t>: (</w:t>
            </w:r>
            <w:r>
              <w:rPr>
                <w:rStyle w:val="IndexLink"/>
                <w:rtl w:val="true"/>
              </w:rPr>
              <w:t>عزمت</w:t>
            </w:r>
            <w:r>
              <w:rPr>
                <w:rStyle w:val="IndexLink"/>
                <w:rtl w:val="true"/>
              </w:rPr>
              <w:t xml:space="preserve">) </w:t>
            </w:r>
            <w:r>
              <w:rPr>
                <w:rStyle w:val="IndexLink"/>
                <w:rtl w:val="true"/>
              </w:rPr>
              <w:t>أي على ما أدى إليه رأيك</w:t>
            </w:r>
            <w:r>
              <w:rPr>
                <w:rStyle w:val="IndexLink"/>
                <w:rtl w:val="true"/>
              </w:rPr>
              <w:tab/>
            </w:r>
            <w:r>
              <w:rPr>
                <w:rStyle w:val="IndexLink"/>
              </w:rPr>
              <w:t>327</w:t>
            </w:r>
          </w:hyperlink>
        </w:p>
        <w:p>
          <w:pPr>
            <w:pStyle w:val="Contents6"/>
            <w:tabs>
              <w:tab w:val="clear" w:pos="7609"/>
              <w:tab w:val="right" w:pos="9026" w:leader="dot"/>
            </w:tabs>
            <w:rPr/>
          </w:pPr>
          <w:hyperlink w:anchor="__RefHeading___Toc8924314_105122903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8924316_1051229030">
            <w:r>
              <w:rPr>
                <w:webHidden/>
                <w:rStyle w:val="IndexLink"/>
                <w:rtl w:val="true"/>
              </w:rPr>
              <w:t>والجواب</w:t>
            </w:r>
            <w:r>
              <w:rPr>
                <w:rStyle w:val="IndexLink"/>
                <w:rtl w:val="true"/>
              </w:rPr>
              <w:t>:</w:t>
              <w:tab/>
            </w:r>
            <w:r>
              <w:rPr>
                <w:rStyle w:val="IndexLink"/>
              </w:rPr>
              <w:t>327</w:t>
            </w:r>
          </w:hyperlink>
        </w:p>
        <w:p>
          <w:pPr>
            <w:pStyle w:val="Contents6"/>
            <w:tabs>
              <w:tab w:val="clear" w:pos="7609"/>
              <w:tab w:val="right" w:pos="9026" w:leader="dot"/>
            </w:tabs>
            <w:rPr/>
          </w:pPr>
          <w:hyperlink w:anchor="__RefHeading___Toc8924318_1051229030">
            <w:r>
              <w:rPr>
                <w:webHidden/>
                <w:rStyle w:val="IndexLink"/>
              </w:rPr>
              <w:t>1</w:t>
            </w:r>
            <w:r>
              <w:rPr>
                <w:rStyle w:val="IndexLink"/>
                <w:rtl w:val="true"/>
              </w:rPr>
              <w:t xml:space="preserve">: </w:t>
            </w:r>
            <w:r>
              <w:rPr>
                <w:rStyle w:val="IndexLink"/>
                <w:rtl w:val="true"/>
              </w:rPr>
              <w:t>عموم الخطابات</w:t>
            </w:r>
            <w:r>
              <w:rPr>
                <w:rStyle w:val="IndexLink"/>
                <w:rtl w:val="true"/>
              </w:rPr>
              <w:tab/>
            </w:r>
            <w:r>
              <w:rPr>
                <w:rStyle w:val="IndexLink"/>
              </w:rPr>
              <w:t>327</w:t>
            </w:r>
          </w:hyperlink>
        </w:p>
        <w:p>
          <w:pPr>
            <w:pStyle w:val="Contents6"/>
            <w:tabs>
              <w:tab w:val="clear" w:pos="7609"/>
              <w:tab w:val="right" w:pos="9026" w:leader="dot"/>
            </w:tabs>
            <w:rPr/>
          </w:pPr>
          <w:hyperlink w:anchor="__RefHeading___Toc8924320_1051229030">
            <w:r>
              <w:rPr>
                <w:webHidden/>
                <w:rStyle w:val="IndexLink"/>
              </w:rPr>
              <w:t>2</w:t>
            </w:r>
            <w:r>
              <w:rPr>
                <w:rStyle w:val="IndexLink"/>
                <w:rtl w:val="true"/>
              </w:rPr>
              <w:t xml:space="preserve">: </w:t>
            </w:r>
            <w:r>
              <w:rPr>
                <w:rStyle w:val="IndexLink"/>
                <w:rtl w:val="true"/>
              </w:rPr>
              <w:t xml:space="preserve">متعلق </w:t>
            </w:r>
            <w:r>
              <w:rPr>
                <w:rStyle w:val="IndexLink"/>
                <w:rtl w:val="true"/>
              </w:rPr>
              <w:t>(</w:t>
            </w:r>
            <w:r>
              <w:rPr>
                <w:rStyle w:val="IndexLink"/>
                <w:rtl w:val="true"/>
              </w:rPr>
              <w:t>عزمت</w:t>
            </w:r>
            <w:r>
              <w:rPr>
                <w:rStyle w:val="IndexLink"/>
                <w:rtl w:val="true"/>
              </w:rPr>
              <w:t xml:space="preserve">) </w:t>
            </w:r>
            <w:r>
              <w:rPr>
                <w:rStyle w:val="IndexLink"/>
                <w:rtl w:val="true"/>
              </w:rPr>
              <w:t>محذوف وهو</w:t>
            </w:r>
            <w:r>
              <w:rPr>
                <w:rStyle w:val="IndexLink"/>
                <w:rtl w:val="true"/>
              </w:rPr>
              <w:t>: (</w:t>
            </w:r>
            <w:r>
              <w:rPr>
                <w:rStyle w:val="IndexLink"/>
                <w:rtl w:val="true"/>
              </w:rPr>
              <w:t>على العمل برأي الأكثرية</w:t>
            </w:r>
            <w:r>
              <w:rPr>
                <w:rStyle w:val="IndexLink"/>
                <w:rtl w:val="true"/>
              </w:rPr>
              <w:t>)</w:t>
              <w:tab/>
            </w:r>
            <w:r>
              <w:rPr>
                <w:rStyle w:val="IndexLink"/>
              </w:rPr>
              <w:t>330</w:t>
            </w:r>
          </w:hyperlink>
        </w:p>
        <w:p>
          <w:pPr>
            <w:pStyle w:val="Contents6"/>
            <w:tabs>
              <w:tab w:val="clear" w:pos="7609"/>
              <w:tab w:val="right" w:pos="9026" w:leader="dot"/>
            </w:tabs>
            <w:rPr/>
          </w:pPr>
          <w:hyperlink w:anchor="__RefHeading___Toc8924322_1051229030">
            <w:r>
              <w:rPr>
                <w:webHidden/>
                <w:rStyle w:val="IndexLink"/>
              </w:rPr>
              <w:t>3</w:t>
            </w:r>
            <w:r>
              <w:rPr>
                <w:rStyle w:val="IndexLink"/>
                <w:rtl w:val="true"/>
              </w:rPr>
              <w:t xml:space="preserve">: </w:t>
            </w:r>
            <w:r>
              <w:rPr>
                <w:rStyle w:val="IndexLink"/>
                <w:rtl w:val="true"/>
              </w:rPr>
              <w:t>أو هو مردد، والأصل عدم إفادة المانع</w:t>
            </w:r>
            <w:r>
              <w:rPr>
                <w:rStyle w:val="IndexLink"/>
                <w:rtl w:val="true"/>
              </w:rPr>
              <w:tab/>
            </w:r>
            <w:r>
              <w:rPr>
                <w:rStyle w:val="IndexLink"/>
              </w:rPr>
              <w:t>332</w:t>
            </w:r>
          </w:hyperlink>
        </w:p>
        <w:p>
          <w:pPr>
            <w:pStyle w:val="Contents6"/>
            <w:tabs>
              <w:tab w:val="clear" w:pos="7609"/>
              <w:tab w:val="right" w:pos="9026" w:leader="dot"/>
            </w:tabs>
            <w:rPr/>
          </w:pPr>
          <w:hyperlink w:anchor="__RefHeading___Toc8924324_1051229030">
            <w:r>
              <w:rPr>
                <w:webHidden/>
                <w:rStyle w:val="IndexLink"/>
              </w:rPr>
              <w:t>4</w:t>
            </w:r>
            <w:r>
              <w:rPr>
                <w:rStyle w:val="IndexLink"/>
                <w:rtl w:val="true"/>
              </w:rPr>
              <w:t xml:space="preserve">: </w:t>
            </w:r>
            <w:r>
              <w:rPr>
                <w:rStyle w:val="IndexLink"/>
                <w:rtl w:val="true"/>
              </w:rPr>
              <w:t xml:space="preserve">المخرج على فرض ظهور </w:t>
            </w:r>
            <w:r>
              <w:rPr>
                <w:rStyle w:val="IndexLink"/>
                <w:rtl w:val="true"/>
              </w:rPr>
              <w:t>(</w:t>
            </w:r>
            <w:r>
              <w:rPr>
                <w:rStyle w:val="IndexLink"/>
                <w:rtl w:val="true"/>
              </w:rPr>
              <w:t>عزمت</w:t>
            </w:r>
            <w:r>
              <w:rPr>
                <w:rStyle w:val="IndexLink"/>
                <w:rtl w:val="true"/>
              </w:rPr>
              <w:t xml:space="preserve">) </w:t>
            </w:r>
            <w:r>
              <w:rPr>
                <w:rStyle w:val="IndexLink"/>
                <w:rtl w:val="true"/>
              </w:rPr>
              <w:t>في العزم على تنفيذ رأيه</w:t>
            </w:r>
            <w:r>
              <w:rPr>
                <w:rStyle w:val="IndexLink"/>
                <w:rtl w:val="true"/>
              </w:rPr>
              <w:tab/>
            </w:r>
            <w:r>
              <w:rPr>
                <w:rStyle w:val="IndexLink"/>
              </w:rPr>
              <w:t>334</w:t>
            </w:r>
          </w:hyperlink>
        </w:p>
        <w:p>
          <w:pPr>
            <w:pStyle w:val="Contents5"/>
            <w:tabs>
              <w:tab w:val="clear" w:pos="7892"/>
              <w:tab w:val="right" w:pos="9026" w:leader="dot"/>
            </w:tabs>
            <w:rPr/>
          </w:pPr>
          <w:hyperlink w:anchor="__RefHeading___Toc8924326_1051229030">
            <w:r>
              <w:rPr>
                <w:webHidden/>
                <w:rStyle w:val="IndexLink"/>
                <w:rtl w:val="true"/>
              </w:rPr>
              <w:t xml:space="preserve">الملحق </w:t>
            </w:r>
            <w:r>
              <w:rPr>
                <w:rStyle w:val="IndexLink"/>
                <w:rtl w:val="true"/>
              </w:rPr>
              <w:t>(</w:t>
            </w:r>
            <w:r>
              <w:rPr>
                <w:rStyle w:val="IndexLink"/>
              </w:rPr>
              <w:t>4</w:t>
            </w:r>
            <w:r>
              <w:rPr>
                <w:rStyle w:val="IndexLink"/>
                <w:rtl w:val="true"/>
              </w:rPr>
              <w:t>)</w:t>
              <w:tab/>
            </w:r>
            <w:r>
              <w:rPr>
                <w:rStyle w:val="IndexLink"/>
              </w:rPr>
              <w:t>336</w:t>
            </w:r>
          </w:hyperlink>
        </w:p>
        <w:p>
          <w:pPr>
            <w:pStyle w:val="Contents5"/>
            <w:tabs>
              <w:tab w:val="clear" w:pos="7892"/>
              <w:tab w:val="right" w:pos="9026" w:leader="dot"/>
            </w:tabs>
            <w:rPr/>
          </w:pPr>
          <w:hyperlink w:anchor="__RefHeading___Toc8924328_1051229030">
            <w:r>
              <w:rPr>
                <w:webHidden/>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349</w:t>
            </w:r>
          </w:hyperlink>
        </w:p>
        <w:p>
          <w:pPr>
            <w:pStyle w:val="Contents5"/>
            <w:tabs>
              <w:tab w:val="clear" w:pos="7892"/>
              <w:tab w:val="right" w:pos="9026" w:leader="dot"/>
            </w:tabs>
            <w:rPr/>
          </w:pPr>
          <w:hyperlink w:anchor="__RefHeading___Toc8924330_1051229030">
            <w:r>
              <w:rPr>
                <w:webHidden/>
                <w:rStyle w:val="IndexLink"/>
                <w:rtl w:val="true"/>
              </w:rPr>
              <w:t xml:space="preserve">الملحق </w:t>
            </w:r>
            <w:r>
              <w:rPr>
                <w:rStyle w:val="IndexLink"/>
                <w:rtl w:val="true"/>
              </w:rPr>
              <w:t>(</w:t>
            </w:r>
            <w:r>
              <w:rPr>
                <w:rStyle w:val="IndexLink"/>
              </w:rPr>
              <w:t>6</w:t>
            </w:r>
            <w:r>
              <w:rPr>
                <w:rStyle w:val="IndexLink"/>
                <w:rtl w:val="true"/>
              </w:rPr>
              <w:t>)</w:t>
              <w:tab/>
            </w:r>
            <w:r>
              <w:rPr>
                <w:rStyle w:val="IndexLink"/>
              </w:rPr>
              <w:t>352</w:t>
            </w:r>
          </w:hyperlink>
        </w:p>
        <w:p>
          <w:pPr>
            <w:pStyle w:val="Contents3"/>
            <w:tabs>
              <w:tab w:val="clear" w:pos="8459"/>
              <w:tab w:val="right" w:pos="9026" w:leader="dot"/>
            </w:tabs>
            <w:rPr/>
          </w:pPr>
          <w:hyperlink w:anchor="__RefHeading___Toc8924332_1051229030">
            <w:r>
              <w:rPr>
                <w:webHidden/>
                <w:rStyle w:val="IndexLink"/>
                <w:rtl w:val="true"/>
              </w:rPr>
              <w:t>القسم الثالث</w:t>
            </w:r>
            <w:r>
              <w:rPr>
                <w:rStyle w:val="IndexLink"/>
                <w:rtl w:val="true"/>
              </w:rPr>
              <w:t xml:space="preserve">: </w:t>
            </w:r>
            <w:r>
              <w:rPr>
                <w:rStyle w:val="IndexLink"/>
                <w:rtl w:val="true"/>
              </w:rPr>
              <w:t>الاستدلال بالروايات الشريفة</w:t>
            </w:r>
            <w:r>
              <w:rPr>
                <w:rStyle w:val="IndexLink"/>
                <w:rtl w:val="true"/>
              </w:rPr>
              <w:tab/>
            </w:r>
            <w:r>
              <w:rPr>
                <w:rStyle w:val="IndexLink"/>
              </w:rPr>
              <w:t>358</w:t>
            </w:r>
          </w:hyperlink>
        </w:p>
        <w:p>
          <w:pPr>
            <w:pStyle w:val="Contents4"/>
            <w:tabs>
              <w:tab w:val="clear" w:pos="8176"/>
              <w:tab w:val="right" w:pos="9026" w:leader="dot"/>
            </w:tabs>
            <w:rPr/>
          </w:pPr>
          <w:hyperlink w:anchor="__RefHeading___Toc8924334_1051229030">
            <w:r>
              <w:rPr>
                <w:webHidden/>
                <w:rStyle w:val="IndexLink"/>
                <w:rtl w:val="true"/>
              </w:rPr>
              <w:t>الفصل الأول</w:t>
            </w:r>
            <w:r>
              <w:rPr>
                <w:rStyle w:val="IndexLink"/>
                <w:rtl w:val="true"/>
              </w:rPr>
              <w:t xml:space="preserve">: </w:t>
            </w:r>
            <w:r>
              <w:rPr>
                <w:rStyle w:val="IndexLink"/>
                <w:rtl w:val="true"/>
              </w:rPr>
              <w:t>في الاستدلال بالتوقيع الشريف</w:t>
            </w:r>
            <w:r>
              <w:rPr>
                <w:rStyle w:val="IndexLink"/>
                <w:rtl w:val="true"/>
              </w:rPr>
              <w:tab/>
            </w:r>
            <w:r>
              <w:rPr>
                <w:rStyle w:val="IndexLink"/>
              </w:rPr>
              <w:t>358</w:t>
            </w:r>
          </w:hyperlink>
        </w:p>
        <w:p>
          <w:pPr>
            <w:pStyle w:val="Contents5"/>
            <w:tabs>
              <w:tab w:val="clear" w:pos="7892"/>
              <w:tab w:val="right" w:pos="9026" w:leader="dot"/>
            </w:tabs>
            <w:rPr/>
          </w:pPr>
          <w:hyperlink w:anchor="__RefHeading___Toc8924336_105122903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8924338_1051229030">
            <w:r>
              <w:rPr>
                <w:webHidden/>
                <w:rStyle w:val="IndexLink"/>
                <w:rtl w:val="true"/>
              </w:rPr>
              <w:t>التوقيع الشريف</w:t>
            </w:r>
            <w:r>
              <w:rPr>
                <w:rStyle w:val="IndexLink"/>
                <w:rtl w:val="true"/>
              </w:rPr>
              <w:tab/>
            </w:r>
            <w:r>
              <w:rPr>
                <w:rStyle w:val="IndexLink"/>
              </w:rPr>
              <w:t>360</w:t>
            </w:r>
          </w:hyperlink>
        </w:p>
        <w:p>
          <w:pPr>
            <w:pStyle w:val="Contents6"/>
            <w:tabs>
              <w:tab w:val="clear" w:pos="7609"/>
              <w:tab w:val="right" w:pos="9026" w:leader="dot"/>
            </w:tabs>
            <w:rPr/>
          </w:pPr>
          <w:hyperlink w:anchor="__RefHeading___Toc8924340_1051229030">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8924342_1051229030">
            <w:r>
              <w:rPr>
                <w:webHidden/>
                <w:rStyle w:val="IndexLink"/>
                <w:rtl w:val="true"/>
              </w:rPr>
              <w:t xml:space="preserve">الاستدلال ب </w:t>
            </w:r>
            <w:r>
              <w:rPr>
                <w:rStyle w:val="IndexLink"/>
                <w:rtl w:val="true"/>
              </w:rPr>
              <w:t>(</w:t>
            </w:r>
            <w:r>
              <w:rPr>
                <w:rStyle w:val="IndexLink"/>
                <w:rtl w:val="true"/>
              </w:rPr>
              <w:t>أما الحوادث الواقعة فارجعوا فيها إلى رواة حديثنا</w:t>
            </w:r>
            <w:r>
              <w:rPr>
                <w:rStyle w:val="IndexLink"/>
                <w:rtl w:val="true"/>
              </w:rPr>
              <w:t>...)</w:t>
              <w:tab/>
            </w:r>
            <w:r>
              <w:rPr>
                <w:rStyle w:val="IndexLink"/>
              </w:rPr>
              <w:t>360</w:t>
            </w:r>
          </w:hyperlink>
        </w:p>
        <w:p>
          <w:pPr>
            <w:pStyle w:val="Contents6"/>
            <w:tabs>
              <w:tab w:val="clear" w:pos="7609"/>
              <w:tab w:val="right" w:pos="9026" w:leader="dot"/>
            </w:tabs>
            <w:rPr/>
          </w:pPr>
          <w:hyperlink w:anchor="__RefHeading___Toc8924344_1051229030">
            <w:r>
              <w:rPr>
                <w:webHidden/>
                <w:rStyle w:val="IndexLink"/>
                <w:rtl w:val="true"/>
              </w:rPr>
              <w:t xml:space="preserve">بحث عن سند الرواية </w:t>
            </w:r>
            <w:r>
              <w:rPr>
                <w:rStyle w:val="IndexLink"/>
                <w:rtl w:val="true"/>
              </w:rPr>
              <w:t>:</w:t>
              <w:tab/>
            </w:r>
            <w:r>
              <w:rPr>
                <w:rStyle w:val="IndexLink"/>
              </w:rPr>
              <w:t>361</w:t>
            </w:r>
          </w:hyperlink>
        </w:p>
        <w:p>
          <w:pPr>
            <w:pStyle w:val="Contents5"/>
            <w:tabs>
              <w:tab w:val="clear" w:pos="7892"/>
              <w:tab w:val="right" w:pos="9026" w:leader="dot"/>
            </w:tabs>
            <w:rPr/>
          </w:pPr>
          <w:hyperlink w:anchor="__RefHeading___Toc8924346_1051229030">
            <w:r>
              <w:rPr>
                <w:webHidden/>
                <w:rStyle w:val="IndexLink"/>
                <w:rtl w:val="true"/>
              </w:rPr>
              <w:t>فقه الحديث</w:t>
            </w:r>
            <w:r>
              <w:rPr>
                <w:rStyle w:val="IndexLink"/>
                <w:rtl w:val="true"/>
              </w:rPr>
              <w:tab/>
            </w:r>
            <w:r>
              <w:rPr>
                <w:rStyle w:val="IndexLink"/>
              </w:rPr>
              <w:t>365</w:t>
            </w:r>
          </w:hyperlink>
        </w:p>
        <w:p>
          <w:pPr>
            <w:pStyle w:val="Contents6"/>
            <w:tabs>
              <w:tab w:val="clear" w:pos="7609"/>
              <w:tab w:val="right" w:pos="9026" w:leader="dot"/>
            </w:tabs>
            <w:rPr/>
          </w:pPr>
          <w:hyperlink w:anchor="__RefHeading___Toc8924348_1051229030">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8924350_1051229030">
            <w:r>
              <w:rPr>
                <w:webHidden/>
                <w:rStyle w:val="IndexLink"/>
                <w:rtl w:val="true"/>
              </w:rPr>
              <w:t>أ</w:t>
            </w:r>
            <w:r>
              <w:rPr>
                <w:rStyle w:val="IndexLink"/>
                <w:rtl w:val="true"/>
              </w:rPr>
              <w:t>: (</w:t>
            </w:r>
            <w:r>
              <w:rPr>
                <w:rStyle w:val="IndexLink"/>
                <w:rtl w:val="true"/>
              </w:rPr>
              <w:t>الحوادث</w:t>
            </w:r>
            <w:r>
              <w:rPr>
                <w:rStyle w:val="IndexLink"/>
                <w:rtl w:val="true"/>
              </w:rPr>
              <w:t>)</w:t>
              <w:tab/>
            </w:r>
            <w:r>
              <w:rPr>
                <w:rStyle w:val="IndexLink"/>
              </w:rPr>
              <w:t>365</w:t>
            </w:r>
          </w:hyperlink>
        </w:p>
        <w:p>
          <w:pPr>
            <w:pStyle w:val="Contents6"/>
            <w:tabs>
              <w:tab w:val="clear" w:pos="7609"/>
              <w:tab w:val="right" w:pos="9026" w:leader="dot"/>
            </w:tabs>
            <w:rPr/>
          </w:pPr>
          <w:hyperlink w:anchor="__RefHeading___Toc8924352_1051229030">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8924354_1051229030">
            <w:r>
              <w:rPr>
                <w:webHidden/>
                <w:rStyle w:val="IndexLink"/>
                <w:rtl w:val="true"/>
              </w:rPr>
              <w:t>الإشكال بانصرافها للموضوعات الجديدة الحدوث أو خروج غيرها موضوعياً</w:t>
            </w:r>
            <w:r>
              <w:rPr>
                <w:rStyle w:val="IndexLink"/>
                <w:rtl w:val="true"/>
              </w:rPr>
              <w:tab/>
            </w:r>
            <w:r>
              <w:rPr>
                <w:rStyle w:val="IndexLink"/>
              </w:rPr>
              <w:t>366</w:t>
            </w:r>
          </w:hyperlink>
        </w:p>
        <w:p>
          <w:pPr>
            <w:pStyle w:val="Contents6"/>
            <w:tabs>
              <w:tab w:val="clear" w:pos="7609"/>
              <w:tab w:val="right" w:pos="9026" w:leader="dot"/>
            </w:tabs>
            <w:rPr/>
          </w:pPr>
          <w:hyperlink w:anchor="__RefHeading___Toc8924356_1051229030">
            <w:r>
              <w:rPr>
                <w:webHidden/>
                <w:rStyle w:val="IndexLink"/>
                <w:rtl w:val="true"/>
              </w:rPr>
              <w:t>الأجوبة</w:t>
            </w:r>
            <w:r>
              <w:rPr>
                <w:rStyle w:val="IndexLink"/>
                <w:rtl w:val="true"/>
              </w:rPr>
              <w:t>:</w:t>
              <w:tab/>
            </w:r>
            <w:r>
              <w:rPr>
                <w:rStyle w:val="IndexLink"/>
              </w:rPr>
              <w:t>367</w:t>
            </w:r>
          </w:hyperlink>
        </w:p>
        <w:p>
          <w:pPr>
            <w:pStyle w:val="Contents6"/>
            <w:tabs>
              <w:tab w:val="clear" w:pos="7609"/>
              <w:tab w:val="right" w:pos="9026" w:leader="dot"/>
            </w:tabs>
            <w:rPr/>
          </w:pPr>
          <w:hyperlink w:anchor="__RefHeading___Toc8924358_1051229030">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8924360_1051229030">
            <w:r>
              <w:rPr>
                <w:webHidden/>
                <w:rStyle w:val="IndexLink"/>
                <w:rtl w:val="true"/>
              </w:rPr>
              <w:t>شمول الرواية للحادث أصله أو فرده و</w:t>
            </w:r>
            <w:r>
              <w:rPr>
                <w:rStyle w:val="IndexLink"/>
                <w:rtl w:val="true"/>
              </w:rPr>
              <w:t>...</w:t>
              <w:tab/>
            </w:r>
            <w:r>
              <w:rPr>
                <w:rStyle w:val="IndexLink"/>
              </w:rPr>
              <w:t>369</w:t>
            </w:r>
          </w:hyperlink>
        </w:p>
        <w:p>
          <w:pPr>
            <w:pStyle w:val="Contents6"/>
            <w:tabs>
              <w:tab w:val="clear" w:pos="7609"/>
              <w:tab w:val="right" w:pos="9026" w:leader="dot"/>
            </w:tabs>
            <w:rPr/>
          </w:pPr>
          <w:hyperlink w:anchor="__RefHeading___Toc8924362_1051229030">
            <w:r>
              <w:rPr>
                <w:webHidden/>
                <w:rStyle w:val="IndexLink"/>
                <w:rtl w:val="true"/>
              </w:rPr>
              <w:t xml:space="preserve">الإشكال على إفادة </w:t>
            </w:r>
            <w:r>
              <w:rPr>
                <w:rStyle w:val="IndexLink"/>
                <w:rtl w:val="true"/>
              </w:rPr>
              <w:t>(</w:t>
            </w:r>
            <w:r>
              <w:rPr>
                <w:rStyle w:val="IndexLink"/>
                <w:rtl w:val="true"/>
              </w:rPr>
              <w:t>الحوادث</w:t>
            </w:r>
            <w:r>
              <w:rPr>
                <w:rStyle w:val="IndexLink"/>
                <w:rtl w:val="true"/>
              </w:rPr>
              <w:t xml:space="preserve">) </w:t>
            </w:r>
            <w:r>
              <w:rPr>
                <w:rStyle w:val="IndexLink"/>
                <w:rtl w:val="true"/>
              </w:rPr>
              <w:t>للعموم، باحتمال عهديتها</w:t>
            </w:r>
            <w:r>
              <w:rPr>
                <w:rStyle w:val="IndexLink"/>
                <w:rtl w:val="true"/>
              </w:rPr>
              <w:tab/>
            </w:r>
            <w:r>
              <w:rPr>
                <w:rStyle w:val="IndexLink"/>
              </w:rPr>
              <w:t>371</w:t>
            </w:r>
          </w:hyperlink>
        </w:p>
        <w:p>
          <w:pPr>
            <w:pStyle w:val="Contents6"/>
            <w:tabs>
              <w:tab w:val="clear" w:pos="7609"/>
              <w:tab w:val="right" w:pos="9026" w:leader="dot"/>
            </w:tabs>
            <w:rPr/>
          </w:pPr>
          <w:hyperlink w:anchor="__RefHeading___Toc8924364_1051229030">
            <w:r>
              <w:rPr>
                <w:webHidden/>
                <w:rStyle w:val="IndexLink"/>
                <w:rtl w:val="true"/>
              </w:rPr>
              <w:t>الأجوبة</w:t>
            </w:r>
            <w:r>
              <w:rPr>
                <w:rStyle w:val="IndexLink"/>
                <w:rtl w:val="true"/>
              </w:rPr>
              <w:t>:</w:t>
              <w:tab/>
            </w:r>
            <w:r>
              <w:rPr>
                <w:rStyle w:val="IndexLink"/>
              </w:rPr>
              <w:t>371</w:t>
            </w:r>
          </w:hyperlink>
        </w:p>
        <w:p>
          <w:pPr>
            <w:pStyle w:val="Contents6"/>
            <w:tabs>
              <w:tab w:val="clear" w:pos="7609"/>
              <w:tab w:val="right" w:pos="9026" w:leader="dot"/>
            </w:tabs>
            <w:rPr/>
          </w:pPr>
          <w:hyperlink w:anchor="__RefHeading___Toc8924366_1051229030">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8924368_1051229030">
            <w:r>
              <w:rPr>
                <w:webHidden/>
                <w:rStyle w:val="IndexLink"/>
                <w:rtl w:val="true"/>
              </w:rPr>
              <w:t xml:space="preserve">لا يناسب العهد، التعليل ب </w:t>
            </w:r>
            <w:r>
              <w:rPr>
                <w:rStyle w:val="IndexLink"/>
                <w:rtl w:val="true"/>
              </w:rPr>
              <w:t>(</w:t>
            </w:r>
            <w:r>
              <w:rPr>
                <w:rStyle w:val="IndexLink"/>
                <w:rtl w:val="true"/>
              </w:rPr>
              <w:t>فإنهم حجتي عليكم</w:t>
            </w:r>
            <w:r>
              <w:rPr>
                <w:rStyle w:val="IndexLink"/>
                <w:rtl w:val="true"/>
              </w:rPr>
              <w:t>)</w:t>
              <w:tab/>
            </w:r>
            <w:r>
              <w:rPr>
                <w:rStyle w:val="IndexLink"/>
              </w:rPr>
              <w:t>371</w:t>
            </w:r>
          </w:hyperlink>
        </w:p>
        <w:p>
          <w:pPr>
            <w:pStyle w:val="Contents6"/>
            <w:tabs>
              <w:tab w:val="clear" w:pos="7609"/>
              <w:tab w:val="right" w:pos="9026" w:leader="dot"/>
            </w:tabs>
            <w:rPr/>
          </w:pPr>
          <w:hyperlink w:anchor="__RefHeading___Toc8924370_1051229030">
            <w:r>
              <w:rPr>
                <w:webHidden/>
                <w:rStyle w:val="IndexLink"/>
                <w:rtl w:val="true"/>
              </w:rPr>
              <w:t>خصوصية السؤال لا تخل بعمومية العلة</w:t>
            </w:r>
            <w:r>
              <w:rPr>
                <w:rStyle w:val="IndexLink"/>
                <w:rtl w:val="true"/>
              </w:rPr>
              <w:tab/>
            </w:r>
            <w:r>
              <w:rPr>
                <w:rStyle w:val="IndexLink"/>
              </w:rPr>
              <w:t>373</w:t>
            </w:r>
          </w:hyperlink>
        </w:p>
        <w:p>
          <w:pPr>
            <w:pStyle w:val="Contents6"/>
            <w:tabs>
              <w:tab w:val="clear" w:pos="7609"/>
              <w:tab w:val="right" w:pos="9026" w:leader="dot"/>
            </w:tabs>
            <w:rPr/>
          </w:pPr>
          <w:hyperlink w:anchor="__RefHeading___Toc8924372_1051229030">
            <w:r>
              <w:rPr>
                <w:webHidden/>
                <w:rStyle w:val="IndexLink"/>
                <w:rtl w:val="true"/>
              </w:rPr>
              <w:t>سبق ما يصلح لإرادة العهد، غير مخل بأصالة العموم والجنس</w:t>
            </w:r>
            <w:r>
              <w:rPr>
                <w:rStyle w:val="IndexLink"/>
                <w:rtl w:val="true"/>
              </w:rPr>
              <w:tab/>
            </w:r>
            <w:r>
              <w:rPr>
                <w:rStyle w:val="IndexLink"/>
              </w:rPr>
              <w:t>378</w:t>
            </w:r>
          </w:hyperlink>
        </w:p>
        <w:p>
          <w:pPr>
            <w:pStyle w:val="Contents6"/>
            <w:tabs>
              <w:tab w:val="clear" w:pos="7609"/>
              <w:tab w:val="right" w:pos="9026" w:leader="dot"/>
            </w:tabs>
            <w:rPr/>
          </w:pPr>
          <w:hyperlink w:anchor="__RefHeading___Toc8924374_1051229030">
            <w:r>
              <w:rPr>
                <w:webHidden/>
                <w:rStyle w:val="IndexLink"/>
                <w:rtl w:val="true"/>
              </w:rPr>
              <w:t>القرائن المقامية وبداهة عدم السؤال عن المرجعية في المسائل الشرعية</w:t>
            </w:r>
            <w:r>
              <w:rPr>
                <w:rStyle w:val="IndexLink"/>
                <w:rtl w:val="true"/>
              </w:rPr>
              <w:tab/>
            </w:r>
            <w:r>
              <w:rPr>
                <w:rStyle w:val="IndexLink"/>
              </w:rPr>
              <w:t>378</w:t>
            </w:r>
          </w:hyperlink>
        </w:p>
        <w:p>
          <w:pPr>
            <w:pStyle w:val="Contents6"/>
            <w:tabs>
              <w:tab w:val="clear" w:pos="7609"/>
              <w:tab w:val="right" w:pos="9026" w:leader="dot"/>
            </w:tabs>
            <w:rPr/>
          </w:pPr>
          <w:hyperlink w:anchor="__RefHeading___Toc8924376_1051229030">
            <w:r>
              <w:rPr>
                <w:webHidden/>
                <w:rStyle w:val="IndexLink"/>
                <w:rtl w:val="true"/>
              </w:rPr>
              <w:t>مناقشات مع المحققين الأصفهاني والشهيدي</w:t>
            </w:r>
            <w:r>
              <w:rPr>
                <w:rStyle w:val="IndexLink"/>
                <w:rtl w:val="true"/>
              </w:rPr>
              <w:tab/>
            </w:r>
            <w:r>
              <w:rPr>
                <w:rStyle w:val="IndexLink"/>
              </w:rPr>
              <w:t>381</w:t>
            </w:r>
          </w:hyperlink>
        </w:p>
        <w:p>
          <w:pPr>
            <w:pStyle w:val="Contents6"/>
            <w:tabs>
              <w:tab w:val="clear" w:pos="7609"/>
              <w:tab w:val="right" w:pos="9026" w:leader="dot"/>
            </w:tabs>
            <w:rPr/>
          </w:pPr>
          <w:hyperlink w:anchor="__RefHeading___Toc8924378_1051229030">
            <w:r>
              <w:rPr>
                <w:webHidden/>
                <w:rStyle w:val="IndexLink"/>
                <w:rtl w:val="true"/>
              </w:rPr>
              <w:t>ب</w:t>
            </w:r>
            <w:r>
              <w:rPr>
                <w:rStyle w:val="IndexLink"/>
                <w:rtl w:val="true"/>
              </w:rPr>
              <w:t>: (</w:t>
            </w:r>
            <w:r>
              <w:rPr>
                <w:rStyle w:val="IndexLink"/>
                <w:rtl w:val="true"/>
              </w:rPr>
              <w:t>الواقعة</w:t>
            </w:r>
            <w:r>
              <w:rPr>
                <w:rStyle w:val="IndexLink"/>
                <w:rtl w:val="true"/>
              </w:rPr>
              <w:t>)</w:t>
              <w:tab/>
            </w:r>
            <w:r>
              <w:rPr>
                <w:rStyle w:val="IndexLink"/>
              </w:rPr>
              <w:t>384</w:t>
            </w:r>
          </w:hyperlink>
        </w:p>
        <w:p>
          <w:pPr>
            <w:pStyle w:val="Contents6"/>
            <w:tabs>
              <w:tab w:val="clear" w:pos="7609"/>
              <w:tab w:val="right" w:pos="9026" w:leader="dot"/>
            </w:tabs>
            <w:rPr/>
          </w:pPr>
          <w:hyperlink w:anchor="__RefHeading___Toc8924380_1051229030">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8924382_1051229030">
            <w:r>
              <w:rPr>
                <w:webHidden/>
                <w:rStyle w:val="IndexLink"/>
                <w:rtl w:val="true"/>
              </w:rPr>
              <w:t xml:space="preserve">الجواب عن توهم اختصاص </w:t>
            </w:r>
            <w:r>
              <w:rPr>
                <w:rStyle w:val="IndexLink"/>
                <w:rtl w:val="true"/>
              </w:rPr>
              <w:t>(</w:t>
            </w:r>
            <w:r>
              <w:rPr>
                <w:rStyle w:val="IndexLink"/>
                <w:rtl w:val="true"/>
              </w:rPr>
              <w:t>الحوادث الواقعة</w:t>
            </w:r>
            <w:r>
              <w:rPr>
                <w:rStyle w:val="IndexLink"/>
                <w:rtl w:val="true"/>
              </w:rPr>
              <w:t xml:space="preserve">) </w:t>
            </w:r>
            <w:r>
              <w:rPr>
                <w:rStyle w:val="IndexLink"/>
                <w:rtl w:val="true"/>
              </w:rPr>
              <w:t>بمثل الحرب</w:t>
            </w:r>
            <w:r>
              <w:rPr>
                <w:rStyle w:val="IndexLink"/>
                <w:rtl w:val="true"/>
              </w:rPr>
              <w:tab/>
            </w:r>
            <w:r>
              <w:rPr>
                <w:rStyle w:val="IndexLink"/>
              </w:rPr>
              <w:t>385</w:t>
            </w:r>
          </w:hyperlink>
        </w:p>
        <w:p>
          <w:pPr>
            <w:pStyle w:val="Contents6"/>
            <w:tabs>
              <w:tab w:val="clear" w:pos="7609"/>
              <w:tab w:val="right" w:pos="9026" w:leader="dot"/>
            </w:tabs>
            <w:rPr/>
          </w:pPr>
          <w:hyperlink w:anchor="__RefHeading___Toc8924384_1051229030">
            <w:r>
              <w:rPr>
                <w:webHidden/>
                <w:rStyle w:val="IndexLink"/>
                <w:rtl w:val="true"/>
              </w:rPr>
              <w:t>ج</w:t>
            </w:r>
            <w:r>
              <w:rPr>
                <w:rStyle w:val="IndexLink"/>
                <w:rtl w:val="true"/>
              </w:rPr>
              <w:t>: (</w:t>
            </w:r>
            <w:r>
              <w:rPr>
                <w:rStyle w:val="IndexLink"/>
                <w:rtl w:val="true"/>
              </w:rPr>
              <w:t>فارجعوا</w:t>
            </w:r>
            <w:r>
              <w:rPr>
                <w:rStyle w:val="IndexLink"/>
                <w:rtl w:val="true"/>
              </w:rPr>
              <w:t>)</w:t>
              <w:tab/>
            </w:r>
            <w:r>
              <w:rPr>
                <w:rStyle w:val="IndexLink"/>
              </w:rPr>
              <w:t>388</w:t>
            </w:r>
          </w:hyperlink>
        </w:p>
        <w:p>
          <w:pPr>
            <w:pStyle w:val="Contents6"/>
            <w:tabs>
              <w:tab w:val="clear" w:pos="7609"/>
              <w:tab w:val="right" w:pos="9026" w:leader="dot"/>
            </w:tabs>
            <w:rPr/>
          </w:pPr>
          <w:hyperlink w:anchor="__RefHeading___Toc8924386_1051229030">
            <w:r>
              <w:rPr>
                <w:webHidden/>
                <w:rStyle w:val="IndexLink"/>
                <w:rtl w:val="true"/>
              </w:rPr>
              <w:t>د</w:t>
            </w:r>
            <w:r>
              <w:rPr>
                <w:rStyle w:val="IndexLink"/>
                <w:rtl w:val="true"/>
              </w:rPr>
              <w:t>: (</w:t>
            </w:r>
            <w:r>
              <w:rPr>
                <w:rStyle w:val="IndexLink"/>
                <w:rtl w:val="true"/>
              </w:rPr>
              <w:t>فيها</w:t>
            </w:r>
            <w:r>
              <w:rPr>
                <w:rStyle w:val="IndexLink"/>
                <w:rtl w:val="true"/>
              </w:rPr>
              <w:t>)</w:t>
              <w:tab/>
            </w:r>
            <w:r>
              <w:rPr>
                <w:rStyle w:val="IndexLink"/>
              </w:rPr>
              <w:t>390</w:t>
            </w:r>
          </w:hyperlink>
        </w:p>
        <w:p>
          <w:pPr>
            <w:pStyle w:val="Contents6"/>
            <w:tabs>
              <w:tab w:val="clear" w:pos="7609"/>
              <w:tab w:val="right" w:pos="9026" w:leader="dot"/>
            </w:tabs>
            <w:rPr/>
          </w:pPr>
          <w:hyperlink w:anchor="__RefHeading___Toc8924388_1051229030">
            <w:r>
              <w:rPr>
                <w:webHidden/>
                <w:rStyle w:val="IndexLink"/>
                <w:rtl w:val="true"/>
              </w:rPr>
              <w:t>ه</w:t>
            </w:r>
            <w:r>
              <w:rPr>
                <w:rStyle w:val="IndexLink"/>
                <w:rtl w:val="true"/>
              </w:rPr>
              <w:t>: (</w:t>
            </w:r>
            <w:r>
              <w:rPr>
                <w:rStyle w:val="IndexLink"/>
                <w:rtl w:val="true"/>
              </w:rPr>
              <w:t>رواة حديثنا</w:t>
            </w:r>
            <w:r>
              <w:rPr>
                <w:rStyle w:val="IndexLink"/>
                <w:rtl w:val="true"/>
              </w:rPr>
              <w:t>)</w:t>
              <w:tab/>
            </w:r>
            <w:r>
              <w:rPr>
                <w:rStyle w:val="IndexLink"/>
              </w:rPr>
              <w:t>392</w:t>
            </w:r>
          </w:hyperlink>
        </w:p>
        <w:p>
          <w:pPr>
            <w:pStyle w:val="Contents6"/>
            <w:tabs>
              <w:tab w:val="clear" w:pos="7609"/>
              <w:tab w:val="right" w:pos="9026" w:leader="dot"/>
            </w:tabs>
            <w:rPr/>
          </w:pPr>
          <w:hyperlink w:anchor="__RefHeading___Toc8924390_1051229030">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8924392_1051229030">
            <w:r>
              <w:rPr>
                <w:webHidden/>
                <w:rStyle w:val="IndexLink"/>
                <w:rtl w:val="true"/>
              </w:rPr>
              <w:t>صدق الرجوع إلى الفقهاء بالرجوع إلى مجموعة منهم</w:t>
            </w:r>
            <w:r>
              <w:rPr>
                <w:rStyle w:val="IndexLink"/>
                <w:rtl w:val="true"/>
              </w:rPr>
              <w:tab/>
            </w:r>
            <w:r>
              <w:rPr>
                <w:rStyle w:val="IndexLink"/>
              </w:rPr>
              <w:t>392</w:t>
            </w:r>
          </w:hyperlink>
        </w:p>
        <w:p>
          <w:pPr>
            <w:pStyle w:val="Contents6"/>
            <w:tabs>
              <w:tab w:val="clear" w:pos="7609"/>
              <w:tab w:val="right" w:pos="9026" w:leader="dot"/>
            </w:tabs>
            <w:rPr/>
          </w:pPr>
          <w:hyperlink w:anchor="__RefHeading___Toc8924394_1051229030">
            <w:r>
              <w:rPr>
                <w:webHidden/>
                <w:rStyle w:val="IndexLink"/>
                <w:rtl w:val="true"/>
              </w:rPr>
              <w:t>مدخلية الهيئة الاجتماعية في الرجوع للفقهاء</w:t>
            </w:r>
            <w:r>
              <w:rPr>
                <w:rStyle w:val="IndexLink"/>
                <w:rtl w:val="true"/>
              </w:rPr>
              <w:tab/>
            </w:r>
            <w:r>
              <w:rPr>
                <w:rStyle w:val="IndexLink"/>
              </w:rPr>
              <w:t>394</w:t>
            </w:r>
          </w:hyperlink>
        </w:p>
        <w:p>
          <w:pPr>
            <w:pStyle w:val="Contents6"/>
            <w:tabs>
              <w:tab w:val="clear" w:pos="7609"/>
              <w:tab w:val="right" w:pos="9026" w:leader="dot"/>
            </w:tabs>
            <w:rPr/>
          </w:pPr>
          <w:hyperlink w:anchor="__RefHeading___Toc8924396_1051229030">
            <w:r>
              <w:rPr>
                <w:webHidden/>
                <w:rStyle w:val="IndexLink"/>
                <w:rtl w:val="true"/>
              </w:rPr>
              <w:t>بحث عن مخالفة الرجوع لأحد الرواة فقط لمقتضى الرواية</w:t>
            </w:r>
            <w:r>
              <w:rPr>
                <w:rStyle w:val="IndexLink"/>
                <w:rtl w:val="true"/>
              </w:rPr>
              <w:tab/>
            </w:r>
            <w:r>
              <w:rPr>
                <w:rStyle w:val="IndexLink"/>
              </w:rPr>
              <w:t>394</w:t>
            </w:r>
          </w:hyperlink>
        </w:p>
        <w:p>
          <w:pPr>
            <w:pStyle w:val="Contents6"/>
            <w:tabs>
              <w:tab w:val="clear" w:pos="7609"/>
              <w:tab w:val="right" w:pos="9026" w:leader="dot"/>
            </w:tabs>
            <w:rPr/>
          </w:pPr>
          <w:hyperlink w:anchor="__RefHeading___Toc8924398_1051229030">
            <w:r>
              <w:rPr>
                <w:webHidden/>
                <w:rStyle w:val="IndexLink"/>
                <w:rtl w:val="true"/>
              </w:rPr>
              <w:t>رجوع كل مجموعة لمرجعها في الشؤون العامة مستلزم للهرج والمرج و</w:t>
            </w:r>
            <w:r>
              <w:rPr>
                <w:rStyle w:val="IndexLink"/>
                <w:rtl w:val="true"/>
              </w:rPr>
              <w:t>...</w:t>
              <w:tab/>
            </w:r>
            <w:r>
              <w:rPr>
                <w:rStyle w:val="IndexLink"/>
              </w:rPr>
              <w:t>397</w:t>
            </w:r>
          </w:hyperlink>
        </w:p>
        <w:p>
          <w:pPr>
            <w:pStyle w:val="Contents6"/>
            <w:tabs>
              <w:tab w:val="clear" w:pos="7609"/>
              <w:tab w:val="right" w:pos="9026" w:leader="dot"/>
            </w:tabs>
            <w:rPr/>
          </w:pPr>
          <w:hyperlink w:anchor="__RefHeading___Toc8924400_1051229030">
            <w:r>
              <w:rPr>
                <w:webHidden/>
                <w:rStyle w:val="IndexLink"/>
                <w:rtl w:val="true"/>
              </w:rPr>
              <w:t>بحث عن جواز قاهرية أحد الفقهاء للآخرين</w:t>
            </w:r>
            <w:r>
              <w:rPr>
                <w:rStyle w:val="IndexLink"/>
                <w:rtl w:val="true"/>
              </w:rPr>
              <w:t>:</w:t>
              <w:tab/>
            </w:r>
            <w:r>
              <w:rPr>
                <w:rStyle w:val="IndexLink"/>
              </w:rPr>
              <w:t>399</w:t>
            </w:r>
          </w:hyperlink>
        </w:p>
        <w:p>
          <w:pPr>
            <w:pStyle w:val="Contents6"/>
            <w:tabs>
              <w:tab w:val="clear" w:pos="7609"/>
              <w:tab w:val="right" w:pos="9026" w:leader="dot"/>
            </w:tabs>
            <w:rPr/>
          </w:pPr>
          <w:hyperlink w:anchor="__RefHeading___Toc8924402_1051229030">
            <w:r>
              <w:rPr>
                <w:webHidden/>
                <w:rStyle w:val="IndexLink"/>
                <w:rtl w:val="true"/>
              </w:rPr>
              <w:t>و</w:t>
            </w:r>
            <w:r>
              <w:rPr>
                <w:rStyle w:val="IndexLink"/>
                <w:rtl w:val="true"/>
              </w:rPr>
              <w:t>: (</w:t>
            </w:r>
            <w:r>
              <w:rPr>
                <w:rStyle w:val="IndexLink"/>
                <w:rtl w:val="true"/>
              </w:rPr>
              <w:t>فإنهم</w:t>
            </w:r>
            <w:r>
              <w:rPr>
                <w:rStyle w:val="IndexLink"/>
                <w:rtl w:val="true"/>
              </w:rPr>
              <w:t>)</w:t>
              <w:tab/>
            </w:r>
            <w:r>
              <w:rPr>
                <w:rStyle w:val="IndexLink"/>
              </w:rPr>
              <w:t>405</w:t>
            </w:r>
          </w:hyperlink>
        </w:p>
        <w:p>
          <w:pPr>
            <w:pStyle w:val="Contents6"/>
            <w:tabs>
              <w:tab w:val="clear" w:pos="7609"/>
              <w:tab w:val="right" w:pos="9026" w:leader="dot"/>
            </w:tabs>
            <w:rPr/>
          </w:pPr>
          <w:hyperlink w:anchor="__RefHeading___Toc8924404_1051229030">
            <w:r>
              <w:rPr>
                <w:webHidden/>
                <w:rStyle w:val="IndexLink"/>
                <w:rtl w:val="true"/>
              </w:rPr>
              <w:t>ز</w:t>
            </w:r>
            <w:r>
              <w:rPr>
                <w:rStyle w:val="IndexLink"/>
                <w:rtl w:val="true"/>
              </w:rPr>
              <w:t>: (</w:t>
            </w:r>
            <w:r>
              <w:rPr>
                <w:rStyle w:val="IndexLink"/>
                <w:rtl w:val="true"/>
              </w:rPr>
              <w:t>حجتي</w:t>
            </w:r>
            <w:r>
              <w:rPr>
                <w:rStyle w:val="IndexLink"/>
                <w:rtl w:val="true"/>
              </w:rPr>
              <w:t>)</w:t>
              <w:tab/>
            </w:r>
            <w:r>
              <w:rPr>
                <w:rStyle w:val="IndexLink"/>
              </w:rPr>
              <w:t>406</w:t>
            </w:r>
          </w:hyperlink>
        </w:p>
        <w:p>
          <w:pPr>
            <w:pStyle w:val="Contents6"/>
            <w:tabs>
              <w:tab w:val="clear" w:pos="7609"/>
              <w:tab w:val="right" w:pos="9026" w:leader="dot"/>
            </w:tabs>
            <w:rPr/>
          </w:pPr>
          <w:hyperlink w:anchor="__RefHeading___Toc8924406_1051229030">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8924408_1051229030">
            <w:r>
              <w:rPr>
                <w:webHidden/>
                <w:rStyle w:val="IndexLink"/>
                <w:rtl w:val="true"/>
              </w:rPr>
              <w:t xml:space="preserve">مناقشات مع الأصفهاني والإيرواني </w:t>
            </w:r>
            <w:r>
              <w:rPr>
                <w:rStyle w:val="IndexLink"/>
                <w:rtl w:val="true"/>
              </w:rPr>
              <w:t>:</w:t>
              <w:tab/>
            </w:r>
            <w:r>
              <w:rPr>
                <w:rStyle w:val="IndexLink"/>
              </w:rPr>
              <w:t>407</w:t>
            </w:r>
          </w:hyperlink>
        </w:p>
        <w:p>
          <w:pPr>
            <w:pStyle w:val="Contents6"/>
            <w:tabs>
              <w:tab w:val="clear" w:pos="7609"/>
              <w:tab w:val="right" w:pos="9026" w:leader="dot"/>
            </w:tabs>
            <w:rPr/>
          </w:pPr>
          <w:hyperlink w:anchor="__RefHeading___Toc8924410_1051229030">
            <w:r>
              <w:rPr>
                <w:webHidden/>
                <w:rStyle w:val="IndexLink"/>
                <w:rtl w:val="true"/>
              </w:rPr>
              <w:t>ويرد على الإيرواني</w:t>
            </w:r>
            <w:r>
              <w:rPr>
                <w:rStyle w:val="IndexLink"/>
                <w:rtl w:val="true"/>
              </w:rPr>
              <w:t>:</w:t>
              <w:tab/>
            </w:r>
            <w:r>
              <w:rPr>
                <w:rStyle w:val="IndexLink"/>
              </w:rPr>
              <w:t>411</w:t>
            </w:r>
          </w:hyperlink>
        </w:p>
        <w:p>
          <w:pPr>
            <w:pStyle w:val="Contents6"/>
            <w:tabs>
              <w:tab w:val="clear" w:pos="7609"/>
              <w:tab w:val="right" w:pos="9026" w:leader="dot"/>
            </w:tabs>
            <w:rPr/>
          </w:pPr>
          <w:hyperlink w:anchor="__RefHeading___Toc8924412_1051229030">
            <w:r>
              <w:rPr>
                <w:webHidden/>
                <w:rStyle w:val="IndexLink"/>
                <w:rtl w:val="true"/>
              </w:rPr>
              <w:t>ويرد على الأصفهاني</w:t>
            </w:r>
            <w:r>
              <w:rPr>
                <w:rStyle w:val="IndexLink"/>
                <w:rtl w:val="true"/>
              </w:rPr>
              <w:t>:</w:t>
              <w:tab/>
            </w:r>
            <w:r>
              <w:rPr>
                <w:rStyle w:val="IndexLink"/>
              </w:rPr>
              <w:t>412</w:t>
            </w:r>
          </w:hyperlink>
        </w:p>
        <w:p>
          <w:pPr>
            <w:pStyle w:val="Contents6"/>
            <w:tabs>
              <w:tab w:val="clear" w:pos="7609"/>
              <w:tab w:val="right" w:pos="9026" w:leader="dot"/>
            </w:tabs>
            <w:rPr/>
          </w:pPr>
          <w:hyperlink w:anchor="__RefHeading___Toc8924414_1051229030">
            <w:r>
              <w:rPr>
                <w:webHidden/>
                <w:rStyle w:val="IndexLink"/>
                <w:rtl w:val="true"/>
              </w:rPr>
              <w:t>ح</w:t>
            </w:r>
            <w:r>
              <w:rPr>
                <w:rStyle w:val="IndexLink"/>
                <w:rtl w:val="true"/>
              </w:rPr>
              <w:t>: (</w:t>
            </w:r>
            <w:r>
              <w:rPr>
                <w:rStyle w:val="IndexLink"/>
                <w:rtl w:val="true"/>
              </w:rPr>
              <w:t>حجتي عليكم</w:t>
            </w:r>
            <w:r>
              <w:rPr>
                <w:rStyle w:val="IndexLink"/>
                <w:rtl w:val="true"/>
              </w:rPr>
              <w:t>)</w:t>
              <w:tab/>
            </w:r>
            <w:r>
              <w:rPr>
                <w:rStyle w:val="IndexLink"/>
              </w:rPr>
              <w:t>418</w:t>
            </w:r>
          </w:hyperlink>
        </w:p>
        <w:p>
          <w:pPr>
            <w:pStyle w:val="Contents6"/>
            <w:tabs>
              <w:tab w:val="clear" w:pos="7609"/>
              <w:tab w:val="right" w:pos="9026" w:leader="dot"/>
            </w:tabs>
            <w:rPr/>
          </w:pPr>
          <w:hyperlink w:anchor="__RefHeading___Toc8924416_1051229030">
            <w:r>
              <w:rPr>
                <w:webHidden/>
                <w:rStyle w:val="IndexLink"/>
                <w:rtl w:val="true"/>
              </w:rPr>
              <w:t>ط</w:t>
            </w:r>
            <w:r>
              <w:rPr>
                <w:rStyle w:val="IndexLink"/>
                <w:rtl w:val="true"/>
              </w:rPr>
              <w:t>: (</w:t>
            </w:r>
            <w:r>
              <w:rPr>
                <w:rStyle w:val="IndexLink"/>
                <w:rtl w:val="true"/>
              </w:rPr>
              <w:t>وأنا حجة الله</w:t>
            </w:r>
            <w:r>
              <w:rPr>
                <w:rStyle w:val="IndexLink"/>
                <w:rtl w:val="true"/>
              </w:rPr>
              <w:t>)</w:t>
              <w:tab/>
            </w:r>
            <w:r>
              <w:rPr>
                <w:rStyle w:val="IndexLink"/>
              </w:rPr>
              <w:t>421</w:t>
            </w:r>
          </w:hyperlink>
        </w:p>
        <w:p>
          <w:pPr>
            <w:pStyle w:val="Contents6"/>
            <w:tabs>
              <w:tab w:val="clear" w:pos="7609"/>
              <w:tab w:val="right" w:pos="9026" w:leader="dot"/>
            </w:tabs>
            <w:rPr/>
          </w:pPr>
          <w:hyperlink w:anchor="__RefHeading___Toc8924418_1051229030">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8924420_1051229030">
            <w:r>
              <w:rPr>
                <w:webHidden/>
                <w:rStyle w:val="IndexLink"/>
                <w:rtl w:val="true"/>
              </w:rPr>
              <w:t>رضا الناس بالفقيه لا يلغي وجوب المشورة والشورى</w:t>
            </w:r>
            <w:r>
              <w:rPr>
                <w:rStyle w:val="IndexLink"/>
                <w:rtl w:val="true"/>
              </w:rPr>
              <w:tab/>
            </w:r>
            <w:r>
              <w:rPr>
                <w:rStyle w:val="IndexLink"/>
              </w:rPr>
              <w:t>423</w:t>
            </w:r>
          </w:hyperlink>
        </w:p>
        <w:p>
          <w:pPr>
            <w:pStyle w:val="Contents4"/>
            <w:tabs>
              <w:tab w:val="clear" w:pos="8176"/>
              <w:tab w:val="right" w:pos="9026" w:leader="dot"/>
            </w:tabs>
            <w:rPr/>
          </w:pPr>
          <w:hyperlink w:anchor="__RefHeading___Toc8924422_1051229030">
            <w:r>
              <w:rPr>
                <w:webHidden/>
                <w:rStyle w:val="IndexLink"/>
                <w:rtl w:val="true"/>
              </w:rPr>
              <w:t>الفصل الثاني</w:t>
            </w:r>
            <w:r>
              <w:rPr>
                <w:rStyle w:val="IndexLink"/>
                <w:rtl w:val="true"/>
              </w:rPr>
              <w:t xml:space="preserve">: </w:t>
            </w:r>
            <w:r>
              <w:rPr>
                <w:rStyle w:val="IndexLink"/>
                <w:rtl w:val="true"/>
              </w:rPr>
              <w:t>في الاستدلال بمجموعة من الروايات الشريفة</w:t>
            </w:r>
            <w:r>
              <w:rPr>
                <w:rStyle w:val="IndexLink"/>
                <w:rtl w:val="true"/>
              </w:rPr>
              <w:tab/>
            </w:r>
            <w:r>
              <w:rPr>
                <w:rStyle w:val="IndexLink"/>
              </w:rPr>
              <w:t>426</w:t>
            </w:r>
          </w:hyperlink>
        </w:p>
        <w:p>
          <w:pPr>
            <w:pStyle w:val="Contents5"/>
            <w:tabs>
              <w:tab w:val="clear" w:pos="7892"/>
              <w:tab w:val="right" w:pos="9026" w:leader="dot"/>
            </w:tabs>
            <w:rPr/>
          </w:pPr>
          <w:hyperlink w:anchor="__RefHeading___Toc8924424_1051229030">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8924426_1051229030">
            <w:r>
              <w:rPr>
                <w:webHidden/>
                <w:rStyle w:val="IndexLink"/>
                <w:rtl w:val="true"/>
              </w:rPr>
              <w:t>الروايات الآمرة بالاستشارة وباتباع ذوي الرأي</w:t>
            </w:r>
            <w:r>
              <w:rPr>
                <w:rStyle w:val="IndexLink"/>
                <w:rtl w:val="true"/>
              </w:rPr>
              <w:tab/>
            </w:r>
            <w:r>
              <w:rPr>
                <w:rStyle w:val="IndexLink"/>
              </w:rPr>
              <w:t>428</w:t>
            </w:r>
          </w:hyperlink>
        </w:p>
        <w:p>
          <w:pPr>
            <w:pStyle w:val="Contents6"/>
            <w:tabs>
              <w:tab w:val="clear" w:pos="7609"/>
              <w:tab w:val="right" w:pos="9026" w:leader="dot"/>
            </w:tabs>
            <w:rPr/>
          </w:pPr>
          <w:hyperlink w:anchor="__RefHeading___Toc8924428_1051229030">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8924430_1051229030">
            <w:r>
              <w:rPr>
                <w:webHidden/>
                <w:rStyle w:val="IndexLink"/>
                <w:rtl w:val="true"/>
              </w:rPr>
              <w:t>بحث سندي إجمالي عن حجية الروايات</w:t>
            </w:r>
            <w:r>
              <w:rPr>
                <w:rStyle w:val="IndexLink"/>
                <w:rtl w:val="true"/>
              </w:rPr>
              <w:tab/>
            </w:r>
            <w:r>
              <w:rPr>
                <w:rStyle w:val="IndexLink"/>
              </w:rPr>
              <w:t>431</w:t>
            </w:r>
          </w:hyperlink>
        </w:p>
        <w:p>
          <w:pPr>
            <w:pStyle w:val="Contents5"/>
            <w:tabs>
              <w:tab w:val="clear" w:pos="7892"/>
              <w:tab w:val="right" w:pos="9026" w:leader="dot"/>
            </w:tabs>
            <w:rPr/>
          </w:pPr>
          <w:hyperlink w:anchor="__RefHeading___Toc8924432_1051229030">
            <w:r>
              <w:rPr>
                <w:webHidden/>
                <w:rStyle w:val="IndexLink"/>
                <w:rtl w:val="true"/>
              </w:rPr>
              <w:t>سند الرواية الخامسة</w:t>
            </w:r>
            <w:r>
              <w:rPr>
                <w:rStyle w:val="IndexLink"/>
                <w:rtl w:val="true"/>
              </w:rPr>
              <w:t xml:space="preserve">: </w:t>
            </w:r>
            <w:r>
              <w:rPr>
                <w:rStyle w:val="IndexLink"/>
                <w:rtl w:val="true"/>
              </w:rPr>
              <w:t>مشاورة ذوي الرأي واتباعهم</w:t>
            </w:r>
            <w:r>
              <w:rPr>
                <w:rStyle w:val="IndexLink"/>
                <w:rtl w:val="true"/>
              </w:rPr>
              <w:tab/>
            </w:r>
            <w:r>
              <w:rPr>
                <w:rStyle w:val="IndexLink"/>
              </w:rPr>
              <w:t>435</w:t>
            </w:r>
          </w:hyperlink>
        </w:p>
        <w:p>
          <w:pPr>
            <w:pStyle w:val="Contents6"/>
            <w:tabs>
              <w:tab w:val="clear" w:pos="7609"/>
              <w:tab w:val="right" w:pos="9026" w:leader="dot"/>
            </w:tabs>
            <w:rPr/>
          </w:pPr>
          <w:hyperlink w:anchor="__RefHeading___Toc8924434_1051229030">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8924436_1051229030">
            <w:r>
              <w:rPr>
                <w:webHidden/>
                <w:rStyle w:val="IndexLink"/>
                <w:rtl w:val="true"/>
              </w:rPr>
              <w:t>أحمد بن محمد البرقي</w:t>
            </w:r>
            <w:r>
              <w:rPr>
                <w:rStyle w:val="IndexLink"/>
                <w:rtl w:val="true"/>
              </w:rPr>
              <w:t>:</w:t>
              <w:tab/>
            </w:r>
            <w:r>
              <w:rPr>
                <w:rStyle w:val="IndexLink"/>
              </w:rPr>
              <w:t>435</w:t>
            </w:r>
          </w:hyperlink>
        </w:p>
        <w:p>
          <w:pPr>
            <w:pStyle w:val="Contents6"/>
            <w:tabs>
              <w:tab w:val="clear" w:pos="7609"/>
              <w:tab w:val="right" w:pos="9026" w:leader="dot"/>
            </w:tabs>
            <w:rPr/>
          </w:pPr>
          <w:hyperlink w:anchor="__RefHeading___Toc8924438_1051229030">
            <w:r>
              <w:rPr>
                <w:webHidden/>
                <w:rStyle w:val="IndexLink"/>
                <w:rtl w:val="true"/>
              </w:rPr>
              <w:t>جعفر بن محمد الأشعري</w:t>
            </w:r>
            <w:r>
              <w:rPr>
                <w:rStyle w:val="IndexLink"/>
                <w:rtl w:val="true"/>
              </w:rPr>
              <w:tab/>
            </w:r>
            <w:r>
              <w:rPr>
                <w:rStyle w:val="IndexLink"/>
              </w:rPr>
              <w:t>437</w:t>
            </w:r>
          </w:hyperlink>
        </w:p>
        <w:p>
          <w:pPr>
            <w:pStyle w:val="Contents6"/>
            <w:tabs>
              <w:tab w:val="clear" w:pos="7609"/>
              <w:tab w:val="right" w:pos="9026" w:leader="dot"/>
            </w:tabs>
            <w:rPr/>
          </w:pPr>
          <w:hyperlink w:anchor="__RefHeading___Toc8924440_1051229030">
            <w:r>
              <w:rPr>
                <w:webHidden/>
                <w:rStyle w:val="IndexLink"/>
                <w:rtl w:val="true"/>
              </w:rPr>
              <w:t>ابن القداح</w:t>
            </w:r>
            <w:r>
              <w:rPr>
                <w:rStyle w:val="IndexLink"/>
                <w:rtl w:val="true"/>
              </w:rPr>
              <w:tab/>
            </w:r>
            <w:r>
              <w:rPr>
                <w:rStyle w:val="IndexLink"/>
              </w:rPr>
              <w:t>438</w:t>
            </w:r>
          </w:hyperlink>
        </w:p>
        <w:p>
          <w:pPr>
            <w:pStyle w:val="Contents5"/>
            <w:tabs>
              <w:tab w:val="clear" w:pos="7892"/>
              <w:tab w:val="right" w:pos="9026" w:leader="dot"/>
            </w:tabs>
            <w:rPr/>
          </w:pPr>
          <w:hyperlink w:anchor="__RefHeading___Toc8924442_1051229030">
            <w:r>
              <w:rPr>
                <w:webHidden/>
                <w:rStyle w:val="IndexLink"/>
                <w:rtl w:val="true"/>
              </w:rPr>
              <w:t>سند الرواية الثامنة</w:t>
            </w:r>
            <w:r>
              <w:rPr>
                <w:rStyle w:val="IndexLink"/>
                <w:rtl w:val="true"/>
              </w:rPr>
              <w:t xml:space="preserve">: </w:t>
            </w:r>
            <w:r>
              <w:rPr>
                <w:rStyle w:val="IndexLink"/>
                <w:rtl w:val="true"/>
              </w:rPr>
              <w:t>من استبد برأيه هلك</w:t>
            </w:r>
            <w:r>
              <w:rPr>
                <w:rStyle w:val="IndexLink"/>
                <w:rtl w:val="true"/>
              </w:rPr>
              <w:tab/>
            </w:r>
            <w:r>
              <w:rPr>
                <w:rStyle w:val="IndexLink"/>
              </w:rPr>
              <w:t>439</w:t>
            </w:r>
          </w:hyperlink>
        </w:p>
        <w:p>
          <w:pPr>
            <w:pStyle w:val="Contents6"/>
            <w:tabs>
              <w:tab w:val="clear" w:pos="7609"/>
              <w:tab w:val="right" w:pos="9026" w:leader="dot"/>
            </w:tabs>
            <w:rPr/>
          </w:pPr>
          <w:hyperlink w:anchor="__RefHeading___Toc8924444_1051229030">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8924446_1051229030">
            <w:r>
              <w:rPr>
                <w:webHidden/>
                <w:rStyle w:val="IndexLink"/>
                <w:rtl w:val="true"/>
              </w:rPr>
              <w:t>عثمان بن عيسى</w:t>
            </w:r>
            <w:r>
              <w:rPr>
                <w:rStyle w:val="IndexLink"/>
                <w:rtl w:val="true"/>
              </w:rPr>
              <w:tab/>
            </w:r>
            <w:r>
              <w:rPr>
                <w:rStyle w:val="IndexLink"/>
              </w:rPr>
              <w:t>439</w:t>
            </w:r>
          </w:hyperlink>
        </w:p>
        <w:p>
          <w:pPr>
            <w:pStyle w:val="Contents6"/>
            <w:tabs>
              <w:tab w:val="clear" w:pos="7609"/>
              <w:tab w:val="right" w:pos="9026" w:leader="dot"/>
            </w:tabs>
            <w:rPr/>
          </w:pPr>
          <w:hyperlink w:anchor="__RefHeading___Toc8924448_1051229030">
            <w:r>
              <w:rPr>
                <w:webHidden/>
                <w:rStyle w:val="IndexLink"/>
                <w:rtl w:val="true"/>
              </w:rPr>
              <w:t>سماعة بن مهران</w:t>
            </w:r>
            <w:r>
              <w:rPr>
                <w:rStyle w:val="IndexLink"/>
                <w:rtl w:val="true"/>
              </w:rPr>
              <w:tab/>
            </w:r>
            <w:r>
              <w:rPr>
                <w:rStyle w:val="IndexLink"/>
              </w:rPr>
              <w:t>440</w:t>
            </w:r>
          </w:hyperlink>
        </w:p>
        <w:p>
          <w:pPr>
            <w:pStyle w:val="Contents5"/>
            <w:tabs>
              <w:tab w:val="clear" w:pos="7892"/>
              <w:tab w:val="right" w:pos="9026" w:leader="dot"/>
            </w:tabs>
            <w:rPr/>
          </w:pPr>
          <w:hyperlink w:anchor="__RefHeading___Toc8924450_1051229030">
            <w:r>
              <w:rPr>
                <w:webHidden/>
                <w:rStyle w:val="IndexLink"/>
                <w:rtl w:val="true"/>
              </w:rPr>
              <w:t>الاستدلال بالروايات السابقة على الارشادية والمولوية</w:t>
            </w:r>
            <w:r>
              <w:rPr>
                <w:rStyle w:val="IndexLink"/>
                <w:rtl w:val="true"/>
              </w:rPr>
              <w:tab/>
            </w:r>
            <w:r>
              <w:rPr>
                <w:rStyle w:val="IndexLink"/>
              </w:rPr>
              <w:t>442</w:t>
            </w:r>
          </w:hyperlink>
        </w:p>
        <w:p>
          <w:pPr>
            <w:pStyle w:val="Contents6"/>
            <w:tabs>
              <w:tab w:val="clear" w:pos="7609"/>
              <w:tab w:val="right" w:pos="9026" w:leader="dot"/>
            </w:tabs>
            <w:rPr/>
          </w:pPr>
          <w:hyperlink w:anchor="__RefHeading___Toc8924452_1051229030">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8924454_1051229030">
            <w:r>
              <w:rPr>
                <w:webHidden/>
                <w:rStyle w:val="IndexLink"/>
                <w:rtl w:val="true"/>
              </w:rPr>
              <w:t>الوجه الأول</w:t>
            </w:r>
            <w:r>
              <w:rPr>
                <w:rStyle w:val="IndexLink"/>
                <w:rtl w:val="true"/>
              </w:rPr>
              <w:t xml:space="preserve">: </w:t>
            </w:r>
            <w:r>
              <w:rPr>
                <w:rStyle w:val="IndexLink"/>
                <w:rtl w:val="true"/>
              </w:rPr>
              <w:t>أولوية لزوم الأخذ بآراء المشيرين من لزوم الأخذ برأي الواحد</w:t>
            </w:r>
            <w:r>
              <w:rPr>
                <w:rStyle w:val="IndexLink"/>
                <w:rtl w:val="true"/>
              </w:rPr>
              <w:tab/>
            </w:r>
            <w:r>
              <w:rPr>
                <w:rStyle w:val="IndexLink"/>
              </w:rPr>
              <w:t>444</w:t>
            </w:r>
          </w:hyperlink>
        </w:p>
        <w:p>
          <w:pPr>
            <w:pStyle w:val="Contents6"/>
            <w:tabs>
              <w:tab w:val="clear" w:pos="7609"/>
              <w:tab w:val="right" w:pos="9026" w:leader="dot"/>
            </w:tabs>
            <w:rPr/>
          </w:pPr>
          <w:hyperlink w:anchor="__RefHeading___Toc8924456_1051229030">
            <w:r>
              <w:rPr>
                <w:webHidden/>
                <w:rStyle w:val="IndexLink"/>
                <w:rtl w:val="true"/>
              </w:rPr>
              <w:t>تصنيف الروايات السابقة إلى أربع طوائف</w:t>
            </w:r>
            <w:r>
              <w:rPr>
                <w:rStyle w:val="IndexLink"/>
                <w:rtl w:val="true"/>
              </w:rPr>
              <w:tab/>
            </w:r>
            <w:r>
              <w:rPr>
                <w:rStyle w:val="IndexLink"/>
              </w:rPr>
              <w:t>445</w:t>
            </w:r>
          </w:hyperlink>
        </w:p>
        <w:p>
          <w:pPr>
            <w:pStyle w:val="Contents6"/>
            <w:tabs>
              <w:tab w:val="clear" w:pos="7609"/>
              <w:tab w:val="right" w:pos="9026" w:leader="dot"/>
            </w:tabs>
            <w:rPr/>
          </w:pPr>
          <w:hyperlink w:anchor="__RefHeading___Toc8924458_1051229030">
            <w:r>
              <w:rPr>
                <w:webHidden/>
                <w:rStyle w:val="IndexLink"/>
                <w:rtl w:val="true"/>
              </w:rPr>
              <w:t>تنبيه</w:t>
            </w:r>
            <w:r>
              <w:rPr>
                <w:rStyle w:val="IndexLink"/>
                <w:rtl w:val="true"/>
              </w:rPr>
              <w:t>:</w:t>
              <w:tab/>
            </w:r>
            <w:r>
              <w:rPr>
                <w:rStyle w:val="IndexLink"/>
              </w:rPr>
              <w:t>446</w:t>
            </w:r>
          </w:hyperlink>
        </w:p>
        <w:p>
          <w:pPr>
            <w:pStyle w:val="Contents6"/>
            <w:tabs>
              <w:tab w:val="clear" w:pos="7609"/>
              <w:tab w:val="right" w:pos="9026" w:leader="dot"/>
            </w:tabs>
            <w:rPr/>
          </w:pPr>
          <w:hyperlink w:anchor="__RefHeading___Toc8924460_1051229030">
            <w:r>
              <w:rPr>
                <w:webHidden/>
                <w:rStyle w:val="IndexLink"/>
                <w:rtl w:val="true"/>
              </w:rPr>
              <w:t>الوجه الثاني</w:t>
            </w:r>
            <w:r>
              <w:rPr>
                <w:rStyle w:val="IndexLink"/>
                <w:rtl w:val="true"/>
              </w:rPr>
              <w:t>:</w:t>
            </w:r>
            <w:r>
              <w:rPr>
                <w:rStyle w:val="IndexLink"/>
                <w:rtl w:val="true"/>
              </w:rPr>
              <w:t>أقربية الإصابة في رأي المشيرين من رأي الواحد</w:t>
            </w:r>
            <w:r>
              <w:rPr>
                <w:rStyle w:val="IndexLink"/>
                <w:rtl w:val="true"/>
              </w:rPr>
              <w:tab/>
            </w:r>
            <w:r>
              <w:rPr>
                <w:rStyle w:val="IndexLink"/>
              </w:rPr>
              <w:t>448</w:t>
            </w:r>
          </w:hyperlink>
        </w:p>
        <w:p>
          <w:pPr>
            <w:pStyle w:val="Contents6"/>
            <w:tabs>
              <w:tab w:val="clear" w:pos="7609"/>
              <w:tab w:val="right" w:pos="9026" w:leader="dot"/>
            </w:tabs>
            <w:rPr/>
          </w:pPr>
          <w:hyperlink w:anchor="__RefHeading___Toc8924462_1051229030">
            <w:r>
              <w:rPr>
                <w:webHidden/>
                <w:rStyle w:val="IndexLink"/>
                <w:rtl w:val="true"/>
              </w:rPr>
              <w:t>الاعتراض بعدم دلالة الروايات على لزوم الاتباع</w:t>
            </w:r>
            <w:r>
              <w:rPr>
                <w:rStyle w:val="IndexLink"/>
                <w:rtl w:val="true"/>
              </w:rPr>
              <w:tab/>
            </w:r>
            <w:r>
              <w:rPr>
                <w:rStyle w:val="IndexLink"/>
              </w:rPr>
              <w:t>450</w:t>
            </w:r>
          </w:hyperlink>
        </w:p>
        <w:p>
          <w:pPr>
            <w:pStyle w:val="Contents6"/>
            <w:tabs>
              <w:tab w:val="clear" w:pos="7609"/>
              <w:tab w:val="right" w:pos="9026" w:leader="dot"/>
            </w:tabs>
            <w:rPr/>
          </w:pPr>
          <w:hyperlink w:anchor="__RefHeading___Toc8924464_1051229030">
            <w:r>
              <w:rPr>
                <w:webHidden/>
                <w:rStyle w:val="IndexLink"/>
                <w:rtl w:val="true"/>
              </w:rPr>
              <w:t>مقيدية روايات الاتباع لمطلقات الاستشارة</w:t>
            </w:r>
            <w:r>
              <w:rPr>
                <w:rStyle w:val="IndexLink"/>
                <w:rtl w:val="true"/>
              </w:rPr>
              <w:tab/>
            </w:r>
            <w:r>
              <w:rPr>
                <w:rStyle w:val="IndexLink"/>
              </w:rPr>
              <w:t>451</w:t>
            </w:r>
          </w:hyperlink>
        </w:p>
        <w:p>
          <w:pPr>
            <w:pStyle w:val="Contents6"/>
            <w:tabs>
              <w:tab w:val="clear" w:pos="7609"/>
              <w:tab w:val="right" w:pos="9026" w:leader="dot"/>
            </w:tabs>
            <w:rPr/>
          </w:pPr>
          <w:hyperlink w:anchor="__RefHeading___Toc8924466_1051229030">
            <w:r>
              <w:rPr>
                <w:webHidden/>
                <w:rStyle w:val="IndexLink"/>
                <w:rtl w:val="true"/>
              </w:rPr>
              <w:t>الآمر بالاستشارة آمر باتباع الأكثرية عرفاً</w:t>
            </w:r>
            <w:r>
              <w:rPr>
                <w:rStyle w:val="IndexLink"/>
                <w:rtl w:val="true"/>
              </w:rPr>
              <w:tab/>
            </w:r>
            <w:r>
              <w:rPr>
                <w:rStyle w:val="IndexLink"/>
              </w:rPr>
              <w:t>453</w:t>
            </w:r>
          </w:hyperlink>
        </w:p>
        <w:p>
          <w:pPr>
            <w:pStyle w:val="Contents6"/>
            <w:tabs>
              <w:tab w:val="clear" w:pos="7609"/>
              <w:tab w:val="right" w:pos="9026" w:leader="dot"/>
            </w:tabs>
            <w:rPr/>
          </w:pPr>
          <w:hyperlink w:anchor="__RefHeading___Toc8924468_1051229030">
            <w:r>
              <w:rPr>
                <w:webHidden/>
                <w:rStyle w:val="IndexLink"/>
                <w:rtl w:val="true"/>
              </w:rPr>
              <w:t>لزوم إتباع غير الفقيه لأكثرية الفقهاء</w:t>
            </w:r>
            <w:r>
              <w:rPr>
                <w:rStyle w:val="IndexLink"/>
                <w:rtl w:val="true"/>
              </w:rPr>
              <w:tab/>
            </w:r>
            <w:r>
              <w:rPr>
                <w:rStyle w:val="IndexLink"/>
              </w:rPr>
              <w:t>454</w:t>
            </w:r>
          </w:hyperlink>
        </w:p>
        <w:p>
          <w:pPr>
            <w:pStyle w:val="Contents6"/>
            <w:tabs>
              <w:tab w:val="clear" w:pos="7609"/>
              <w:tab w:val="right" w:pos="9026" w:leader="dot"/>
            </w:tabs>
            <w:rPr/>
          </w:pPr>
          <w:hyperlink w:anchor="__RefHeading___Toc8924470_1051229030">
            <w:r>
              <w:rPr>
                <w:webHidden/>
                <w:rStyle w:val="IndexLink"/>
                <w:rtl w:val="true"/>
              </w:rPr>
              <w:t xml:space="preserve">الوجه الثالث </w:t>
            </w:r>
            <w:r>
              <w:rPr>
                <w:rStyle w:val="IndexLink"/>
                <w:rtl w:val="true"/>
              </w:rPr>
              <w:t xml:space="preserve">: </w:t>
            </w:r>
            <w:r>
              <w:rPr>
                <w:rStyle w:val="IndexLink"/>
                <w:rtl w:val="true"/>
              </w:rPr>
              <w:t>شمول روايات لزوم الاتباع حتى للفقيه</w:t>
            </w:r>
            <w:r>
              <w:rPr>
                <w:rStyle w:val="IndexLink"/>
                <w:rtl w:val="true"/>
              </w:rPr>
              <w:tab/>
            </w:r>
            <w:r>
              <w:rPr>
                <w:rStyle w:val="IndexLink"/>
              </w:rPr>
              <w:t>457</w:t>
            </w:r>
          </w:hyperlink>
        </w:p>
        <w:p>
          <w:pPr>
            <w:pStyle w:val="Contents6"/>
            <w:tabs>
              <w:tab w:val="clear" w:pos="7609"/>
              <w:tab w:val="right" w:pos="9026" w:leader="dot"/>
            </w:tabs>
            <w:rPr/>
          </w:pPr>
          <w:hyperlink w:anchor="__RefHeading___Toc8924472_1051229030">
            <w:r>
              <w:rPr>
                <w:webHidden/>
                <w:rStyle w:val="IndexLink"/>
                <w:rtl w:val="true"/>
              </w:rPr>
              <w:t>توقف الاستنباط في الشؤون العامة على الفقاهة والخبروية</w:t>
            </w:r>
            <w:r>
              <w:rPr>
                <w:rStyle w:val="IndexLink"/>
                <w:rtl w:val="true"/>
              </w:rPr>
              <w:tab/>
            </w:r>
            <w:r>
              <w:rPr>
                <w:rStyle w:val="IndexLink"/>
              </w:rPr>
              <w:t>459</w:t>
            </w:r>
          </w:hyperlink>
        </w:p>
        <w:p>
          <w:pPr>
            <w:pStyle w:val="Contents6"/>
            <w:tabs>
              <w:tab w:val="clear" w:pos="7609"/>
              <w:tab w:val="right" w:pos="9026" w:leader="dot"/>
            </w:tabs>
            <w:rPr/>
          </w:pPr>
          <w:hyperlink w:anchor="__RefHeading___Toc8924474_1051229030">
            <w:r>
              <w:rPr>
                <w:webHidden/>
                <w:rStyle w:val="IndexLink"/>
                <w:rtl w:val="true"/>
              </w:rPr>
              <w:t>الوجه الرابع</w:t>
            </w:r>
            <w:r>
              <w:rPr>
                <w:rStyle w:val="IndexLink"/>
                <w:rtl w:val="true"/>
              </w:rPr>
              <w:t xml:space="preserve">: </w:t>
            </w:r>
            <w:r>
              <w:rPr>
                <w:rStyle w:val="IndexLink"/>
                <w:rtl w:val="true"/>
              </w:rPr>
              <w:t>صدق الاستبداد على مخالف الأكثرية، و</w:t>
            </w:r>
            <w:r>
              <w:rPr>
                <w:rStyle w:val="IndexLink"/>
                <w:rtl w:val="true"/>
              </w:rPr>
              <w:t>(</w:t>
            </w:r>
            <w:r>
              <w:rPr>
                <w:rStyle w:val="IndexLink"/>
                <w:rtl w:val="true"/>
              </w:rPr>
              <w:t>من استبد برأيه هلك</w:t>
            </w:r>
            <w:r>
              <w:rPr>
                <w:rStyle w:val="IndexLink"/>
                <w:rtl w:val="true"/>
              </w:rPr>
              <w:t>)</w:t>
              <w:tab/>
            </w:r>
            <w:r>
              <w:rPr>
                <w:rStyle w:val="IndexLink"/>
              </w:rPr>
              <w:t>461</w:t>
            </w:r>
          </w:hyperlink>
        </w:p>
        <w:p>
          <w:pPr>
            <w:pStyle w:val="Contents6"/>
            <w:tabs>
              <w:tab w:val="clear" w:pos="7609"/>
              <w:tab w:val="right" w:pos="9026" w:leader="dot"/>
            </w:tabs>
            <w:rPr/>
          </w:pPr>
          <w:hyperlink w:anchor="__RefHeading___Toc8924476_1051229030">
            <w:r>
              <w:rPr>
                <w:webHidden/>
                <w:rStyle w:val="IndexLink"/>
                <w:rtl w:val="true"/>
              </w:rPr>
              <w:t>بحث عن استعمال اللفظ في أكثر من معنى</w:t>
            </w:r>
            <w:r>
              <w:rPr>
                <w:rStyle w:val="IndexLink"/>
                <w:rtl w:val="true"/>
              </w:rPr>
              <w:tab/>
            </w:r>
            <w:r>
              <w:rPr>
                <w:rStyle w:val="IndexLink"/>
              </w:rPr>
              <w:t>463</w:t>
            </w:r>
          </w:hyperlink>
        </w:p>
        <w:p>
          <w:pPr>
            <w:pStyle w:val="Contents4"/>
            <w:tabs>
              <w:tab w:val="clear" w:pos="8176"/>
              <w:tab w:val="right" w:pos="9026" w:leader="dot"/>
            </w:tabs>
            <w:rPr/>
          </w:pPr>
          <w:hyperlink w:anchor="__RefHeading___Toc8924478_1051229030">
            <w:r>
              <w:rPr>
                <w:webHidden/>
                <w:rStyle w:val="IndexLink"/>
                <w:rtl w:val="true"/>
              </w:rPr>
              <w:t>الفصل الثالث</w:t>
            </w:r>
            <w:r>
              <w:rPr>
                <w:rStyle w:val="IndexLink"/>
                <w:rtl w:val="true"/>
              </w:rPr>
              <w:t xml:space="preserve">: </w:t>
            </w:r>
            <w:r>
              <w:rPr>
                <w:rStyle w:val="IndexLink"/>
                <w:rtl w:val="true"/>
              </w:rPr>
              <w:t>في الاستدلال بمقبولة عمر بن حنظلة ومرفوعة زرارة</w:t>
            </w:r>
            <w:r>
              <w:rPr>
                <w:rStyle w:val="IndexLink"/>
                <w:rtl w:val="true"/>
              </w:rPr>
              <w:tab/>
            </w:r>
            <w:r>
              <w:rPr>
                <w:rStyle w:val="IndexLink"/>
              </w:rPr>
              <w:t>466</w:t>
            </w:r>
          </w:hyperlink>
        </w:p>
        <w:p>
          <w:pPr>
            <w:pStyle w:val="Contents5"/>
            <w:tabs>
              <w:tab w:val="clear" w:pos="7892"/>
              <w:tab w:val="right" w:pos="9026" w:leader="dot"/>
            </w:tabs>
            <w:rPr/>
          </w:pPr>
          <w:hyperlink w:anchor="__RefHeading___Toc8924480_1051229030">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8924482_1051229030">
            <w:r>
              <w:rPr>
                <w:webHidden/>
                <w:rStyle w:val="IndexLink"/>
                <w:rtl w:val="true"/>
              </w:rPr>
              <w:t>المقبولة والمرفوعة</w:t>
            </w:r>
            <w:r>
              <w:rPr>
                <w:rStyle w:val="IndexLink"/>
                <w:rtl w:val="true"/>
              </w:rPr>
              <w:tab/>
            </w:r>
            <w:r>
              <w:rPr>
                <w:rStyle w:val="IndexLink"/>
              </w:rPr>
              <w:t>468</w:t>
            </w:r>
          </w:hyperlink>
        </w:p>
        <w:p>
          <w:pPr>
            <w:pStyle w:val="Contents6"/>
            <w:tabs>
              <w:tab w:val="clear" w:pos="7609"/>
              <w:tab w:val="right" w:pos="9026" w:leader="dot"/>
            </w:tabs>
            <w:rPr/>
          </w:pPr>
          <w:hyperlink w:anchor="__RefHeading___Toc8924484_1051229030">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8924486_1051229030">
            <w:r>
              <w:rPr>
                <w:webHidden/>
                <w:rStyle w:val="IndexLink"/>
                <w:rtl w:val="true"/>
              </w:rPr>
              <w:t>الاستدلال بالمقبولة</w:t>
            </w:r>
            <w:r>
              <w:rPr>
                <w:rStyle w:val="IndexLink"/>
                <w:rtl w:val="true"/>
              </w:rPr>
              <w:tab/>
            </w:r>
            <w:r>
              <w:rPr>
                <w:rStyle w:val="IndexLink"/>
              </w:rPr>
              <w:t>468</w:t>
            </w:r>
          </w:hyperlink>
        </w:p>
        <w:p>
          <w:pPr>
            <w:pStyle w:val="Contents6"/>
            <w:tabs>
              <w:tab w:val="clear" w:pos="7609"/>
              <w:tab w:val="right" w:pos="9026" w:leader="dot"/>
            </w:tabs>
            <w:rPr/>
          </w:pPr>
          <w:hyperlink w:anchor="__RefHeading___Toc8924488_1051229030">
            <w:r>
              <w:rPr>
                <w:webHidden/>
                <w:rStyle w:val="IndexLink"/>
                <w:rtl w:val="true"/>
              </w:rPr>
              <w:t>فإن المجمع عليه لا ريب فيه</w:t>
            </w:r>
            <w:r>
              <w:rPr>
                <w:rStyle w:val="IndexLink"/>
                <w:rtl w:val="true"/>
              </w:rPr>
              <w:tab/>
            </w:r>
            <w:r>
              <w:rPr>
                <w:rStyle w:val="IndexLink"/>
              </w:rPr>
              <w:t>469</w:t>
            </w:r>
          </w:hyperlink>
        </w:p>
        <w:p>
          <w:pPr>
            <w:pStyle w:val="Contents6"/>
            <w:tabs>
              <w:tab w:val="clear" w:pos="7609"/>
              <w:tab w:val="right" w:pos="9026" w:leader="dot"/>
            </w:tabs>
            <w:rPr/>
          </w:pPr>
          <w:hyperlink w:anchor="__RefHeading___Toc8924490_1051229030">
            <w:r>
              <w:rPr>
                <w:webHidden/>
                <w:rStyle w:val="IndexLink"/>
                <w:rtl w:val="true"/>
              </w:rPr>
              <w:t xml:space="preserve">الأجوبة عن أن اللام في </w:t>
            </w:r>
            <w:r>
              <w:rPr>
                <w:rStyle w:val="IndexLink"/>
                <w:rtl w:val="true"/>
              </w:rPr>
              <w:t>(</w:t>
            </w:r>
            <w:r>
              <w:rPr>
                <w:rStyle w:val="IndexLink"/>
                <w:rtl w:val="true"/>
              </w:rPr>
              <w:t>المجمع عليه</w:t>
            </w:r>
            <w:r>
              <w:rPr>
                <w:rStyle w:val="IndexLink"/>
                <w:rtl w:val="true"/>
              </w:rPr>
              <w:t xml:space="preserve">) </w:t>
            </w:r>
            <w:r>
              <w:rPr>
                <w:rStyle w:val="IndexLink"/>
                <w:rtl w:val="true"/>
              </w:rPr>
              <w:t>للعهد</w:t>
            </w:r>
            <w:r>
              <w:rPr>
                <w:rStyle w:val="IndexLink"/>
                <w:rtl w:val="true"/>
              </w:rPr>
              <w:tab/>
            </w:r>
            <w:r>
              <w:rPr>
                <w:rStyle w:val="IndexLink"/>
              </w:rPr>
              <w:t>469</w:t>
            </w:r>
          </w:hyperlink>
        </w:p>
        <w:p>
          <w:pPr>
            <w:pStyle w:val="Contents6"/>
            <w:tabs>
              <w:tab w:val="clear" w:pos="7609"/>
              <w:tab w:val="right" w:pos="9026" w:leader="dot"/>
            </w:tabs>
            <w:rPr/>
          </w:pPr>
          <w:hyperlink w:anchor="__RefHeading___Toc8924492_1051229030">
            <w:r>
              <w:rPr>
                <w:webHidden/>
                <w:rStyle w:val="IndexLink"/>
                <w:rtl w:val="true"/>
              </w:rPr>
              <w:t xml:space="preserve">بحث عن أن المراد من </w:t>
            </w:r>
            <w:r>
              <w:rPr>
                <w:rStyle w:val="IndexLink"/>
                <w:rtl w:val="true"/>
              </w:rPr>
              <w:t>(</w:t>
            </w:r>
            <w:r>
              <w:rPr>
                <w:rStyle w:val="IndexLink"/>
                <w:rtl w:val="true"/>
              </w:rPr>
              <w:t>لا ريب فيه</w:t>
            </w:r>
            <w:r>
              <w:rPr>
                <w:rStyle w:val="IndexLink"/>
                <w:rtl w:val="true"/>
              </w:rPr>
              <w:t xml:space="preserve">) </w:t>
            </w:r>
            <w:r>
              <w:rPr>
                <w:rStyle w:val="IndexLink"/>
                <w:rtl w:val="true"/>
              </w:rPr>
              <w:t>الحقيقي أو الإضافي</w:t>
            </w:r>
            <w:r>
              <w:rPr>
                <w:rStyle w:val="IndexLink"/>
                <w:rtl w:val="true"/>
              </w:rPr>
              <w:tab/>
            </w:r>
            <w:r>
              <w:rPr>
                <w:rStyle w:val="IndexLink"/>
              </w:rPr>
              <w:t>471</w:t>
            </w:r>
          </w:hyperlink>
        </w:p>
        <w:p>
          <w:pPr>
            <w:pStyle w:val="Contents6"/>
            <w:tabs>
              <w:tab w:val="clear" w:pos="7609"/>
              <w:tab w:val="right" w:pos="9026" w:leader="dot"/>
            </w:tabs>
            <w:rPr/>
          </w:pPr>
          <w:hyperlink w:anchor="__RefHeading___Toc8924494_1051229030">
            <w:r>
              <w:rPr>
                <w:webHidden/>
                <w:rStyle w:val="IndexLink"/>
                <w:rtl w:val="true"/>
              </w:rPr>
              <w:t>مناقشات تفصيلية لدعوى الآخوند أن اللاريب حقيقي</w:t>
            </w:r>
            <w:r>
              <w:rPr>
                <w:rStyle w:val="IndexLink"/>
                <w:rtl w:val="true"/>
              </w:rPr>
              <w:tab/>
            </w:r>
            <w:r>
              <w:rPr>
                <w:rStyle w:val="IndexLink"/>
              </w:rPr>
              <w:t>471</w:t>
            </w:r>
          </w:hyperlink>
        </w:p>
        <w:p>
          <w:pPr>
            <w:pStyle w:val="Contents6"/>
            <w:tabs>
              <w:tab w:val="clear" w:pos="7609"/>
              <w:tab w:val="right" w:pos="9026" w:leader="dot"/>
            </w:tabs>
            <w:rPr/>
          </w:pPr>
          <w:hyperlink w:anchor="__RefHeading___Toc8924496_1051229030">
            <w:r>
              <w:rPr>
                <w:webHidden/>
                <w:rStyle w:val="IndexLink"/>
                <w:rtl w:val="true"/>
              </w:rPr>
              <w:t xml:space="preserve">الاستدلال ب </w:t>
            </w:r>
            <w:r>
              <w:rPr>
                <w:rStyle w:val="IndexLink"/>
                <w:rtl w:val="true"/>
              </w:rPr>
              <w:t>(</w:t>
            </w:r>
            <w:r>
              <w:rPr>
                <w:rStyle w:val="IndexLink"/>
                <w:rtl w:val="true"/>
              </w:rPr>
              <w:t>وإنما الأمور ثلاثة</w:t>
            </w:r>
            <w:r>
              <w:rPr>
                <w:rStyle w:val="IndexLink"/>
                <w:rtl w:val="true"/>
              </w:rPr>
              <w:t>)</w:t>
              <w:tab/>
            </w:r>
            <w:r>
              <w:rPr>
                <w:rStyle w:val="IndexLink"/>
              </w:rPr>
              <w:t>482</w:t>
            </w:r>
          </w:hyperlink>
        </w:p>
        <w:p>
          <w:pPr>
            <w:pStyle w:val="Contents5"/>
            <w:tabs>
              <w:tab w:val="clear" w:pos="7892"/>
              <w:tab w:val="right" w:pos="9026" w:leader="dot"/>
            </w:tabs>
            <w:rPr/>
          </w:pPr>
          <w:hyperlink w:anchor="__RefHeading___Toc8924498_1051229030">
            <w:r>
              <w:rPr>
                <w:webHidden/>
                <w:rStyle w:val="IndexLink"/>
                <w:rtl w:val="true"/>
              </w:rPr>
              <w:t>الحديث عن المرفوعة</w:t>
            </w:r>
            <w:r>
              <w:rPr>
                <w:rStyle w:val="IndexLink"/>
                <w:rtl w:val="true"/>
              </w:rPr>
              <w:tab/>
            </w:r>
            <w:r>
              <w:rPr>
                <w:rStyle w:val="IndexLink"/>
              </w:rPr>
              <w:t>484</w:t>
            </w:r>
          </w:hyperlink>
        </w:p>
        <w:p>
          <w:pPr>
            <w:pStyle w:val="Contents6"/>
            <w:tabs>
              <w:tab w:val="clear" w:pos="7609"/>
              <w:tab w:val="right" w:pos="9026" w:leader="dot"/>
            </w:tabs>
            <w:rPr/>
          </w:pPr>
          <w:hyperlink w:anchor="__RefHeading___Toc8924500_1051229030">
            <w:r>
              <w:rPr>
                <w:webHidden/>
                <w:rStyle w:val="IndexLink"/>
                <w:rtl w:val="true"/>
              </w:rPr>
              <w:t>اشارة</w:t>
            </w:r>
            <w:r>
              <w:rPr>
                <w:rStyle w:val="IndexLink"/>
                <w:rtl w:val="true"/>
              </w:rPr>
              <w:tab/>
            </w:r>
            <w:r>
              <w:rPr>
                <w:rStyle w:val="IndexLink"/>
              </w:rPr>
              <w:t>484</w:t>
            </w:r>
          </w:hyperlink>
        </w:p>
        <w:p>
          <w:pPr>
            <w:pStyle w:val="Contents6"/>
            <w:tabs>
              <w:tab w:val="clear" w:pos="7609"/>
              <w:tab w:val="right" w:pos="9026" w:leader="dot"/>
            </w:tabs>
            <w:rPr/>
          </w:pPr>
          <w:hyperlink w:anchor="__RefHeading___Toc8924502_1051229030">
            <w:r>
              <w:rPr>
                <w:webHidden/>
                <w:rStyle w:val="IndexLink"/>
                <w:rtl w:val="true"/>
              </w:rPr>
              <w:t xml:space="preserve">مناقشة مع الشيخ </w:t>
            </w:r>
            <w:r>
              <w:rPr>
                <w:rStyle w:val="IndexLink"/>
                <w:rtl w:val="true"/>
              </w:rPr>
              <w:t>:</w:t>
              <w:tab/>
            </w:r>
            <w:r>
              <w:rPr>
                <w:rStyle w:val="IndexLink"/>
              </w:rPr>
              <w:t>485</w:t>
            </w:r>
          </w:hyperlink>
        </w:p>
        <w:p>
          <w:pPr>
            <w:pStyle w:val="Contents6"/>
            <w:tabs>
              <w:tab w:val="clear" w:pos="7609"/>
              <w:tab w:val="right" w:pos="9026" w:leader="dot"/>
            </w:tabs>
            <w:rPr/>
          </w:pPr>
          <w:hyperlink w:anchor="__RefHeading___Toc8924504_1051229030">
            <w:r>
              <w:rPr>
                <w:webHidden/>
                <w:rStyle w:val="IndexLink"/>
                <w:rtl w:val="true"/>
              </w:rPr>
              <w:t>المصباح</w:t>
            </w:r>
            <w:r>
              <w:rPr>
                <w:rStyle w:val="IndexLink"/>
                <w:rtl w:val="true"/>
              </w:rPr>
              <w:t xml:space="preserve">: </w:t>
            </w:r>
            <w:r>
              <w:rPr>
                <w:rStyle w:val="IndexLink"/>
                <w:rtl w:val="true"/>
              </w:rPr>
              <w:t>الشهرة بمعنى الوضوح</w:t>
            </w:r>
            <w:r>
              <w:rPr>
                <w:rStyle w:val="IndexLink"/>
                <w:rtl w:val="true"/>
              </w:rPr>
              <w:tab/>
            </w:r>
            <w:r>
              <w:rPr>
                <w:rStyle w:val="IndexLink"/>
              </w:rPr>
              <w:t>486</w:t>
            </w:r>
          </w:hyperlink>
        </w:p>
        <w:p>
          <w:pPr>
            <w:pStyle w:val="Contents6"/>
            <w:tabs>
              <w:tab w:val="clear" w:pos="7609"/>
              <w:tab w:val="right" w:pos="9026" w:leader="dot"/>
            </w:tabs>
            <w:rPr/>
          </w:pPr>
          <w:hyperlink w:anchor="__RefHeading___Toc8924506_1051229030">
            <w:r>
              <w:rPr>
                <w:webHidden/>
                <w:rStyle w:val="IndexLink"/>
                <w:rtl w:val="true"/>
              </w:rPr>
              <w:t>مناقشات مع مصباح الأصول</w:t>
            </w:r>
            <w:r>
              <w:rPr>
                <w:rStyle w:val="IndexLink"/>
                <w:rtl w:val="true"/>
              </w:rPr>
              <w:tab/>
            </w:r>
            <w:r>
              <w:rPr>
                <w:rStyle w:val="IndexLink"/>
              </w:rPr>
              <w:t>487</w:t>
            </w:r>
          </w:hyperlink>
        </w:p>
        <w:p>
          <w:pPr>
            <w:pStyle w:val="Contents6"/>
            <w:tabs>
              <w:tab w:val="clear" w:pos="7609"/>
              <w:tab w:val="right" w:pos="9026" w:leader="dot"/>
            </w:tabs>
            <w:rPr/>
          </w:pPr>
          <w:hyperlink w:anchor="__RefHeading___Toc8924508_1051229030">
            <w:r>
              <w:rPr>
                <w:webHidden/>
                <w:rStyle w:val="IndexLink"/>
                <w:rtl w:val="true"/>
              </w:rPr>
              <w:t>تنبيه</w:t>
            </w:r>
            <w:r>
              <w:rPr>
                <w:rStyle w:val="IndexLink"/>
                <w:rtl w:val="true"/>
              </w:rPr>
              <w:t>:</w:t>
              <w:tab/>
            </w:r>
            <w:r>
              <w:rPr>
                <w:rStyle w:val="IndexLink"/>
              </w:rPr>
              <w:t>491</w:t>
            </w:r>
          </w:hyperlink>
        </w:p>
        <w:p>
          <w:pPr>
            <w:pStyle w:val="Contents4"/>
            <w:tabs>
              <w:tab w:val="clear" w:pos="8176"/>
              <w:tab w:val="right" w:pos="9026" w:leader="dot"/>
            </w:tabs>
            <w:rPr/>
          </w:pPr>
          <w:hyperlink w:anchor="__RefHeading___Toc8924510_1051229030">
            <w:r>
              <w:rPr>
                <w:webHidden/>
                <w:rStyle w:val="IndexLink"/>
                <w:rtl w:val="true"/>
              </w:rPr>
              <w:t>الفصل الرابع</w:t>
            </w:r>
            <w:r>
              <w:rPr>
                <w:rStyle w:val="IndexLink"/>
                <w:rtl w:val="true"/>
              </w:rPr>
              <w:t xml:space="preserve">: </w:t>
            </w:r>
            <w:r>
              <w:rPr>
                <w:rStyle w:val="IndexLink"/>
                <w:rtl w:val="true"/>
              </w:rPr>
              <w:t>في ملخص النسبة</w:t>
            </w:r>
            <w:r>
              <w:rPr>
                <w:rStyle w:val="IndexLink"/>
                <w:rtl w:val="true"/>
              </w:rPr>
              <w:tab/>
            </w:r>
            <w:r>
              <w:rPr>
                <w:rStyle w:val="IndexLink"/>
              </w:rPr>
              <w:t>492</w:t>
            </w:r>
          </w:hyperlink>
        </w:p>
        <w:p>
          <w:pPr>
            <w:pStyle w:val="Contents5"/>
            <w:tabs>
              <w:tab w:val="clear" w:pos="7892"/>
              <w:tab w:val="right" w:pos="9026" w:leader="dot"/>
            </w:tabs>
            <w:rPr/>
          </w:pPr>
          <w:hyperlink w:anchor="__RefHeading___Toc8924512_1051229030">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8924514_1051229030">
            <w:r>
              <w:rPr>
                <w:webHidden/>
                <w:rStyle w:val="IndexLink"/>
                <w:rtl w:val="true"/>
              </w:rPr>
              <w:t>ملخص النسبة بين الأدلة</w:t>
            </w:r>
            <w:r>
              <w:rPr>
                <w:rStyle w:val="IndexLink"/>
                <w:rtl w:val="true"/>
              </w:rPr>
              <w:tab/>
            </w:r>
            <w:r>
              <w:rPr>
                <w:rStyle w:val="IndexLink"/>
              </w:rPr>
              <w:t>494</w:t>
            </w:r>
          </w:hyperlink>
        </w:p>
        <w:p>
          <w:pPr>
            <w:pStyle w:val="Contents6"/>
            <w:tabs>
              <w:tab w:val="clear" w:pos="7609"/>
              <w:tab w:val="right" w:pos="9026" w:leader="dot"/>
            </w:tabs>
            <w:rPr/>
          </w:pPr>
          <w:hyperlink w:anchor="__RefHeading___Toc8924516_1051229030">
            <w:r>
              <w:rPr>
                <w:webHidden/>
                <w:rStyle w:val="IndexLink"/>
                <w:rtl w:val="true"/>
              </w:rPr>
              <w:t>اشارة</w:t>
            </w:r>
            <w:r>
              <w:rPr>
                <w:rStyle w:val="IndexLink"/>
                <w:rtl w:val="true"/>
              </w:rPr>
              <w:tab/>
            </w:r>
            <w:r>
              <w:rPr>
                <w:rStyle w:val="IndexLink"/>
              </w:rPr>
              <w:t>494</w:t>
            </w:r>
          </w:hyperlink>
        </w:p>
        <w:p>
          <w:pPr>
            <w:pStyle w:val="Contents6"/>
            <w:tabs>
              <w:tab w:val="clear" w:pos="7609"/>
              <w:tab w:val="right" w:pos="9026" w:leader="dot"/>
            </w:tabs>
            <w:rPr/>
          </w:pPr>
          <w:hyperlink w:anchor="__RefHeading___Toc8924518_1051229030">
            <w:r>
              <w:rPr>
                <w:webHidden/>
                <w:rStyle w:val="IndexLink"/>
                <w:rtl w:val="true"/>
              </w:rPr>
              <w:t>وأما تفصيل الأدلة</w:t>
            </w:r>
            <w:r>
              <w:rPr>
                <w:rStyle w:val="IndexLink"/>
                <w:rtl w:val="true"/>
              </w:rPr>
              <w:tab/>
            </w:r>
            <w:r>
              <w:rPr>
                <w:rStyle w:val="IndexLink"/>
              </w:rPr>
              <w:t>495</w:t>
            </w:r>
          </w:hyperlink>
        </w:p>
        <w:p>
          <w:pPr>
            <w:pStyle w:val="Contents6"/>
            <w:tabs>
              <w:tab w:val="clear" w:pos="7609"/>
              <w:tab w:val="right" w:pos="9026" w:leader="dot"/>
            </w:tabs>
            <w:rPr/>
          </w:pPr>
          <w:hyperlink w:anchor="__RefHeading___Toc8924520_1051229030">
            <w:r>
              <w:rPr>
                <w:webHidden/>
                <w:rStyle w:val="IndexLink"/>
                <w:rtl w:val="true"/>
              </w:rPr>
              <w:t>أما بناء العقلاء</w:t>
            </w:r>
            <w:r>
              <w:rPr>
                <w:rStyle w:val="IndexLink"/>
                <w:rtl w:val="true"/>
              </w:rPr>
              <w:t>:</w:t>
              <w:tab/>
            </w:r>
            <w:r>
              <w:rPr>
                <w:rStyle w:val="IndexLink"/>
              </w:rPr>
              <w:t>495</w:t>
            </w:r>
          </w:hyperlink>
        </w:p>
        <w:p>
          <w:pPr>
            <w:pStyle w:val="Contents6"/>
            <w:tabs>
              <w:tab w:val="clear" w:pos="7609"/>
              <w:tab w:val="right" w:pos="9026" w:leader="dot"/>
            </w:tabs>
            <w:rPr/>
          </w:pPr>
          <w:hyperlink w:anchor="__RefHeading___Toc8924522_1051229030">
            <w:r>
              <w:rPr>
                <w:webHidden/>
                <w:rStyle w:val="IndexLink"/>
                <w:rtl w:val="true"/>
              </w:rPr>
              <w:t>وأما العقل</w:t>
            </w:r>
            <w:r>
              <w:rPr>
                <w:rStyle w:val="IndexLink"/>
                <w:rtl w:val="true"/>
              </w:rPr>
              <w:t>:</w:t>
              <w:tab/>
            </w:r>
            <w:r>
              <w:rPr>
                <w:rStyle w:val="IndexLink"/>
              </w:rPr>
              <w:t>499</w:t>
            </w:r>
          </w:hyperlink>
        </w:p>
        <w:p>
          <w:pPr>
            <w:pStyle w:val="Contents6"/>
            <w:tabs>
              <w:tab w:val="clear" w:pos="7609"/>
              <w:tab w:val="right" w:pos="9026" w:leader="dot"/>
            </w:tabs>
            <w:rPr/>
          </w:pPr>
          <w:hyperlink w:anchor="__RefHeading___Toc8924524_1051229030">
            <w:r>
              <w:rPr>
                <w:webHidden/>
                <w:rStyle w:val="IndexLink"/>
                <w:rtl w:val="true"/>
              </w:rPr>
              <w:t>وأما الآيات</w:t>
            </w:r>
            <w:r>
              <w:rPr>
                <w:rStyle w:val="IndexLink"/>
                <w:rtl w:val="true"/>
              </w:rPr>
              <w:t>:</w:t>
              <w:tab/>
            </w:r>
            <w:r>
              <w:rPr>
                <w:rStyle w:val="IndexLink"/>
              </w:rPr>
              <w:t>500</w:t>
            </w:r>
          </w:hyperlink>
        </w:p>
        <w:p>
          <w:pPr>
            <w:pStyle w:val="Contents6"/>
            <w:tabs>
              <w:tab w:val="clear" w:pos="7609"/>
              <w:tab w:val="right" w:pos="9026" w:leader="dot"/>
            </w:tabs>
            <w:rPr/>
          </w:pPr>
          <w:hyperlink w:anchor="__RefHeading___Toc8924526_1051229030">
            <w:r>
              <w:rPr>
                <w:webHidden/>
                <w:rStyle w:val="IndexLink"/>
                <w:rtl w:val="true"/>
              </w:rPr>
              <w:t>وأما الروايات</w:t>
            </w:r>
            <w:r>
              <w:rPr>
                <w:rStyle w:val="IndexLink"/>
                <w:rtl w:val="true"/>
              </w:rPr>
              <w:t>:</w:t>
              <w:tab/>
            </w:r>
            <w:r>
              <w:rPr>
                <w:rStyle w:val="IndexLink"/>
              </w:rPr>
              <w:t>502</w:t>
            </w:r>
          </w:hyperlink>
        </w:p>
        <w:p>
          <w:pPr>
            <w:pStyle w:val="Contents6"/>
            <w:tabs>
              <w:tab w:val="clear" w:pos="7609"/>
              <w:tab w:val="right" w:pos="9026" w:leader="dot"/>
            </w:tabs>
            <w:rPr/>
          </w:pPr>
          <w:hyperlink w:anchor="__RefHeading___Toc8924528_1051229030">
            <w:r>
              <w:rPr>
                <w:webHidden/>
                <w:rStyle w:val="IndexLink"/>
                <w:rtl w:val="true"/>
              </w:rPr>
              <w:t>وأما السيرة</w:t>
            </w:r>
            <w:r>
              <w:rPr>
                <w:rStyle w:val="IndexLink"/>
                <w:rtl w:val="true"/>
              </w:rPr>
              <w:t>:</w:t>
              <w:tab/>
            </w:r>
            <w:r>
              <w:rPr>
                <w:rStyle w:val="IndexLink"/>
              </w:rPr>
              <w:t>504</w:t>
            </w:r>
          </w:hyperlink>
        </w:p>
        <w:p>
          <w:pPr>
            <w:pStyle w:val="Contents6"/>
            <w:tabs>
              <w:tab w:val="clear" w:pos="7609"/>
              <w:tab w:val="right" w:pos="9026" w:leader="dot"/>
            </w:tabs>
            <w:rPr/>
          </w:pPr>
          <w:hyperlink w:anchor="__RefHeading___Toc8924530_1051229030">
            <w:r>
              <w:rPr>
                <w:webHidden/>
                <w:rStyle w:val="IndexLink"/>
                <w:rtl w:val="true"/>
              </w:rPr>
              <w:t>وأما الإجماع</w:t>
            </w:r>
            <w:r>
              <w:rPr>
                <w:rStyle w:val="IndexLink"/>
                <w:rtl w:val="true"/>
              </w:rPr>
              <w:t>:</w:t>
              <w:tab/>
            </w:r>
            <w:r>
              <w:rPr>
                <w:rStyle w:val="IndexLink"/>
              </w:rPr>
              <w:t>505</w:t>
            </w:r>
          </w:hyperlink>
        </w:p>
        <w:p>
          <w:pPr>
            <w:pStyle w:val="Contents2"/>
            <w:tabs>
              <w:tab w:val="clear" w:pos="8743"/>
              <w:tab w:val="right" w:pos="9026" w:leader="dot"/>
            </w:tabs>
            <w:rPr/>
          </w:pPr>
          <w:hyperlink w:anchor="__RefHeading___Toc8924532_1051229030">
            <w:r>
              <w:rPr>
                <w:webHidden/>
                <w:rStyle w:val="IndexLink"/>
                <w:rtl w:val="true"/>
              </w:rPr>
              <w:t>الباب الثاني</w:t>
            </w:r>
            <w:r>
              <w:rPr>
                <w:rStyle w:val="IndexLink"/>
                <w:rtl w:val="true"/>
              </w:rPr>
              <w:tab/>
            </w:r>
            <w:r>
              <w:rPr>
                <w:rStyle w:val="IndexLink"/>
              </w:rPr>
              <w:t>506</w:t>
            </w:r>
          </w:hyperlink>
        </w:p>
        <w:p>
          <w:pPr>
            <w:pStyle w:val="Contents3"/>
            <w:tabs>
              <w:tab w:val="clear" w:pos="8459"/>
              <w:tab w:val="right" w:pos="9026" w:leader="dot"/>
            </w:tabs>
            <w:rPr/>
          </w:pPr>
          <w:hyperlink w:anchor="__RefHeading___Toc8924534_1051229030">
            <w:r>
              <w:rPr>
                <w:webHidden/>
                <w:rStyle w:val="IndexLink"/>
                <w:rtl w:val="true"/>
              </w:rPr>
              <w:t>اشارة</w:t>
            </w:r>
            <w:r>
              <w:rPr>
                <w:rStyle w:val="IndexLink"/>
                <w:rtl w:val="true"/>
              </w:rPr>
              <w:tab/>
            </w:r>
            <w:r>
              <w:rPr>
                <w:rStyle w:val="IndexLink"/>
              </w:rPr>
              <w:t>506</w:t>
            </w:r>
          </w:hyperlink>
        </w:p>
        <w:p>
          <w:pPr>
            <w:pStyle w:val="Contents3"/>
            <w:tabs>
              <w:tab w:val="clear" w:pos="8459"/>
              <w:tab w:val="right" w:pos="9026" w:leader="dot"/>
            </w:tabs>
            <w:rPr/>
          </w:pPr>
          <w:hyperlink w:anchor="__RefHeading___Toc8924536_1051229030">
            <w:r>
              <w:rPr>
                <w:webHidden/>
                <w:rStyle w:val="IndexLink"/>
                <w:rtl w:val="true"/>
              </w:rPr>
              <w:t>الفصل الأول</w:t>
            </w:r>
            <w:r>
              <w:rPr>
                <w:rStyle w:val="IndexLink"/>
                <w:rtl w:val="true"/>
              </w:rPr>
              <w:t xml:space="preserve">: </w:t>
            </w:r>
            <w:r>
              <w:rPr>
                <w:rStyle w:val="IndexLink"/>
                <w:rtl w:val="true"/>
              </w:rPr>
              <w:t>في الاستدلال على مسائل سبع وهي</w:t>
            </w:r>
            <w:r>
              <w:rPr>
                <w:rStyle w:val="IndexLink"/>
                <w:rtl w:val="true"/>
              </w:rPr>
              <w:t>:</w:t>
              <w:tab/>
            </w:r>
            <w:r>
              <w:rPr>
                <w:rStyle w:val="IndexLink"/>
              </w:rPr>
              <w:t>506</w:t>
            </w:r>
          </w:hyperlink>
        </w:p>
        <w:p>
          <w:pPr>
            <w:pStyle w:val="Contents4"/>
            <w:tabs>
              <w:tab w:val="clear" w:pos="8176"/>
              <w:tab w:val="right" w:pos="9026" w:leader="dot"/>
            </w:tabs>
            <w:rPr/>
          </w:pPr>
          <w:hyperlink w:anchor="__RefHeading___Toc8924538_1051229030">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8924540_1051229030">
            <w:r>
              <w:rPr>
                <w:webHidden/>
                <w:rStyle w:val="IndexLink"/>
                <w:rtl w:val="true"/>
              </w:rPr>
              <w:t>في وجوب الإشارة وحرمة المنع ووجوب ردع المانع ومسائل أخرى</w:t>
            </w:r>
            <w:r>
              <w:rPr>
                <w:rStyle w:val="IndexLink"/>
                <w:rtl w:val="true"/>
              </w:rPr>
              <w:tab/>
            </w:r>
            <w:r>
              <w:rPr>
                <w:rStyle w:val="IndexLink"/>
              </w:rPr>
              <w:t>508</w:t>
            </w:r>
          </w:hyperlink>
        </w:p>
        <w:p>
          <w:pPr>
            <w:pStyle w:val="Contents4"/>
            <w:tabs>
              <w:tab w:val="clear" w:pos="8176"/>
              <w:tab w:val="right" w:pos="9026" w:leader="dot"/>
            </w:tabs>
            <w:rPr/>
          </w:pPr>
          <w:hyperlink w:anchor="__RefHeading___Toc8924542_1051229030">
            <w:r>
              <w:rPr>
                <w:webHidden/>
                <w:rStyle w:val="IndexLink"/>
                <w:rtl w:val="true"/>
              </w:rPr>
              <w:t>الدليل الأول</w:t>
            </w:r>
            <w:r>
              <w:rPr>
                <w:rStyle w:val="IndexLink"/>
                <w:rtl w:val="true"/>
              </w:rPr>
              <w:t xml:space="preserve">: </w:t>
            </w:r>
            <w:r>
              <w:rPr>
                <w:rStyle w:val="IndexLink"/>
                <w:rtl w:val="true"/>
              </w:rPr>
              <w:t>إنها من مصاديق الأمر بالمعروف والنهي عن المنكر و</w:t>
            </w:r>
            <w:r>
              <w:rPr>
                <w:rStyle w:val="IndexLink"/>
                <w:rtl w:val="true"/>
              </w:rPr>
              <w:t>...</w:t>
              <w:tab/>
            </w:r>
            <w:r>
              <w:rPr>
                <w:rStyle w:val="IndexLink"/>
              </w:rPr>
              <w:t>508</w:t>
            </w:r>
          </w:hyperlink>
        </w:p>
        <w:p>
          <w:pPr>
            <w:pStyle w:val="Contents5"/>
            <w:tabs>
              <w:tab w:val="clear" w:pos="7892"/>
              <w:tab w:val="right" w:pos="9026" w:leader="dot"/>
            </w:tabs>
            <w:rPr/>
          </w:pPr>
          <w:hyperlink w:anchor="__RefHeading___Toc8924544_1051229030">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8924546_1051229030">
            <w:r>
              <w:rPr>
                <w:webHidden/>
                <w:rStyle w:val="IndexLink"/>
                <w:rtl w:val="true"/>
              </w:rPr>
              <w:t>إشارة للأدلة على الكبرى</w:t>
            </w:r>
            <w:r>
              <w:rPr>
                <w:rStyle w:val="IndexLink"/>
                <w:rtl w:val="true"/>
              </w:rPr>
              <w:tab/>
            </w:r>
            <w:r>
              <w:rPr>
                <w:rStyle w:val="IndexLink"/>
              </w:rPr>
              <w:t>509</w:t>
            </w:r>
          </w:hyperlink>
        </w:p>
        <w:p>
          <w:pPr>
            <w:pStyle w:val="Contents5"/>
            <w:tabs>
              <w:tab w:val="clear" w:pos="7892"/>
              <w:tab w:val="right" w:pos="9026" w:leader="dot"/>
            </w:tabs>
            <w:rPr/>
          </w:pPr>
          <w:hyperlink w:anchor="__RefHeading___Toc8924548_1051229030">
            <w:r>
              <w:rPr>
                <w:webHidden/>
                <w:rStyle w:val="IndexLink"/>
                <w:rtl w:val="true"/>
              </w:rPr>
              <w:t>إشارة لكون الأحكام السبعة صغريات الأدلة السابقة</w:t>
            </w:r>
            <w:r>
              <w:rPr>
                <w:rStyle w:val="IndexLink"/>
                <w:rtl w:val="true"/>
              </w:rPr>
              <w:tab/>
            </w:r>
            <w:r>
              <w:rPr>
                <w:rStyle w:val="IndexLink"/>
              </w:rPr>
              <w:t>512</w:t>
            </w:r>
          </w:hyperlink>
        </w:p>
        <w:p>
          <w:pPr>
            <w:pStyle w:val="Contents4"/>
            <w:tabs>
              <w:tab w:val="clear" w:pos="8176"/>
              <w:tab w:val="right" w:pos="9026" w:leader="dot"/>
            </w:tabs>
            <w:rPr/>
          </w:pPr>
          <w:hyperlink w:anchor="__RefHeading___Toc8924550_1051229030">
            <w:r>
              <w:rPr>
                <w:webHidden/>
                <w:rStyle w:val="IndexLink"/>
                <w:rtl w:val="true"/>
              </w:rPr>
              <w:t>الحكم فيما لو كان الاختلاف في المعروف والمنكر اجتهادياً</w:t>
            </w:r>
            <w:r>
              <w:rPr>
                <w:rStyle w:val="IndexLink"/>
                <w:rtl w:val="true"/>
              </w:rPr>
              <w:tab/>
            </w:r>
            <w:r>
              <w:rPr>
                <w:rStyle w:val="IndexLink"/>
              </w:rPr>
              <w:t>515</w:t>
            </w:r>
          </w:hyperlink>
        </w:p>
        <w:p>
          <w:pPr>
            <w:pStyle w:val="Contents5"/>
            <w:tabs>
              <w:tab w:val="clear" w:pos="7892"/>
              <w:tab w:val="right" w:pos="9026" w:leader="dot"/>
            </w:tabs>
            <w:rPr/>
          </w:pPr>
          <w:hyperlink w:anchor="__RefHeading___Toc8924552_1051229030">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8924554_1051229030">
            <w:r>
              <w:rPr>
                <w:webHidden/>
                <w:rStyle w:val="IndexLink"/>
                <w:rtl w:val="true"/>
              </w:rPr>
              <w:t>هل حجية نظر الفقيه مانعة من الأحكام السبعة؟</w:t>
            </w:r>
            <w:r>
              <w:rPr>
                <w:rStyle w:val="IndexLink"/>
                <w:rtl w:val="true"/>
              </w:rPr>
              <w:tab/>
            </w:r>
            <w:r>
              <w:rPr>
                <w:rStyle w:val="IndexLink"/>
              </w:rPr>
              <w:t>518</w:t>
            </w:r>
          </w:hyperlink>
        </w:p>
        <w:p>
          <w:pPr>
            <w:pStyle w:val="Contents5"/>
            <w:tabs>
              <w:tab w:val="clear" w:pos="7892"/>
              <w:tab w:val="right" w:pos="9026" w:leader="dot"/>
            </w:tabs>
            <w:rPr/>
          </w:pPr>
          <w:hyperlink w:anchor="__RefHeading___Toc8924556_1051229030">
            <w:r>
              <w:rPr>
                <w:webHidden/>
                <w:rStyle w:val="IndexLink"/>
                <w:rtl w:val="true"/>
              </w:rPr>
              <w:t>كون الفتوى حكماً ظاهرياً لا يمنع الأحكام السبعة</w:t>
            </w:r>
            <w:r>
              <w:rPr>
                <w:rStyle w:val="IndexLink"/>
                <w:rtl w:val="true"/>
              </w:rPr>
              <w:tab/>
            </w:r>
            <w:r>
              <w:rPr>
                <w:rStyle w:val="IndexLink"/>
              </w:rPr>
              <w:t>519</w:t>
            </w:r>
          </w:hyperlink>
        </w:p>
        <w:p>
          <w:pPr>
            <w:pStyle w:val="Contents5"/>
            <w:tabs>
              <w:tab w:val="clear" w:pos="7892"/>
              <w:tab w:val="right" w:pos="9026" w:leader="dot"/>
            </w:tabs>
            <w:rPr/>
          </w:pPr>
          <w:hyperlink w:anchor="__RefHeading___Toc8924558_1051229030">
            <w:r>
              <w:rPr>
                <w:webHidden/>
                <w:rStyle w:val="IndexLink"/>
                <w:rtl w:val="true"/>
              </w:rPr>
              <w:t>سكوت الأدلة عن صورة التعارض</w:t>
            </w:r>
            <w:r>
              <w:rPr>
                <w:rStyle w:val="IndexLink"/>
                <w:rtl w:val="true"/>
              </w:rPr>
              <w:tab/>
            </w:r>
            <w:r>
              <w:rPr>
                <w:rStyle w:val="IndexLink"/>
              </w:rPr>
              <w:t>520</w:t>
            </w:r>
          </w:hyperlink>
        </w:p>
        <w:p>
          <w:pPr>
            <w:pStyle w:val="Contents5"/>
            <w:tabs>
              <w:tab w:val="clear" w:pos="7892"/>
              <w:tab w:val="right" w:pos="9026" w:leader="dot"/>
            </w:tabs>
            <w:rPr/>
          </w:pPr>
          <w:hyperlink w:anchor="__RefHeading___Toc8924560_1051229030">
            <w:r>
              <w:rPr>
                <w:webHidden/>
                <w:rStyle w:val="IndexLink"/>
                <w:rtl w:val="true"/>
              </w:rPr>
              <w:t>نظر الفقيه طريق عقلائي لا يمنع الأحكام السبعة</w:t>
            </w:r>
            <w:r>
              <w:rPr>
                <w:rStyle w:val="IndexLink"/>
                <w:rtl w:val="true"/>
              </w:rPr>
              <w:tab/>
            </w:r>
            <w:r>
              <w:rPr>
                <w:rStyle w:val="IndexLink"/>
              </w:rPr>
              <w:t>525</w:t>
            </w:r>
          </w:hyperlink>
        </w:p>
        <w:p>
          <w:pPr>
            <w:pStyle w:val="Contents5"/>
            <w:tabs>
              <w:tab w:val="clear" w:pos="7892"/>
              <w:tab w:val="right" w:pos="9026" w:leader="dot"/>
            </w:tabs>
            <w:rPr/>
          </w:pPr>
          <w:hyperlink w:anchor="__RefHeading___Toc8924562_1051229030">
            <w:r>
              <w:rPr>
                <w:webHidden/>
                <w:rStyle w:val="IndexLink"/>
                <w:rtl w:val="true"/>
              </w:rPr>
              <w:t xml:space="preserve">كما يمكن رفع اليد عن الحكم الواقعي يمكن رفعها عن الحكم الظاهري </w:t>
            </w:r>
            <w:r>
              <w:rPr>
                <w:rStyle w:val="IndexLink"/>
                <w:rtl w:val="true"/>
              </w:rPr>
              <w:t>:</w:t>
              <w:tab/>
            </w:r>
            <w:r>
              <w:rPr>
                <w:rStyle w:val="IndexLink"/>
              </w:rPr>
              <w:t>526</w:t>
            </w:r>
          </w:hyperlink>
        </w:p>
        <w:p>
          <w:pPr>
            <w:pStyle w:val="Contents4"/>
            <w:tabs>
              <w:tab w:val="clear" w:pos="8176"/>
              <w:tab w:val="right" w:pos="9026" w:leader="dot"/>
            </w:tabs>
            <w:rPr/>
          </w:pPr>
          <w:hyperlink w:anchor="__RefHeading___Toc8924564_1051229030">
            <w:r>
              <w:rPr>
                <w:webHidden/>
                <w:rStyle w:val="IndexLink"/>
                <w:rtl w:val="true"/>
              </w:rPr>
              <w:t>الدليل الثاني</w:t>
            </w:r>
            <w:r>
              <w:rPr>
                <w:rStyle w:val="IndexLink"/>
                <w:rtl w:val="true"/>
              </w:rPr>
              <w:t xml:space="preserve">: </w:t>
            </w:r>
            <w:r>
              <w:rPr>
                <w:rStyle w:val="IndexLink"/>
                <w:rtl w:val="true"/>
              </w:rPr>
              <w:t>الروايات الكثيرة المتنوعة</w:t>
            </w:r>
            <w:r>
              <w:rPr>
                <w:rStyle w:val="IndexLink"/>
                <w:rtl w:val="true"/>
              </w:rPr>
              <w:tab/>
            </w:r>
            <w:r>
              <w:rPr>
                <w:rStyle w:val="IndexLink"/>
              </w:rPr>
              <w:t>529</w:t>
            </w:r>
          </w:hyperlink>
        </w:p>
        <w:p>
          <w:pPr>
            <w:pStyle w:val="Contents5"/>
            <w:tabs>
              <w:tab w:val="clear" w:pos="7892"/>
              <w:tab w:val="right" w:pos="9026" w:leader="dot"/>
            </w:tabs>
            <w:rPr/>
          </w:pPr>
          <w:hyperlink w:anchor="__RefHeading___Toc8924566_1051229030">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8924568_1051229030">
            <w:r>
              <w:rPr>
                <w:webHidden/>
                <w:rStyle w:val="IndexLink"/>
                <w:rtl w:val="true"/>
              </w:rPr>
              <w:t>فلا تكفوا عن مقالة بحق</w:t>
            </w:r>
            <w:r>
              <w:rPr>
                <w:rStyle w:val="IndexLink"/>
                <w:rtl w:val="true"/>
              </w:rPr>
              <w:tab/>
            </w:r>
            <w:r>
              <w:rPr>
                <w:rStyle w:val="IndexLink"/>
              </w:rPr>
              <w:t>529</w:t>
            </w:r>
          </w:hyperlink>
        </w:p>
        <w:p>
          <w:pPr>
            <w:pStyle w:val="Contents5"/>
            <w:tabs>
              <w:tab w:val="clear" w:pos="7892"/>
              <w:tab w:val="right" w:pos="9026" w:leader="dot"/>
            </w:tabs>
            <w:rPr/>
          </w:pPr>
          <w:hyperlink w:anchor="__RefHeading___Toc8924570_1051229030">
            <w:r>
              <w:rPr>
                <w:webHidden/>
                <w:rStyle w:val="IndexLink"/>
                <w:rtl w:val="true"/>
              </w:rPr>
              <w:t>روايات</w:t>
            </w:r>
            <w:r>
              <w:rPr>
                <w:rStyle w:val="IndexLink"/>
                <w:rtl w:val="true"/>
              </w:rPr>
              <w:t xml:space="preserve">: </w:t>
            </w:r>
            <w:r>
              <w:rPr>
                <w:rStyle w:val="IndexLink"/>
                <w:rtl w:val="true"/>
              </w:rPr>
              <w:t>مشاورة ذوي الرأي واتباعهم و</w:t>
            </w:r>
            <w:r>
              <w:rPr>
                <w:rStyle w:val="IndexLink"/>
                <w:rtl w:val="true"/>
              </w:rPr>
              <w:t>...</w:t>
              <w:tab/>
            </w:r>
            <w:r>
              <w:rPr>
                <w:rStyle w:val="IndexLink"/>
              </w:rPr>
              <w:t>531</w:t>
            </w:r>
          </w:hyperlink>
        </w:p>
        <w:p>
          <w:pPr>
            <w:pStyle w:val="Contents4"/>
            <w:tabs>
              <w:tab w:val="clear" w:pos="8176"/>
              <w:tab w:val="right" w:pos="9026" w:leader="dot"/>
            </w:tabs>
            <w:rPr/>
          </w:pPr>
          <w:hyperlink w:anchor="__RefHeading___Toc8924572_1051229030">
            <w:r>
              <w:rPr>
                <w:webHidden/>
                <w:rStyle w:val="IndexLink"/>
                <w:rtl w:val="true"/>
              </w:rPr>
              <w:t>وينبغي التنبيه على أمور</w:t>
            </w:r>
            <w:r>
              <w:rPr>
                <w:rStyle w:val="IndexLink"/>
                <w:rtl w:val="true"/>
              </w:rPr>
              <w:t>:</w:t>
              <w:tab/>
            </w:r>
            <w:r>
              <w:rPr>
                <w:rStyle w:val="IndexLink"/>
              </w:rPr>
              <w:t>535</w:t>
            </w:r>
          </w:hyperlink>
        </w:p>
        <w:p>
          <w:pPr>
            <w:pStyle w:val="Contents5"/>
            <w:tabs>
              <w:tab w:val="clear" w:pos="7892"/>
              <w:tab w:val="right" w:pos="9026" w:leader="dot"/>
            </w:tabs>
            <w:rPr/>
          </w:pPr>
          <w:hyperlink w:anchor="__RefHeading___Toc8924574_1051229030">
            <w:r>
              <w:rPr>
                <w:webHidden/>
                <w:rStyle w:val="IndexLink"/>
                <w:rtl w:val="true"/>
              </w:rPr>
              <w:t xml:space="preserve">الجمع بين ما دل على استشارة واتباع العاقل وما دل على إطاعة العقلاء </w:t>
            </w:r>
            <w:r>
              <w:rPr>
                <w:rStyle w:val="IndexLink"/>
                <w:rtl w:val="true"/>
              </w:rPr>
              <w:t>:</w:t>
              <w:tab/>
            </w:r>
            <w:r>
              <w:rPr>
                <w:rStyle w:val="IndexLink"/>
              </w:rPr>
              <w:t>535</w:t>
            </w:r>
          </w:hyperlink>
        </w:p>
        <w:p>
          <w:pPr>
            <w:pStyle w:val="Contents5"/>
            <w:tabs>
              <w:tab w:val="clear" w:pos="7892"/>
              <w:tab w:val="right" w:pos="9026" w:leader="dot"/>
            </w:tabs>
            <w:rPr/>
          </w:pPr>
          <w:hyperlink w:anchor="__RefHeading___Toc8924576_1051229030">
            <w:r>
              <w:rPr>
                <w:webHidden/>
                <w:rStyle w:val="IndexLink"/>
                <w:rtl w:val="true"/>
              </w:rPr>
              <w:t>الإشكال بظهور بعضها في الاكتفاء بنفس المشاورة</w:t>
            </w:r>
            <w:r>
              <w:rPr>
                <w:rStyle w:val="IndexLink"/>
                <w:rtl w:val="true"/>
              </w:rPr>
              <w:tab/>
            </w:r>
            <w:r>
              <w:rPr>
                <w:rStyle w:val="IndexLink"/>
              </w:rPr>
              <w:t>537</w:t>
            </w:r>
          </w:hyperlink>
        </w:p>
        <w:p>
          <w:pPr>
            <w:pStyle w:val="Contents5"/>
            <w:tabs>
              <w:tab w:val="clear" w:pos="7892"/>
              <w:tab w:val="right" w:pos="9026" w:leader="dot"/>
            </w:tabs>
            <w:rPr/>
          </w:pPr>
          <w:hyperlink w:anchor="__RefHeading___Toc8924578_1051229030">
            <w:r>
              <w:rPr>
                <w:webHidden/>
                <w:rStyle w:val="IndexLink"/>
                <w:rtl w:val="true"/>
              </w:rPr>
              <w:t>إطلاق الروايات وشمولها حتى لما لو لم يقتنع المستشير</w:t>
            </w:r>
            <w:r>
              <w:rPr>
                <w:rStyle w:val="IndexLink"/>
                <w:rtl w:val="true"/>
              </w:rPr>
              <w:tab/>
            </w:r>
            <w:r>
              <w:rPr>
                <w:rStyle w:val="IndexLink"/>
              </w:rPr>
              <w:t>540</w:t>
            </w:r>
          </w:hyperlink>
        </w:p>
        <w:p>
          <w:pPr>
            <w:pStyle w:val="Contents4"/>
            <w:tabs>
              <w:tab w:val="clear" w:pos="8176"/>
              <w:tab w:val="right" w:pos="9026" w:leader="dot"/>
            </w:tabs>
            <w:rPr/>
          </w:pPr>
          <w:hyperlink w:anchor="__RefHeading___Toc8924580_1051229030">
            <w:r>
              <w:rPr>
                <w:webHidden/>
                <w:rStyle w:val="IndexLink"/>
                <w:rtl w:val="true"/>
              </w:rPr>
              <w:t>الدليل الثالث</w:t>
            </w:r>
            <w:r>
              <w:rPr>
                <w:rStyle w:val="IndexLink"/>
                <w:rtl w:val="true"/>
              </w:rPr>
              <w:t xml:space="preserve">: </w:t>
            </w:r>
            <w:r>
              <w:rPr>
                <w:rStyle w:val="IndexLink"/>
                <w:rtl w:val="true"/>
              </w:rPr>
              <w:t>العقل المستند إلى النقل</w:t>
            </w:r>
            <w:r>
              <w:rPr>
                <w:rStyle w:val="IndexLink"/>
                <w:rtl w:val="true"/>
              </w:rPr>
              <w:tab/>
            </w:r>
            <w:r>
              <w:rPr>
                <w:rStyle w:val="IndexLink"/>
              </w:rPr>
              <w:t>541</w:t>
            </w:r>
          </w:hyperlink>
        </w:p>
        <w:p>
          <w:pPr>
            <w:pStyle w:val="Contents5"/>
            <w:tabs>
              <w:tab w:val="clear" w:pos="7892"/>
              <w:tab w:val="right" w:pos="9026" w:leader="dot"/>
            </w:tabs>
            <w:rPr/>
          </w:pPr>
          <w:hyperlink w:anchor="__RefHeading___Toc8924582_1051229030">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8924584_1051229030">
            <w:r>
              <w:rPr>
                <w:webHidden/>
                <w:rStyle w:val="IndexLink"/>
                <w:rtl w:val="true"/>
              </w:rPr>
              <w:t>وجوب الفحص عن كون المتصدي عالماً حقاً أولاً</w:t>
            </w:r>
            <w:r>
              <w:rPr>
                <w:rStyle w:val="IndexLink"/>
                <w:rtl w:val="true"/>
              </w:rPr>
              <w:tab/>
            </w:r>
            <w:r>
              <w:rPr>
                <w:rStyle w:val="IndexLink"/>
              </w:rPr>
              <w:t>544</w:t>
            </w:r>
          </w:hyperlink>
        </w:p>
        <w:p>
          <w:pPr>
            <w:pStyle w:val="Contents5"/>
            <w:tabs>
              <w:tab w:val="clear" w:pos="7892"/>
              <w:tab w:val="right" w:pos="9026" w:leader="dot"/>
            </w:tabs>
            <w:rPr/>
          </w:pPr>
          <w:hyperlink w:anchor="__RefHeading___Toc8924586_1051229030">
            <w:r>
              <w:rPr>
                <w:webHidden/>
                <w:rStyle w:val="IndexLink"/>
                <w:rtl w:val="true"/>
              </w:rPr>
              <w:t>وجوب الفحص عن علة اتخاذ القائد موقفاً أو رأياً وعن احتمال خطأه</w:t>
            </w:r>
            <w:r>
              <w:rPr>
                <w:rStyle w:val="IndexLink"/>
                <w:rtl w:val="true"/>
              </w:rPr>
              <w:tab/>
            </w:r>
            <w:r>
              <w:rPr>
                <w:rStyle w:val="IndexLink"/>
              </w:rPr>
              <w:t>546</w:t>
            </w:r>
          </w:hyperlink>
        </w:p>
        <w:p>
          <w:pPr>
            <w:pStyle w:val="Contents5"/>
            <w:tabs>
              <w:tab w:val="clear" w:pos="7892"/>
              <w:tab w:val="right" w:pos="9026" w:leader="dot"/>
            </w:tabs>
            <w:rPr/>
          </w:pPr>
          <w:hyperlink w:anchor="__RefHeading___Toc8924588_1051229030">
            <w:r>
              <w:rPr>
                <w:webHidden/>
                <w:rStyle w:val="IndexLink"/>
                <w:rtl w:val="true"/>
              </w:rPr>
              <w:t>ولا يكتفى بإحراز العدالة ابتداءً ولا باستصحابها</w:t>
            </w:r>
            <w:r>
              <w:rPr>
                <w:rStyle w:val="IndexLink"/>
                <w:rtl w:val="true"/>
              </w:rPr>
              <w:tab/>
            </w:r>
            <w:r>
              <w:rPr>
                <w:rStyle w:val="IndexLink"/>
              </w:rPr>
              <w:t>547</w:t>
            </w:r>
          </w:hyperlink>
        </w:p>
        <w:p>
          <w:pPr>
            <w:pStyle w:val="Contents4"/>
            <w:tabs>
              <w:tab w:val="clear" w:pos="8176"/>
              <w:tab w:val="right" w:pos="9026" w:leader="dot"/>
            </w:tabs>
            <w:rPr/>
          </w:pPr>
          <w:hyperlink w:anchor="__RefHeading___Toc8924590_1051229030">
            <w:r>
              <w:rPr>
                <w:webHidden/>
                <w:rStyle w:val="IndexLink"/>
                <w:rtl w:val="true"/>
              </w:rPr>
              <w:t>كما يجب الفحص في علم الرجال يجب الفحص عن حال الأحياء</w:t>
            </w:r>
            <w:r>
              <w:rPr>
                <w:rStyle w:val="IndexLink"/>
                <w:rtl w:val="true"/>
              </w:rPr>
              <w:tab/>
            </w:r>
            <w:r>
              <w:rPr>
                <w:rStyle w:val="IndexLink"/>
              </w:rPr>
              <w:t>550</w:t>
            </w:r>
          </w:hyperlink>
        </w:p>
        <w:p>
          <w:pPr>
            <w:pStyle w:val="Contents4"/>
            <w:tabs>
              <w:tab w:val="clear" w:pos="8176"/>
              <w:tab w:val="right" w:pos="9026" w:leader="dot"/>
            </w:tabs>
            <w:rPr/>
          </w:pPr>
          <w:hyperlink w:anchor="__RefHeading___Toc8924592_1051229030">
            <w:r>
              <w:rPr>
                <w:webHidden/>
                <w:rStyle w:val="IndexLink"/>
                <w:rtl w:val="true"/>
              </w:rPr>
              <w:t>الاستدلال بمجموع الأحكام السابقة على لزوم العمل بالأكثرية</w:t>
            </w:r>
            <w:r>
              <w:rPr>
                <w:rStyle w:val="IndexLink"/>
                <w:rtl w:val="true"/>
              </w:rPr>
              <w:tab/>
            </w:r>
            <w:r>
              <w:rPr>
                <w:rStyle w:val="IndexLink"/>
              </w:rPr>
              <w:t>553</w:t>
            </w:r>
          </w:hyperlink>
        </w:p>
        <w:p>
          <w:pPr>
            <w:pStyle w:val="Contents3"/>
            <w:tabs>
              <w:tab w:val="clear" w:pos="8459"/>
              <w:tab w:val="right" w:pos="9026" w:leader="dot"/>
            </w:tabs>
            <w:rPr/>
          </w:pPr>
          <w:hyperlink w:anchor="__RefHeading___Toc8924594_1051229030">
            <w:r>
              <w:rPr>
                <w:webHidden/>
                <w:rStyle w:val="IndexLink"/>
                <w:rtl w:val="true"/>
              </w:rPr>
              <w:t>الفصل الثاني</w:t>
            </w:r>
            <w:r>
              <w:rPr>
                <w:rStyle w:val="IndexLink"/>
                <w:rtl w:val="true"/>
              </w:rPr>
              <w:t xml:space="preserve">: </w:t>
            </w:r>
            <w:r>
              <w:rPr>
                <w:rStyle w:val="IndexLink"/>
                <w:rtl w:val="true"/>
              </w:rPr>
              <w:t>في بيان وجوب الاستشارة والاتباع</w:t>
            </w:r>
            <w:r>
              <w:rPr>
                <w:rStyle w:val="IndexLink"/>
                <w:rtl w:val="true"/>
              </w:rPr>
              <w:tab/>
            </w:r>
            <w:r>
              <w:rPr>
                <w:rStyle w:val="IndexLink"/>
              </w:rPr>
              <w:t>557</w:t>
            </w:r>
          </w:hyperlink>
        </w:p>
        <w:p>
          <w:pPr>
            <w:pStyle w:val="Contents4"/>
            <w:tabs>
              <w:tab w:val="clear" w:pos="8176"/>
              <w:tab w:val="right" w:pos="9026" w:leader="dot"/>
            </w:tabs>
            <w:rPr/>
          </w:pPr>
          <w:hyperlink w:anchor="__RefHeading___Toc8924596_1051229030">
            <w:r>
              <w:rPr>
                <w:webHidden/>
                <w:rStyle w:val="IndexLink"/>
                <w:rtl w:val="true"/>
              </w:rPr>
              <w:t>اشارة</w:t>
            </w:r>
            <w:r>
              <w:rPr>
                <w:rStyle w:val="IndexLink"/>
                <w:rtl w:val="true"/>
              </w:rPr>
              <w:tab/>
            </w:r>
            <w:r>
              <w:rPr>
                <w:rStyle w:val="IndexLink"/>
              </w:rPr>
              <w:t>557</w:t>
            </w:r>
          </w:hyperlink>
        </w:p>
        <w:p>
          <w:pPr>
            <w:pStyle w:val="Contents4"/>
            <w:tabs>
              <w:tab w:val="clear" w:pos="8176"/>
              <w:tab w:val="right" w:pos="9026" w:leader="dot"/>
            </w:tabs>
            <w:rPr/>
          </w:pPr>
          <w:hyperlink w:anchor="__RefHeading___Toc8924598_1051229030">
            <w:r>
              <w:rPr>
                <w:webHidden/>
                <w:rStyle w:val="IndexLink"/>
                <w:rtl w:val="true"/>
              </w:rPr>
              <w:t>وجوب الاستشارة والاتباع مطلقاً وعدمه</w:t>
            </w:r>
            <w:r>
              <w:rPr>
                <w:rStyle w:val="IndexLink"/>
                <w:rtl w:val="true"/>
              </w:rPr>
              <w:tab/>
            </w:r>
            <w:r>
              <w:rPr>
                <w:rStyle w:val="IndexLink"/>
              </w:rPr>
              <w:t>559</w:t>
            </w:r>
          </w:hyperlink>
        </w:p>
        <w:p>
          <w:pPr>
            <w:pStyle w:val="Contents5"/>
            <w:tabs>
              <w:tab w:val="clear" w:pos="7892"/>
              <w:tab w:val="right" w:pos="9026" w:leader="dot"/>
            </w:tabs>
            <w:rPr/>
          </w:pPr>
          <w:hyperlink w:anchor="__RefHeading___Toc8924600_1051229030">
            <w:r>
              <w:rPr>
                <w:webHidden/>
                <w:rStyle w:val="IndexLink"/>
                <w:rtl w:val="true"/>
              </w:rPr>
              <w:t>هل تجب استشارة الفقيه الذي لا يرى وجوبها أو يرى حرمة الحكومة؟</w:t>
            </w:r>
            <w:r>
              <w:rPr>
                <w:rStyle w:val="IndexLink"/>
                <w:rtl w:val="true"/>
              </w:rPr>
              <w:tab/>
            </w:r>
            <w:r>
              <w:rPr>
                <w:rStyle w:val="IndexLink"/>
              </w:rPr>
              <w:t>559</w:t>
            </w:r>
          </w:hyperlink>
        </w:p>
        <w:p>
          <w:pPr>
            <w:pStyle w:val="Contents4"/>
            <w:tabs>
              <w:tab w:val="clear" w:pos="8176"/>
              <w:tab w:val="right" w:pos="9026" w:leader="dot"/>
            </w:tabs>
            <w:rPr/>
          </w:pPr>
          <w:hyperlink w:anchor="__RefHeading___Toc8924602_1051229030">
            <w:r>
              <w:rPr>
                <w:webHidden/>
                <w:rStyle w:val="IndexLink"/>
                <w:rtl w:val="true"/>
              </w:rPr>
              <w:t>مسائل عديدة أخرى</w:t>
            </w:r>
            <w:r>
              <w:rPr>
                <w:rStyle w:val="IndexLink"/>
                <w:rtl w:val="true"/>
              </w:rPr>
              <w:t>:</w:t>
              <w:tab/>
            </w:r>
            <w:r>
              <w:rPr>
                <w:rStyle w:val="IndexLink"/>
              </w:rPr>
              <w:t>564</w:t>
            </w:r>
          </w:hyperlink>
        </w:p>
        <w:p>
          <w:pPr>
            <w:pStyle w:val="Contents3"/>
            <w:tabs>
              <w:tab w:val="clear" w:pos="8459"/>
              <w:tab w:val="right" w:pos="9026" w:leader="dot"/>
            </w:tabs>
            <w:rPr/>
          </w:pPr>
          <w:hyperlink w:anchor="__RefHeading___Toc8924604_1051229030">
            <w:r>
              <w:rPr>
                <w:webHidden/>
                <w:rStyle w:val="IndexLink"/>
                <w:rtl w:val="true"/>
              </w:rPr>
              <w:t>الفصل الثالث</w:t>
            </w:r>
            <w:r>
              <w:rPr>
                <w:rStyle w:val="IndexLink"/>
                <w:rtl w:val="true"/>
              </w:rPr>
              <w:t xml:space="preserve">: </w:t>
            </w:r>
            <w:r>
              <w:rPr>
                <w:rStyle w:val="IndexLink"/>
                <w:rtl w:val="true"/>
              </w:rPr>
              <w:t>الولاية لكل مجتهد أو للمؤهل</w:t>
            </w:r>
            <w:r>
              <w:rPr>
                <w:rStyle w:val="IndexLink"/>
                <w:rtl w:val="true"/>
              </w:rPr>
              <w:tab/>
            </w:r>
            <w:r>
              <w:rPr>
                <w:rStyle w:val="IndexLink"/>
              </w:rPr>
              <w:t>567</w:t>
            </w:r>
          </w:hyperlink>
        </w:p>
        <w:p>
          <w:pPr>
            <w:pStyle w:val="Contents4"/>
            <w:tabs>
              <w:tab w:val="clear" w:pos="8176"/>
              <w:tab w:val="right" w:pos="9026" w:leader="dot"/>
            </w:tabs>
            <w:rPr/>
          </w:pPr>
          <w:hyperlink w:anchor="__RefHeading___Toc8924606_1051229030">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8924608_1051229030">
            <w:r>
              <w:rPr>
                <w:webHidden/>
                <w:rStyle w:val="IndexLink"/>
                <w:rtl w:val="true"/>
              </w:rPr>
              <w:t>الولاية لكل الفقهاء</w:t>
            </w:r>
            <w:r>
              <w:rPr>
                <w:rStyle w:val="IndexLink"/>
                <w:rtl w:val="true"/>
              </w:rPr>
              <w:tab/>
            </w:r>
            <w:r>
              <w:rPr>
                <w:rStyle w:val="IndexLink"/>
              </w:rPr>
              <w:t>569</w:t>
            </w:r>
          </w:hyperlink>
        </w:p>
        <w:p>
          <w:pPr>
            <w:pStyle w:val="Contents5"/>
            <w:tabs>
              <w:tab w:val="clear" w:pos="7892"/>
              <w:tab w:val="right" w:pos="9026" w:leader="dot"/>
            </w:tabs>
            <w:rPr/>
          </w:pPr>
          <w:hyperlink w:anchor="__RefHeading___Toc8924610_1051229030">
            <w:r>
              <w:rPr>
                <w:webHidden/>
                <w:rStyle w:val="IndexLink"/>
                <w:rtl w:val="true"/>
              </w:rPr>
              <w:t xml:space="preserve">الولاية </w:t>
            </w:r>
            <w:r>
              <w:rPr>
                <w:rStyle w:val="IndexLink"/>
                <w:rtl w:val="true"/>
              </w:rPr>
              <w:t xml:space="preserve">- </w:t>
            </w:r>
            <w:r>
              <w:rPr>
                <w:rStyle w:val="IndexLink"/>
                <w:rtl w:val="true"/>
              </w:rPr>
              <w:t xml:space="preserve">على فرضها </w:t>
            </w:r>
            <w:r>
              <w:rPr>
                <w:rStyle w:val="IndexLink"/>
                <w:rtl w:val="true"/>
              </w:rPr>
              <w:t xml:space="preserve">- </w:t>
            </w:r>
            <w:r>
              <w:rPr>
                <w:rStyle w:val="IndexLink"/>
                <w:rtl w:val="true"/>
              </w:rPr>
              <w:t>لكل مجتهد جامع للشرائط لا للحاكم أو المقلّد فقط</w:t>
            </w:r>
            <w:r>
              <w:rPr>
                <w:rStyle w:val="IndexLink"/>
                <w:rtl w:val="true"/>
              </w:rPr>
              <w:tab/>
            </w:r>
            <w:r>
              <w:rPr>
                <w:rStyle w:val="IndexLink"/>
              </w:rPr>
              <w:t>569</w:t>
            </w:r>
          </w:hyperlink>
        </w:p>
        <w:p>
          <w:pPr>
            <w:pStyle w:val="Contents5"/>
            <w:tabs>
              <w:tab w:val="clear" w:pos="7892"/>
              <w:tab w:val="right" w:pos="9026" w:leader="dot"/>
            </w:tabs>
            <w:rPr/>
          </w:pPr>
          <w:hyperlink w:anchor="__RefHeading___Toc8924612_1051229030">
            <w:r>
              <w:rPr>
                <w:webHidden/>
                <w:rStyle w:val="IndexLink"/>
                <w:rtl w:val="true"/>
              </w:rPr>
              <w:t>انتخاب الفقهاء حسب التخصصات</w:t>
            </w:r>
            <w:r>
              <w:rPr>
                <w:rStyle w:val="IndexLink"/>
                <w:rtl w:val="true"/>
              </w:rPr>
              <w:tab/>
            </w:r>
            <w:r>
              <w:rPr>
                <w:rStyle w:val="IndexLink"/>
              </w:rPr>
              <w:t>573</w:t>
            </w:r>
          </w:hyperlink>
        </w:p>
        <w:p>
          <w:pPr>
            <w:pStyle w:val="Contents5"/>
            <w:tabs>
              <w:tab w:val="clear" w:pos="7892"/>
              <w:tab w:val="right" w:pos="9026" w:leader="dot"/>
            </w:tabs>
            <w:rPr/>
          </w:pPr>
          <w:hyperlink w:anchor="__RefHeading___Toc8924614_1051229030">
            <w:r>
              <w:rPr>
                <w:webHidden/>
                <w:rStyle w:val="IndexLink"/>
                <w:rtl w:val="true"/>
              </w:rPr>
              <w:t>الولاية لأهل الخبرة من المؤمنين</w:t>
            </w:r>
            <w:r>
              <w:rPr>
                <w:rStyle w:val="IndexLink"/>
                <w:rtl w:val="true"/>
              </w:rPr>
              <w:tab/>
            </w:r>
            <w:r>
              <w:rPr>
                <w:rStyle w:val="IndexLink"/>
              </w:rPr>
              <w:t>574</w:t>
            </w:r>
          </w:hyperlink>
        </w:p>
        <w:p>
          <w:pPr>
            <w:pStyle w:val="Contents5"/>
            <w:tabs>
              <w:tab w:val="clear" w:pos="7892"/>
              <w:tab w:val="right" w:pos="9026" w:leader="dot"/>
            </w:tabs>
            <w:rPr/>
          </w:pPr>
          <w:hyperlink w:anchor="__RefHeading___Toc8924616_1051229030">
            <w:r>
              <w:rPr>
                <w:webHidden/>
                <w:rStyle w:val="IndexLink"/>
                <w:rtl w:val="true"/>
              </w:rPr>
              <w:t>الأدلة على أن لكل مؤمن بل لكل مؤهل</w:t>
            </w:r>
            <w:r>
              <w:rPr>
                <w:rStyle w:val="IndexLink"/>
                <w:rtl w:val="true"/>
              </w:rPr>
              <w:tab/>
            </w:r>
            <w:r>
              <w:rPr>
                <w:rStyle w:val="IndexLink"/>
              </w:rPr>
              <w:t>575</w:t>
            </w:r>
          </w:hyperlink>
        </w:p>
        <w:p>
          <w:pPr>
            <w:pStyle w:val="Contents4"/>
            <w:tabs>
              <w:tab w:val="clear" w:pos="8176"/>
              <w:tab w:val="right" w:pos="9026" w:leader="dot"/>
            </w:tabs>
            <w:rPr/>
          </w:pPr>
          <w:hyperlink w:anchor="__RefHeading___Toc8924618_1051229030">
            <w:r>
              <w:rPr>
                <w:webHidden/>
                <w:rStyle w:val="IndexLink"/>
                <w:rtl w:val="true"/>
              </w:rPr>
              <w:t>مناقشة الأدلة والردود</w:t>
            </w:r>
            <w:r>
              <w:rPr>
                <w:rStyle w:val="IndexLink"/>
                <w:rtl w:val="true"/>
              </w:rPr>
              <w:tab/>
            </w:r>
            <w:r>
              <w:rPr>
                <w:rStyle w:val="IndexLink"/>
              </w:rPr>
              <w:t>582</w:t>
            </w:r>
          </w:hyperlink>
        </w:p>
        <w:p>
          <w:pPr>
            <w:pStyle w:val="Contents5"/>
            <w:tabs>
              <w:tab w:val="clear" w:pos="7892"/>
              <w:tab w:val="right" w:pos="9026" w:leader="dot"/>
            </w:tabs>
            <w:rPr/>
          </w:pPr>
          <w:hyperlink w:anchor="__RefHeading___Toc8924620_1051229030">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8924622_1051229030">
            <w:r>
              <w:rPr>
                <w:webHidden/>
                <w:rStyle w:val="IndexLink"/>
                <w:rtl w:val="true"/>
              </w:rPr>
              <w:t>وحدة المطلوب أو تعدده؟</w:t>
            </w:r>
            <w:r>
              <w:rPr>
                <w:rStyle w:val="IndexLink"/>
                <w:rtl w:val="true"/>
              </w:rPr>
              <w:tab/>
            </w:r>
            <w:r>
              <w:rPr>
                <w:rStyle w:val="IndexLink"/>
              </w:rPr>
              <w:t>583</w:t>
            </w:r>
          </w:hyperlink>
        </w:p>
        <w:p>
          <w:pPr>
            <w:pStyle w:val="Contents5"/>
            <w:tabs>
              <w:tab w:val="clear" w:pos="7892"/>
              <w:tab w:val="right" w:pos="9026" w:leader="dot"/>
            </w:tabs>
            <w:rPr/>
          </w:pPr>
          <w:hyperlink w:anchor="__RefHeading___Toc8924624_1051229030">
            <w:r>
              <w:rPr>
                <w:webHidden/>
                <w:rStyle w:val="IndexLink"/>
                <w:rtl w:val="true"/>
              </w:rPr>
              <w:t>التفصيل بين العنوان والمحصل وغيره</w:t>
            </w:r>
            <w:r>
              <w:rPr>
                <w:rStyle w:val="IndexLink"/>
                <w:rtl w:val="true"/>
              </w:rPr>
              <w:tab/>
            </w:r>
            <w:r>
              <w:rPr>
                <w:rStyle w:val="IndexLink"/>
              </w:rPr>
              <w:t>584</w:t>
            </w:r>
          </w:hyperlink>
        </w:p>
        <w:p>
          <w:pPr>
            <w:pStyle w:val="Contents5"/>
            <w:tabs>
              <w:tab w:val="clear" w:pos="7892"/>
              <w:tab w:val="right" w:pos="9026" w:leader="dot"/>
            </w:tabs>
            <w:rPr/>
          </w:pPr>
          <w:hyperlink w:anchor="__RefHeading___Toc8924626_1051229030">
            <w:r>
              <w:rPr>
                <w:webHidden/>
                <w:rStyle w:val="IndexLink"/>
                <w:rtl w:val="true"/>
              </w:rPr>
              <w:t>بحث حول دلالة الآيات والروايات على الولاية العامة</w:t>
            </w:r>
            <w:r>
              <w:rPr>
                <w:rStyle w:val="IndexLink"/>
                <w:rtl w:val="true"/>
              </w:rPr>
              <w:tab/>
            </w:r>
            <w:r>
              <w:rPr>
                <w:rStyle w:val="IndexLink"/>
              </w:rPr>
              <w:t>586</w:t>
            </w:r>
          </w:hyperlink>
        </w:p>
        <w:p>
          <w:pPr>
            <w:pStyle w:val="Contents5"/>
            <w:tabs>
              <w:tab w:val="clear" w:pos="7892"/>
              <w:tab w:val="right" w:pos="9026" w:leader="dot"/>
            </w:tabs>
            <w:rPr/>
          </w:pPr>
          <w:hyperlink w:anchor="__RefHeading___Toc8924628_1051229030">
            <w:r>
              <w:rPr>
                <w:webHidden/>
                <w:rStyle w:val="IndexLink"/>
                <w:rtl w:val="true"/>
              </w:rPr>
              <w:t xml:space="preserve">الاجتهاد خفيف المؤونة زمن المعصومين </w:t>
            </w:r>
            <w:r>
              <w:rPr>
                <w:rStyle w:val="IndexLink"/>
                <w:rtl w:val="true"/>
              </w:rPr>
              <w:t>(</w:t>
            </w:r>
            <w:r>
              <w:rPr>
                <w:rStyle w:val="IndexLink"/>
                <w:rtl w:val="true"/>
              </w:rPr>
              <w:t>عليهم السلام</w:t>
            </w:r>
            <w:r>
              <w:rPr>
                <w:rStyle w:val="IndexLink"/>
                <w:rtl w:val="true"/>
              </w:rPr>
              <w:t>)</w:t>
              <w:tab/>
            </w:r>
            <w:r>
              <w:rPr>
                <w:rStyle w:val="IndexLink"/>
              </w:rPr>
              <w:t>588</w:t>
            </w:r>
          </w:hyperlink>
        </w:p>
        <w:p>
          <w:pPr>
            <w:pStyle w:val="Contents5"/>
            <w:tabs>
              <w:tab w:val="clear" w:pos="7892"/>
              <w:tab w:val="right" w:pos="9026" w:leader="dot"/>
            </w:tabs>
            <w:rPr/>
          </w:pPr>
          <w:hyperlink w:anchor="__RefHeading___Toc8924630_1051229030">
            <w:r>
              <w:rPr>
                <w:webHidden/>
                <w:rStyle w:val="IndexLink"/>
                <w:rtl w:val="true"/>
              </w:rPr>
              <w:t>هل يصدق راوي الحديث أو الفقيه على المقلد؟</w:t>
            </w:r>
            <w:r>
              <w:rPr>
                <w:rStyle w:val="IndexLink"/>
                <w:rtl w:val="true"/>
              </w:rPr>
              <w:tab/>
            </w:r>
            <w:r>
              <w:rPr>
                <w:rStyle w:val="IndexLink"/>
              </w:rPr>
              <w:t>588</w:t>
            </w:r>
          </w:hyperlink>
        </w:p>
        <w:p>
          <w:pPr>
            <w:pStyle w:val="Contents5"/>
            <w:tabs>
              <w:tab w:val="clear" w:pos="7892"/>
              <w:tab w:val="right" w:pos="9026" w:leader="dot"/>
            </w:tabs>
            <w:rPr/>
          </w:pPr>
          <w:hyperlink w:anchor="__RefHeading___Toc8924632_1051229030">
            <w:r>
              <w:rPr>
                <w:webHidden/>
                <w:rStyle w:val="IndexLink"/>
                <w:rtl w:val="true"/>
              </w:rPr>
              <w:t>أصالة عدم مشروعية الرجوع لغير الفقيه</w:t>
            </w:r>
            <w:r>
              <w:rPr>
                <w:rStyle w:val="IndexLink"/>
                <w:rtl w:val="true"/>
              </w:rPr>
              <w:tab/>
            </w:r>
            <w:r>
              <w:rPr>
                <w:rStyle w:val="IndexLink"/>
              </w:rPr>
              <w:t>589</w:t>
            </w:r>
          </w:hyperlink>
        </w:p>
        <w:p>
          <w:pPr>
            <w:pStyle w:val="Contents5"/>
            <w:tabs>
              <w:tab w:val="clear" w:pos="7892"/>
              <w:tab w:val="right" w:pos="9026" w:leader="dot"/>
            </w:tabs>
            <w:rPr/>
          </w:pPr>
          <w:hyperlink w:anchor="__RefHeading___Toc8924634_1051229030">
            <w:r>
              <w:rPr>
                <w:webHidden/>
                <w:rStyle w:val="IndexLink"/>
                <w:rtl w:val="true"/>
              </w:rPr>
              <w:t>مناقشة مع المحقق الإيرواني</w:t>
            </w:r>
            <w:r>
              <w:rPr>
                <w:rStyle w:val="IndexLink"/>
                <w:rtl w:val="true"/>
              </w:rPr>
              <w:tab/>
            </w:r>
            <w:r>
              <w:rPr>
                <w:rStyle w:val="IndexLink"/>
              </w:rPr>
              <w:t>590</w:t>
            </w:r>
          </w:hyperlink>
        </w:p>
        <w:p>
          <w:pPr>
            <w:pStyle w:val="Contents5"/>
            <w:tabs>
              <w:tab w:val="clear" w:pos="7892"/>
              <w:tab w:val="right" w:pos="9026" w:leader="dot"/>
            </w:tabs>
            <w:rPr/>
          </w:pPr>
          <w:hyperlink w:anchor="__RefHeading___Toc8924636_1051229030">
            <w:r>
              <w:rPr>
                <w:webHidden/>
                <w:rStyle w:val="IndexLink"/>
                <w:rtl w:val="true"/>
              </w:rPr>
              <w:t xml:space="preserve">بحث عن صدق </w:t>
            </w:r>
            <w:r>
              <w:rPr>
                <w:rStyle w:val="IndexLink"/>
                <w:rtl w:val="true"/>
              </w:rPr>
              <w:t>(</w:t>
            </w:r>
            <w:r>
              <w:rPr>
                <w:rStyle w:val="IndexLink"/>
                <w:rtl w:val="true"/>
              </w:rPr>
              <w:t>المعروف</w:t>
            </w:r>
            <w:r>
              <w:rPr>
                <w:rStyle w:val="IndexLink"/>
                <w:rtl w:val="true"/>
              </w:rPr>
              <w:t xml:space="preserve">) </w:t>
            </w:r>
            <w:r>
              <w:rPr>
                <w:rStyle w:val="IndexLink"/>
                <w:rtl w:val="true"/>
              </w:rPr>
              <w:t>على الحكم بالعدل مطلقاً</w:t>
            </w:r>
            <w:r>
              <w:rPr>
                <w:rStyle w:val="IndexLink"/>
                <w:rtl w:val="true"/>
              </w:rPr>
              <w:tab/>
            </w:r>
            <w:r>
              <w:rPr>
                <w:rStyle w:val="IndexLink"/>
              </w:rPr>
              <w:t>591</w:t>
            </w:r>
          </w:hyperlink>
        </w:p>
        <w:p>
          <w:pPr>
            <w:pStyle w:val="Contents5"/>
            <w:tabs>
              <w:tab w:val="clear" w:pos="7892"/>
              <w:tab w:val="right" w:pos="9026" w:leader="dot"/>
            </w:tabs>
            <w:rPr/>
          </w:pPr>
          <w:hyperlink w:anchor="__RefHeading___Toc8924638_1051229030">
            <w:r>
              <w:rPr>
                <w:webHidden/>
                <w:rStyle w:val="IndexLink"/>
                <w:rtl w:val="true"/>
              </w:rPr>
              <w:t xml:space="preserve">مناقشة مع المحقق الأصفهاني </w:t>
            </w:r>
            <w:r>
              <w:rPr>
                <w:rStyle w:val="IndexLink"/>
                <w:rtl w:val="true"/>
              </w:rPr>
              <w:t>(</w:t>
            </w:r>
            <w:r>
              <w:rPr>
                <w:rStyle w:val="IndexLink"/>
                <w:rtl w:val="true"/>
              </w:rPr>
              <w:t>قدس سره</w:t>
            </w:r>
            <w:r>
              <w:rPr>
                <w:rStyle w:val="IndexLink"/>
                <w:rtl w:val="true"/>
              </w:rPr>
              <w:t>)</w:t>
              <w:tab/>
            </w:r>
            <w:r>
              <w:rPr>
                <w:rStyle w:val="IndexLink"/>
              </w:rPr>
              <w:t>592</w:t>
            </w:r>
          </w:hyperlink>
        </w:p>
        <w:p>
          <w:pPr>
            <w:pStyle w:val="Contents5"/>
            <w:tabs>
              <w:tab w:val="clear" w:pos="7892"/>
              <w:tab w:val="right" w:pos="9026" w:leader="dot"/>
            </w:tabs>
            <w:rPr/>
          </w:pPr>
          <w:hyperlink w:anchor="__RefHeading___Toc8924640_1051229030">
            <w:r>
              <w:rPr>
                <w:webHidden/>
                <w:rStyle w:val="IndexLink"/>
                <w:rtl w:val="true"/>
              </w:rPr>
              <w:t xml:space="preserve">مناقشة مع الشيخ </w:t>
            </w:r>
            <w:r>
              <w:rPr>
                <w:rStyle w:val="IndexLink"/>
                <w:rtl w:val="true"/>
              </w:rPr>
              <w:t>(</w:t>
            </w:r>
            <w:r>
              <w:rPr>
                <w:rStyle w:val="IndexLink"/>
                <w:rtl w:val="true"/>
              </w:rPr>
              <w:t>قدس سره</w:t>
            </w:r>
            <w:r>
              <w:rPr>
                <w:rStyle w:val="IndexLink"/>
                <w:rtl w:val="true"/>
              </w:rPr>
              <w:t>)</w:t>
              <w:tab/>
            </w:r>
            <w:r>
              <w:rPr>
                <w:rStyle w:val="IndexLink"/>
              </w:rPr>
              <w:t>593</w:t>
            </w:r>
          </w:hyperlink>
        </w:p>
        <w:p>
          <w:pPr>
            <w:pStyle w:val="Contents3"/>
            <w:tabs>
              <w:tab w:val="clear" w:pos="8459"/>
              <w:tab w:val="right" w:pos="9026" w:leader="dot"/>
            </w:tabs>
            <w:rPr/>
          </w:pPr>
          <w:hyperlink w:anchor="__RefHeading___Toc8924642_1051229030">
            <w:r>
              <w:rPr>
                <w:webHidden/>
                <w:rStyle w:val="IndexLink"/>
                <w:rtl w:val="true"/>
              </w:rPr>
              <w:t>الفصل الرابع</w:t>
            </w:r>
            <w:r>
              <w:rPr>
                <w:rStyle w:val="IndexLink"/>
                <w:rtl w:val="true"/>
              </w:rPr>
              <w:t xml:space="preserve">: </w:t>
            </w:r>
            <w:r>
              <w:rPr>
                <w:rStyle w:val="IndexLink"/>
                <w:rtl w:val="true"/>
              </w:rPr>
              <w:t>في حكم تخالف رأي أكثرية شورى الفقهاء مع أكثرية الأمة</w:t>
            </w:r>
            <w:r>
              <w:rPr>
                <w:rStyle w:val="IndexLink"/>
                <w:rtl w:val="true"/>
              </w:rPr>
              <w:tab/>
            </w:r>
            <w:r>
              <w:rPr>
                <w:rStyle w:val="IndexLink"/>
              </w:rPr>
              <w:t>595</w:t>
            </w:r>
          </w:hyperlink>
        </w:p>
        <w:p>
          <w:pPr>
            <w:pStyle w:val="Contents4"/>
            <w:tabs>
              <w:tab w:val="clear" w:pos="8176"/>
              <w:tab w:val="right" w:pos="9026" w:leader="dot"/>
            </w:tabs>
            <w:rPr/>
          </w:pPr>
          <w:hyperlink w:anchor="__RefHeading___Toc8924644_1051229030">
            <w:r>
              <w:rPr>
                <w:webHidden/>
                <w:rStyle w:val="IndexLink"/>
                <w:rtl w:val="true"/>
              </w:rPr>
              <w:t>اشارة</w:t>
            </w:r>
            <w:r>
              <w:rPr>
                <w:rStyle w:val="IndexLink"/>
                <w:rtl w:val="true"/>
              </w:rPr>
              <w:tab/>
            </w:r>
            <w:r>
              <w:rPr>
                <w:rStyle w:val="IndexLink"/>
              </w:rPr>
              <w:t>595</w:t>
            </w:r>
          </w:hyperlink>
        </w:p>
        <w:p>
          <w:pPr>
            <w:pStyle w:val="Contents4"/>
            <w:tabs>
              <w:tab w:val="clear" w:pos="8176"/>
              <w:tab w:val="right" w:pos="9026" w:leader="dot"/>
            </w:tabs>
            <w:rPr/>
          </w:pPr>
          <w:hyperlink w:anchor="__RefHeading___Toc8924646_1051229030">
            <w:r>
              <w:rPr>
                <w:webHidden/>
                <w:rStyle w:val="IndexLink"/>
                <w:rtl w:val="true"/>
              </w:rPr>
              <w:t>تخالف آراء الفقهاء مع الأمة على المباني في الحكومة</w:t>
            </w:r>
            <w:r>
              <w:rPr>
                <w:rStyle w:val="IndexLink"/>
                <w:rtl w:val="true"/>
              </w:rPr>
              <w:tab/>
            </w:r>
            <w:r>
              <w:rPr>
                <w:rStyle w:val="IndexLink"/>
              </w:rPr>
              <w:t>597</w:t>
            </w:r>
          </w:hyperlink>
        </w:p>
        <w:p>
          <w:pPr>
            <w:pStyle w:val="Contents5"/>
            <w:tabs>
              <w:tab w:val="clear" w:pos="7892"/>
              <w:tab w:val="right" w:pos="9026" w:leader="dot"/>
            </w:tabs>
            <w:rPr/>
          </w:pPr>
          <w:hyperlink w:anchor="__RefHeading___Toc8924648_1051229030">
            <w:r>
              <w:rPr>
                <w:webHidden/>
                <w:rStyle w:val="IndexLink"/>
                <w:rtl w:val="true"/>
              </w:rPr>
              <w:t>اشارة</w:t>
            </w:r>
            <w:r>
              <w:rPr>
                <w:rStyle w:val="IndexLink"/>
                <w:rtl w:val="true"/>
              </w:rPr>
              <w:tab/>
            </w:r>
            <w:r>
              <w:rPr>
                <w:rStyle w:val="IndexLink"/>
              </w:rPr>
              <w:t>597</w:t>
            </w:r>
          </w:hyperlink>
        </w:p>
        <w:p>
          <w:pPr>
            <w:pStyle w:val="Contents5"/>
            <w:tabs>
              <w:tab w:val="clear" w:pos="7892"/>
              <w:tab w:val="right" w:pos="9026" w:leader="dot"/>
            </w:tabs>
            <w:rPr/>
          </w:pPr>
          <w:hyperlink w:anchor="__RefHeading___Toc8924650_1051229030">
            <w:r>
              <w:rPr>
                <w:webHidden/>
                <w:rStyle w:val="IndexLink"/>
                <w:rtl w:val="true"/>
              </w:rPr>
              <w:t>الحكومة وكالة أو جُعالة أو إِذن</w:t>
            </w:r>
            <w:r>
              <w:rPr>
                <w:rStyle w:val="IndexLink"/>
                <w:rtl w:val="true"/>
              </w:rPr>
              <w:tab/>
            </w:r>
            <w:r>
              <w:rPr>
                <w:rStyle w:val="IndexLink"/>
              </w:rPr>
              <w:t>597</w:t>
            </w:r>
          </w:hyperlink>
        </w:p>
        <w:p>
          <w:pPr>
            <w:pStyle w:val="Contents5"/>
            <w:tabs>
              <w:tab w:val="clear" w:pos="7892"/>
              <w:tab w:val="right" w:pos="9026" w:leader="dot"/>
            </w:tabs>
            <w:rPr/>
          </w:pPr>
          <w:hyperlink w:anchor="__RefHeading___Toc8924652_1051229030">
            <w:r>
              <w:rPr>
                <w:webHidden/>
                <w:rStyle w:val="IndexLink"/>
                <w:rtl w:val="true"/>
              </w:rPr>
              <w:t>الحكومة عقد مستقل</w:t>
            </w:r>
            <w:r>
              <w:rPr>
                <w:rStyle w:val="IndexLink"/>
                <w:rtl w:val="true"/>
              </w:rPr>
              <w:tab/>
            </w:r>
            <w:r>
              <w:rPr>
                <w:rStyle w:val="IndexLink"/>
              </w:rPr>
              <w:t>598</w:t>
            </w:r>
          </w:hyperlink>
        </w:p>
        <w:p>
          <w:pPr>
            <w:pStyle w:val="Contents5"/>
            <w:tabs>
              <w:tab w:val="clear" w:pos="7892"/>
              <w:tab w:val="right" w:pos="9026" w:leader="dot"/>
            </w:tabs>
            <w:rPr/>
          </w:pPr>
          <w:hyperlink w:anchor="__RefHeading___Toc8924654_1051229030">
            <w:r>
              <w:rPr>
                <w:webHidden/>
                <w:rStyle w:val="IndexLink"/>
                <w:rtl w:val="true"/>
              </w:rPr>
              <w:t>بحث حول أن الحكومة منصب منجز أو معلّق</w:t>
            </w:r>
            <w:r>
              <w:rPr>
                <w:rStyle w:val="IndexLink"/>
                <w:rtl w:val="true"/>
              </w:rPr>
              <w:tab/>
            </w:r>
            <w:r>
              <w:rPr>
                <w:rStyle w:val="IndexLink"/>
              </w:rPr>
              <w:t>599</w:t>
            </w:r>
          </w:hyperlink>
        </w:p>
        <w:p>
          <w:pPr>
            <w:pStyle w:val="Contents5"/>
            <w:tabs>
              <w:tab w:val="clear" w:pos="7892"/>
              <w:tab w:val="right" w:pos="9026" w:leader="dot"/>
            </w:tabs>
            <w:rPr/>
          </w:pPr>
          <w:hyperlink w:anchor="__RefHeading___Toc8924656_1051229030">
            <w:r>
              <w:rPr>
                <w:webHidden/>
                <w:rStyle w:val="IndexLink"/>
                <w:rtl w:val="true"/>
              </w:rPr>
              <w:t xml:space="preserve">مناقشة مع السيد الوالد </w:t>
            </w:r>
            <w:r>
              <w:rPr>
                <w:rStyle w:val="IndexLink"/>
                <w:rtl w:val="true"/>
              </w:rPr>
              <w:t>(</w:t>
            </w:r>
            <w:r>
              <w:rPr>
                <w:rStyle w:val="IndexLink"/>
                <w:rtl w:val="true"/>
              </w:rPr>
              <w:t>قدس سره</w:t>
            </w:r>
            <w:r>
              <w:rPr>
                <w:rStyle w:val="IndexLink"/>
                <w:rtl w:val="true"/>
              </w:rPr>
              <w:t>)</w:t>
              <w:tab/>
            </w:r>
            <w:r>
              <w:rPr>
                <w:rStyle w:val="IndexLink"/>
              </w:rPr>
              <w:t>605</w:t>
            </w:r>
          </w:hyperlink>
        </w:p>
        <w:p>
          <w:pPr>
            <w:pStyle w:val="Contents4"/>
            <w:tabs>
              <w:tab w:val="clear" w:pos="8176"/>
              <w:tab w:val="right" w:pos="9026" w:leader="dot"/>
            </w:tabs>
            <w:rPr/>
          </w:pPr>
          <w:hyperlink w:anchor="__RefHeading___Toc8924658_1051229030">
            <w:r>
              <w:rPr>
                <w:webHidden/>
                <w:rStyle w:val="IndexLink"/>
                <w:rtl w:val="true"/>
              </w:rPr>
              <w:t>مناقشة مع بعض الأعلام</w:t>
            </w:r>
            <w:r>
              <w:rPr>
                <w:rStyle w:val="IndexLink"/>
                <w:rtl w:val="true"/>
              </w:rPr>
              <w:t>:</w:t>
              <w:tab/>
            </w:r>
            <w:r>
              <w:rPr>
                <w:rStyle w:val="IndexLink"/>
              </w:rPr>
              <w:t>612</w:t>
            </w:r>
          </w:hyperlink>
        </w:p>
        <w:p>
          <w:pPr>
            <w:pStyle w:val="Contents5"/>
            <w:tabs>
              <w:tab w:val="clear" w:pos="7892"/>
              <w:tab w:val="right" w:pos="9026" w:leader="dot"/>
            </w:tabs>
            <w:rPr/>
          </w:pPr>
          <w:hyperlink w:anchor="__RefHeading___Toc8924660_1051229030">
            <w:r>
              <w:rPr>
                <w:webHidden/>
                <w:rStyle w:val="IndexLink"/>
                <w:rtl w:val="true"/>
              </w:rPr>
              <w:t>طبع ولاية الأمر يقتضي الإطاعة</w:t>
            </w:r>
            <w:r>
              <w:rPr>
                <w:rStyle w:val="IndexLink"/>
                <w:rtl w:val="true"/>
              </w:rPr>
              <w:tab/>
            </w:r>
            <w:r>
              <w:rPr>
                <w:rStyle w:val="IndexLink"/>
              </w:rPr>
              <w:t>612</w:t>
            </w:r>
          </w:hyperlink>
        </w:p>
        <w:p>
          <w:pPr>
            <w:pStyle w:val="Contents3"/>
            <w:tabs>
              <w:tab w:val="clear" w:pos="8459"/>
              <w:tab w:val="right" w:pos="9026" w:leader="dot"/>
            </w:tabs>
            <w:rPr/>
          </w:pPr>
          <w:hyperlink w:anchor="__RefHeading___Toc8924662_1051229030">
            <w:r>
              <w:rPr>
                <w:webHidden/>
                <w:rStyle w:val="IndexLink"/>
                <w:rtl w:val="true"/>
              </w:rPr>
              <w:t>الفصل الخامس</w:t>
            </w:r>
            <w:r>
              <w:rPr>
                <w:rStyle w:val="IndexLink"/>
                <w:rtl w:val="true"/>
              </w:rPr>
              <w:t xml:space="preserve">: </w:t>
            </w:r>
            <w:r>
              <w:rPr>
                <w:rStyle w:val="IndexLink"/>
                <w:rtl w:val="true"/>
              </w:rPr>
              <w:t>في عزل الأمة للحاكم أو انعزاله بفقد الشرائط قهراً وفروع أخرى</w:t>
            </w:r>
            <w:r>
              <w:rPr>
                <w:rStyle w:val="IndexLink"/>
                <w:rtl w:val="true"/>
              </w:rPr>
              <w:tab/>
            </w:r>
            <w:r>
              <w:rPr>
                <w:rStyle w:val="IndexLink"/>
              </w:rPr>
              <w:t>615</w:t>
            </w:r>
          </w:hyperlink>
        </w:p>
        <w:p>
          <w:pPr>
            <w:pStyle w:val="Contents4"/>
            <w:tabs>
              <w:tab w:val="clear" w:pos="8176"/>
              <w:tab w:val="right" w:pos="9026" w:leader="dot"/>
            </w:tabs>
            <w:rPr/>
          </w:pPr>
          <w:hyperlink w:anchor="__RefHeading___Toc8924664_1051229030">
            <w:r>
              <w:rPr>
                <w:webHidden/>
                <w:rStyle w:val="IndexLink"/>
                <w:rtl w:val="true"/>
              </w:rPr>
              <w:t>اشارة</w:t>
            </w:r>
            <w:r>
              <w:rPr>
                <w:rStyle w:val="IndexLink"/>
                <w:rtl w:val="true"/>
              </w:rPr>
              <w:tab/>
            </w:r>
            <w:r>
              <w:rPr>
                <w:rStyle w:val="IndexLink"/>
              </w:rPr>
              <w:t>615</w:t>
            </w:r>
          </w:hyperlink>
        </w:p>
        <w:p>
          <w:pPr>
            <w:pStyle w:val="Contents4"/>
            <w:tabs>
              <w:tab w:val="clear" w:pos="8176"/>
              <w:tab w:val="right" w:pos="9026" w:leader="dot"/>
            </w:tabs>
            <w:rPr/>
          </w:pPr>
          <w:hyperlink w:anchor="__RefHeading___Toc8924666_1051229030">
            <w:r>
              <w:rPr>
                <w:webHidden/>
                <w:rStyle w:val="IndexLink"/>
                <w:rtl w:val="true"/>
              </w:rPr>
              <w:t>عزل الحاكم وانعزاله القهري</w:t>
            </w:r>
            <w:r>
              <w:rPr>
                <w:rStyle w:val="IndexLink"/>
                <w:rtl w:val="true"/>
              </w:rPr>
              <w:tab/>
            </w:r>
            <w:r>
              <w:rPr>
                <w:rStyle w:val="IndexLink"/>
              </w:rPr>
              <w:t>617</w:t>
            </w:r>
          </w:hyperlink>
        </w:p>
        <w:p>
          <w:pPr>
            <w:pStyle w:val="Contents5"/>
            <w:tabs>
              <w:tab w:val="clear" w:pos="7892"/>
              <w:tab w:val="right" w:pos="9026" w:leader="dot"/>
            </w:tabs>
            <w:rPr/>
          </w:pPr>
          <w:hyperlink w:anchor="__RefHeading___Toc8924668_1051229030">
            <w:r>
              <w:rPr>
                <w:webHidden/>
                <w:rStyle w:val="IndexLink"/>
                <w:rtl w:val="true"/>
              </w:rPr>
              <w:t>اشارة</w:t>
            </w:r>
            <w:r>
              <w:rPr>
                <w:rStyle w:val="IndexLink"/>
                <w:rtl w:val="true"/>
              </w:rPr>
              <w:tab/>
            </w:r>
            <w:r>
              <w:rPr>
                <w:rStyle w:val="IndexLink"/>
              </w:rPr>
              <w:t>617</w:t>
            </w:r>
          </w:hyperlink>
        </w:p>
        <w:p>
          <w:pPr>
            <w:pStyle w:val="Contents5"/>
            <w:tabs>
              <w:tab w:val="clear" w:pos="7892"/>
              <w:tab w:val="right" w:pos="9026" w:leader="dot"/>
            </w:tabs>
            <w:rPr/>
          </w:pPr>
          <w:hyperlink w:anchor="__RefHeading___Toc8924670_1051229030">
            <w:r>
              <w:rPr>
                <w:webHidden/>
                <w:rStyle w:val="IndexLink"/>
                <w:rtl w:val="true"/>
              </w:rPr>
              <w:t>المسألة الأولى</w:t>
            </w:r>
            <w:r>
              <w:rPr>
                <w:rStyle w:val="IndexLink"/>
                <w:rtl w:val="true"/>
              </w:rPr>
              <w:t>:</w:t>
              <w:tab/>
            </w:r>
            <w:r>
              <w:rPr>
                <w:rStyle w:val="IndexLink"/>
              </w:rPr>
              <w:t>617</w:t>
            </w:r>
          </w:hyperlink>
        </w:p>
        <w:p>
          <w:pPr>
            <w:pStyle w:val="Contents6"/>
            <w:tabs>
              <w:tab w:val="clear" w:pos="7609"/>
              <w:tab w:val="right" w:pos="9026" w:leader="dot"/>
            </w:tabs>
            <w:rPr/>
          </w:pPr>
          <w:hyperlink w:anchor="__RefHeading___Toc8924672_1051229030">
            <w:r>
              <w:rPr>
                <w:webHidden/>
                <w:rStyle w:val="IndexLink"/>
                <w:rtl w:val="true"/>
              </w:rPr>
              <w:t>اشارة</w:t>
            </w:r>
            <w:r>
              <w:rPr>
                <w:rStyle w:val="IndexLink"/>
                <w:rtl w:val="true"/>
              </w:rPr>
              <w:tab/>
            </w:r>
            <w:r>
              <w:rPr>
                <w:rStyle w:val="IndexLink"/>
              </w:rPr>
              <w:t>617</w:t>
            </w:r>
          </w:hyperlink>
        </w:p>
        <w:p>
          <w:pPr>
            <w:pStyle w:val="Contents6"/>
            <w:tabs>
              <w:tab w:val="clear" w:pos="7609"/>
              <w:tab w:val="right" w:pos="9026" w:leader="dot"/>
            </w:tabs>
            <w:rPr/>
          </w:pPr>
          <w:hyperlink w:anchor="__RefHeading___Toc8924674_1051229030">
            <w:r>
              <w:rPr>
                <w:webHidden/>
                <w:rStyle w:val="IndexLink"/>
                <w:rtl w:val="true"/>
              </w:rPr>
              <w:t>أدلة القول بأنه لا يحق للأمة عزل الفقيه أو شورى الفقهاء</w:t>
            </w:r>
            <w:r>
              <w:rPr>
                <w:rStyle w:val="IndexLink"/>
                <w:rtl w:val="true"/>
              </w:rPr>
              <w:tab/>
            </w:r>
            <w:r>
              <w:rPr>
                <w:rStyle w:val="IndexLink"/>
              </w:rPr>
              <w:t>617</w:t>
            </w:r>
          </w:hyperlink>
        </w:p>
        <w:p>
          <w:pPr>
            <w:pStyle w:val="Contents6"/>
            <w:tabs>
              <w:tab w:val="clear" w:pos="7609"/>
              <w:tab w:val="right" w:pos="9026" w:leader="dot"/>
            </w:tabs>
            <w:rPr/>
          </w:pPr>
          <w:hyperlink w:anchor="__RefHeading___Toc8924676_1051229030">
            <w:r>
              <w:rPr>
                <w:webHidden/>
                <w:rStyle w:val="IndexLink"/>
                <w:rtl w:val="true"/>
              </w:rPr>
              <w:t xml:space="preserve">المناقشات </w:t>
            </w:r>
            <w:r>
              <w:rPr>
                <w:rStyle w:val="IndexLink"/>
                <w:rtl w:val="true"/>
              </w:rPr>
              <w:t>:</w:t>
              <w:tab/>
            </w:r>
            <w:r>
              <w:rPr>
                <w:rStyle w:val="IndexLink"/>
              </w:rPr>
              <w:t>618</w:t>
            </w:r>
          </w:hyperlink>
        </w:p>
        <w:p>
          <w:pPr>
            <w:pStyle w:val="Contents6"/>
            <w:tabs>
              <w:tab w:val="clear" w:pos="7609"/>
              <w:tab w:val="right" w:pos="9026" w:leader="dot"/>
            </w:tabs>
            <w:rPr/>
          </w:pPr>
          <w:hyperlink w:anchor="__RefHeading___Toc8924678_1051229030">
            <w:r>
              <w:rPr>
                <w:webHidden/>
                <w:rStyle w:val="IndexLink"/>
                <w:rtl w:val="true"/>
              </w:rPr>
              <w:t>أدلة القول بأن للأمة حق عزل الفقيه الحاكم</w:t>
            </w:r>
            <w:r>
              <w:rPr>
                <w:rStyle w:val="IndexLink"/>
                <w:rtl w:val="true"/>
              </w:rPr>
              <w:tab/>
            </w:r>
            <w:r>
              <w:rPr>
                <w:rStyle w:val="IndexLink"/>
              </w:rPr>
              <w:t>620</w:t>
            </w:r>
          </w:hyperlink>
        </w:p>
        <w:p>
          <w:pPr>
            <w:pStyle w:val="Contents5"/>
            <w:tabs>
              <w:tab w:val="clear" w:pos="7892"/>
              <w:tab w:val="right" w:pos="9026" w:leader="dot"/>
            </w:tabs>
            <w:rPr/>
          </w:pPr>
          <w:hyperlink w:anchor="__RefHeading___Toc8924680_1051229030">
            <w:r>
              <w:rPr>
                <w:webHidden/>
                <w:rStyle w:val="IndexLink"/>
                <w:rtl w:val="true"/>
              </w:rPr>
              <w:t>المسألة الثانية</w:t>
            </w:r>
            <w:r>
              <w:rPr>
                <w:rStyle w:val="IndexLink"/>
                <w:rtl w:val="true"/>
              </w:rPr>
              <w:t xml:space="preserve">: </w:t>
            </w:r>
            <w:r>
              <w:rPr>
                <w:rStyle w:val="IndexLink"/>
                <w:rtl w:val="true"/>
              </w:rPr>
              <w:t>انعزال الفقيه الحاكم بفقده لبعض الشرائط</w:t>
            </w:r>
            <w:r>
              <w:rPr>
                <w:rStyle w:val="IndexLink"/>
                <w:rtl w:val="true"/>
              </w:rPr>
              <w:tab/>
            </w:r>
            <w:r>
              <w:rPr>
                <w:rStyle w:val="IndexLink"/>
              </w:rPr>
              <w:t>623</w:t>
            </w:r>
          </w:hyperlink>
        </w:p>
        <w:p>
          <w:pPr>
            <w:pStyle w:val="Contents4"/>
            <w:tabs>
              <w:tab w:val="clear" w:pos="8176"/>
              <w:tab w:val="right" w:pos="9026" w:leader="dot"/>
            </w:tabs>
            <w:rPr/>
          </w:pPr>
          <w:hyperlink w:anchor="__RefHeading___Toc8924682_1051229030">
            <w:r>
              <w:rPr>
                <w:webHidden/>
                <w:rStyle w:val="IndexLink"/>
                <w:rtl w:val="true"/>
              </w:rPr>
              <w:t>فروع عديدة</w:t>
            </w:r>
            <w:r>
              <w:rPr>
                <w:rStyle w:val="IndexLink"/>
                <w:rtl w:val="true"/>
              </w:rPr>
              <w:tab/>
            </w:r>
            <w:r>
              <w:rPr>
                <w:rStyle w:val="IndexLink"/>
              </w:rPr>
              <w:t>627</w:t>
            </w:r>
          </w:hyperlink>
        </w:p>
        <w:p>
          <w:pPr>
            <w:pStyle w:val="Contents5"/>
            <w:tabs>
              <w:tab w:val="clear" w:pos="7892"/>
              <w:tab w:val="right" w:pos="9026" w:leader="dot"/>
            </w:tabs>
            <w:rPr/>
          </w:pPr>
          <w:hyperlink w:anchor="__RefHeading___Toc8924684_1051229030">
            <w:r>
              <w:rPr>
                <w:webHidden/>
                <w:rStyle w:val="IndexLink"/>
                <w:rtl w:val="true"/>
              </w:rPr>
              <w:t>هل أحكام الفقيه نافذة لو ظهر فقده للشرائط لاحقاً؟</w:t>
            </w:r>
            <w:r>
              <w:rPr>
                <w:rStyle w:val="IndexLink"/>
                <w:rtl w:val="true"/>
              </w:rPr>
              <w:tab/>
            </w:r>
            <w:r>
              <w:rPr>
                <w:rStyle w:val="IndexLink"/>
              </w:rPr>
              <w:t>627</w:t>
            </w:r>
          </w:hyperlink>
        </w:p>
        <w:p>
          <w:pPr>
            <w:pStyle w:val="Contents5"/>
            <w:tabs>
              <w:tab w:val="clear" w:pos="7892"/>
              <w:tab w:val="right" w:pos="9026" w:leader="dot"/>
            </w:tabs>
            <w:rPr/>
          </w:pPr>
          <w:hyperlink w:anchor="__RefHeading___Toc8924686_1051229030">
            <w:r>
              <w:rPr>
                <w:webHidden/>
                <w:rStyle w:val="IndexLink"/>
                <w:rtl w:val="true"/>
              </w:rPr>
              <w:t>هل يجوز عصيان أمر الفقيه قبل عزله إذا علم بفقده للشرائط؟</w:t>
            </w:r>
            <w:r>
              <w:rPr>
                <w:rStyle w:val="IndexLink"/>
                <w:rtl w:val="true"/>
              </w:rPr>
              <w:tab/>
            </w:r>
            <w:r>
              <w:rPr>
                <w:rStyle w:val="IndexLink"/>
              </w:rPr>
              <w:t>628</w:t>
            </w:r>
          </w:hyperlink>
        </w:p>
        <w:p>
          <w:pPr>
            <w:pStyle w:val="Contents5"/>
            <w:tabs>
              <w:tab w:val="clear" w:pos="7892"/>
              <w:tab w:val="right" w:pos="9026" w:leader="dot"/>
            </w:tabs>
            <w:rPr/>
          </w:pPr>
          <w:hyperlink w:anchor="__RefHeading___Toc8924688_1051229030">
            <w:r>
              <w:rPr>
                <w:webHidden/>
                <w:rStyle w:val="IndexLink"/>
                <w:rtl w:val="true"/>
              </w:rPr>
              <w:t>هل مطلق ما يوجب الهرج والمرج حرام</w:t>
            </w:r>
            <w:r>
              <w:rPr>
                <w:rStyle w:val="IndexLink"/>
                <w:rtl w:val="true"/>
              </w:rPr>
              <w:tab/>
            </w:r>
            <w:r>
              <w:rPr>
                <w:rStyle w:val="IndexLink"/>
              </w:rPr>
              <w:t>630</w:t>
            </w:r>
          </w:hyperlink>
        </w:p>
        <w:p>
          <w:pPr>
            <w:pStyle w:val="Contents5"/>
            <w:tabs>
              <w:tab w:val="clear" w:pos="7892"/>
              <w:tab w:val="right" w:pos="9026" w:leader="dot"/>
            </w:tabs>
            <w:rPr/>
          </w:pPr>
          <w:hyperlink w:anchor="__RefHeading___Toc8924690_1051229030">
            <w:r>
              <w:rPr>
                <w:webHidden/>
                <w:rStyle w:val="IndexLink"/>
                <w:rtl w:val="true"/>
              </w:rPr>
              <w:t>المرجع هو القضاء لدى اتهام الفقيه الحاكم بما يسقطه عن العدالة</w:t>
            </w:r>
            <w:r>
              <w:rPr>
                <w:rStyle w:val="IndexLink"/>
                <w:rtl w:val="true"/>
              </w:rPr>
              <w:tab/>
            </w:r>
            <w:r>
              <w:rPr>
                <w:rStyle w:val="IndexLink"/>
              </w:rPr>
              <w:t>633</w:t>
            </w:r>
          </w:hyperlink>
        </w:p>
        <w:p>
          <w:pPr>
            <w:pStyle w:val="Contents5"/>
            <w:tabs>
              <w:tab w:val="clear" w:pos="7892"/>
              <w:tab w:val="right" w:pos="9026" w:leader="dot"/>
            </w:tabs>
            <w:rPr/>
          </w:pPr>
          <w:hyperlink w:anchor="__RefHeading___Toc8924692_1051229030">
            <w:r>
              <w:rPr>
                <w:webHidden/>
                <w:rStyle w:val="IndexLink"/>
                <w:rtl w:val="true"/>
              </w:rPr>
              <w:t>حكم تغاير الاجتهاد في صلاحية هذا الفقيه للحكم</w:t>
            </w:r>
            <w:r>
              <w:rPr>
                <w:rStyle w:val="IndexLink"/>
                <w:rtl w:val="true"/>
              </w:rPr>
              <w:tab/>
            </w:r>
            <w:r>
              <w:rPr>
                <w:rStyle w:val="IndexLink"/>
              </w:rPr>
              <w:t>634</w:t>
            </w:r>
          </w:hyperlink>
        </w:p>
        <w:p>
          <w:pPr>
            <w:pStyle w:val="Contents5"/>
            <w:tabs>
              <w:tab w:val="clear" w:pos="7892"/>
              <w:tab w:val="right" w:pos="9026" w:leader="dot"/>
            </w:tabs>
            <w:rPr/>
          </w:pPr>
          <w:hyperlink w:anchor="__RefHeading___Toc8924694_1051229030">
            <w:r>
              <w:rPr>
                <w:webHidden/>
                <w:rStyle w:val="IndexLink"/>
                <w:rtl w:val="true"/>
              </w:rPr>
              <w:t>لو فقد بعض الشرائط ثم عادت فهل تعود له الولاية؟</w:t>
            </w:r>
            <w:r>
              <w:rPr>
                <w:rStyle w:val="IndexLink"/>
                <w:rtl w:val="true"/>
              </w:rPr>
              <w:tab/>
            </w:r>
            <w:r>
              <w:rPr>
                <w:rStyle w:val="IndexLink"/>
              </w:rPr>
              <w:t>636</w:t>
            </w:r>
          </w:hyperlink>
        </w:p>
        <w:p>
          <w:pPr>
            <w:pStyle w:val="Contents3"/>
            <w:tabs>
              <w:tab w:val="clear" w:pos="8459"/>
              <w:tab w:val="right" w:pos="9026" w:leader="dot"/>
            </w:tabs>
            <w:rPr/>
          </w:pPr>
          <w:hyperlink w:anchor="__RefHeading___Toc8924696_1051229030">
            <w:r>
              <w:rPr>
                <w:webHidden/>
                <w:rStyle w:val="IndexLink"/>
                <w:rtl w:val="true"/>
              </w:rPr>
              <w:t>الفصل السادس</w:t>
            </w:r>
            <w:r>
              <w:rPr>
                <w:rStyle w:val="IndexLink"/>
                <w:rtl w:val="true"/>
              </w:rPr>
              <w:t xml:space="preserve">: </w:t>
            </w:r>
            <w:r>
              <w:rPr>
                <w:rStyle w:val="IndexLink"/>
                <w:rtl w:val="true"/>
              </w:rPr>
              <w:t>في استقلال القوة القضائية</w:t>
            </w:r>
            <w:r>
              <w:rPr>
                <w:rStyle w:val="IndexLink"/>
                <w:rtl w:val="true"/>
              </w:rPr>
              <w:tab/>
            </w:r>
            <w:r>
              <w:rPr>
                <w:rStyle w:val="IndexLink"/>
              </w:rPr>
              <w:t>638</w:t>
            </w:r>
          </w:hyperlink>
        </w:p>
        <w:p>
          <w:pPr>
            <w:pStyle w:val="Contents4"/>
            <w:tabs>
              <w:tab w:val="clear" w:pos="8176"/>
              <w:tab w:val="right" w:pos="9026" w:leader="dot"/>
            </w:tabs>
            <w:rPr/>
          </w:pPr>
          <w:hyperlink w:anchor="__RefHeading___Toc8924698_1051229030">
            <w:r>
              <w:rPr>
                <w:webHidden/>
                <w:rStyle w:val="IndexLink"/>
                <w:rtl w:val="true"/>
              </w:rPr>
              <w:t>اشارة</w:t>
            </w:r>
            <w:r>
              <w:rPr>
                <w:rStyle w:val="IndexLink"/>
                <w:rtl w:val="true"/>
              </w:rPr>
              <w:tab/>
            </w:r>
            <w:r>
              <w:rPr>
                <w:rStyle w:val="IndexLink"/>
              </w:rPr>
              <w:t>638</w:t>
            </w:r>
          </w:hyperlink>
        </w:p>
        <w:p>
          <w:pPr>
            <w:pStyle w:val="Contents4"/>
            <w:tabs>
              <w:tab w:val="clear" w:pos="8176"/>
              <w:tab w:val="right" w:pos="9026" w:leader="dot"/>
            </w:tabs>
            <w:rPr/>
          </w:pPr>
          <w:hyperlink w:anchor="__RefHeading___Toc8924700_1051229030">
            <w:r>
              <w:rPr>
                <w:webHidden/>
                <w:rStyle w:val="IndexLink"/>
                <w:rtl w:val="true"/>
              </w:rPr>
              <w:t>استقلال القضاء</w:t>
            </w:r>
            <w:r>
              <w:rPr>
                <w:rStyle w:val="IndexLink"/>
                <w:rtl w:val="true"/>
              </w:rPr>
              <w:tab/>
            </w:r>
            <w:r>
              <w:rPr>
                <w:rStyle w:val="IndexLink"/>
              </w:rPr>
              <w:t>640</w:t>
            </w:r>
          </w:hyperlink>
        </w:p>
        <w:p>
          <w:pPr>
            <w:pStyle w:val="Contents5"/>
            <w:tabs>
              <w:tab w:val="clear" w:pos="7892"/>
              <w:tab w:val="right" w:pos="9026" w:leader="dot"/>
            </w:tabs>
            <w:rPr/>
          </w:pPr>
          <w:hyperlink w:anchor="__RefHeading___Toc8924702_1051229030">
            <w:r>
              <w:rPr>
                <w:webHidden/>
                <w:rStyle w:val="IndexLink"/>
                <w:rtl w:val="true"/>
              </w:rPr>
              <w:t>اشارة</w:t>
            </w:r>
            <w:r>
              <w:rPr>
                <w:rStyle w:val="IndexLink"/>
                <w:rtl w:val="true"/>
              </w:rPr>
              <w:tab/>
            </w:r>
            <w:r>
              <w:rPr>
                <w:rStyle w:val="IndexLink"/>
              </w:rPr>
              <w:t>640</w:t>
            </w:r>
          </w:hyperlink>
        </w:p>
        <w:p>
          <w:pPr>
            <w:pStyle w:val="Contents5"/>
            <w:tabs>
              <w:tab w:val="clear" w:pos="7892"/>
              <w:tab w:val="right" w:pos="9026" w:leader="dot"/>
            </w:tabs>
            <w:rPr/>
          </w:pPr>
          <w:hyperlink w:anchor="__RefHeading___Toc8924704_1051229030">
            <w:r>
              <w:rPr>
                <w:webHidden/>
                <w:rStyle w:val="IndexLink"/>
                <w:rtl w:val="true"/>
              </w:rPr>
              <w:t>المسألة الأولى</w:t>
            </w:r>
            <w:r>
              <w:rPr>
                <w:rStyle w:val="IndexLink"/>
                <w:rtl w:val="true"/>
              </w:rPr>
              <w:t xml:space="preserve">: </w:t>
            </w:r>
            <w:r>
              <w:rPr>
                <w:rStyle w:val="IndexLink"/>
                <w:rtl w:val="true"/>
              </w:rPr>
              <w:t>سماع الدعوى على القاضي والحاكم</w:t>
            </w:r>
            <w:r>
              <w:rPr>
                <w:rStyle w:val="IndexLink"/>
                <w:rtl w:val="true"/>
              </w:rPr>
              <w:tab/>
            </w:r>
            <w:r>
              <w:rPr>
                <w:rStyle w:val="IndexLink"/>
              </w:rPr>
              <w:t>641</w:t>
            </w:r>
          </w:hyperlink>
        </w:p>
        <w:p>
          <w:pPr>
            <w:pStyle w:val="Contents5"/>
            <w:tabs>
              <w:tab w:val="clear" w:pos="7892"/>
              <w:tab w:val="right" w:pos="9026" w:leader="dot"/>
            </w:tabs>
            <w:rPr/>
          </w:pPr>
          <w:hyperlink w:anchor="__RefHeading___Toc8924706_1051229030">
            <w:r>
              <w:rPr>
                <w:webHidden/>
                <w:rStyle w:val="IndexLink"/>
                <w:rtl w:val="true"/>
              </w:rPr>
              <w:t>أدلة القائلين بعد سماع الدعوى ومناقشتها</w:t>
            </w:r>
            <w:r>
              <w:rPr>
                <w:rStyle w:val="IndexLink"/>
                <w:rtl w:val="true"/>
              </w:rPr>
              <w:tab/>
            </w:r>
            <w:r>
              <w:rPr>
                <w:rStyle w:val="IndexLink"/>
              </w:rPr>
              <w:t>642</w:t>
            </w:r>
          </w:hyperlink>
        </w:p>
        <w:p>
          <w:pPr>
            <w:pStyle w:val="Contents5"/>
            <w:tabs>
              <w:tab w:val="clear" w:pos="7892"/>
              <w:tab w:val="right" w:pos="9026" w:leader="dot"/>
            </w:tabs>
            <w:rPr/>
          </w:pPr>
          <w:hyperlink w:anchor="__RefHeading___Toc8924708_1051229030">
            <w:r>
              <w:rPr>
                <w:webHidden/>
                <w:rStyle w:val="IndexLink"/>
                <w:rtl w:val="true"/>
              </w:rPr>
              <w:t>المسألة الثانية</w:t>
            </w:r>
            <w:r>
              <w:rPr>
                <w:rStyle w:val="IndexLink"/>
                <w:rtl w:val="true"/>
              </w:rPr>
              <w:t xml:space="preserve">: </w:t>
            </w:r>
            <w:r>
              <w:rPr>
                <w:rStyle w:val="IndexLink"/>
                <w:rtl w:val="true"/>
              </w:rPr>
              <w:t>هل نصب القاضي بيد الفقيه الحاكم؟</w:t>
            </w:r>
            <w:r>
              <w:rPr>
                <w:rStyle w:val="IndexLink"/>
                <w:rtl w:val="true"/>
              </w:rPr>
              <w:tab/>
            </w:r>
            <w:r>
              <w:rPr>
                <w:rStyle w:val="IndexLink"/>
              </w:rPr>
              <w:t>646</w:t>
            </w:r>
          </w:hyperlink>
        </w:p>
        <w:p>
          <w:pPr>
            <w:pStyle w:val="Contents5"/>
            <w:tabs>
              <w:tab w:val="clear" w:pos="7892"/>
              <w:tab w:val="right" w:pos="9026" w:leader="dot"/>
            </w:tabs>
            <w:rPr/>
          </w:pPr>
          <w:hyperlink w:anchor="__RefHeading___Toc8924710_1051229030">
            <w:r>
              <w:rPr>
                <w:webHidden/>
                <w:rStyle w:val="IndexLink"/>
                <w:rtl w:val="true"/>
              </w:rPr>
              <w:t>أدلة الاحتياج إلى النصب ومناقشاتها</w:t>
            </w:r>
            <w:r>
              <w:rPr>
                <w:rStyle w:val="IndexLink"/>
                <w:rtl w:val="true"/>
              </w:rPr>
              <w:tab/>
            </w:r>
            <w:r>
              <w:rPr>
                <w:rStyle w:val="IndexLink"/>
              </w:rPr>
              <w:t>648</w:t>
            </w:r>
          </w:hyperlink>
        </w:p>
        <w:p>
          <w:pPr>
            <w:pStyle w:val="Contents5"/>
            <w:tabs>
              <w:tab w:val="clear" w:pos="7892"/>
              <w:tab w:val="right" w:pos="9026" w:leader="dot"/>
            </w:tabs>
            <w:rPr/>
          </w:pPr>
          <w:hyperlink w:anchor="__RefHeading___Toc8924712_1051229030">
            <w:r>
              <w:rPr>
                <w:webHidden/>
                <w:rStyle w:val="IndexLink"/>
                <w:rtl w:val="true"/>
              </w:rPr>
              <w:t>رد إشكال الهرج والمرج</w:t>
            </w:r>
            <w:r>
              <w:rPr>
                <w:rStyle w:val="IndexLink"/>
                <w:rtl w:val="true"/>
              </w:rPr>
              <w:tab/>
            </w:r>
            <w:r>
              <w:rPr>
                <w:rStyle w:val="IndexLink"/>
              </w:rPr>
              <w:t>649</w:t>
            </w:r>
          </w:hyperlink>
        </w:p>
        <w:p>
          <w:pPr>
            <w:pStyle w:val="Contents5"/>
            <w:tabs>
              <w:tab w:val="clear" w:pos="7892"/>
              <w:tab w:val="right" w:pos="9026" w:leader="dot"/>
            </w:tabs>
            <w:rPr/>
          </w:pPr>
          <w:hyperlink w:anchor="__RefHeading___Toc8924714_1051229030">
            <w:r>
              <w:rPr>
                <w:webHidden/>
                <w:rStyle w:val="IndexLink"/>
                <w:rtl w:val="true"/>
              </w:rPr>
              <w:t>وأما قوله</w:t>
            </w:r>
            <w:r>
              <w:rPr>
                <w:rStyle w:val="IndexLink"/>
                <w:rtl w:val="true"/>
              </w:rPr>
              <w:t>: (</w:t>
            </w:r>
            <w:r>
              <w:rPr>
                <w:rStyle w:val="IndexLink"/>
                <w:rtl w:val="true"/>
              </w:rPr>
              <w:t>وإن شئت قلت</w:t>
            </w:r>
            <w:r>
              <w:rPr>
                <w:rStyle w:val="IndexLink"/>
                <w:rtl w:val="true"/>
              </w:rPr>
              <w:t>..).</w:t>
              <w:tab/>
            </w:r>
            <w:r>
              <w:rPr>
                <w:rStyle w:val="IndexLink"/>
              </w:rPr>
              <w:t>652</w:t>
            </w:r>
          </w:hyperlink>
        </w:p>
        <w:p>
          <w:pPr>
            <w:pStyle w:val="Contents5"/>
            <w:tabs>
              <w:tab w:val="clear" w:pos="7892"/>
              <w:tab w:val="right" w:pos="9026" w:leader="dot"/>
            </w:tabs>
            <w:rPr/>
          </w:pPr>
          <w:hyperlink w:anchor="__RefHeading___Toc8924716_1051229030">
            <w:r>
              <w:rPr>
                <w:webHidden/>
                <w:rStyle w:val="IndexLink"/>
                <w:rtl w:val="true"/>
              </w:rPr>
              <w:t>وأما قوله</w:t>
            </w:r>
            <w:r>
              <w:rPr>
                <w:rStyle w:val="IndexLink"/>
                <w:rtl w:val="true"/>
              </w:rPr>
              <w:t>: (</w:t>
            </w:r>
            <w:r>
              <w:rPr>
                <w:rStyle w:val="IndexLink"/>
                <w:rtl w:val="true"/>
              </w:rPr>
              <w:t>وإلا جاز</w:t>
            </w:r>
            <w:r>
              <w:rPr>
                <w:rStyle w:val="IndexLink"/>
                <w:rtl w:val="true"/>
              </w:rPr>
              <w:t xml:space="preserve">... </w:t>
            </w:r>
            <w:r>
              <w:rPr>
                <w:rStyle w:val="IndexLink"/>
                <w:rtl w:val="true"/>
              </w:rPr>
              <w:t>وفي ذلك تضعيف لمقام الدولة الشرعية</w:t>
            </w:r>
            <w:r>
              <w:rPr>
                <w:rStyle w:val="IndexLink"/>
                <w:rtl w:val="true"/>
              </w:rPr>
              <w:t>)</w:t>
              <w:tab/>
            </w:r>
            <w:r>
              <w:rPr>
                <w:rStyle w:val="IndexLink"/>
              </w:rPr>
              <w:t>653</w:t>
            </w:r>
          </w:hyperlink>
        </w:p>
        <w:p>
          <w:pPr>
            <w:pStyle w:val="Contents5"/>
            <w:tabs>
              <w:tab w:val="clear" w:pos="7892"/>
              <w:tab w:val="right" w:pos="9026" w:leader="dot"/>
            </w:tabs>
            <w:rPr/>
          </w:pPr>
          <w:hyperlink w:anchor="__RefHeading___Toc8924718_1051229030">
            <w:r>
              <w:rPr>
                <w:webHidden/>
                <w:rStyle w:val="IndexLink"/>
                <w:rtl w:val="true"/>
              </w:rPr>
              <w:t>وأما قوله</w:t>
            </w:r>
            <w:r>
              <w:rPr>
                <w:rStyle w:val="IndexLink"/>
                <w:rtl w:val="true"/>
              </w:rPr>
              <w:t>: (</w:t>
            </w:r>
            <w:r>
              <w:rPr>
                <w:rStyle w:val="IndexLink"/>
                <w:rtl w:val="true"/>
              </w:rPr>
              <w:t>خصوصاً مع ملاحظة</w:t>
            </w:r>
            <w:r>
              <w:rPr>
                <w:rStyle w:val="IndexLink"/>
                <w:rtl w:val="true"/>
              </w:rPr>
              <w:t>...)</w:t>
              <w:tab/>
            </w:r>
            <w:r>
              <w:rPr>
                <w:rStyle w:val="IndexLink"/>
              </w:rPr>
              <w:t>654</w:t>
            </w:r>
          </w:hyperlink>
        </w:p>
        <w:p>
          <w:pPr>
            <w:pStyle w:val="Contents5"/>
            <w:tabs>
              <w:tab w:val="clear" w:pos="7892"/>
              <w:tab w:val="right" w:pos="9026" w:leader="dot"/>
            </w:tabs>
            <w:rPr/>
          </w:pPr>
          <w:hyperlink w:anchor="__RefHeading___Toc8924720_1051229030">
            <w:r>
              <w:rPr>
                <w:webHidden/>
                <w:rStyle w:val="IndexLink"/>
                <w:rtl w:val="true"/>
              </w:rPr>
              <w:t>المسألة الثالثة</w:t>
            </w:r>
            <w:r>
              <w:rPr>
                <w:rStyle w:val="IndexLink"/>
                <w:rtl w:val="true"/>
              </w:rPr>
              <w:t xml:space="preserve">: </w:t>
            </w:r>
            <w:r>
              <w:rPr>
                <w:rStyle w:val="IndexLink"/>
                <w:rtl w:val="true"/>
              </w:rPr>
              <w:t>هل للفقيه الحاكم عزل القاضي؟</w:t>
            </w:r>
            <w:r>
              <w:rPr>
                <w:rStyle w:val="IndexLink"/>
                <w:rtl w:val="true"/>
              </w:rPr>
              <w:tab/>
            </w:r>
            <w:r>
              <w:rPr>
                <w:rStyle w:val="IndexLink"/>
              </w:rPr>
              <w:t>655</w:t>
            </w:r>
          </w:hyperlink>
        </w:p>
        <w:p>
          <w:pPr>
            <w:pStyle w:val="Contents2"/>
            <w:tabs>
              <w:tab w:val="clear" w:pos="8743"/>
              <w:tab w:val="right" w:pos="9026" w:leader="dot"/>
            </w:tabs>
            <w:rPr/>
          </w:pPr>
          <w:hyperlink w:anchor="__RefHeading___Toc8924722_1051229030">
            <w:r>
              <w:rPr>
                <w:webHidden/>
                <w:rStyle w:val="IndexLink"/>
                <w:rtl w:val="true"/>
              </w:rPr>
              <w:t>خاتمة</w:t>
            </w:r>
            <w:r>
              <w:rPr>
                <w:rStyle w:val="IndexLink"/>
                <w:rtl w:val="true"/>
              </w:rPr>
              <w:tab/>
            </w:r>
            <w:r>
              <w:rPr>
                <w:rStyle w:val="IndexLink"/>
              </w:rPr>
              <w:t>658</w:t>
            </w:r>
          </w:hyperlink>
        </w:p>
        <w:p>
          <w:pPr>
            <w:pStyle w:val="Contents3"/>
            <w:tabs>
              <w:tab w:val="clear" w:pos="8459"/>
              <w:tab w:val="right" w:pos="9026" w:leader="dot"/>
            </w:tabs>
            <w:rPr/>
          </w:pPr>
          <w:hyperlink w:anchor="__RefHeading___Toc8924724_1051229030">
            <w:r>
              <w:rPr>
                <w:webHidden/>
                <w:rStyle w:val="IndexLink"/>
                <w:rtl w:val="true"/>
              </w:rPr>
              <w:t>اشارة</w:t>
            </w:r>
            <w:r>
              <w:rPr>
                <w:rStyle w:val="IndexLink"/>
                <w:rtl w:val="true"/>
              </w:rPr>
              <w:tab/>
            </w:r>
            <w:r>
              <w:rPr>
                <w:rStyle w:val="IndexLink"/>
              </w:rPr>
              <w:t>658</w:t>
            </w:r>
          </w:hyperlink>
        </w:p>
        <w:p>
          <w:pPr>
            <w:pStyle w:val="Contents3"/>
            <w:tabs>
              <w:tab w:val="clear" w:pos="8459"/>
              <w:tab w:val="right" w:pos="9026" w:leader="dot"/>
            </w:tabs>
            <w:rPr/>
          </w:pPr>
          <w:hyperlink w:anchor="__RefHeading___Toc8924726_1051229030">
            <w:r>
              <w:rPr>
                <w:webHidden/>
                <w:rStyle w:val="IndexLink"/>
                <w:rtl w:val="true"/>
              </w:rPr>
              <w:t>أدلة حجية المتعارضين وعدم التضاد والتناقض</w:t>
            </w:r>
            <w:r>
              <w:rPr>
                <w:rStyle w:val="IndexLink"/>
                <w:rtl w:val="true"/>
              </w:rPr>
              <w:tab/>
            </w:r>
            <w:r>
              <w:rPr>
                <w:rStyle w:val="IndexLink"/>
              </w:rPr>
              <w:t>660</w:t>
            </w:r>
          </w:hyperlink>
        </w:p>
        <w:p>
          <w:pPr>
            <w:pStyle w:val="Contents3"/>
            <w:tabs>
              <w:tab w:val="clear" w:pos="8459"/>
              <w:tab w:val="right" w:pos="9026" w:leader="dot"/>
            </w:tabs>
            <w:rPr/>
          </w:pPr>
          <w:hyperlink w:anchor="__RefHeading___Toc8924728_1051229030">
            <w:r>
              <w:rPr>
                <w:webHidden/>
                <w:rStyle w:val="IndexLink"/>
                <w:rtl w:val="true"/>
              </w:rPr>
              <w:t>وربما يورد عليه بوجوه</w:t>
            </w:r>
            <w:r>
              <w:rPr>
                <w:rStyle w:val="IndexLink"/>
                <w:rtl w:val="true"/>
              </w:rPr>
              <w:t>:</w:t>
              <w:tab/>
            </w:r>
            <w:r>
              <w:rPr>
                <w:rStyle w:val="IndexLink"/>
              </w:rPr>
              <w:t>661</w:t>
            </w:r>
          </w:hyperlink>
        </w:p>
        <w:p>
          <w:pPr>
            <w:pStyle w:val="Contents3"/>
            <w:tabs>
              <w:tab w:val="clear" w:pos="8459"/>
              <w:tab w:val="right" w:pos="9026" w:leader="dot"/>
            </w:tabs>
            <w:rPr/>
          </w:pPr>
          <w:hyperlink w:anchor="__RefHeading___Toc8924730_1051229030">
            <w:r>
              <w:rPr>
                <w:webHidden/>
                <w:rStyle w:val="IndexLink"/>
                <w:rtl w:val="true"/>
              </w:rPr>
              <w:t>الوجه الأول</w:t>
            </w:r>
            <w:r>
              <w:rPr>
                <w:rStyle w:val="IndexLink"/>
                <w:rtl w:val="true"/>
              </w:rPr>
              <w:t>:</w:t>
              <w:tab/>
            </w:r>
            <w:r>
              <w:rPr>
                <w:rStyle w:val="IndexLink"/>
              </w:rPr>
              <w:t>661</w:t>
            </w:r>
          </w:hyperlink>
        </w:p>
        <w:p>
          <w:pPr>
            <w:pStyle w:val="Contents3"/>
            <w:tabs>
              <w:tab w:val="clear" w:pos="8459"/>
              <w:tab w:val="right" w:pos="9026" w:leader="dot"/>
            </w:tabs>
            <w:rPr/>
          </w:pPr>
          <w:hyperlink w:anchor="__RefHeading___Toc8924732_1051229030">
            <w:r>
              <w:rPr>
                <w:webHidden/>
                <w:rStyle w:val="IndexLink"/>
                <w:rtl w:val="true"/>
              </w:rPr>
              <w:t>الوجه الثاني</w:t>
            </w:r>
            <w:r>
              <w:rPr>
                <w:rStyle w:val="IndexLink"/>
                <w:rtl w:val="true"/>
              </w:rPr>
              <w:t>:</w:t>
              <w:tab/>
            </w:r>
            <w:r>
              <w:rPr>
                <w:rStyle w:val="IndexLink"/>
              </w:rPr>
              <w:t>665</w:t>
            </w:r>
          </w:hyperlink>
        </w:p>
        <w:p>
          <w:pPr>
            <w:pStyle w:val="Contents3"/>
            <w:tabs>
              <w:tab w:val="clear" w:pos="8459"/>
              <w:tab w:val="right" w:pos="9026" w:leader="dot"/>
            </w:tabs>
            <w:rPr/>
          </w:pPr>
          <w:hyperlink w:anchor="__RefHeading___Toc8924734_1051229030">
            <w:r>
              <w:rPr>
                <w:webHidden/>
                <w:rStyle w:val="IndexLink"/>
                <w:rtl w:val="true"/>
              </w:rPr>
              <w:t>الوجه الرابع</w:t>
            </w:r>
            <w:r>
              <w:rPr>
                <w:rStyle w:val="IndexLink"/>
                <w:rtl w:val="true"/>
              </w:rPr>
              <w:t>:</w:t>
              <w:tab/>
            </w:r>
            <w:r>
              <w:rPr>
                <w:rStyle w:val="IndexLink"/>
              </w:rPr>
              <w:t>675</w:t>
            </w:r>
          </w:hyperlink>
        </w:p>
        <w:p>
          <w:pPr>
            <w:pStyle w:val="Contents3"/>
            <w:tabs>
              <w:tab w:val="clear" w:pos="8459"/>
              <w:tab w:val="right" w:pos="9026" w:leader="dot"/>
            </w:tabs>
            <w:rPr/>
          </w:pPr>
          <w:hyperlink w:anchor="__RefHeading___Toc8924736_1051229030">
            <w:r>
              <w:rPr>
                <w:webHidden/>
                <w:rStyle w:val="IndexLink"/>
                <w:rtl w:val="true"/>
              </w:rPr>
              <w:t>الوجه الخامس</w:t>
            </w:r>
            <w:r>
              <w:rPr>
                <w:rStyle w:val="IndexLink"/>
                <w:rtl w:val="true"/>
              </w:rPr>
              <w:t>:</w:t>
              <w:tab/>
            </w:r>
            <w:r>
              <w:rPr>
                <w:rStyle w:val="IndexLink"/>
              </w:rPr>
              <w:t>676</w:t>
            </w:r>
          </w:hyperlink>
        </w:p>
        <w:p>
          <w:pPr>
            <w:pStyle w:val="Contents2"/>
            <w:tabs>
              <w:tab w:val="clear" w:pos="8743"/>
              <w:tab w:val="right" w:pos="9026" w:leader="dot"/>
            </w:tabs>
            <w:rPr/>
          </w:pPr>
          <w:hyperlink w:anchor="__RefHeading___Toc8924738_1051229030">
            <w:r>
              <w:rPr>
                <w:webHidden/>
                <w:rStyle w:val="IndexLink"/>
                <w:rtl w:val="true"/>
              </w:rPr>
              <w:t>المصادر</w:t>
            </w:r>
            <w:r>
              <w:rPr>
                <w:rStyle w:val="IndexLink"/>
                <w:rtl w:val="true"/>
              </w:rPr>
              <w:tab/>
            </w:r>
            <w:r>
              <w:rPr>
                <w:rStyle w:val="IndexLink"/>
              </w:rPr>
              <w:t>678</w:t>
            </w:r>
          </w:hyperlink>
        </w:p>
        <w:p>
          <w:pPr>
            <w:pStyle w:val="Contents2"/>
            <w:tabs>
              <w:tab w:val="clear" w:pos="8743"/>
              <w:tab w:val="right" w:pos="9026" w:leader="dot"/>
            </w:tabs>
            <w:rPr/>
          </w:pPr>
          <w:hyperlink w:anchor="__RefHeading___Toc8924740_1051229030">
            <w:r>
              <w:rPr>
                <w:webHidden/>
                <w:rStyle w:val="IndexLink"/>
                <w:rtl w:val="true"/>
              </w:rPr>
              <w:t>كتب أخرى للمؤلف</w:t>
            </w:r>
            <w:r>
              <w:rPr>
                <w:rStyle w:val="IndexLink"/>
                <w:rtl w:val="true"/>
              </w:rPr>
              <w:tab/>
            </w:r>
            <w:r>
              <w:rPr>
                <w:rStyle w:val="IndexLink"/>
              </w:rPr>
              <w:t>684</w:t>
            </w:r>
          </w:hyperlink>
        </w:p>
        <w:p>
          <w:pPr>
            <w:pStyle w:val="Contents2"/>
            <w:tabs>
              <w:tab w:val="clear" w:pos="8743"/>
              <w:tab w:val="right" w:pos="9026" w:leader="dot"/>
            </w:tabs>
            <w:rPr/>
          </w:pPr>
          <w:hyperlink w:anchor="__RefHeading___Toc8924742_1051229030">
            <w:r>
              <w:rPr>
                <w:webHidden/>
                <w:rStyle w:val="IndexLink"/>
                <w:rtl w:val="true"/>
              </w:rPr>
              <w:t>الفهرس</w:t>
            </w:r>
            <w:r>
              <w:rPr>
                <w:rStyle w:val="IndexLink"/>
                <w:rtl w:val="true"/>
              </w:rPr>
              <w:tab/>
            </w:r>
            <w:r>
              <w:rPr>
                <w:rStyle w:val="IndexLink"/>
              </w:rPr>
              <w:t>690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04_100841"/>
      <w:bookmarkStart w:id="1" w:name="pg8204_100841"/>
      <w:bookmarkEnd w:id="1"/>
    </w:p>
    <w:p>
      <w:pPr>
        <w:pStyle w:val="Heading2"/>
        <w:numPr>
          <w:ilvl w:val="1"/>
          <w:numId w:val="1"/>
        </w:numPr>
        <w:rPr/>
      </w:pPr>
      <w:bookmarkStart w:id="2" w:name="pg8204_100841"/>
      <w:bookmarkStart w:id="3" w:name="__RefHeading___Toc8923924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شورى الفقهاء والقيادات الإسلامية</w:t>
      </w:r>
    </w:p>
    <w:p>
      <w:pPr>
        <w:pStyle w:val="BookText"/>
        <w:rPr/>
      </w:pPr>
      <w:r>
        <w:rPr>
          <w:rFonts w:ascii="Amiri" w:hAnsi="Amiri" w:eastAsia="Amiri" w:cs="Amiri"/>
          <w:color w:val="111111"/>
          <w:sz w:val="28"/>
          <w:sz w:val="28"/>
          <w:szCs w:val="28"/>
          <w:rtl w:val="true"/>
          <w:lang w:bidi="ar-SA"/>
        </w:rPr>
        <w:t xml:space="preserve">دراسة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فقهية</w:t>
      </w:r>
    </w:p>
    <w:p>
      <w:pPr>
        <w:pStyle w:val="BookText"/>
        <w:rPr/>
      </w:pPr>
      <w:r>
        <w:rPr>
          <w:rFonts w:ascii="Amiri" w:hAnsi="Amiri" w:eastAsia="Amiri" w:cs="Amiri"/>
          <w:color w:val="111111"/>
          <w:sz w:val="28"/>
          <w:sz w:val="28"/>
          <w:szCs w:val="28"/>
          <w:rtl w:val="true"/>
          <w:lang w:bidi="ar-SA"/>
        </w:rPr>
        <w:t>سماحة السيد مرتضى الحسيني الشيرازي</w:t>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التقى الثقافية ، 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2392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التقى الثقافية ، النجف الأشرف </w:t>
      </w:r>
    </w:p>
    <w:p>
      <w:pPr>
        <w:pStyle w:val="BookText"/>
        <w:rPr/>
      </w:pPr>
      <w:r>
        <w:rPr>
          <w:rFonts w:ascii="Amiri" w:hAnsi="Amiri" w:eastAsia="Amiri" w:cs="Amiri"/>
          <w:color w:val="111111"/>
          <w:sz w:val="28"/>
          <w:sz w:val="28"/>
          <w:szCs w:val="28"/>
          <w:rtl w:val="true"/>
          <w:lang w:bidi="ar-SA"/>
        </w:rPr>
        <w:t>شورى الفقهاء و القيادة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الأول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بْنِ الحَسَنِ</w:t>
      </w:r>
    </w:p>
    <w:p>
      <w:pPr>
        <w:pStyle w:val="BookText"/>
        <w:rPr/>
      </w:pPr>
      <w:r>
        <w:rPr>
          <w:rFonts w:ascii="Amiri" w:hAnsi="Amiri" w:eastAsia="Amiri" w:cs="Amiri"/>
          <w:color w:val="111111"/>
          <w:sz w:val="28"/>
          <w:sz w:val="28"/>
          <w:szCs w:val="28"/>
          <w:rtl w:val="true"/>
          <w:lang w:bidi="ar-SA"/>
        </w:rPr>
        <w:t>صَلَواتُكَ عَلَيْهِ وَعَلَى آبَائِهِ</w:t>
      </w:r>
    </w:p>
    <w:p>
      <w:pPr>
        <w:pStyle w:val="BookText"/>
        <w:rPr/>
      </w:pPr>
      <w:r>
        <w:rPr>
          <w:rFonts w:ascii="Amiri" w:hAnsi="Amiri" w:eastAsia="Amiri" w:cs="Amiri"/>
          <w:color w:val="111111"/>
          <w:sz w:val="28"/>
          <w:sz w:val="28"/>
          <w:szCs w:val="28"/>
          <w:rtl w:val="true"/>
          <w:lang w:bidi="ar-SA"/>
        </w:rPr>
        <w:t>فِي هَذِهِ السَّاعَةِ وَفِي كُلِّ سَاعَةٍ</w:t>
      </w:r>
    </w:p>
    <w:p>
      <w:pPr>
        <w:pStyle w:val="BookText"/>
        <w:rPr/>
      </w:pPr>
      <w:r>
        <w:rPr>
          <w:rFonts w:ascii="Amiri" w:hAnsi="Amiri" w:eastAsia="Amiri" w:cs="Amiri"/>
          <w:color w:val="111111"/>
          <w:sz w:val="28"/>
          <w:sz w:val="28"/>
          <w:szCs w:val="28"/>
          <w:rtl w:val="true"/>
          <w:lang w:bidi="ar-SA"/>
        </w:rPr>
        <w:t>وَلِيّاً وَحَافِظاً وَقائِداً وَنَاصِراً وَدَلِيلاً وَعَيْناً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تُسْكِنَهُ أَرْضَكَ طَوْعاً وَتُمَتِّعَهُ فِيهَا طَوِيلاً </w:t>
      </w:r>
      <w:bookmarkStart w:id="7" w:name="pg8204_10084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923928_1051229030"/>
      <w:bookmarkStart w:id="9" w:name="_Toc3"/>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إليك يا حجة الله ودليل إرادته وتالي كتاب الله وترجمانه وبقية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ولي المؤمنين وبوار الكافرين ومجلي الظلمة ومنير الحق والناطق بالحكمة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نظام الدين ويعسوب المتقين وعز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مهدي الأمم وجامع الكلم وخلف السلف وصاحب الشرف وحجة المعبود وكلمة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وارث الأنبياء وخاتم الأوصياء ومعز الأولياء ومذل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صاحب الزمان وشريك القرآن وإمام الإنس والجان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سيدي أهدي هذا المجهود المتواضع الذي تحدثتُ فيه عن وكلائك مراجع التقليد وعن القيادات الإسلامية، وكلي أمل ورجاء في أن تتقبله بقبول حسن وتشفع لي يوم الحشر عجل الله تعالى فرجك وسهل مخرجك وجعلنا من أنصارك وأعوانك،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الفقير</w:t>
      </w:r>
    </w:p>
    <w:p>
      <w:pPr>
        <w:pStyle w:val="BookText"/>
        <w:rPr/>
      </w:pPr>
      <w:r>
        <w:rPr>
          <w:rFonts w:ascii="Amiri" w:hAnsi="Amiri" w:eastAsia="Amiri" w:cs="Amiri"/>
          <w:color w:val="111111"/>
          <w:sz w:val="28"/>
          <w:sz w:val="28"/>
          <w:szCs w:val="28"/>
          <w:rtl w:val="true"/>
          <w:lang w:bidi="ar-SA"/>
        </w:rPr>
        <w:t>مرتضى بن محمد الشيرازي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204_100849"/>
      <w:bookmarkStart w:id="11" w:name="pg8204_100849"/>
      <w:bookmarkEnd w:id="11"/>
    </w:p>
    <w:p>
      <w:pPr>
        <w:pStyle w:val="Heading2"/>
        <w:numPr>
          <w:ilvl w:val="1"/>
          <w:numId w:val="1"/>
        </w:numPr>
        <w:rPr/>
      </w:pPr>
      <w:bookmarkStart w:id="12" w:name="pg8204_100849"/>
      <w:bookmarkStart w:id="13" w:name="__RefHeading___Toc8923930_105122903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بين الله سبحانه وتعالى في الآية الكريمة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لا يستوون </w:t>
      </w:r>
    </w:p>
    <w:p>
      <w:pPr>
        <w:pStyle w:val="BookText"/>
        <w:rPr/>
      </w:pPr>
      <w:r>
        <w:rPr>
          <w:rFonts w:ascii="Amiri" w:hAnsi="Amiri" w:eastAsia="Amiri" w:cs="Amiri"/>
          <w:color w:val="111111"/>
          <w:sz w:val="28"/>
          <w:sz w:val="28"/>
          <w:szCs w:val="28"/>
          <w:rtl w:val="true"/>
          <w:lang w:bidi="ar-SA"/>
        </w:rPr>
        <w:t>مع غيرهم، وفي الآية الكريمة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والعلماء أرفع من غيرهم بدرجات</w:t>
      </w:r>
      <w:r>
        <w:rPr>
          <w:rStyle w:val="FootnoteAnchor"/>
          <w:rtl w:val="true"/>
        </w:rPr>
        <w:footnoteReference w:id="7"/>
      </w:r>
      <w:r>
        <w:rPr>
          <w:rFonts w:ascii="Amiri" w:hAnsi="Amiri" w:eastAsia="Amiri" w:cs="Amiri"/>
          <w:color w:val="111111"/>
          <w:sz w:val="28"/>
          <w:sz w:val="28"/>
          <w:szCs w:val="28"/>
          <w:rtl w:val="true"/>
          <w:lang w:bidi="ar-SA"/>
        </w:rPr>
        <w:t>، وفي الآية الكريمة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أنالآيات الربانية التي يتمضنها الكتاب الحكيم والتي هي علامات على السنن الإلهية، ودلالات قاطعة على الحقائق الكونية إنما هي آيات وعلامات بينات في صدور الذين أوتوا العلم، فهم العالمون بحقائق الأشياء كما هي لا غير، وفي الآية الكريمة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العلم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يتحلون بصفة التقوى والخشية من الله سبحانه وتعالى، وفي الآية الكريمة الخامسة وما شابهها</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مراجع الأمة في معرفة الحقائق التكوينية والتشريعية ينبغي 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المتفقهين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رجعنا إلى الأحاديث الشريفة نجد مجموعةً كبيرة جداً منها تتحدث عن فضل العلماء وعن كونهم ورثة الأنبياء وخلفاء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نشاهد مجموعة أيضاً تتكلم عن أصناف العلماء وترشد الأمة إلى المقاييس الدالة على أنواعهم، كما سنعثر على روايات مستفيضة ولعلها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تواتراً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تتطرق إلى دور الفقهاء الرئيسي في قيادة الأمة وتوجيهها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المفيد أن نذكر هنا بعض الروايات الشريفة من الطوائف الثلاث السابقة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 من عالم يتكئ على فراشه ينظر في علمه خير من عبادة العابد سبعين عاماً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وعن الإمام السجاد أو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متفقه في الدين أشد على الشيطان من عبادة ألف عابد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العالم أعظم أجراً من الصائم القائم المجاهد في سبيل الله، فإذا مات العالم ثلم في الإسلام ثلمة لا يسدها إلا خلفٌ منه، وطالب العلم يستغفر له الملائكة ويدعوله من في السماء والأرض</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ولده محمداً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 في الدين فإن الفقهاء ورثة الأنبياء</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خلفائي،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خلفائك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بعدي يروون سنتي ويحفظون حديثي على أمتي أولئك رفقائي في الجنة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جاءه طالب 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بوصية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ما لم يدخلوا في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فأحذروهم على دينكم</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والجهال من المتعبدين والفجار من </w:t>
      </w:r>
    </w:p>
    <w:p>
      <w:pPr>
        <w:pStyle w:val="BookText"/>
        <w:rPr/>
      </w:pPr>
      <w:r>
        <w:rPr>
          <w:rFonts w:ascii="Amiri" w:hAnsi="Amiri" w:eastAsia="Amiri" w:cs="Amiri"/>
          <w:color w:val="111111"/>
          <w:sz w:val="28"/>
          <w:sz w:val="28"/>
          <w:szCs w:val="28"/>
          <w:rtl w:val="true"/>
          <w:lang w:bidi="ar-SA"/>
        </w:rPr>
        <w:t>العلماء، فإنهم فتنة كل مفتون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والعلماء عالمان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عمل بعلمه فهو ناج، وعالم تارك لعلمه فقد هلك، وإن أهل النار ليتأذون من نتن ريح العالم التارك لعلمه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ورجل أتاه الله علماً فبخل به على عباد الله وأخذ عليه طمعاً واشترى به ثمناً قليلاً فذلك يلجم يومالقيامة بلجام من النار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مكر الله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الملوك حكام على الناس، والعلماء حكماء على الملوك</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 الله به أقواماً يجعلهم في الخير أئمة يقتدى بهم</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الرضا،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 الله به أقواماً فيجعلهم في الخير قادة تقتبس آثارهم، ويهتدى بفعالهم، وينتهى إلى رأيهم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المتقون سادة، والفقهاء قادة، والجلوس إليهم عبادة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البدعة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تجلسوا عند كل عالم يدعوكم إلاّ عالم يدعوكم من الخمس إلى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إلى اليقين، ومن الكبر إلى التواضع، ومن الرياء إلى الإخلاص، ومن العداوة إلى النصيحة، ومن الرغبة إلى الزهد</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وعندما نتصفح كتب الروايات نجد المئات من الروايات الشريفة الأخرى التي تتحدث عن العلماء ودورهم في تاريخ الأمم وحياة البشرية، وتركز على ضرورة التقييم الدقيق للفقهاء ومحاولة استكشاف خصائصهم وصفاتهم، باعتبارهم القادة الذين تستقيم الأمة باستقامتهم، وتنحرف بانحرافهم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من اللازم عقد دراسات فقهية وأصولية مفصلة ومستوعبة لتلك الآيات الكريمة والروايات الشريفة لاستكشاف ذلك، ولاستكشاف نوعية العلاقة التي ينبغي أن تكون بين العلماء والأمة، ومسؤولية العلماء تجاه الأمة، والأمة تجاه العلماء، وكذلك نوعية العلاقة بين العلماء بعضهم مع بعض، على ضوء ما يستفاد من الكتاب الحكيم والسنة الشريفة والحجة الباطنة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محاولة بدائية متواضعة لتسليط بعض الأضواء على جانب من العلاقة بين مراجع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مع بعض حسب المستفاد من الأدلة، وعلى جانب مختصر جداً من العلاقة بين مراجع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والأُمة كذلك،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تسليط الأضواء على العلاقة بين مختلف القيادات الإسلامية أو الاجتماعية مع المجاميع التي تنضوي تحت رايتها، سواءً أكانت قيادات شعبية أم عشائرية أم حزبية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تم في الباب الأول من هذا الجزء الاستدلال بحكم العقل، انطلاقاً من لزوم دفع الضرر المحتمل البالغ، وكذلك الاستدلال ببرهان الدوران والترديد، وبرهان التركب من آحاد مفروضة الحجية على وجوب الاستشارة، وعلى وجوب عمل الفقيه الحاكم برأي أكثرية الفقهاء في الشؤون العامة، وعلى لزوم عمل أية قيادة في أي مستوى كانت، برأي أكثرية الأتباع أو الأعضاء في إطار أحكام الشرع، كما جرى البحث عن الآيتين الكريمتين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وعن مدى دلالتهما مع التطرق للعديد من الإشكالات التي تورد على الاستدلال بهما، مع ماربما يجاب به عن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 التطرق لبعض الروايات الشريفة التي يمكن استظهار بعض المسائل الأساسية منها، مثل التوقيع المبارك المروي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ومجموعة من الروايات الشريفة الأخرى، وأما سائر الروايات التي يمكن التمسك بها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وغير ذلك، فالمرجو من المولى العلي القدير أن يوفقنا للتحدث عنها في المجلد الثاني بإذنه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جرى في الباب الثاني الحديث عن مسائل عديدة هامة،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الاستشارة، ووجوب الإشارة، وحرمة المنع، ووجوب ردع المانع، ووجوب </w:t>
      </w:r>
    </w:p>
    <w:p>
      <w:pPr>
        <w:pStyle w:val="BookText"/>
        <w:rPr/>
      </w:pPr>
      <w:r>
        <w:rPr>
          <w:rFonts w:ascii="Amiri" w:hAnsi="Amiri" w:eastAsia="Amiri" w:cs="Amiri"/>
          <w:color w:val="111111"/>
          <w:sz w:val="28"/>
          <w:sz w:val="28"/>
          <w:szCs w:val="28"/>
          <w:rtl w:val="true"/>
          <w:lang w:bidi="ar-SA"/>
        </w:rPr>
        <w:t>طلبها، ووجوب العمل بها، ووجوب الفحص عن صحة الرأي، إضافة إلى النسبة بين أدلة الشورى وأدلة التقليد، وحكم تعارض رأي أكثرية شورى الفقهاء مع أكثرية الأمة، وكون القضاء سلطة مستقلة أم لا، إلى غير ذلك، وبقيت مسائل عديدة أخرى كما بقيت ملحقات كثيرة بما ذكر سنتطرق لها في المجلد الثاني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ما ذكر في الكتاب إلا مقتضى الصناعة حسب النظر البدوي القاصر، وأما الفتوى فهي من شأن مراجع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ظلهم على رؤوس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وسأكون من الشاكرين للعلماء الأعلام والفضلاء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تفضلوا بذكر إرشاداتهم وجرحهم وتعديلهم ونقدهم لما ورد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وستكون سبباً بإذنه تعالى لإصلاح الهفوات وترميم الثغرات التي تلازم عادة أية محاولة أولى من نوعها في حقل من الحقول الفقهية والأصولية، كسائر الحقول الفكرية، خاصة إذا كان الكاتب لا يملك إلاّ بضاعة مزجاة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أخيراً بالإشارة إلى أن ما ذكر في الكتاب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وفيه تأمل،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مشيراً إلى وجود إشكال أو إشكالات على ما ذكر، وقد يكون مشيراً إلى نوع تردد في المقام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وتعالى أسأل أن يجعل هذا الكتاب مقدمةً لدراسات أعمق وأشمل، لكل ما يتعلق بالقيادة في الإسلام في زمن غيبة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أسأله جل وعلا أن يجعله مقدمة 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جمع شرائط النيابة العامة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وسهل مخرجه وجعلنا من أنصاره وأعوانه والمستشهدين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الموفق المستعان، وأن يجعله أيضاً مقدمة لتحقق </w:t>
      </w:r>
    </w:p>
    <w:p>
      <w:pPr>
        <w:pStyle w:val="BookText"/>
        <w:rPr/>
      </w:pPr>
      <w:r>
        <w:rPr>
          <w:rFonts w:ascii="Amiri" w:hAnsi="Amiri" w:eastAsia="Amiri" w:cs="Amiri"/>
          <w:color w:val="111111"/>
          <w:sz w:val="28"/>
          <w:sz w:val="28"/>
          <w:szCs w:val="28"/>
          <w:rtl w:val="true"/>
          <w:lang w:bidi="ar-SA"/>
        </w:rPr>
        <w:t>شورى القيادات الإسلامية في أي مستوى كانت تلك القيادات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تمت كتابة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إكمال كتابة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ميلاد أمير المؤمنين ومولى الموحدين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والحمد لله رب العالمين، والصلاة والسلام على محمد وآل بيته الطاهرين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15" w:name="pg8204_100857"/>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8923932_1051229030"/>
      <w:bookmarkStart w:id="17" w:name="_Toc5"/>
      <w:bookmarkEnd w:id="16"/>
      <w:r>
        <w:rPr>
          <w:rtl w:val="true"/>
        </w:rPr>
        <w:t>المقدمة المنهجية للكتاب</w:t>
      </w:r>
      <w:bookmarkEnd w:id="17"/>
    </w:p>
    <w:p>
      <w:pPr>
        <w:pStyle w:val="Heading3"/>
        <w:numPr>
          <w:ilvl w:val="2"/>
          <w:numId w:val="1"/>
        </w:numPr>
        <w:rPr/>
      </w:pPr>
      <w:bookmarkStart w:id="18" w:name="__RefHeading___Toc8923934_1051229030"/>
      <w:bookmarkStart w:id="19" w:name="_Toc6"/>
      <w:bookmarkEnd w:id="18"/>
      <w:r>
        <w:rPr>
          <w:rtl w:val="true"/>
        </w:rPr>
        <w:t>موضوع البحث ونطاقه</w:t>
      </w:r>
      <w:bookmarkEnd w:id="19"/>
    </w:p>
    <w:p>
      <w:pPr>
        <w:pStyle w:val="BookText"/>
        <w:rPr/>
      </w:pPr>
      <w:r>
        <w:rPr>
          <w:rFonts w:ascii="Amiri" w:hAnsi="Amiri" w:eastAsia="Amiri" w:cs="Amiri"/>
          <w:color w:val="111111"/>
          <w:sz w:val="28"/>
          <w:sz w:val="28"/>
          <w:szCs w:val="28"/>
          <w:rtl w:val="true"/>
          <w:lang w:bidi="ar-SA"/>
        </w:rPr>
        <w:t xml:space="preserve">الموضوع والمحور الذي عليه تدور مباحث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التشاور أولاً، والشورى والعمل برأي الأكثرية ثانياً، في شتى مستويات القيادة الإسلامية، سواء أكانت قيادة للأمة، كقيادة الفقهاء والمراجع العظام، أم كانت قيادة لتيارات وشرائح من الأمة، كقيادة العشائر لأفرادها والأحزاب والنقابات والاتحادات لأعضائها ومختلف مؤسسات المجتمع المدني للمجاميع المنضوية تحت لوائها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حدود ما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فما كان أمراً للأمة وهو المسمى بالشؤون العامة وجب أخذ رأيها واستشارتها فيه والعمل برأي الأكثرية طبق الضوابط الشرعية، الآتية في الكتاب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أمراً للعشيرة أو للحزب أو النقابة والاتحاد أو لأي تجمع إنساني آخر، سياسياً كان أم اقتصادياً أم خدمياً أم غير ذلك، وجب على القادة استشارة كافة الأعضاء، عبر السبل العقلائية والطرق السليمة، كما وجب العمل برأي </w:t>
      </w:r>
    </w:p>
    <w:p>
      <w:pPr>
        <w:pStyle w:val="BookText"/>
        <w:rPr/>
      </w:pPr>
      <w:r>
        <w:rPr>
          <w:rFonts w:ascii="Amiri" w:hAnsi="Amiri" w:eastAsia="Amiri" w:cs="Amiri"/>
          <w:color w:val="111111"/>
          <w:sz w:val="28"/>
          <w:sz w:val="28"/>
          <w:szCs w:val="28"/>
          <w:rtl w:val="true"/>
          <w:lang w:bidi="ar-SA"/>
        </w:rPr>
        <w:t>أكثريتهم في كافة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الأدلة المطروحة في الكتاب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وكبرهان دفع الضرر المحتمل العقلي، عام شامل للقيادات الدينية والسياسية وغيرها وعلى شتى المستويات،وبعضها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خاص بالقيادة المرجعية والفقهاء، كما سيأتي بإذن الله 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البحث عن مسائل أخرى عديدة مرت الإشارة لها في المقدمة الأولى</w:t>
      </w:r>
      <w:r>
        <w:rPr>
          <w:rFonts w:eastAsia="Amiri" w:cs="Amiri" w:ascii="Amiri" w:hAnsi="Amiri"/>
          <w:color w:val="111111"/>
          <w:sz w:val="28"/>
          <w:szCs w:val="28"/>
          <w:rtl w:val="true"/>
          <w:lang w:bidi="ar-SA"/>
        </w:rPr>
        <w:t xml:space="preserve">. </w:t>
      </w:r>
      <w:bookmarkStart w:id="20" w:name="pg8204_100859"/>
    </w:p>
    <w:p>
      <w:pPr>
        <w:pStyle w:val="Heading2"/>
        <w:numPr>
          <w:ilvl w:val="1"/>
          <w:numId w:val="1"/>
        </w:numPr>
        <w:rPr/>
      </w:pPr>
      <w:bookmarkStart w:id="21" w:name="__RefHeading___Toc8923936_1051229030"/>
      <w:bookmarkStart w:id="22" w:name="_Toc7"/>
      <w:bookmarkEnd w:id="20"/>
      <w:bookmarkEnd w:id="21"/>
      <w:r>
        <w:rPr>
          <w:rtl w:val="true"/>
        </w:rPr>
        <w:t>مباني البحث</w:t>
      </w:r>
      <w:bookmarkEnd w:id="22"/>
    </w:p>
    <w:p>
      <w:pPr>
        <w:pStyle w:val="Heading3"/>
        <w:numPr>
          <w:ilvl w:val="2"/>
          <w:numId w:val="1"/>
        </w:numPr>
        <w:rPr/>
      </w:pPr>
      <w:bookmarkStart w:id="23" w:name="__RefHeading___Toc8923938_1051229030"/>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ثم إن النظريات الفقهية في قيادة المراجع العظام للأمة، مختلفة، فهناك من يرى الولاية المطلقة للفقيه، وهناك من يرفض الولاية المطلقة تماماً، وهم أكثر الفقهاء، وهناك المفصلون، والبحث في هذا الكتاب جارٍ على الأقوال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نظرية ولاية الفقيه المطلقة، فإن هذا البحث يقود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الولاية على فرض كونها عامة هي لجميع الفقهاء وليست لأحدهم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جواز تفرد الفقيه الواحد، بل ومجموع الفقهاء بإعمال الولاية على الناس فيما لا يرضون به، وإن كانت له أو لهم الولاية العامة، إذ هي ولاية عامة مشروطة، بمعنى أن على الفقيه الحاكم، في أي مستوى كانت حكومته، التشاور مع سائر الفقهاء أولاً، وإحراز رضا الناس بحكومته عليهم، والعمل على طبق حدود ما فوضوه إليه وفي الوقت المحدد كخمس سنين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نقل بولاية الفقيه، كما هو نظر الأكثر من الفقهاء، فإنه لايجوز بالبداهة حينئذٍ أن يفرض الفقيه نفسه على الأمة قسراً،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 وحقوقهم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القاعدة المصطيدة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انتخب الناس أحد الفقهاء لإدارة شؤون بلادهم، فالأمر منوط حينئذٍ بالمبنى الذي يصار إليه في الحكومة،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إضافة إلى أن انتخابهم له لا يلغي وجوب الاستشارة، كما لا يلغي وجوب العمل برأي أكثر المراجع الفقهاء حسب </w:t>
      </w:r>
      <w:bookmarkStart w:id="25" w:name="pg8204_100860"/>
    </w:p>
    <w:p>
      <w:pPr>
        <w:pStyle w:val="BookText"/>
        <w:rPr/>
      </w:pPr>
      <w:bookmarkEnd w:id="25"/>
      <w:r>
        <w:rPr>
          <w:rFonts w:ascii="Amiri" w:hAnsi="Amiri" w:eastAsia="Amiri" w:cs="Amiri"/>
          <w:color w:val="111111"/>
          <w:sz w:val="28"/>
          <w:sz w:val="28"/>
          <w:szCs w:val="28"/>
          <w:rtl w:val="true"/>
          <w:lang w:bidi="ar-SA"/>
        </w:rPr>
        <w:t>بعض الأدلة المذكورة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البحث فيما لو تعارض رأي أكثرية الفقهاء مع أكثرية الأمة، وقد تم عقد فصل خاص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جرى في مطاوي الكتاب بحث العديد من البحوث الأخرىالهامة ذات الصلة، والتي أشرنا إليها في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الأدلة المذكورة في الكتاب مختلفة، فبعضها يمكن استفادة جميع ما ذكر منه ولشتى المستويات القيادية، نظير برهان دفع الضرر البالغ المحتمل، وبعضها يستفاد منه بعض المسائل، كوجوب المشورة، أو يستفاد منه الحكم على بعض مستويات القيادة، كقيادة المراجع العظام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من ذلك كله غاية البحث وأهدافه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8923940_1051229030"/>
      <w:bookmarkStart w:id="27" w:name="_Toc9"/>
      <w:bookmarkEnd w:id="26"/>
      <w:r>
        <w:rPr>
          <w:rtl w:val="true"/>
        </w:rPr>
        <w:t>معضلة البحث</w:t>
      </w:r>
      <w:bookmarkEnd w:id="27"/>
    </w:p>
    <w:p>
      <w:pPr>
        <w:pStyle w:val="BookText"/>
        <w:rPr/>
      </w:pPr>
      <w:r>
        <w:rPr>
          <w:rFonts w:ascii="Amiri" w:hAnsi="Amiri" w:eastAsia="Amiri" w:cs="Amiri"/>
          <w:color w:val="111111"/>
          <w:sz w:val="28"/>
          <w:sz w:val="28"/>
          <w:szCs w:val="28"/>
          <w:rtl w:val="true"/>
          <w:lang w:bidi="ar-SA"/>
        </w:rPr>
        <w:t>ولكن المشكلة والمعضلة في البحث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حيث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فندرة الكتابات الإسلامية التي تتطرق لمبحث القيادة في الإسلام في زمن الغيبة، من وجهة نظر فقهية وأصولية مفصلة، وبالبحث التحليلي للآيات القرآنية والروايات الشريفة، ولحكم العقل في دائرة مستقلاته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المعضلة هي أن بحث أمر القيادة في الإسلام وعلى ضوء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معادلة الشورى والاستشارة، وعلى حسب شتى مستوياتها، يعدّ من أدق وأعمق وأهم البحوث التي تناط بها مصائر البلاد والشعوب الإسلامية، وبذلك تعد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يشتد الابتلاء بها في كل الأعصار، ولعل اكتشاف منظومة الفكر </w:t>
      </w:r>
      <w:bookmarkStart w:id="28" w:name="pg8204_100861"/>
    </w:p>
    <w:p>
      <w:pPr>
        <w:pStyle w:val="BookText"/>
        <w:rPr/>
      </w:pPr>
      <w:bookmarkEnd w:id="28"/>
      <w:r>
        <w:rPr>
          <w:rFonts w:ascii="Amiri" w:hAnsi="Amiri" w:eastAsia="Amiri" w:cs="Amiri"/>
          <w:color w:val="111111"/>
          <w:sz w:val="28"/>
          <w:sz w:val="28"/>
          <w:szCs w:val="28"/>
          <w:rtl w:val="true"/>
          <w:lang w:bidi="ar-SA"/>
        </w:rPr>
        <w:t xml:space="preserve">الإسلامي الشاملة في هذا الحقل يعدّ من أهم بوابات النهوض بالأمة إلى حيث عالم الإيمان والحرية والعدل والإحسان والأخوة والتعاون والرخاء والتقدم والازدهار، لكي يعود إليها سابق مجدها المتألق، خاصة زمن حكومة الرسول الأعظم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تكون أمتنا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8923942_1051229030"/>
      <w:bookmarkStart w:id="30" w:name="_Toc10"/>
      <w:bookmarkEnd w:id="29"/>
      <w:r>
        <w:rPr>
          <w:rtl w:val="true"/>
        </w:rPr>
        <w:t>منهجية البحث والمخاطبون به</w:t>
      </w:r>
      <w:bookmarkEnd w:id="30"/>
    </w:p>
    <w:p>
      <w:pPr>
        <w:pStyle w:val="BookText"/>
        <w:rPr/>
      </w:pPr>
      <w:r>
        <w:rPr>
          <w:rFonts w:ascii="Amiri" w:hAnsi="Amiri" w:eastAsia="Amiri" w:cs="Amiri"/>
          <w:color w:val="111111"/>
          <w:sz w:val="28"/>
          <w:sz w:val="28"/>
          <w:szCs w:val="28"/>
          <w:rtl w:val="true"/>
          <w:lang w:bidi="ar-SA"/>
        </w:rPr>
        <w:t>اعتمدنا في هذا الكتاب على المنهج العلمي التحليلي المعمق، استناداً إلى معطيات علم الأصول والفقه والتفسير، وإلى المنهج العقلي استناداً إلى مباحث الحكمة والفلسفة، إضافة إلى بعض البحث النقلي والوصفي والاستقرائي في مواطن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موجه للمتخصصين في علوم الأصول والفقه والتفسير والفلسفة، وللمهتمين بمباحث القيادة في الإسلام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8923944_1051229030"/>
      <w:bookmarkStart w:id="32" w:name="_Toc11"/>
      <w:bookmarkEnd w:id="31"/>
      <w:r>
        <w:rPr>
          <w:rtl w:val="true"/>
        </w:rPr>
        <w:t>هيكليته ومصادره</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جرى في المقدمة الأولى ذكر الهيكلية العامة للكتاب، وعناوين مباحثه الرئيسة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اعتمد الكتاب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كمصادر أساسية للاستدلال، وعلى المصادر الأم في علوم الأصول والفقه والتفسير والحديث، إضافة إلى مصادر منوعة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قد كتبت هذا الكتاب قبل أكثر من ثمانية وعشرين عاماً، وقد طلب إليَّ بعض الأفاضل الكرام مراجعته بأكمله وإعادة النظر في كافة مطالبه؛ نظراً لتجدد الرأي في بعضها مبنىً أو بناءً، إلا أن ضيق المجال حال دون القيام بذلك بالشكل الكامل الذي كنت أرغب فيه، إضافة إلى أن موارد تجدده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تتضح بمراجعة ما كتب في السنوات الأخيرة،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مختلف المناقشات والأدلة فإن تكثّر ما خطر بالبال منها في هذه العجالة حال دون تسجيلها جميعاً، وقد نوفق لكتابتها لاحقاً، على أنني مع ذلك سجلت الكثير منها، ولعلها تقارب المائة مورد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فاقتصرت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تبويبه وترتيبه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الكثير من البحوث المبنوية إلى الملحق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التعديل لبعض مطالبه، بالإضافة أو الحذف أوالمناقشة أو تقوية الدليل أو الأدلة أو تضعيفها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سنحت الفرصة وحالفني التوفيق فساراجع الكتاب بالمزيد من إعمال النظر في الجرح والتعديل والنقد والتقويم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ه </w:t>
      </w:r>
      <w:bookmarkStart w:id="33" w:name="pg8204_100863"/>
    </w:p>
    <w:p>
      <w:pPr>
        <w:pStyle w:val="Heading2"/>
        <w:numPr>
          <w:ilvl w:val="1"/>
          <w:numId w:val="1"/>
        </w:numPr>
        <w:rPr/>
      </w:pPr>
      <w:bookmarkStart w:id="34" w:name="__RefHeading___Toc8923946_1051229030"/>
      <w:bookmarkStart w:id="35" w:name="_Toc12"/>
      <w:bookmarkEnd w:id="33"/>
      <w:bookmarkEnd w:id="34"/>
      <w:r>
        <w:rPr>
          <w:rtl w:val="true"/>
        </w:rPr>
        <w:t>الباب الأول</w:t>
      </w:r>
      <w:bookmarkEnd w:id="35"/>
    </w:p>
    <w:p>
      <w:pPr>
        <w:pStyle w:val="Heading3"/>
        <w:numPr>
          <w:ilvl w:val="2"/>
          <w:numId w:val="1"/>
        </w:numPr>
        <w:rPr/>
      </w:pPr>
      <w:bookmarkStart w:id="36" w:name="__RefHeading___Toc8923948_1051229030"/>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وفيه أقسام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8923950_1051229030"/>
      <w:bookmarkStart w:id="39" w:name="_Toc14"/>
      <w:bookmarkEnd w:id="38"/>
      <w:r>
        <w:rPr>
          <w:rtl w:val="true"/>
        </w:rPr>
        <w:t>القسم الأول</w:t>
      </w:r>
      <w:bookmarkEnd w:id="39"/>
    </w:p>
    <w:p>
      <w:pPr>
        <w:pStyle w:val="Heading4"/>
        <w:numPr>
          <w:ilvl w:val="3"/>
          <w:numId w:val="1"/>
        </w:numPr>
        <w:rPr/>
      </w:pPr>
      <w:bookmarkStart w:id="40" w:name="__RefHeading___Toc8923952_1051229030"/>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8923954_1051229030"/>
      <w:bookmarkStart w:id="43" w:name="_Toc16"/>
      <w:bookmarkEnd w:id="42"/>
      <w:r>
        <w:rPr>
          <w:rtl w:val="true"/>
        </w:rPr>
        <w:t>الفصل الأول</w:t>
      </w:r>
      <w:r>
        <w:rPr>
          <w:rtl w:val="true"/>
        </w:rPr>
        <w:t xml:space="preserve">: </w:t>
      </w:r>
      <w:r>
        <w:rPr>
          <w:rtl w:val="true"/>
        </w:rPr>
        <w:t>في الاستدلال بقاعدة دفع الضرر المحتمل</w:t>
      </w:r>
      <w:bookmarkEnd w:id="43"/>
    </w:p>
    <w:p>
      <w:pPr>
        <w:pStyle w:val="Heading5"/>
        <w:numPr>
          <w:ilvl w:val="4"/>
          <w:numId w:val="1"/>
        </w:numPr>
        <w:rPr/>
      </w:pPr>
      <w:bookmarkStart w:id="44" w:name="__RefHeading___Toc8923956_1051229030"/>
      <w:bookmarkStart w:id="45" w:name="_Toc17"/>
      <w:bookmarkEnd w:id="44"/>
      <w:r>
        <w:rPr>
          <w:rtl w:val="true"/>
        </w:rPr>
        <w:t>اشارة</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التطرق لكون الحجج طريقية، أو 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تعبدية وتأسيس الأصل في ذلك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8204_100865"/>
      <w:bookmarkStart w:id="47" w:name="pg8204_100865"/>
      <w:bookmarkEnd w:id="47"/>
    </w:p>
    <w:p>
      <w:pPr>
        <w:pStyle w:val="Heading5"/>
        <w:numPr>
          <w:ilvl w:val="4"/>
          <w:numId w:val="1"/>
        </w:numPr>
        <w:rPr/>
      </w:pPr>
      <w:bookmarkStart w:id="48" w:name="pg8204_100865"/>
      <w:bookmarkStart w:id="49" w:name="__RefHeading___Toc8923958_1051229030"/>
      <w:bookmarkStart w:id="50" w:name="_Toc18"/>
      <w:bookmarkEnd w:id="48"/>
      <w:bookmarkEnd w:id="49"/>
      <w:r>
        <w:rPr>
          <w:rtl w:val="true"/>
        </w:rPr>
        <w:t>الاستدلال بدفع الضرر البالغ المحتمل</w:t>
      </w:r>
      <w:bookmarkEnd w:id="50"/>
    </w:p>
    <w:p>
      <w:pPr>
        <w:pStyle w:val="Heading6"/>
        <w:numPr>
          <w:ilvl w:val="5"/>
          <w:numId w:val="1"/>
        </w:numPr>
        <w:rPr/>
      </w:pPr>
      <w:bookmarkStart w:id="51" w:name="__RefHeading___Toc8923960_1051229030"/>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يمكن أن يستدل على وجوب الشورى في الشؤون العامة، بل ومطلق الأمور الخطيرة، إلاّ ما علم استثناؤه</w:t>
      </w:r>
      <w:r>
        <w:rPr>
          <w:rStyle w:val="FootnoteAnchor"/>
          <w:rtl w:val="true"/>
        </w:rPr>
        <w:footnoteReference w:id="35"/>
      </w:r>
      <w:r>
        <w:rPr>
          <w:rFonts w:ascii="IRNazanin" w:hAnsi="IRNazanin" w:eastAsia="IRNazanin"/>
          <w:color w:val="111111"/>
          <w:sz w:val="28"/>
          <w:sz w:val="28"/>
          <w:szCs w:val="28"/>
          <w:rtl w:val="true"/>
          <w:lang w:bidi="fa-IR"/>
        </w:rPr>
        <w:t>، بأن دفع الضرر المحتمل البالغ واجب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في الأمور الخطيرة مما لا ريب فيه، اللهم إلاّ أن يكون الاحتمال لشدة ضعفه</w:t>
      </w:r>
      <w:r>
        <w:rPr>
          <w:rStyle w:val="FootnoteAnchor"/>
          <w:rtl w:val="true"/>
        </w:rPr>
        <w:footnoteReference w:id="36"/>
      </w:r>
      <w:r>
        <w:rPr>
          <w:rFonts w:ascii="Amiri" w:hAnsi="Amiri" w:eastAsia="Amiri" w:cs="Amiri"/>
          <w:color w:val="111111"/>
          <w:sz w:val="28"/>
          <w:sz w:val="28"/>
          <w:szCs w:val="28"/>
          <w:rtl w:val="true"/>
          <w:lang w:bidi="ar-SA"/>
        </w:rPr>
        <w:t>ملغى في نظر العقلاء، وذلك لأن الاحتمال العقلائي للضرر فيها منجزٌ، ولذا لا يقدم العقلاء على شرب سائل محتمل المسمومية إلاّ لو زاحمه ضرر آخر أشد، ولو أقدم لكان عند العقلاء ملوماً، كما كان مستحقاً للعقاب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مما يستقل به العقل، وعليه بناء العقلاء، لكونه إلقاءً للنفس أو ما يتعلق بها</w:t>
      </w:r>
      <w:r>
        <w:rPr>
          <w:rStyle w:val="FootnoteAnchor"/>
          <w:rtl w:val="true"/>
        </w:rPr>
        <w:footnoteReference w:id="37"/>
      </w:r>
      <w:r>
        <w:rPr>
          <w:rFonts w:ascii="Amiri" w:hAnsi="Amiri" w:eastAsia="Amiri" w:cs="Amiri"/>
          <w:color w:val="111111"/>
          <w:sz w:val="28"/>
          <w:sz w:val="28"/>
          <w:szCs w:val="28"/>
          <w:rtl w:val="true"/>
          <w:lang w:bidi="ar-SA"/>
        </w:rPr>
        <w:t>في التهلكة، وقد أرشدت الآية الشريفة إلى حرمته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بل هو نهي مولوي على المختار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رأي أكثرية الفقهاء والخبراء فيما يرتبط بأمورهم أقرب إلى الواقع من رأي المجتهد الواحد أو القائد أو الرئيس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برهنّاه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إذن دفع الضرر المحتمل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الشورى العامة من الأمور الخطيرةولا ريب أن ما ندعي وجوب الشورى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الشؤون العامة</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الخطيرة، لكون تلك الأمور مما تلحق الضرر إن كان الاجتهاد فيها خاطئاً، لا بأموال وأعراض وأنفس شخص واحد أو عدة أشخاص، بل بطائفة كبيرة من الناس، وذلك مثل إصدار الأمر بالحرب، حيث يسبب ذلك قتل الكثير من الأشخاص وتلف الأموال العظيمة، وربما هتك الأعراض أيضاً، وضعف شوكة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الاجتهاد خاطئاً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الأمر بالصلح حيث يكون سبب ضعف شوكة الإسلام والمسلمين إن كان أمراً في غير محله، وقد يسبب قتل المئات وتلف الأموال الكثيرة؛ وذلك لأنه إن كان في غير محله، يسبب تجرأ الخصم واستغلاله فرصة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لتقوية الذات والإعداد والاستعداد لهزيمة الطرف المقابل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والصلح المفروض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صفين في قصة التحكيم أبرز شاهد على ذلك، حيث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الاستمرار في الحرب، إذ أنها لو استمرت ساعات أخرى فقط لانتصر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جيش معاوية، ولرجع الأشتر برأس معاوية،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فيه نجاة معاوية وعسكره، ومقدمةً لاستيلائه على البلاد الإسلامية وارتكابه ما ارتكب من أفظع الجرائم وأشنع الآثام، ولذلك كان رفضه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للتحكيم حتى أُكره عليه،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كنتُ نهيتكم عن هذه الحكومة فأبيتم عليّ آباء المنابذين حتى صرفت رأيي إلى </w:t>
      </w:r>
      <w:bookmarkStart w:id="53" w:name="pg8204_100867"/>
    </w:p>
    <w:p>
      <w:pPr>
        <w:pStyle w:val="BookText"/>
        <w:rPr/>
      </w:pPr>
      <w:bookmarkEnd w:id="53"/>
      <w:r>
        <w:rPr>
          <w:rFonts w:ascii="Amiri" w:hAnsi="Amiri" w:eastAsia="Amiri" w:cs="Amiri"/>
          <w:color w:val="111111"/>
          <w:sz w:val="28"/>
          <w:sz w:val="28"/>
          <w:szCs w:val="28"/>
          <w:rtl w:val="true"/>
          <w:lang w:bidi="ar-SA"/>
        </w:rPr>
        <w:t>هواكم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وقد فصل في محله أن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بعد انشقاق جيشه وقيام الخوارج ضده كان هو الأصلح بالعنوان الثانوي</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8923962_1051229030"/>
      <w:bookmarkStart w:id="55" w:name="_Toc20"/>
      <w:bookmarkEnd w:id="54"/>
      <w:r>
        <w:rPr>
          <w:rtl w:val="true"/>
        </w:rPr>
        <w:t>اتباع الرأي الواحد إلقاء للناس في التهلكة</w:t>
      </w:r>
      <w:bookmarkEnd w:id="55"/>
    </w:p>
    <w:p>
      <w:pPr>
        <w:pStyle w:val="BookText"/>
        <w:rPr/>
      </w:pPr>
      <w:r>
        <w:rPr>
          <w:rFonts w:ascii="Amiri" w:hAnsi="Amiri" w:eastAsia="Amiri" w:cs="Amiri"/>
          <w:color w:val="111111"/>
          <w:sz w:val="28"/>
          <w:sz w:val="28"/>
          <w:szCs w:val="28"/>
          <w:rtl w:val="true"/>
          <w:lang w:bidi="ar-SA"/>
        </w:rPr>
        <w:t xml:space="preserve">وإذا كانت الشؤون العامة من الأمور الخطيرة، وكان رأي الأكثرية أقرب إلى الواقع من رأي الفرد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أثبتناه في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اتباع رأي الفرد الواحد إلقاءً للنفس والآخرين في التهلكة، وتضعيفاً لشوكة الإسلام والمسلمين، وإذلالاً لأهل الحق، وإعزازاً لأهل الباطل، وذلك لأن المصالح والمفاسد إذا كانت في المتعلقات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مسلك العدلية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اتباع الطريق الأكثر خطأً مفسدة أكثر، ووقوع في الندم واتباع لما يوجب الوقوع في الضرر، وفي اتباع الطريق الأقل خطأً والأكثر إصابةً والأقرب إلى مطابقة الواقع مفسدة أقل، ودفعاً للضرر المحتمل تفصيلاً والمتيقن إجمالاً؛ لكون الوقوع في الضرر في كل جزئي جزئي من المؤديات محتملاً، وفي المجموع متيقناً، لفرض كونه أقرب إلى مطابقة الواقع من غيره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وإثبات صحة كون المصلحة في الأمر دون المتعلق، بل إثبات وقوعه في بعض الأوامر، غير ضار، فإنه خلاف الأصل، إضافة إلى عدم كون ما نحن فيه من هذا القبيل، لوضوح كون المصلحة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حَتَّى لا تَكُونَ فِتْنَةٌ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جابية خراجها وجهاد عدوها </w:t>
      </w:r>
      <w:bookmarkStart w:id="56" w:name="pg8204_100868"/>
    </w:p>
    <w:p>
      <w:pPr>
        <w:pStyle w:val="BookText"/>
        <w:rPr/>
      </w:pPr>
      <w:bookmarkEnd w:id="56"/>
      <w:r>
        <w:rPr>
          <w:rFonts w:ascii="Amiri" w:hAnsi="Amiri" w:eastAsia="Amiri" w:cs="Amiri"/>
          <w:color w:val="111111"/>
          <w:sz w:val="28"/>
          <w:sz w:val="28"/>
          <w:szCs w:val="28"/>
          <w:rtl w:val="true"/>
          <w:lang w:bidi="ar-SA"/>
        </w:rPr>
        <w:t>واستصلاح أهلها وعمارة بلادها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وزرائك من كان للأشرار قبلك وزيراً ومن شركهم في الآثام فلا يكونن لك بطانة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 لله ولرسوله ولإمامك</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أهل الخراج بما يصلح أهله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وغير ذلك مما يرتبط بالحكم والشؤون العامة، في متعلق الأمر لا فيه نفسه</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8923964_1051229030"/>
      <w:bookmarkStart w:id="58" w:name="_Toc21"/>
      <w:bookmarkEnd w:id="57"/>
      <w:r>
        <w:rPr>
          <w:rtl w:val="true"/>
        </w:rPr>
        <w:t>الإشكال بأن رأي الفقيه حجة شرعاً وإن انفرد</w:t>
      </w:r>
      <w:bookmarkEnd w:id="58"/>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شرعاً، إن أصاب فله أجران، وإن أخطأ فله أجر واحد، فإن أصاب فرأيه منجّز وإن أخطأ فمعذّر، فرأيه لكونه دليلاً شرعياً واجب الاتباع على مقلديه، ويكون هو المؤّمن من العقاب والضرر، لا أقل من كونه جائز الاتباع لو فرض كون رأي الشورى حجة شرعية أيضاً، فيتخير المقلد بينهما إن قلنا بالتخيير في تعارض الطريقين، أو قلنا بأنهما داخلان في باب التزاحم</w:t>
      </w:r>
      <w:r>
        <w:rPr>
          <w:rStyle w:val="FootnoteAnchor"/>
          <w:rtl w:val="true"/>
        </w:rPr>
        <w:footnoteReference w:id="47"/>
      </w:r>
      <w:r>
        <w:rPr>
          <w:rFonts w:ascii="Amiri" w:hAnsi="Amiri" w:eastAsia="Amiri" w:cs="Amiri"/>
          <w:color w:val="111111"/>
          <w:sz w:val="28"/>
          <w:sz w:val="28"/>
          <w:szCs w:val="28"/>
          <w:rtl w:val="true"/>
          <w:lang w:bidi="ar-SA"/>
        </w:rPr>
        <w:t>، وإلا فيتساقطان ويرجع إلى الأصل أو يجب الاحتياط، لا أنه يتعين عليه الرجوع لرأي الأكثرية؟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الإشكال عام يرد على كثير من الأدلة التي تضمنها هذا الكتاب، مما دل على حجية رأي الأكثرية، فتسقط بأجمعها عن الدلالة على المدعى بتمامه</w:t>
      </w:r>
      <w:r>
        <w:rPr>
          <w:rFonts w:eastAsia="Amiri" w:cs="Amiri" w:ascii="Amiri" w:hAnsi="Amiri"/>
          <w:color w:val="111111"/>
          <w:sz w:val="28"/>
          <w:szCs w:val="28"/>
          <w:rtl w:val="true"/>
          <w:lang w:bidi="ar-SA"/>
        </w:rPr>
        <w:t xml:space="preserve">. </w:t>
      </w:r>
      <w:bookmarkStart w:id="59" w:name="pg8204_100869"/>
    </w:p>
    <w:p>
      <w:pPr>
        <w:pStyle w:val="Heading6"/>
        <w:numPr>
          <w:ilvl w:val="5"/>
          <w:numId w:val="1"/>
        </w:numPr>
        <w:rPr/>
      </w:pPr>
      <w:bookmarkStart w:id="60" w:name="__RefHeading___Toc8923966_1051229030"/>
      <w:bookmarkStart w:id="61" w:name="_Toc22"/>
      <w:bookmarkEnd w:id="59"/>
      <w:bookmarkEnd w:id="60"/>
      <w:r>
        <w:rPr>
          <w:rtl w:val="true"/>
        </w:rPr>
        <w:t>الجواب</w:t>
      </w:r>
      <w:r>
        <w:rPr>
          <w:rtl w:val="true"/>
        </w:rPr>
        <w:t>:</w:t>
      </w:r>
      <w:bookmarkEnd w:id="61"/>
    </w:p>
    <w:p>
      <w:pPr>
        <w:pStyle w:val="Heading6"/>
        <w:numPr>
          <w:ilvl w:val="5"/>
          <w:numId w:val="1"/>
        </w:numPr>
        <w:rPr/>
      </w:pPr>
      <w:bookmarkStart w:id="62" w:name="__RefHeading___Toc8923968_1051229030"/>
      <w:bookmarkStart w:id="63" w:name="_Toc23"/>
      <w:bookmarkEnd w:id="62"/>
      <w:r>
        <w:rPr/>
        <w:t>1</w:t>
      </w:r>
      <w:r>
        <w:rPr>
          <w:rtl w:val="true"/>
        </w:rPr>
        <w:t xml:space="preserve">: </w:t>
      </w:r>
      <w:r>
        <w:rPr>
          <w:rtl w:val="true"/>
        </w:rPr>
        <w:t>أجنبية الفتوى عن الحكومة</w:t>
      </w:r>
      <w:bookmarkEnd w:id="63"/>
    </w:p>
    <w:p>
      <w:pPr>
        <w:pStyle w:val="BookText"/>
        <w:rPr/>
      </w:pPr>
      <w:r>
        <w:rPr>
          <w:rFonts w:ascii="Amiri" w:hAnsi="Amiri" w:eastAsia="Amiri" w:cs="Amiri"/>
          <w:color w:val="111111"/>
          <w:sz w:val="28"/>
          <w:sz w:val="28"/>
          <w:szCs w:val="28"/>
          <w:rtl w:val="true"/>
          <w:lang w:bidi="ar-SA"/>
        </w:rPr>
        <w:t>أجنبية باب الفتوى عن الحكومة، وأدلة الحجية لا تشمل المتفرد في الشؤون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شمول أدلة الحجية لرأي الفقيه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لمقلديه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الموضوعات والشؤون العامة، إذ إن أدلة التقليد لا يسلّم شمولها للمقام</w:t>
      </w:r>
      <w:r>
        <w:rPr>
          <w:rStyle w:val="FootnoteAnchor"/>
          <w:rtl w:val="true"/>
        </w:rPr>
        <w:footnoteReference w:id="48"/>
      </w:r>
      <w:r>
        <w:rPr>
          <w:rFonts w:ascii="Amiri" w:hAnsi="Amiri" w:eastAsia="Amiri" w:cs="Amiri"/>
          <w:color w:val="111111"/>
          <w:sz w:val="28"/>
          <w:sz w:val="28"/>
          <w:szCs w:val="28"/>
          <w:rtl w:val="true"/>
          <w:lang w:bidi="ar-SA"/>
        </w:rPr>
        <w:t>، وما يشمل منها المقام</w:t>
      </w:r>
      <w:r>
        <w:rPr>
          <w:rStyle w:val="FootnoteAnchor"/>
          <w:rtl w:val="true"/>
        </w:rPr>
        <w:footnoteReference w:id="49"/>
      </w:r>
      <w:r>
        <w:rPr>
          <w:rFonts w:ascii="Amiri" w:hAnsi="Amiri" w:eastAsia="Amiri" w:cs="Amiri"/>
          <w:color w:val="111111"/>
          <w:sz w:val="28"/>
          <w:sz w:val="28"/>
          <w:szCs w:val="28"/>
          <w:rtl w:val="true"/>
          <w:lang w:bidi="ar-SA"/>
        </w:rPr>
        <w:t>لا يستفاد منه حجيةرأي الفقيه الواحد في الشؤون العامة، ووجوب اتباعه وإن خالفه رأي الأكثرية، وقد فصلنا الكلام في ذلك في موضع آخر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رأي الفقيه لمقلديه في الأحكام تستفاد من أدلة حجية الفتوى، وهي خاصة بالأحكام، فلا تنفع دلالتها على حجية رأي الفقيه منفرداً في الأحكام لإثبات حجية رأيه منفرداً في الموضوعات والشؤون العامة لمقام التباين، وأما هذه</w:t>
      </w:r>
      <w:r>
        <w:rPr>
          <w:rStyle w:val="FootnoteAnchor"/>
          <w:rtl w:val="true"/>
        </w:rPr>
        <w:footnoteReference w:id="50"/>
      </w:r>
      <w:r>
        <w:rPr>
          <w:rFonts w:ascii="Amiri" w:hAnsi="Amiri" w:eastAsia="Amiri" w:cs="Amiri"/>
          <w:color w:val="111111"/>
          <w:sz w:val="28"/>
          <w:sz w:val="28"/>
          <w:szCs w:val="28"/>
          <w:rtl w:val="true"/>
          <w:lang w:bidi="ar-SA"/>
        </w:rPr>
        <w:t>فحجية رأيه فيها يستفاد من أدلة الحكومة، وهي دالة على جعل الحجية والنفوذ للفقهاء جميعاً أو مجموعاً أو للفقيه بشرط انضمام أكثرية الفقهاء إليه، كما فصلناه في موضع آخر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وجد دال على كلا القسمين كان كالثاني، فتأمل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انتفت الحجية انتفى المؤمِّن، بل قد يقال بأن الحجية مؤمّنة من الضرر </w:t>
      </w:r>
      <w:bookmarkStart w:id="64" w:name="pg8204_100870"/>
    </w:p>
    <w:p>
      <w:pPr>
        <w:pStyle w:val="BookText"/>
        <w:rPr/>
      </w:pPr>
      <w:bookmarkEnd w:id="64"/>
      <w:r>
        <w:rPr>
          <w:rFonts w:ascii="Amiri" w:hAnsi="Amiri" w:eastAsia="Amiri" w:cs="Amiri"/>
          <w:color w:val="111111"/>
          <w:sz w:val="28"/>
          <w:sz w:val="28"/>
          <w:szCs w:val="28"/>
          <w:rtl w:val="true"/>
          <w:lang w:bidi="ar-SA"/>
        </w:rPr>
        <w:t>الأخروي لا الدنيوي، ومع احتماله احتمالاً عقلائياً لابد من الفحص، أو الاحتياط رغم قيام الدليل الاجتهادي على العدم، إلاّ إذا كان حجة عقلائية، فتأمل</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8923970_1051229030"/>
      <w:bookmarkStart w:id="66" w:name="_Toc24"/>
      <w:bookmarkEnd w:id="65"/>
      <w:r>
        <w:rPr/>
        <w:t>2</w:t>
      </w:r>
      <w:r>
        <w:rPr>
          <w:rtl w:val="true"/>
        </w:rPr>
        <w:t xml:space="preserve">: </w:t>
      </w:r>
      <w:r>
        <w:rPr>
          <w:rtl w:val="true"/>
        </w:rPr>
        <w:t>الترجيح مع الأكثرية</w:t>
      </w:r>
      <w:bookmarkEnd w:id="66"/>
    </w:p>
    <w:p>
      <w:pPr>
        <w:pStyle w:val="BookText"/>
        <w:rPr/>
      </w:pPr>
      <w:r>
        <w:rPr>
          <w:rFonts w:ascii="Amiri" w:hAnsi="Amiri" w:eastAsia="Amiri" w:cs="Amiri"/>
          <w:color w:val="111111"/>
          <w:sz w:val="28"/>
          <w:sz w:val="28"/>
          <w:szCs w:val="28"/>
          <w:rtl w:val="true"/>
          <w:lang w:bidi="ar-SA"/>
        </w:rPr>
        <w:t>وعلى فرض الشمول فالترجيح مع الأكثرية لدى التعارض</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شمول أدلة الحجية لرأي الفقيه منفرداً في الشؤون العامة،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يستلزم وجوب بل ولا جواز اتباعه عند معارضته لرأي أكثرية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يتم ضمن أمور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ما عدا القطع ليست ذاتية، بل هي بالجعل والاعتبار، فلو لا اعتبار الشارع خبر الواحد حجة لما كانحجة كالقياس، سواء كان اعتباره بالدليل اللفظي المتواتر أم بامضاء بناء العقلاء كما في حجية الظواهر، حيث أمضى طريقتهم ومشى على طبقها أو غير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أدلة الحجية لشيء لا يستلزم حجيته مطلقاً، لعدم كونه علة تامة للحجية، بل هو</w:t>
      </w:r>
      <w:r>
        <w:rPr>
          <w:rStyle w:val="FootnoteAnchor"/>
          <w:rtl w:val="true"/>
        </w:rPr>
        <w:footnoteReference w:id="52"/>
      </w:r>
      <w:r>
        <w:rPr>
          <w:rFonts w:ascii="Amiri" w:hAnsi="Amiri" w:eastAsia="Amiri" w:cs="Amiri"/>
          <w:color w:val="111111"/>
          <w:sz w:val="28"/>
          <w:sz w:val="28"/>
          <w:szCs w:val="28"/>
          <w:rtl w:val="true"/>
          <w:lang w:bidi="ar-SA"/>
        </w:rPr>
        <w:t xml:space="preserve">مقتضٍ له، لوضوح كون عدم المانع شرطاً، فإن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إن لم يعارضه معارض أقوى من متواتر أو محفوف </w:t>
      </w:r>
      <w:bookmarkStart w:id="67" w:name="pg8204_100871"/>
    </w:p>
    <w:p>
      <w:pPr>
        <w:pStyle w:val="BookText"/>
        <w:rPr/>
      </w:pPr>
      <w:bookmarkEnd w:id="67"/>
      <w:r>
        <w:rPr>
          <w:rFonts w:ascii="Amiri" w:hAnsi="Amiri" w:eastAsia="Amiri" w:cs="Amiri"/>
          <w:color w:val="111111"/>
          <w:sz w:val="28"/>
          <w:sz w:val="28"/>
          <w:szCs w:val="28"/>
          <w:rtl w:val="true"/>
          <w:lang w:bidi="ar-SA"/>
        </w:rPr>
        <w:t>بالقرائن القطعية أو ذي مرجح منصوص أو مطلقاً، وكذا سائر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فيندرج في عموم ما ذكرناه في الأمر الثاني، فإذا عارضه معارض أقوى اتبع، ورأي أكثرية الفقهاء لكونه أقرب إلى الواقع حسب العقل والروايات، كما فصلناه في موضع آخر، معارض أقوى، فاللازم اتباعه كلما تعارض مع رأي الفقيه الواحد، حاكماً كان أو غيره، وسيأتي عند الجمع بين أدلة الشورى وأدلة التقليد أن أدلة الشورى حاكمة أو مخصصة لأدلة التقليد، أو هي مباينة لها إن قلنا بعدم شمول أدلة التقليد للموضوعات العامة</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8923972_1051229030"/>
      <w:bookmarkStart w:id="69" w:name="_Toc25"/>
      <w:bookmarkEnd w:id="68"/>
      <w:r>
        <w:rPr>
          <w:rtl w:val="true"/>
        </w:rPr>
        <w:t>الإشكال باحتمال كون رأي الفقيه حجة تعبدية</w:t>
      </w:r>
      <w:bookmarkEnd w:id="69"/>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لو كان رأي الفقيه حجة من باب الطريقية، أما لو كان حجة تعبداً فلا؛ وذلك لعدم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حجيته لا بملاكها، ولم ينط اعتباره بالكشف عن الواقع؟</w:t>
      </w:r>
    </w:p>
    <w:p>
      <w:pPr>
        <w:pStyle w:val="Heading6"/>
        <w:numPr>
          <w:ilvl w:val="5"/>
          <w:numId w:val="1"/>
        </w:numPr>
        <w:rPr/>
      </w:pPr>
      <w:bookmarkStart w:id="70" w:name="__RefHeading___Toc8923974_1051229030"/>
      <w:bookmarkStart w:id="71" w:name="_Toc26"/>
      <w:bookmarkEnd w:id="70"/>
      <w:r>
        <w:rPr>
          <w:rtl w:val="true"/>
        </w:rPr>
        <w:t>الجواب</w:t>
      </w:r>
      <w:r>
        <w:rPr>
          <w:rtl w:val="true"/>
        </w:rPr>
        <w:t xml:space="preserve">: </w:t>
      </w:r>
      <w:r>
        <w:rPr>
          <w:rtl w:val="true"/>
        </w:rPr>
        <w:t>بل حجيته لأماريته وطريقيته</w:t>
      </w:r>
      <w:bookmarkEnd w:id="71"/>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حجيته بملاك الكشف عن الواقع والإيصال إليه، لا أنه وظيفة الشاك في مقام العمل، سواء بالنسبة إلى نفسه أو إلى مقلده، لكونالاستظهار قسيماً للشك، والمستظهر للشاك، بل حتى لو كان مؤدى الاستظهار أصلاً كان حجيته لأماريته، وذلك لكاشفيته عنه ظناً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الظن معتبر لبناء العقلاء على اعتبار ظن أهل الخبرة، وكون المدلول </w:t>
      </w:r>
    </w:p>
    <w:p>
      <w:pPr>
        <w:pStyle w:val="BookText"/>
        <w:rPr/>
      </w:pPr>
      <w:r>
        <w:rPr>
          <w:rFonts w:ascii="Amiri" w:hAnsi="Amiri" w:eastAsia="Amiri" w:cs="Amiri"/>
          <w:color w:val="111111"/>
          <w:sz w:val="28"/>
          <w:sz w:val="28"/>
          <w:szCs w:val="28"/>
          <w:rtl w:val="true"/>
          <w:lang w:bidi="ar-SA"/>
        </w:rPr>
        <w:t xml:space="preserve">أصلاً لا يستلزم كون الدال عليه أصلاً كذلك، ألا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دالاً على أصل البراءة مع كونه دليلاً اجتهادياً؟ كما أن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أصل مع كونه أمارة؟ فالاستظهار كاشف نوعي عقلائي سواء كان المنكشف به حكماً واقعياً أولياً، أو ثانوياً، أو حكماً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لكاشفيته عن الواقع جعل حجة، لا أن حجيته للعجز عن تحصيل الواقع واعتباره وظيفة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الأمر أن تحصيل الواقع تارة يكون بالمباشرة للقادر على الاستنباط، وتارة يكون بالواسطة، فحال المقلد بالنسبة للمجتهد كحال المجتهد بالنسبة إلى الروايات وغيرها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كونه أمارة بالنسبة إليه التزموا بكون مثبتات كلامه حجة بالنسبة له، بل يدل على ذلك ملاحظة مطلق أدلة حجية رأي المجتهد لمقلده، كبناء العقلاء على الحجية، لكونه من مصاديق أهل الخبرة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كونه أمارة فنيدرج في الأمر الثاني، حيث ذكرنا أن ما حجيته من باب الأمارية وبملاك الكشف عن الواقع يسقط عن الحجية بمعارضته بأمارة أقوى</w:t>
      </w:r>
      <w:r>
        <w:rPr>
          <w:rFonts w:eastAsia="Amiri" w:cs="Amiri" w:ascii="Amiri" w:hAnsi="Amiri"/>
          <w:color w:val="111111"/>
          <w:sz w:val="28"/>
          <w:szCs w:val="28"/>
          <w:rtl w:val="true"/>
          <w:lang w:bidi="ar-SA"/>
        </w:rPr>
        <w:t xml:space="preserve">. </w:t>
      </w:r>
      <w:bookmarkStart w:id="72" w:name="pg8204_100873"/>
    </w:p>
    <w:p>
      <w:pPr>
        <w:pStyle w:val="Heading6"/>
        <w:numPr>
          <w:ilvl w:val="5"/>
          <w:numId w:val="1"/>
        </w:numPr>
        <w:rPr/>
      </w:pPr>
      <w:bookmarkStart w:id="73" w:name="__RefHeading___Toc8923976_1051229030"/>
      <w:bookmarkStart w:id="74" w:name="_Toc27"/>
      <w:bookmarkEnd w:id="72"/>
      <w:bookmarkEnd w:id="73"/>
      <w:r>
        <w:rPr>
          <w:rtl w:val="true"/>
        </w:rPr>
        <w:t xml:space="preserve">الإشكال بأن حجيته طريقية </w:t>
      </w:r>
      <w:r>
        <w:rPr>
          <w:rtl w:val="true"/>
        </w:rPr>
        <w:t xml:space="preserve">- </w:t>
      </w:r>
      <w:r>
        <w:rPr>
          <w:rtl w:val="true"/>
        </w:rPr>
        <w:t>تعبدية</w:t>
      </w:r>
      <w:bookmarkEnd w:id="74"/>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الاجتهاد أمارة، لكن كما أن في بعض الأمارات تؤخذ بعض الخصوصيات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اشتراط العدالة في مرجع التقليد حيث لا يجود تقليد الفاسق وإن كان صادق اللهجة وأعلم من جميع الجهات مما يستلزم كون رأيه أقرب إلى الواقع، وكما في اشتراط طهارة المولد في المرجع والقاضي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تعبداً في حجية رأي الفقيه ولزوم اتباعه، فينبغي اتباع الفقيه الواحد المقلَّد وإن كان رأي أكثرية الفقهاء أقرب للواقع،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تعبداً في حجية آرائه في سائر المواضع، كالموضوعات والشؤون العامة، وإن كان رأي غالبية الفقهاء أقرب للواقع فيها؟ والجامع عدم جواز التبعيض في التقليد والرجوع والإتباع</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8923978_1051229030"/>
      <w:bookmarkStart w:id="76" w:name="_Toc28"/>
      <w:bookmarkEnd w:id="75"/>
      <w:r>
        <w:rPr>
          <w:rtl w:val="true"/>
        </w:rPr>
        <w:t>الجواب</w:t>
      </w:r>
      <w:r>
        <w:rPr>
          <w:rtl w:val="true"/>
        </w:rPr>
        <w:t xml:space="preserve">: </w:t>
      </w:r>
      <w:r>
        <w:rPr>
          <w:rtl w:val="true"/>
        </w:rPr>
        <w:t>أصالة عدم أخذ أمر زائد تعبداً</w:t>
      </w:r>
      <w:bookmarkEnd w:id="76"/>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أخذ شيء تعبداً في حجية الأمارة، ولذا كان اعتبار العدالة وطهارة المولد والحرية والذكورة في مرجع التقليد وفي القاضي والحاكم هو المحتاج للدليل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كثيراً من الفقهاء ألغوا في كثير من الموارد خصوصية معينة مأخوذة في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ظاهره اعتبارها تعبداً، أو مما يستلزم بالمفهوم عدم حجية فاقد الخصوصية، لكون الحجة هو المقيد بهذا القيد ففاقده لا دليل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وحملوها على جهة أخرى كالتمثيل، أو بيان انطباق الكبرى على المورد، وكذا عند الدوران بين التعبدية والطريقية رجحوا الطريقية</w:t>
      </w:r>
      <w:r>
        <w:rPr>
          <w:rFonts w:eastAsia="Amiri" w:cs="Amiri" w:ascii="Amiri" w:hAnsi="Amiri"/>
          <w:color w:val="111111"/>
          <w:sz w:val="28"/>
          <w:szCs w:val="28"/>
          <w:rtl w:val="true"/>
          <w:lang w:bidi="ar-SA"/>
        </w:rPr>
        <w:t xml:space="preserve">. </w:t>
      </w:r>
      <w:bookmarkStart w:id="77" w:name="pg8204_100874"/>
    </w:p>
    <w:p>
      <w:pPr>
        <w:pStyle w:val="Heading6"/>
        <w:numPr>
          <w:ilvl w:val="5"/>
          <w:numId w:val="1"/>
        </w:numPr>
        <w:rPr/>
      </w:pPr>
      <w:bookmarkStart w:id="78" w:name="__RefHeading___Toc8923980_1051229030"/>
      <w:bookmarkStart w:id="79" w:name="_Toc29"/>
      <w:bookmarkEnd w:id="77"/>
      <w:bookmarkEnd w:id="78"/>
      <w:r>
        <w:rPr>
          <w:rtl w:val="true"/>
        </w:rPr>
        <w:t>من موارد إلغاء الفقهاء الخصوصية المحتمل تعبديتها</w:t>
      </w:r>
      <w:bookmarkEnd w:id="79"/>
    </w:p>
    <w:p>
      <w:pPr>
        <w:pStyle w:val="Heading6"/>
        <w:numPr>
          <w:ilvl w:val="5"/>
          <w:numId w:val="1"/>
        </w:numPr>
        <w:rPr/>
      </w:pPr>
      <w:bookmarkStart w:id="80" w:name="__RefHeading___Toc8923982_1051229030"/>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وهناك موارد عديدة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نذكرها مشيرين في ضمن ذكر هذهالموارد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وجوهٍ أخرى عديدة، إجابةً عن هذا الإشكال، وإثباتاً للطريقية، كما سنذكر موارد ذكرها الفقهاء يمكننا أن ننتقل منها لإثبات المدعى</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8923984_1051229030"/>
      <w:bookmarkStart w:id="83" w:name="_Toc31"/>
      <w:bookmarkEnd w:id="82"/>
      <w:r>
        <w:rPr>
          <w:rtl w:val="true"/>
        </w:rPr>
        <w:t>أ</w:t>
      </w:r>
      <w:r>
        <w:rPr>
          <w:rtl w:val="true"/>
        </w:rPr>
        <w:t xml:space="preserve">: </w:t>
      </w:r>
      <w:r>
        <w:rPr>
          <w:rtl w:val="true"/>
        </w:rPr>
        <w:t>جواز قضاء القاضي بعلمه رغم نصوص الحصر بغيره</w:t>
      </w:r>
      <w:bookmarkEnd w:id="83"/>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أفتى به المشهور كما في المستند والجواهر والفقه وغيرها، بل عن الانتصار والغنية والخلاف ونهج الحق وظاهر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أو وجوب قضاء القاضي بعلمه، رغم أن الشارع عيّن طرقاً معينة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 وبعضكم ألحن بحجته من بعض</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والحصر فيها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أويس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أحكام المسلمين تجري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جارية من أئمة الهدى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بضميمة ندرة موارد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فلا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p>
    <w:p>
      <w:pPr>
        <w:pStyle w:val="BookText"/>
        <w:rPr/>
      </w:pP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السنة ما سُنّ ليمشى على طبقه، وعملهم في موارد نادرة على طبق العلم لا يثبت كونه مما سُنّ ليعمل على طبقه، لأن العمل مما لا جهة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ولاحتمال كونه قضية في واقعة،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تخالف عملهم مع البينات والأيمان ليست بالقليلة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عملهم بالمخالف في تلك الموارد لعنوان ثانوي وضرورة قاضية، لا للعلم بخلافها، ولذا 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لأعرابي كذّب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 تسليمه سبعين درهماً ثمن ناقة اشتراها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بأن ذلك كان لسد باب تكذيب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مكانته عن القلوب، حسب تخطيط المشركين، فراجع</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ويؤيد عدم كون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سنةً،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بحكم داود لا يسأل بيّنة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وما رواه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تذهب الدنيا حتى يخرج رجل مني يحكم بحكومة آل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يسأل بيّنة، يعطي كل نفس حقها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دلا على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يحكم بعلمه، وأن الدنيا لا تذهب حتى يخرج فيعمل بعلمه، مما يعني أن من سبقه من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يعمل بعلمه عموماً، ولا ينافي ذلك عملهم به أحياناً لعلة، هذا وتفصيل الكلام في ذلك والمناقشات في 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 xml:space="preserve">. </w:t>
      </w:r>
      <w:bookmarkStart w:id="84" w:name="pg8204_100876"/>
    </w:p>
    <w:p>
      <w:pPr>
        <w:pStyle w:val="Heading6"/>
        <w:numPr>
          <w:ilvl w:val="5"/>
          <w:numId w:val="1"/>
        </w:numPr>
        <w:rPr/>
      </w:pPr>
      <w:bookmarkStart w:id="85" w:name="__RefHeading___Toc8923986_1051229030"/>
      <w:bookmarkStart w:id="86" w:name="_Toc32"/>
      <w:bookmarkEnd w:id="84"/>
      <w:bookmarkEnd w:id="85"/>
      <w:r>
        <w:rPr>
          <w:rtl w:val="true"/>
        </w:rPr>
        <w:t>ب</w:t>
      </w:r>
      <w:r>
        <w:rPr>
          <w:rtl w:val="true"/>
        </w:rPr>
        <w:t xml:space="preserve">: </w:t>
      </w:r>
      <w:r>
        <w:rPr>
          <w:rtl w:val="true"/>
        </w:rPr>
        <w:t>استدلال المشهور لتعين تقليد الأعلم ببناء العقلاء ليس إلا لكونه الأقرب</w:t>
      </w:r>
      <w:bookmarkEnd w:id="8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المشهور لتعيّن تقليد الأعلم من بناء العقلاء على الرجوع إليه لا غير مع الإمكان، فإن بناء العقلاء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بملاك كونه أقرب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بناؤهم على ذلك محرزاً، وإلاّ لزم تعطيل المفضول في المهن 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بناؤهم فلا نسلّم كون مبناه هو كونه أقرب، إذ لا تعلم أقربية فتوى الأعلم من غيره، لا دائماً ولا غالباً، لكثرة مطابقة فتوى المفضول للمشهور، أو لرأي ميت أعلم من هذا الحي، أو ميت لا يعلم أعلمية هذا الحي منه، فلا تعلم الأقربية، أو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أن المشهور التزموا بكون بناء العقلاء على ذلك، لنفرع عليه أن رأي أكثرية الشورى حيث كان هو الأقرب للواقع فالواجب اتباعه على مبناهم وما التزموا به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إحراز بنائهم على الرجوع للأعلم مطلقاً، فلا يمكن إنكار بنائهم على الرجوع إليه إن أحرزت الأعلمية بالخصوص في مورد تخالف الفتويين، بأن علم كونه أعلم في هذه المسألة الخاصة ولم تعارضه فتوى ميت أعلم أو فتوى المشهور أو الاحتياط أو ما أشبه ذلك</w:t>
      </w:r>
      <w:r>
        <w:rPr>
          <w:rStyle w:val="FootnoteAnchor"/>
          <w:rtl w:val="true"/>
        </w:rPr>
        <w:footnoteReference w:id="61"/>
      </w:r>
      <w:r>
        <w:rPr>
          <w:rFonts w:ascii="Amiri" w:hAnsi="Amiri" w:eastAsia="Amiri" w:cs="Amiri"/>
          <w:color w:val="111111"/>
          <w:sz w:val="28"/>
          <w:sz w:val="28"/>
          <w:szCs w:val="28"/>
          <w:rtl w:val="true"/>
          <w:lang w:bidi="ar-SA"/>
        </w:rPr>
        <w:t xml:space="preserve">، خاصة إذا كان الأمر خطيراً، ألا ترى أن المبتلى بداء خطير لو أحرز كون هذا الطبيب أعلم في خصوص هذا المرض من غيره، وكان الخطأ في التشخيص والعلاج موجباً </w:t>
      </w:r>
    </w:p>
    <w:p>
      <w:pPr>
        <w:pStyle w:val="BookText"/>
        <w:rPr/>
      </w:pPr>
      <w:r>
        <w:rPr>
          <w:rFonts w:ascii="Amiri" w:hAnsi="Amiri" w:eastAsia="Amiri" w:cs="Amiri"/>
          <w:color w:val="111111"/>
          <w:sz w:val="28"/>
          <w:sz w:val="28"/>
          <w:szCs w:val="28"/>
          <w:rtl w:val="true"/>
          <w:lang w:bidi="ar-SA"/>
        </w:rPr>
        <w:t>لهلاكه، ولم يكن في الرجوع إليه مانع من عسر شديد أو غيره، أتراه يراجع الطبيب المفضول في هذه المسألة؟ وألا تراه ملوماً معاتباً عند العقلاء لو راجع المفضول وهلك، ومعذوراً عندهم لو راجع الفاضل وهلك؟</w:t>
      </w:r>
    </w:p>
    <w:p>
      <w:pPr>
        <w:pStyle w:val="BookText"/>
        <w:rPr/>
      </w:pPr>
      <w:r>
        <w:rPr>
          <w:rFonts w:ascii="Amiri" w:hAnsi="Amiri" w:eastAsia="Amiri" w:cs="Amiri"/>
          <w:color w:val="111111"/>
          <w:sz w:val="28"/>
          <w:sz w:val="28"/>
          <w:szCs w:val="28"/>
          <w:rtl w:val="true"/>
          <w:lang w:bidi="ar-SA"/>
        </w:rPr>
        <w:t xml:space="preserve">وليس ذلك البناء في هذه الصورة إلاّ لكون رأيه أقرب إلى الواقع بنظرهم، لكونه أعلم من غيره، هذا وتفصيل الكلام في 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كون رأي أكثرية الشورى أقرب للواقع ثبوتاً إذ لعلها كالقياس؟</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 روايات الاستشارة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وجوه الآراء عرف مواقع الخطأ</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وقد فصلنا الكلام حول إفادتها أقربية رأي الأكثرية للواقع، مع ذكر أدلة أخرى عقلية دالة على الأقربية في مواضع أخرى من الكتاب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سبق قبل أسطر يعلم سر توقف حجية بناء العقلاء على إمضاء الشارع أو عدم ردعه فتدبر</w:t>
      </w:r>
      <w:r>
        <w:rPr>
          <w:rFonts w:eastAsia="Amiri" w:cs="Amiri" w:ascii="Amiri" w:hAnsi="Amiri"/>
          <w:color w:val="111111"/>
          <w:sz w:val="28"/>
          <w:szCs w:val="28"/>
          <w:rtl w:val="true"/>
          <w:lang w:bidi="ar-SA"/>
        </w:rPr>
        <w:t xml:space="preserve">. </w:t>
      </w:r>
      <w:bookmarkStart w:id="87" w:name="pg8204_100878"/>
    </w:p>
    <w:p>
      <w:pPr>
        <w:pStyle w:val="Heading6"/>
        <w:numPr>
          <w:ilvl w:val="5"/>
          <w:numId w:val="1"/>
        </w:numPr>
        <w:rPr/>
      </w:pPr>
      <w:bookmarkStart w:id="88" w:name="__RefHeading___Toc8923988_1051229030"/>
      <w:bookmarkStart w:id="89" w:name="_Toc33"/>
      <w:bookmarkEnd w:id="87"/>
      <w:bookmarkEnd w:id="88"/>
      <w:r>
        <w:rPr>
          <w:rtl w:val="true"/>
        </w:rPr>
        <w:t>الإشكال باشتراط العدالة و</w:t>
      </w:r>
      <w:r>
        <w:rPr>
          <w:rtl w:val="true"/>
        </w:rPr>
        <w:t>...</w:t>
      </w:r>
      <w:bookmarkEnd w:id="89"/>
    </w:p>
    <w:p>
      <w:pPr>
        <w:pStyle w:val="BookText"/>
        <w:rPr/>
      </w:pPr>
      <w:r>
        <w:rPr>
          <w:rFonts w:ascii="Amiri" w:hAnsi="Amiri" w:eastAsia="Amiri" w:cs="Amiri"/>
          <w:color w:val="111111"/>
          <w:sz w:val="28"/>
          <w:sz w:val="28"/>
          <w:szCs w:val="28"/>
          <w:rtl w:val="true"/>
          <w:lang w:bidi="ar-SA"/>
        </w:rPr>
        <w:t xml:space="preserve">على أن حجية رأي الفقيه 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تعبدية</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رأي الفقيه ليست طريقية محضة، وإلا لما اعتبرت فيه الذكورة والحرية وأشباهها، ولما وجب اتباع العالم العادل حتى وإن خالفه في المسألة أعلم فاسق محرز صدقه، فهي 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تعبدية، فلو سلم وجود ما هو أقرب للواقع منه ودلّ الدليل على ذلك، لم يلزم بل لم يصح اتباعه، لعدم كون ملاك الحجية محض الطريقية، بل إنها مجهولة الملاك،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القرب للواقع جزء المقتضي، فلعل الأقرب فاقد للجزء الآخر فلا يكون حجة، فلا يجوز العمل به، فكيف بتقديمه؟ ولذا لو سلمنا كون رأي أكثرية شورى الفقهاء أقرب للواقع فلا يستلزم ذلك حجية ووجوب أو جواز اتباع رأيهم، إذ لم يكن القرب تمام الملاك؟</w:t>
      </w:r>
    </w:p>
    <w:p>
      <w:pPr>
        <w:pStyle w:val="Heading6"/>
        <w:numPr>
          <w:ilvl w:val="5"/>
          <w:numId w:val="1"/>
        </w:numPr>
        <w:rPr/>
      </w:pPr>
      <w:bookmarkStart w:id="90" w:name="__RefHeading___Toc8923990_1051229030"/>
      <w:bookmarkStart w:id="91" w:name="_Toc34"/>
      <w:bookmarkEnd w:id="90"/>
      <w:r>
        <w:rPr>
          <w:rtl w:val="true"/>
        </w:rPr>
        <w:t>جوابان عن الإشكال</w:t>
      </w:r>
      <w:bookmarkEnd w:id="91"/>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تعبدية الدليل من جهة لا يستلزم تعبديته من جهة أخرى، إذ التعدية إسراء للحكم من موضوع إلى آخر بلا دليل، إضافة إلى أن لحاظ شيء خاص في دليلية الدليل خلاف الأصل، لكون الأصل عدم حدوث الحادث فلا يخرج عنه إلا بدليل، والدليل الدال على كون حيثية معينة ملحوظة ومأخوذة في الدليل تعبداً غير متكفل لسائر الحيثيات فيه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اعتبار البلوغ والإسلام والإيمان وطهارة المولد في الشاهدين </w:t>
      </w:r>
    </w:p>
    <w:p>
      <w:pPr>
        <w:pStyle w:val="BookText"/>
        <w:rPr/>
      </w:pP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حجية في شهادة غير المسلمين أو المؤمنين، وإن كان الظن الحاصل من قولهما أقوى، وإن كان مدعاهما أقرب للواقع، وإن كانا متحرزين عن الكذب جداً، ولم تكن البينة الأخرى من المسلمين المؤمنين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إطلاقاً كون الحرية أيضاً مأخوذة فيهما 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تقدم شهادة الحرين وإن كان شهادة العبدينأقرب، وبأن لا تقبل شهادة العبدين وإن لم يعارضها شهادة حرين، كما لا تقبل شهادة الكافرين وإن لم تعارضها شهادة مؤمنين، إلا لو دخل ذلك في باب آخر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ذهب الأشهر 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لأكثر العامة ولابن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قبول شهادة المملوك مطلقاً إلا على مولاه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ومن الواضح أننا لو شككنا في اشتراط الشهادة بالحرية وأخذها تعبداً، كان الأصل عدمها، ولا يلتزم فقيه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الواضح كون الشهادة 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تعبدية، ولذا دلت الروايات على اعتبار ارتفاع التهمة في قبولها، بأن لا تكون بينهما عداوة دنيوية تضمنت فسقاً أم لا، وأن لا يكونا ممن يجر بشهادته نفعاً، ولذا أيضاً لم تقبل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المغفل الذي في جبلته البله، فربما استغلط لعدم تفطنه لمزايا الأمور وتفاصيلها ويدخل عليه الغلط والتزوير من حيث لا يشعر</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ومن الواضح أنه لولا اعتبارها من باب الكاشفية النوعية عن الواقع لما اشترط فيها ارتفاع التهمة وعدم البلاهة وشبهها المعلوم من اشتراطها الاحتراز عن مخالفة الواقع، وكذلك لوضوح كونها أمارة لا أصلاً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انقدح جواب آخر عما ذكره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الكبرى فلأن ملاك حجية قول الغير تعبداً ولو على نحو الطريقية لم يعلم أنه القرب من </w:t>
      </w:r>
      <w:bookmarkStart w:id="92" w:name="pg8204_100880"/>
    </w:p>
    <w:p>
      <w:pPr>
        <w:pStyle w:val="BookText"/>
        <w:rPr/>
      </w:pPr>
      <w:bookmarkEnd w:id="92"/>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 بملاك حجية قول الفقيه لا يضر بما نحن في صدده من إثبات حجية رأي شورى الفقهاء، للعلم قطعاً بوجود الملاك في أكثريتهم أيضاً، وذلك لفرض كون كل واحد من أكثرية شورى الفقهاء جامعاً لشرائط التقليد، فكلامهم حجة قطعاً، بل متعين الرجوع لأقربية رأيهم وهي جزء الملاك والمقتضي، من الفقيه الواحد المتصدي للأمور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اعتبار الوحدة والانفراد في حجية رأي الفقيه، بمعنى كون رأي هذا الفقيه حجة بشرط لا، فمدفوع بعد غاية بعده وعدم تعقل وجه له بالعقل ثم بالأصل،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وشبهها معتبرة تعبداً في حجية رأي الفقيه، وأما اعتبار عدم التعدد والوحدة كذلك فلا دال عليه والأصل عدمه، وقد فصلنا الكلام حول ذلك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أمكن إرجاع هذا الجواب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انقدح الجواب عن البيان الآخر للإشكال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 أو القرب للواقع جزء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8923992_1051229030"/>
      <w:bookmarkStart w:id="94" w:name="_Toc35"/>
      <w:bookmarkEnd w:id="93"/>
      <w:r>
        <w:rPr>
          <w:rtl w:val="true"/>
        </w:rPr>
        <w:t>ج</w:t>
      </w:r>
      <w:r>
        <w:rPr>
          <w:rtl w:val="true"/>
        </w:rPr>
        <w:t xml:space="preserve">: </w:t>
      </w:r>
      <w:r>
        <w:rPr>
          <w:rtl w:val="true"/>
        </w:rPr>
        <w:t>التزام المشهور بالتعدي عن المرجحات المنصوصة</w:t>
      </w:r>
      <w:bookmarkEnd w:id="9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به كثير من الفقهاء في باب التعادل والتراجيح من عدم الاقتصار على المرجحات المنصوصة، والتعدي منها إلى غيرها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ولذا ذهب جمهور المجتهدين إلى عدم الاقتصار على المرجحات الخاصة، بل ادعى بعضهم ظهور الإجماع وعدم ظهور </w:t>
      </w:r>
    </w:p>
    <w:p>
      <w:pPr>
        <w:pStyle w:val="BookText"/>
        <w:rPr/>
      </w:pPr>
      <w:r>
        <w:rPr>
          <w:rFonts w:ascii="Amiri" w:hAnsi="Amiri" w:eastAsia="Amiri" w:cs="Amiri"/>
          <w:color w:val="111111"/>
          <w:sz w:val="28"/>
          <w:sz w:val="28"/>
          <w:szCs w:val="28"/>
          <w:rtl w:val="true"/>
          <w:lang w:bidi="ar-SA"/>
        </w:rPr>
        <w:t>الخلاف على وجوب العمل بالراجح من الدليلين بعد أن حكى الإجماع عليه من جماعة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فرغم اقتصار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مرجحات خاصة، وحكمه بعد فقدها بالتخيير أو التوقف، إلا أن كثيراً منهم تعدى إلى مطلق المرجح وحكم بلزوم الأخذ به وطرح المرجوح،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كالترجيح بالأضبطية والنقل باللفظ وعدم 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التخيير أو التوقف، لاستظهار كون الترجيح بمناط الأقربية للواقع ولا مدخلية لخصوص مرجح وعدم كون الترجيح تعبدياً، ووجّهوا ذكر المرجحات الخاصة دون غيرها بأنها كانت للتمثيل، أو للأهمية، أو لمعرفة السائل سائر المرجحات، أو لكثرة الابتلاء بهذه المرجحات، أو إرادة السائل تساوي الروايتين من سائر الجهات، رغم ظهور الحديث في الترتيبالخاص ثم التخيير أو التوقف، وتخالف الترتيب في الروايات لا يخل بهذا الظهور في مرحلة الإرادة الاستعمالية، لكونها منفصلة، بل والجدية إلا على بعض الوجوه،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التعدي عن مورد النص في العلة وجوب الترجيح بكل ما يوجب كون أحد الخبرين أقل احتمالاً لمخالفة الواقع</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ومن الواضح عدم إمكان التعدي عن مورد العلة المنصوصة مع التعبدية، لعدم كونها معممة مخصصة حينئذٍ، للجهل بالملاك الواقعي، إذ لعله عدم الريب الخاص لا المطلق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سبق من الإشكال على ما ذكره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الاجتهاد والتقليد ظهر الإشكال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بقوله في جواب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أنه لو لم يجب ترجيح ذي المزية لزم ترجيح المرجوح على الراجح وهو قبيح عقلاً بل ممتنع قطعاً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يجب الترجيح لو كانت المزية موجبة لتأكد ملاك </w:t>
      </w:r>
      <w:bookmarkStart w:id="95" w:name="pg8204_100882"/>
    </w:p>
    <w:p>
      <w:pPr>
        <w:pStyle w:val="BookText"/>
        <w:rPr/>
      </w:pPr>
      <w:bookmarkEnd w:id="95"/>
      <w:r>
        <w:rPr>
          <w:rFonts w:ascii="Amiri" w:hAnsi="Amiri" w:eastAsia="Amiri" w:cs="Amiri"/>
          <w:color w:val="111111"/>
          <w:sz w:val="28"/>
          <w:sz w:val="28"/>
          <w:szCs w:val="28"/>
          <w:rtl w:val="true"/>
          <w:lang w:bidi="ar-SA"/>
        </w:rPr>
        <w:t>الحجية في نظر الشارع، ضرورة إمكان أن تكون تلك المزية بالإضافة إلى ملاكها كالحجر في جنب الإنسان، وكان الترجيح بها بلا مرجح وهو قبيح كما هو واضح</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إذ غاية الأمر كون حجية الخبر طريقية تعبدية فترد الإشكالات الأربعة السابقة فليراجع، ومنها ما يتم ولو مع الالتزام بالتعبدية المحضة، فدقق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التعادل والتراجيح إشكالاً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التعدي عن مورد النص في العلة للتعليل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الثاني فلتوقفه على عدم كون الرواية المشهورة في نفسها مما لا ريب فيه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فقد أجبنا عنه في موضع آخر عند التطرق لإشكال 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دليل آخر على كون الأقرب للواقع واجب الاتباع، وهو هذه الرواية الشريفة</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8923994_1051229030"/>
      <w:bookmarkStart w:id="97" w:name="_Toc36"/>
      <w:bookmarkEnd w:id="96"/>
      <w:r>
        <w:rPr>
          <w:rtl w:val="true"/>
        </w:rPr>
        <w:t>د</w:t>
      </w:r>
      <w:r>
        <w:rPr>
          <w:rtl w:val="true"/>
        </w:rPr>
        <w:t xml:space="preserve">: </w:t>
      </w:r>
      <w:r>
        <w:rPr>
          <w:rtl w:val="true"/>
        </w:rPr>
        <w:t>كون الأصل في التعليل</w:t>
      </w:r>
      <w:r>
        <w:rPr>
          <w:rtl w:val="true"/>
        </w:rPr>
        <w:t xml:space="preserve">: </w:t>
      </w:r>
      <w:r>
        <w:rPr>
          <w:rtl w:val="true"/>
        </w:rPr>
        <w:t>التعليل بأمر ارتكازي</w:t>
      </w:r>
      <w:bookmarkEnd w:id="9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العديد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التعليل، التعليل بأمر ارتكازي لا تعبدي، وقد نقلنا ذلك عن المرحومين الآخوند والحكيم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فليراجع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عند الدوران بين التعبدية والطريقية التزموا بالأخيرة، معتبرينها الأصل، بل إنهم لم يستثنوا ما لو كانت حجية الدليل المعلل مدلوله والحكم الذي تضمنه بعلة منصوصة، 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تعبدية، بل أجروا هذه القاعدة حتى في تلك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الحكم معلول علة، فإذا ذكرت علة للحكم في لسان الشارع ولم يكن دليل على تعبديتها وكان الأصل في التعليل الارتكازية، كان ذلك المذكور في لسانه تمام الملاك للحكم، إن كانت ارتكازيتها مقتضية لذلك، بل لا حاجة لهذا القيد مع ملاحظة ما سيأتي، فيدور الحكم مدار تحققها بدون لحاظ شيء آخر، إلا لو قام دليل على الخارج على كون شيء شرطاً أو مانعاً، فلم يكن ملاك الحكم حينئذٍ مجهولاً حتى لا يعلم بتحققه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غير الحجج الشرعية المعينة عليه وإن كان أقرب للواقع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يتّجه كون خصوصية طريق معين مأخوذة في تحقق الحكم أو تنجيزه وتعذيره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أخص من المدعى،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اعتبار الشارع شيئاً شرطاً أو مانعاً حيث كان وارداً كان احتمال التعبدية وارداً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مسبب عن احتمال ذلك الاعتبار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العلل المذكورة في لسان الشرع مقتضيات وليست عللاً تامة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التزموا بكون العلة المذكورة في لسان الشارع معممة ومخصصة، رغم كون العلل الشرعية مقتضيات لتقييدها على الأقل بالشروط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كالقدرة والاختيار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ولكون الاضطرار وشبهه مانعاً، فيحتمل أن تكون العلة التامة للحكمأمراً مركباً مما يشتمل على ما ذكره الشارع وعلى جهة تعبدية</w:t>
      </w:r>
      <w:r>
        <w:rPr>
          <w:rStyle w:val="FootnoteAnchor"/>
          <w:rtl w:val="true"/>
        </w:rPr>
        <w:footnoteReference w:id="72"/>
      </w:r>
      <w:r>
        <w:rPr>
          <w:rFonts w:ascii="Amiri" w:hAnsi="Amiri" w:eastAsia="Amiri" w:cs="Amiri"/>
          <w:color w:val="111111"/>
          <w:sz w:val="28"/>
          <w:sz w:val="28"/>
          <w:szCs w:val="28"/>
          <w:rtl w:val="true"/>
          <w:lang w:bidi="ar-SA"/>
        </w:rPr>
        <w:t>، كما يحتمل أن تكون أمراً مركباً مشتملاً على ما ذكره وعلى جهات آخر ارتكازية</w:t>
      </w:r>
      <w:r>
        <w:rPr>
          <w:rStyle w:val="FootnoteAnchor"/>
          <w:rtl w:val="true"/>
        </w:rPr>
        <w:footnoteReference w:id="73"/>
      </w:r>
      <w:r>
        <w:rPr>
          <w:rFonts w:ascii="Amiri" w:hAnsi="Amiri" w:eastAsia="Amiri" w:cs="Amiri"/>
          <w:color w:val="111111"/>
          <w:sz w:val="28"/>
          <w:sz w:val="28"/>
          <w:szCs w:val="28"/>
          <w:rtl w:val="true"/>
          <w:lang w:bidi="ar-SA"/>
        </w:rPr>
        <w:t xml:space="preserve">، ومع ذلك التزموا بأجمعهم بكون العلة معممة مخصصة، وكلامهم على مقتضى الأصل لرجوع الشك إلى أخذ أمر زائد على </w:t>
      </w:r>
      <w:bookmarkStart w:id="98" w:name="pg8204_100884"/>
    </w:p>
    <w:p>
      <w:pPr>
        <w:pStyle w:val="BookText"/>
        <w:rPr/>
      </w:pPr>
      <w:bookmarkEnd w:id="98"/>
      <w:r>
        <w:rPr>
          <w:rFonts w:ascii="Amiri" w:hAnsi="Amiri" w:eastAsia="Amiri" w:cs="Amiri"/>
          <w:color w:val="111111"/>
          <w:sz w:val="28"/>
          <w:sz w:val="28"/>
          <w:szCs w:val="28"/>
          <w:rtl w:val="true"/>
          <w:lang w:bidi="ar-SA"/>
        </w:rPr>
        <w:t>المقتضي المذكور في لسان الدليل والشرائط العامة والموانع العامة، والأصل عدمه، فلا تصل النوبة للأصل المسببي الجاري لدى الشك في تركب العلة التامة مما يشتمل على جهة ارتكازية أو تعبدية، بل جريانه لا يخل، لكونه موافقاً، أما المسببي المخالف فهو أصالة عدم كون المذكور في لسان الدليل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يمكن تعميم الكلام لما لم تذكر فيه العلة، ضرورة استحالة المعلول بلا علة، فلا يعقل حكم دون علة ثبوتاً، فإذا أحرزنا كون الطريق الجديد ظناً نوعياً معتبراً، وقام الظن المعتبر على كونه لا يقل طريقيته عن الأول كان قسيماً، وأما الأقربية فإن قام دليل عليها بحد الرجحان أو التعيين فبها، وإن شك جرت قاعدة الدوران بين التعيين والتخيير إن لم يكن عموم أو إطلاق، فتأمل</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8923996_1051229030"/>
      <w:bookmarkStart w:id="100" w:name="_Toc37"/>
      <w:bookmarkEnd w:id="99"/>
      <w:r>
        <w:rPr>
          <w:rtl w:val="true"/>
        </w:rPr>
        <w:t>ه</w:t>
      </w:r>
      <w:r>
        <w:rPr>
          <w:rtl w:val="true"/>
        </w:rPr>
        <w:t xml:space="preserve">: </w:t>
      </w:r>
      <w:r>
        <w:rPr>
          <w:rtl w:val="true"/>
        </w:rPr>
        <w:t>استدلال الفقهاء لوجوب تقليد الأعلم بروايات باب القضاء</w:t>
      </w:r>
      <w:bookmarkEnd w:id="10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الفقهاء استدلالاً لوجوب تقليد الأعلم، من الأخبار الكثيرة المستفيضة الدالة على وجوب تقليده وتقديمه،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داود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ينظرإلى أفقههما وأعلمهما بأحاديثنا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رغم كون هذه الروايات مرتبطة بباب الحكومة والقضاء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ذكر أدلة وجوب تقليد الأعلم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w:t>
      </w:r>
    </w:p>
    <w:p>
      <w:pPr>
        <w:pStyle w:val="BookText"/>
        <w:rPr/>
      </w:pPr>
      <w:r>
        <w:rPr>
          <w:rFonts w:ascii="Amiri" w:hAnsi="Amiri" w:eastAsia="Amiri" w:cs="Amiri"/>
          <w:color w:val="111111"/>
          <w:sz w:val="28"/>
          <w:sz w:val="28"/>
          <w:szCs w:val="28"/>
          <w:rtl w:val="true"/>
          <w:lang w:bidi="ar-SA"/>
        </w:rPr>
        <w:t>ورد الرجوع إلى الأفقه في القضاء عند اختلاف القضاة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ترجيحه مع المعارضة، كما في المقبولة وغيرها، أو على اختياره للحكم بين الناس، كما دل عليه المنقول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للحكم بين الناس أفضل رعيتك</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واضح لمن لاحظ صدر الرواية، ففي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يكون بينهما منازعة في دين أو ميراث، فتحاكما إلى السلطان أو إلى القضاة، أيحل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 فإذا حكم بحكمنا فلم يقبل منه فإنما بحكم الله استخف، وعلينا قد ردّ، والراد علينا الراد على الله وهو على حد الشرك بالله،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يختار رجلاً من أصحابنا فرضيا أن يكونا الناظرين في حقهما فاختلفا فيما حكما وكلاهما اختلفا في حديثكم؟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لا كشفهم الملاك في الترجيح وأنه هو القرب إلى الواقع في المقيس عليه، لما تم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واردة في مقام الحكومة والقضاء،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نتعدى من موردها بالمناط، إذ الملاك هو الأخذ بالواقع وكلها طرق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إسراء الحكم من باب الحكومة والإمامة إلى الفتوى يحتاج إلى مناط قطعي ولا مناط هنا، إذ فرق بين باب الحكومة وباب </w:t>
      </w:r>
    </w:p>
    <w:p>
      <w:pPr>
        <w:pStyle w:val="BookText"/>
        <w:rPr/>
      </w:pPr>
      <w:r>
        <w:rPr>
          <w:rFonts w:ascii="Amiri" w:hAnsi="Amiri" w:eastAsia="Amiri" w:cs="Amiri"/>
          <w:color w:val="111111"/>
          <w:sz w:val="28"/>
          <w:sz w:val="28"/>
          <w:szCs w:val="28"/>
          <w:rtl w:val="true"/>
          <w:lang w:bidi="ar-SA"/>
        </w:rPr>
        <w:t>الفتوى، فإن الحاكم جعل لفصل الخصومة ولا يحصل ذلك مع الاختلاف فلابد من الترجيح، بخلاف باب الفتوى فإنه لا يحتاج إلاّ إلى الحجة، بل احتمال خصوصية الحكومة كافٍ في عدم جواز الإسراء، بل في باب الحكومة أيضاً وجوب الرجوع إلى الأعلم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فقياس باب الفتوى ببابي الحكومة والإمامة مع الفارق</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فصلناه في 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مطالب أخرى عديدة، فليراجع</w:t>
      </w:r>
      <w:r>
        <w:rPr>
          <w:rFonts w:eastAsia="Amiri" w:cs="Amiri" w:ascii="Amiri" w:hAnsi="Amiri"/>
          <w:color w:val="111111"/>
          <w:sz w:val="28"/>
          <w:szCs w:val="28"/>
          <w:rtl w:val="true"/>
          <w:lang w:bidi="ar-SA"/>
        </w:rPr>
        <w:t xml:space="preserve">. </w:t>
      </w:r>
      <w:bookmarkStart w:id="101" w:name="pg8204_100887"/>
    </w:p>
    <w:p>
      <w:pPr>
        <w:pStyle w:val="Heading4"/>
        <w:numPr>
          <w:ilvl w:val="3"/>
          <w:numId w:val="1"/>
        </w:numPr>
        <w:rPr/>
      </w:pPr>
      <w:bookmarkStart w:id="102" w:name="__RefHeading___Toc8923998_1051229030"/>
      <w:bookmarkStart w:id="103" w:name="_Toc38"/>
      <w:bookmarkEnd w:id="101"/>
      <w:bookmarkEnd w:id="102"/>
      <w:r>
        <w:rPr>
          <w:rtl w:val="true"/>
        </w:rPr>
        <w:t>الفصل الثاني</w:t>
      </w:r>
      <w:r>
        <w:rPr>
          <w:rtl w:val="true"/>
        </w:rPr>
        <w:t xml:space="preserve">: </w:t>
      </w:r>
      <w:r>
        <w:rPr>
          <w:rtl w:val="true"/>
        </w:rPr>
        <w:t>في الاستدلال ببرهان الدوران والترديد</w:t>
      </w:r>
      <w:bookmarkEnd w:id="1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 w:name="__RefHeading___Toc8924000_1051229030"/>
      <w:bookmarkStart w:id="105" w:name="_Toc39"/>
      <w:bookmarkEnd w:id="104"/>
      <w:r>
        <w:rPr>
          <w:rtl w:val="true"/>
        </w:rPr>
        <w:t>اشارة</w:t>
      </w:r>
      <w:bookmarkEnd w:id="10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8204_100889"/>
      <w:bookmarkStart w:id="107" w:name="pg8204_100889"/>
      <w:bookmarkEnd w:id="107"/>
    </w:p>
    <w:p>
      <w:pPr>
        <w:pStyle w:val="Heading5"/>
        <w:numPr>
          <w:ilvl w:val="4"/>
          <w:numId w:val="1"/>
        </w:numPr>
        <w:rPr/>
      </w:pPr>
      <w:bookmarkStart w:id="108" w:name="pg8204_100889"/>
      <w:bookmarkStart w:id="109" w:name="__RefHeading___Toc8924002_1051229030"/>
      <w:bookmarkStart w:id="110" w:name="_Toc40"/>
      <w:bookmarkEnd w:id="108"/>
      <w:bookmarkEnd w:id="109"/>
      <w:r>
        <w:rPr>
          <w:rtl w:val="true"/>
        </w:rPr>
        <w:t>برهان الدوران والترديد</w:t>
      </w:r>
      <w:bookmarkEnd w:id="110"/>
    </w:p>
    <w:p>
      <w:pPr>
        <w:pStyle w:val="Heading6"/>
        <w:numPr>
          <w:ilvl w:val="5"/>
          <w:numId w:val="1"/>
        </w:numPr>
        <w:rPr/>
      </w:pPr>
      <w:bookmarkStart w:id="111" w:name="__RefHeading___Toc8924004_1051229030"/>
      <w:bookmarkStart w:id="112" w:name="_Toc41"/>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ويمكن الاستدلال بحكم العقل على حكومة رأي أكثرية الفقهاء على رأي الفقيه الواحد حاكماً كان أم لا، في كل أمر من الأمور العامة تصدى له فقيه أو مجموعة من الفقهاء، عن طريق برهان الدوران والترديد، فنقول وبالله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يدور عند تعارض آراء وقرارات المراجع،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أمر كل فقيه على مقلديه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أمر أحدهم غير المعين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 أحدهم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 أحدهم المخير</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 الأكثرية</w:t>
      </w:r>
    </w:p>
    <w:p>
      <w:pPr>
        <w:pStyle w:val="Heading6"/>
        <w:numPr>
          <w:ilvl w:val="5"/>
          <w:numId w:val="1"/>
        </w:numPr>
        <w:rPr/>
      </w:pPr>
      <w:bookmarkStart w:id="113" w:name="__RefHeading___Toc8924006_1051229030"/>
      <w:bookmarkStart w:id="114" w:name="_Toc42"/>
      <w:bookmarkEnd w:id="113"/>
      <w:r>
        <w:rPr/>
        <w:t>1</w:t>
      </w:r>
      <w:r>
        <w:rPr>
          <w:rtl w:val="true"/>
        </w:rPr>
        <w:t xml:space="preserve">: </w:t>
      </w:r>
      <w:r>
        <w:rPr>
          <w:rtl w:val="true"/>
        </w:rPr>
        <w:t>مناقشة فكرة نفوذ أمر كل فقيه على مقلديه فحسب</w:t>
      </w:r>
      <w:bookmarkEnd w:id="114"/>
    </w:p>
    <w:p>
      <w:pPr>
        <w:pStyle w:val="Heading6"/>
        <w:numPr>
          <w:ilvl w:val="5"/>
          <w:numId w:val="1"/>
        </w:numPr>
        <w:rPr/>
      </w:pPr>
      <w:bookmarkStart w:id="115" w:name="__RefHeading___Toc8924008_1051229030"/>
      <w:bookmarkStart w:id="116" w:name="_Toc43"/>
      <w:bookmarkEnd w:id="115"/>
      <w:r>
        <w:rPr>
          <w:rtl w:val="true"/>
        </w:rPr>
        <w:t>أما الأول</w:t>
      </w:r>
      <w:r>
        <w:rPr>
          <w:rtl w:val="true"/>
        </w:rPr>
        <w:t>:</w:t>
      </w:r>
      <w:bookmarkEnd w:id="11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 صحيح، لاستلزامه الهرج والمرج واختلال النظام والضرر النوعي، إذ من الواضح أن فقيهاً لو أمر بالحرب، وأمر آخر بالصلح، وقلنا بنفوذ حكم كل منهما على مقلديه، وجب على مقلدي الأول الجهاد والإعداد، وحرم ذلك على مقلدي الثاني، بل وجب عليهم إقرار الصلح، وذلك يستلزم دخول الدولة بنصف قواها إلى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يؤدي إلى هزيمتها أمام العدو أحياناً كثيرة، بل يستلزم سعي بعضهم للحرب وسعي بعضهم على الضد من ذلك للصلح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وأوضح من ذلك ما لو حكم الفقيه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الأولوية للحرب مع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للحرب مع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للحرب مع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يمكن لشخص أن يلتزم بالخيار الأول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 أمر كل فقيه على مقلديه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يستلزم فتح أربع جهات عسكرية في وقت واحد أمام أربعة دول قد تتفوق كل واحدة منها على الدولة الإسلامية كماً وكيفاً؟ وألا يلزم من ذلك أكبر الضرر واختلال النظام والهرج والمرج؟</w:t>
      </w:r>
    </w:p>
    <w:p>
      <w:pPr>
        <w:pStyle w:val="BookText"/>
        <w:rPr/>
      </w:pPr>
      <w:r>
        <w:rPr>
          <w:rFonts w:ascii="Amiri" w:hAnsi="Amiri" w:eastAsia="Amiri" w:cs="Amiri"/>
          <w:color w:val="111111"/>
          <w:sz w:val="28"/>
          <w:sz w:val="28"/>
          <w:szCs w:val="28"/>
          <w:rtl w:val="true"/>
          <w:lang w:bidi="ar-SA"/>
        </w:rPr>
        <w:t xml:space="preserve">وكذا لو ارتأى فقيه اتخاذ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تصدير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ودعم الحركات التحررية بالسلاح والمال والإعلام وتفجير الداخل وحكم به، وارتأى الآخر عكس ذلك تماماً، بأن رجح إقامة علاقات دبلوماسية قوية مع الدول المجاورة وغيرها، وإهمال حركات التحرر أو تحديد أو حتى ملاحقة قادتها كونها حائلة دون تحسن العلاقات مع سائر الدول وحكم به، فإن من البديهي أن نفوذ حكميهما على مقلديهما يستلزم ما ذكر من المحذورات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نظام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وأن الإخلال بالنظام والهرج والمرج مما ردع عنه العقل والشارع، ولذا قالت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وطاعتنا نظاماً للملة</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وقال في المستند في كتاب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واجب على أهله بحق النيابة للإمام وفي زمان الغيبة في الجملة بإجماع </w:t>
      </w:r>
    </w:p>
    <w:p>
      <w:pPr>
        <w:pStyle w:val="BookText"/>
        <w:rPr/>
      </w:pPr>
      <w:r>
        <w:rPr>
          <w:rFonts w:ascii="Amiri" w:hAnsi="Amiri" w:eastAsia="Amiri" w:cs="Amiri"/>
          <w:color w:val="111111"/>
          <w:sz w:val="28"/>
          <w:sz w:val="28"/>
          <w:szCs w:val="28"/>
          <w:rtl w:val="true"/>
          <w:lang w:bidi="ar-SA"/>
        </w:rPr>
        <w:t>الأمة، بل الضرورة الدينية لتوقف نظام نوع الإنسان عليه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وأما ما ربما يقال من اندفاع الهرج والمرج واختلال النظام بتحكيم رأي الفقيه الحاكم فسيأتي الجواب عنه تفصيلاً عند التطرق للشق الثالث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توضيح ما ذكرناه أكثر فأكثر بملاحظة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 عدم تطابق الخارطتين الجغرافيةوالبشرية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التقليدية</w:t>
      </w:r>
      <w:r>
        <w:rPr>
          <w:rStyle w:val="FootnoteAnchor"/>
          <w:rtl w:val="true"/>
        </w:rPr>
        <w:footnoteReference w:id="84"/>
      </w:r>
      <w:r>
        <w:rPr>
          <w:rFonts w:ascii="Amiri" w:hAnsi="Amiri" w:eastAsia="Amiri" w:cs="Amiri"/>
          <w:color w:val="111111"/>
          <w:sz w:val="28"/>
          <w:sz w:val="28"/>
          <w:szCs w:val="28"/>
          <w:rtl w:val="true"/>
          <w:lang w:bidi="ar-SA"/>
        </w:rPr>
        <w:t xml:space="preserve">، ذلك أن مقلدي المراجع يتوزعون في دول عديدة، حيث تضم كل دولة مقلدين لعدة مراجع، حيث لم تستطع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لتحتكر كل دولة لنفسها مرجعاً خاصاً فارضة حصاراً حديدياً أمام تقليد شرائح من الشعب لمراجع آخرين، وهكذا نجد أنه كان لكل مرجعٍ مقلدون كثيرون أو عديدون في بلاد كثيرة، وكانت شعوب كل دولة ترجع إلى عدة فقهاء وإن كان ذلك بنسب متفاوته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اشتهر الشيعة منذ القدم وعلى مر الإعصار بذلك، حيث إن فتح باب الاجتهاد لديهم وتعددية مراجع التقليد، أشهر من نار على علم، وكذلك رجوع الناس من أية قومية كانوا إلى المرجع مهما كان صنفه، فترى العربي والتركي والهندي وغيرهم يقلد مرجعاً إيرانياً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كالمقدس الأردبيلي والشيخ الأنصاري والميرزا الشيرازي والسيد أبي الحسن الاصفهاني 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أفغانياً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كالآخوند الخراساني الهروي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وترى الإيراني والأفغاني والباكستاني والهندي والتركي وغيرهم يقلد مرجعاً عراقياً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كالعلامة الحلي والمحقق الحلي وابن سعيد الحلي وابن طاووس والشيخ المفيد 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لبنانياً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البهائي والشهيد الأول والشهيد الثاني والمحقق الكركي 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سورّيا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كالحلبيين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 مراجع عديدين إلى جنب المرجع الأعلى 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والميرزا محمد تقي الشيرازي، وصاحب العروة اليزدي، ثم السيد أبو الحسن الأصفهاني والميرزا النائيني والسيد حسين القمي، وكاشف الغطاء والمرحوم الكمباني، ثم السيد الحكيم والسيد الشاهرودي والسيد الميلاني والسيد البروجردي والسيد الخوانساري والسيد عبد الهادي الشيرازي والسيد الميرزا مهدي الشيرازي والشيخ محمد كاظم الشيرازي والسيد إبراهيم الاصطهباناتي والسيد محمد حجة الكوهكمري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المراجع الحاضرون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تطرقنا إلى تفصيل ذلك وإلى دراسة الحركة المرجعية طوال التاريخ في كتاب آخر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القرارات المرتبطة بالشؤون العامة إن لم يكن كلها جميعاً لا تتحدّد في إطار مقلدي المرجع الواحد، بل تتسع تأثيراتها لتشمل مقلدي سائر المراجع سلباً أو ايجاباً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صعيد الدولة يمكن التمثيل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الضرائب، التأميم وعدمه، تحديد التجارة الخارجية، فرض المكوس والرسوم الجمركية، قطع العلاقات الاقتصادية والدبلوماسية مع هذه الدولة أو تلك، الحرب والصلح، نظام الجندية الإجبارية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خارج إطار الدولة، فيمثل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أسلوب العمل الثوري في مواجهة الحاكم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ارتآه الآخوند الخراساني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المشروطة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انتهاج سبيل الانعزال والابتعاد عن العمل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ارتضاه الطباطبائي اليزدي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اتباع </w:t>
      </w:r>
    </w:p>
    <w:p>
      <w:pPr>
        <w:pStyle w:val="BookText"/>
        <w:rPr/>
      </w:pPr>
      <w:r>
        <w:rPr>
          <w:rFonts w:ascii="Amiri" w:hAnsi="Amiri" w:eastAsia="Amiri" w:cs="Amiri"/>
          <w:color w:val="111111"/>
          <w:sz w:val="28"/>
          <w:sz w:val="28"/>
          <w:szCs w:val="28"/>
          <w:rtl w:val="true"/>
          <w:lang w:bidi="ar-SA"/>
        </w:rPr>
        <w:t xml:space="preserve">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تقوية نظام الوكلاء والتركيز على بناء المؤسسات الدينية والاجتماعية والثقافية كالمساجد والمدارس والحسينيات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سلكه السيد أبو الحسن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آلت إليه المرجعية بعد وفاة صاحبي الكفاية والعروة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الموقف من كل فتنة عارضة، وما أكثر أمثلتها، بل وفي السياسة العامة التي يسير عليها المرجع طوال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موقف من المواقف السابقة لا ينحصر تأثيره في مقلدي المرجع صاحب الموقف المعين، إذ إن اتخاذ أسلوب العمل الثوري في مواجهة الطاغوت في دولة ما تنجم عنه الكثير من المضاعفات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أكثر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يؤدي اتخاذ أسلوب المواجهة الثورية مع الطاغوت إلى إسقاطه أو لا، وعلى التقدير الأول، إما مع تضحيات كثيرة في الأنفس وخسائر في الأموال أو لا، ثم إما مع سقوط الحكم بيده أو لا، وعلى هذين التقديرين فإما أن يقع الحكم بعد ذلك بيد الأحسن أو الأسوأ أو المساوي من بعض الوجوه أو كلها أوبالتخالف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التقدير الثاني</w:t>
      </w:r>
      <w:r>
        <w:rPr>
          <w:rStyle w:val="FootnoteAnchor"/>
          <w:rtl w:val="true"/>
        </w:rPr>
        <w:footnoteReference w:id="85"/>
      </w:r>
      <w:r>
        <w:rPr>
          <w:rFonts w:ascii="Amiri" w:hAnsi="Amiri" w:eastAsia="Amiri" w:cs="Amiri"/>
          <w:color w:val="111111"/>
          <w:sz w:val="28"/>
          <w:sz w:val="28"/>
          <w:szCs w:val="28"/>
          <w:rtl w:val="true"/>
          <w:lang w:bidi="ar-SA"/>
        </w:rPr>
        <w:t>إما أن يسبب ذلك زيادة تكبّر الحاكم الطاغوت وتجبره ودكتاتوريته وغصبه للحقوق وهدره للدماء، أو يسبب العكس، أو لا يؤثر أصلاً لا سلباً ولا إيجاباً، وعلى تقديري الزيادة وعكسها إما أن يسبب ذلك سرعة سقوطه</w:t>
      </w:r>
      <w:r>
        <w:rPr>
          <w:rStyle w:val="FootnoteAnchor"/>
          <w:rtl w:val="true"/>
        </w:rPr>
        <w:footnoteReference w:id="86"/>
      </w:r>
      <w:r>
        <w:rPr>
          <w:rFonts w:ascii="Amiri" w:hAnsi="Amiri" w:eastAsia="Amiri" w:cs="Amiri"/>
          <w:color w:val="111111"/>
          <w:sz w:val="28"/>
          <w:sz w:val="28"/>
          <w:szCs w:val="28"/>
          <w:rtl w:val="true"/>
          <w:lang w:bidi="ar-SA"/>
        </w:rPr>
        <w:t>أو بطءه، وهكذا وهلم جراً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أنه على جميع التقادير بعد إخراج مستحيل الوقوع ومستبعده، تكون التأثيرات منعكسة على الشعب بأكمله، أو على قطاعات واسعة منه، وقد لا تكون بالضرورة مقلدة بأجمعها للمرجع متخذ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قرار العمل الثقافي والانعزال، إذ من الواضح أن متخذي القرار يرون فيهما مجموعاً المصلحة أو المفسدة الأقل، وفي عكسهما المفسدة أو المفسدة الأكثر، وعلى جميع التقادير لا تنحصر المصلحة والمفسدة في مقلديهما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بنفوذ حكم كل فقيه على مقلديه، استلزم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لحاظ ما سبق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الهرج والمرج واختلال النظام والضرر النوعي، ولو قيل بكون الدليل أخص من المدعى ضمها إليها لزوم الضرر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ورود إشكال آخر على الالتزام بالشق الأول، وهو أن جعل مرجّح نفوذ حكم هذا الفقيه هو كونه مقلَّداً، بلا دليل، لعدم قيام دليل على كون النافذ حكمه هو المقلّد، فإنه لا تلازم بين الرجوع إلى شخص في التقليد وبين نفوذ أحكامه، بل الدليل على العدم، إذ أدلة ولاية الفقيه مطلقة شاملة لكل جامع للشرائط مقلَّداً كان أو غيره، فتخصيصها بما لو قلّده الشخص تخصيص بلا مخصص،هذا ولذا تجد الفقهاء يرون نفوذ حكم الحاكم بالهلال وشبهه ولو على مقلدي المرجع الآخر، فإن باب الفتوى غير باب الحكومة في مثل الهلال، كما هما غير باب الحكومة في الشؤون العامة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الشق الأول مندرج في الشق الثالث ومن مصاديقه</w:t>
      </w:r>
      <w:r>
        <w:rPr>
          <w:rFonts w:eastAsia="Amiri" w:cs="Amiri" w:ascii="Amiri" w:hAnsi="Amiri"/>
          <w:color w:val="111111"/>
          <w:sz w:val="28"/>
          <w:szCs w:val="28"/>
          <w:rtl w:val="true"/>
          <w:lang w:bidi="ar-SA"/>
        </w:rPr>
        <w:t xml:space="preserve">. </w:t>
      </w:r>
      <w:bookmarkStart w:id="117" w:name="pg8204_100895"/>
    </w:p>
    <w:p>
      <w:pPr>
        <w:pStyle w:val="Heading6"/>
        <w:numPr>
          <w:ilvl w:val="5"/>
          <w:numId w:val="1"/>
        </w:numPr>
        <w:rPr/>
      </w:pPr>
      <w:bookmarkStart w:id="118" w:name="__RefHeading___Toc8924010_1051229030"/>
      <w:bookmarkStart w:id="119" w:name="_Toc44"/>
      <w:bookmarkEnd w:id="117"/>
      <w:bookmarkEnd w:id="118"/>
      <w:r>
        <w:rPr/>
        <w:t>2</w:t>
      </w:r>
      <w:r>
        <w:rPr>
          <w:rtl w:val="true"/>
        </w:rPr>
        <w:t xml:space="preserve">: </w:t>
      </w:r>
      <w:r>
        <w:rPr>
          <w:rtl w:val="true"/>
        </w:rPr>
        <w:t>مناقشة نظرية نفوذ أمر أحدهم غير المعين</w:t>
      </w:r>
      <w:bookmarkEnd w:id="119"/>
    </w:p>
    <w:p>
      <w:pPr>
        <w:pStyle w:val="Heading6"/>
        <w:numPr>
          <w:ilvl w:val="5"/>
          <w:numId w:val="1"/>
        </w:numPr>
        <w:rPr/>
      </w:pPr>
      <w:bookmarkStart w:id="120" w:name="__RefHeading___Toc8924012_1051229030"/>
      <w:bookmarkStart w:id="121" w:name="_Toc45"/>
      <w:bookmarkEnd w:id="120"/>
      <w:r>
        <w:rPr>
          <w:rtl w:val="true"/>
        </w:rPr>
        <w:t>وأما الثاني</w:t>
      </w:r>
      <w:r>
        <w:rPr>
          <w:rtl w:val="true"/>
        </w:rPr>
        <w:t>:</w:t>
      </w:r>
      <w:bookmarkEnd w:id="121"/>
    </w:p>
    <w:p>
      <w:pPr>
        <w:pStyle w:val="BookText"/>
        <w:rPr/>
      </w:pPr>
      <w:r>
        <w:rPr>
          <w:rFonts w:ascii="Amiri" w:hAnsi="Amiri" w:eastAsia="Amiri" w:cs="Amiri"/>
          <w:color w:val="111111"/>
          <w:sz w:val="28"/>
          <w:sz w:val="28"/>
          <w:szCs w:val="28"/>
          <w:rtl w:val="true"/>
          <w:lang w:bidi="ar-SA"/>
        </w:rPr>
        <w:t>فغير تام أيضاً، إذ أنه مستحيل إن أريد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المعين في مرحلة الثبوت، إذ لا وجود للواحد المردد في الخارج، لأن كل شيء هو هو، ولا يعقل أن يكون هو أو غيره، إذ ثبوت الشيء لنفسه ضروري وسلبه عنه محال، وإلا لزم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له إن أريد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المعين في 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تعيينه في مرحلة الثبوت، فيكون أحدهما الحجة واقعاً والآخر غير حجة واقعاً، إذ لا معنى للأمر باتباع شخص غير معين من مجموعة، بل هو مستحيل من الآمر الملتفت، ومن المأمور إن لم يعد إلى التخيير بينهما كما هو مفروضنا في هذا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الآمر فلعدم إمكان البعث الحقيقي نحو ما لا يمكن الانبعاث إليه من الملتفت إلى ذلك، ألا ترى عدم إمكان البعث الفعلي نحو اتباع النبي لو جهل وتردد بين من هو نبي ومن ليس بنبي لمن جهله ولم يكن له طريق إلى معرفته قصوراً، وأنه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ضرورة كون التنجز فرع الإمكان، ولا يمكن إتباع النبي المردد بين نبي وعدوِّ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المأمور فكذلك، لأن الاتباع فرع إمكانه، ولا يمكن مع تردده بين الضدين أو النقيضين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الفرق بين هذا القسم الثاني بشقيه، وبين القسم الرابع الآتي، هو أن الحجية مجعولة في القسم الرابع لكلا الرأيين لكن لا بشرط، بمعنى جواز اتباع ذاك وذا على سبيل البدل، والواجب الجامع، فأياً منهما اتبع كان منجزاً أو </w:t>
      </w:r>
      <w:bookmarkStart w:id="122" w:name="pg8204_100896"/>
    </w:p>
    <w:p>
      <w:pPr>
        <w:pStyle w:val="BookText"/>
        <w:rPr/>
      </w:pPr>
      <w:bookmarkEnd w:id="122"/>
      <w:r>
        <w:rPr>
          <w:rFonts w:ascii="Amiri" w:hAnsi="Amiri" w:eastAsia="Amiri" w:cs="Amiri"/>
          <w:color w:val="111111"/>
          <w:sz w:val="28"/>
          <w:sz w:val="28"/>
          <w:szCs w:val="28"/>
          <w:rtl w:val="true"/>
          <w:lang w:bidi="ar-SA"/>
        </w:rPr>
        <w:t>معذراً، وفي الشق الأول من القسم الثاني مجعول لأحدهما غير المعين ثبوتاً دون الآخر غير المعين ثبوتاً أيضاً، وأما في الشق الثاني من القسم الثاني فمجعولة لأحدهما المعين ثبوتاً وهو المنجز أو المعذّر دون الآخر</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8924014_1051229030"/>
      <w:bookmarkStart w:id="124" w:name="_Toc46"/>
      <w:bookmarkEnd w:id="123"/>
      <w:r>
        <w:rPr/>
        <w:t>3</w:t>
      </w:r>
      <w:r>
        <w:rPr>
          <w:rtl w:val="true"/>
        </w:rPr>
        <w:t xml:space="preserve">: </w:t>
      </w:r>
      <w:r>
        <w:rPr>
          <w:rtl w:val="true"/>
        </w:rPr>
        <w:t>مناقشة فكرة نفوذ أمر أحدهم المعين</w:t>
      </w:r>
      <w:bookmarkEnd w:id="124"/>
    </w:p>
    <w:p>
      <w:pPr>
        <w:pStyle w:val="Heading6"/>
        <w:numPr>
          <w:ilvl w:val="5"/>
          <w:numId w:val="1"/>
        </w:numPr>
        <w:rPr/>
      </w:pPr>
      <w:bookmarkStart w:id="125" w:name="__RefHeading___Toc8924016_1051229030"/>
      <w:bookmarkStart w:id="126" w:name="_Toc47"/>
      <w:bookmarkEnd w:id="125"/>
      <w:r>
        <w:rPr>
          <w:rtl w:val="true"/>
        </w:rPr>
        <w:t>وأما الثالث</w:t>
      </w:r>
      <w:r>
        <w:rPr>
          <w:rtl w:val="true"/>
        </w:rPr>
        <w:t>:</w:t>
      </w:r>
      <w:bookmarkEnd w:id="126"/>
    </w:p>
    <w:p>
      <w:pPr>
        <w:pStyle w:val="BookText"/>
        <w:rPr/>
      </w:pPr>
      <w:r>
        <w:rPr>
          <w:rFonts w:ascii="Amiri" w:hAnsi="Amiri" w:eastAsia="Amiri" w:cs="Amiri"/>
          <w:color w:val="111111"/>
          <w:sz w:val="28"/>
          <w:sz w:val="28"/>
          <w:szCs w:val="28"/>
          <w:rtl w:val="true"/>
          <w:lang w:bidi="ar-SA"/>
        </w:rPr>
        <w:t>وهو نفوذ حكم أحدهم المعين،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أولى من نفوذ حكم الآخرين عليه</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8924018_1051229030"/>
      <w:bookmarkStart w:id="128" w:name="_Toc48"/>
      <w:bookmarkEnd w:id="127"/>
      <w:r>
        <w:rPr>
          <w:rtl w:val="true"/>
        </w:rPr>
        <w:t>أ</w:t>
      </w:r>
      <w:r>
        <w:rPr>
          <w:rtl w:val="true"/>
        </w:rPr>
        <w:t xml:space="preserve">: </w:t>
      </w:r>
      <w:r>
        <w:rPr>
          <w:rtl w:val="true"/>
        </w:rPr>
        <w:t>نفوذ حكم الأعلم والمناقشات</w:t>
      </w:r>
      <w:bookmarkEnd w:id="128"/>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ينفذ حكمه هو الأعلم، لأنه الواجب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الفتوى والتقليد غير باب الحكومة في الشؤون العامة، كما أوضحناه في موضع آخر، فلو ثبت تعين تقليد الأعلم فإنه لا ربط له بتعين الرجوع في أمر الشؤون العامة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لكنه لا تلازم بين كونه أعلم بالأحكام، وكونه أعلم في الموضوعات العامة، فإن النسبة من وجهٍ، كما هو أوضح من أن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تام مبنىً وبناءً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تقليد الأعلم غير واجب، وقد جرى الحديث عن ذلك بحمد الله في موضع آخر</w:t>
      </w:r>
      <w:r>
        <w:rPr>
          <w:rStyle w:val="FootnoteAnchor"/>
          <w:rtl w:val="true"/>
        </w:rPr>
        <w:footnoteReference w:id="87"/>
      </w:r>
      <w:r>
        <w:rPr>
          <w:rFonts w:ascii="Amiri" w:hAnsi="Amiri" w:eastAsia="Amiri" w:cs="Amiri"/>
          <w:color w:val="111111"/>
          <w:sz w:val="28"/>
          <w:sz w:val="28"/>
          <w:szCs w:val="28"/>
          <w:rtl w:val="true"/>
          <w:lang w:bidi="ar-SA"/>
        </w:rPr>
        <w:t xml:space="preserve">، وعن عدم صحة سائر الأدلة التي أقيمت لنفوذ حكم </w:t>
      </w:r>
    </w:p>
    <w:p>
      <w:pPr>
        <w:pStyle w:val="BookText"/>
        <w:rPr/>
      </w:pPr>
      <w:r>
        <w:rPr>
          <w:rFonts w:ascii="IRNazanin" w:hAnsi="IRNazanin" w:eastAsia="IRNazanin"/>
          <w:color w:val="111111"/>
          <w:sz w:val="28"/>
          <w:sz w:val="28"/>
          <w:szCs w:val="28"/>
          <w:rtl w:val="true"/>
          <w:lang w:bidi="fa-IR"/>
        </w:rPr>
        <w:t>الأعلم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وجوب تقليد الأعلم، ثم فرضنا كون الأعلم في الأحكام هو أعلم في الموضوعات والشؤون العامة</w:t>
      </w:r>
      <w:r>
        <w:rPr>
          <w:rStyle w:val="FootnoteAnchor"/>
          <w:rtl w:val="true"/>
        </w:rPr>
        <w:footnoteReference w:id="88"/>
      </w:r>
      <w:r>
        <w:rPr>
          <w:rFonts w:ascii="Amiri" w:hAnsi="Amiri" w:eastAsia="Amiri" w:cs="Amiri"/>
          <w:color w:val="111111"/>
          <w:sz w:val="28"/>
          <w:sz w:val="28"/>
          <w:szCs w:val="28"/>
          <w:rtl w:val="true"/>
          <w:lang w:bidi="ar-SA"/>
        </w:rPr>
        <w:t>، ثم سلمنا أن ذلك يستلزم نفوذ حكمه هو لا غير، ثم فرضنا وجود أعلم يسلم الجميع أعلميته، وفرضنا التزام الجميع بوجوب تقليد الأعلم، صح ماذكر</w:t>
      </w:r>
      <w:r>
        <w:rPr>
          <w:rStyle w:val="FootnoteAnchor"/>
          <w:rtl w:val="true"/>
        </w:rPr>
        <w:footnoteReference w:id="89"/>
      </w:r>
      <w:r>
        <w:rPr>
          <w:rFonts w:ascii="Amiri" w:hAnsi="Amiri" w:eastAsia="Amiri" w:cs="Amiri"/>
          <w:color w:val="111111"/>
          <w:sz w:val="28"/>
          <w:sz w:val="28"/>
          <w:szCs w:val="28"/>
          <w:rtl w:val="true"/>
          <w:lang w:bidi="ar-SA"/>
        </w:rPr>
        <w:t>، ولكن سيأتي عدم تحقق هذه الفروض، بل اجتماعها أشبه بوجود العنقاء، فهذا الفرض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لكنه نادر جداً، بل أندر من النادر، وهل يعقل أن يقرر الشارع أمر الحكومة على الفرد الأندر من النادر؟ ولو فرض لما أجدى في سائر الفروض، فكان لا بد من خيار آخر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نشير إلى إحدى تلك الفروض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 الصغروي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ينكر، إذ الاختلاف بين الناس والفضلاء في 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يخفى على أحد، إذ كل يدعي أن مقلَّده ومرجعه هو الأعلم، فأتباع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يدعون أعلميته، وكذا أتباع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 مثل ذلك في النائيني والاصفهاني والعراقي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نازلاً وصاعداً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الاختلاف ناشئاً عن الهوى والتعصب، بل إنه كثيراً ما يرجع إلى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 الأعلمية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هو العمق والتدقيق، أم السعة والشمول، أم غيرهما؟ فالشيخ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أدق،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أشمل، فمن الأعلم؟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الأعلمية من الموضوعات العرفية ومحتملاتها في المقام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علماً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استحضاراً للفروع الفقهية ومسائلها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إصابةً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فهماً وأحسن تعييناً للوظائف الشرعية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الأقوال والاحتمالات في موضوع الأعلم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هو الأوسع علماً، كأن يعرف الربا والمضاربة والمعاملة السابحة حتى يتمكن من تطبيق القضية على أحدها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الأكثر اطلاعاً على الأشباه والنظائر، كأن يعرف أن الخمس شركة أو شبيه بحق الجباية أو حق الرهانة أو غيرها منالأقوال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الأكثر تحقيقاً، حيث لا يمكن تعدد الحق في موضوع واحد، وإن أمكن بالنسبة إلى أفراد الكلي وإلى الصحيح والأفضل،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وَ سُلَيْمانَ إِذْ يَحْكُمانِ فِي الحَرْثِ</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الأكثر تدقيقاً، فإنه بعد التحقيق لفهم خصوصيات الحق ومزاياه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الأكثر ممارسةً، كمن درّس الرسائل عشر مرات في قبال من دّرسه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الأقوى معرفةً، بحيث لا يزول بتشكيك المشكك، فإن الصفات النفسية ومنها العلم قد تكون متينة، وقد تكون ركيكة، حالها حال الألوان الخارجية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الأجود فهماً، بمعنى العرفية في فهم الأدلة، حالها حال العرفية في </w:t>
      </w:r>
    </w:p>
    <w:p>
      <w:pPr>
        <w:pStyle w:val="BookText"/>
        <w:rPr/>
      </w:pPr>
      <w:r>
        <w:rPr>
          <w:rFonts w:ascii="Amiri" w:hAnsi="Amiri" w:eastAsia="Amiri" w:cs="Amiri"/>
          <w:color w:val="111111"/>
          <w:sz w:val="28"/>
          <w:sz w:val="28"/>
          <w:szCs w:val="28"/>
          <w:rtl w:val="true"/>
          <w:lang w:bidi="ar-SA"/>
        </w:rPr>
        <w:t>السلوك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الأعلم من جمع الكل في قبال من فقد الكل أو بعضها أو من جمع المتعدد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شككنا في المراد منه، فاللازم الأخذ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حصل أحدهما على بعضها والآخر على بعض آخر بتساوٍ لم يكن أحدهما أعلم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الأعلمية عبارة عن قوة الملكة وشدتها، وما ذكره المصنف وغيره من عللها أو معلولاتها، لا حقيقتها، إذ كثرة الاطلاع وجودة الفهم سببان لقوة الملكة، وحسن الاستنباط متفرع عليها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بأس بنقل كلام المولى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لما فيه من فائدة توضيح ما ادعيناه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ندرة الاتفاق على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الأعلمية في الأحاديث، وفي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كمافي الروايتين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والأعلمية في الأحاديث تكون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بأكثرية الإحاطة بها، والاطلاع عليها،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بالأفهمية لها، وأدقية النظر، وأكثرية الغور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المهارة في استخراج الفروع منها، وردّ الجزئيات إلى كلياتها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المعرفة بصحيحها وسقيمها وأحوال رجالها، وفهم وجوه الخلل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بأكثرية الاطلاع على ما يتوقف فهم الأخبار عليها من علم اللغة وقواعد العربية والنحو والصرف والبديع والبيان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باستقامة السليقة ووقادة الذهن وحسن الفهم فيها، كما أشار إليه في بعض الأخبار المتقدمة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بأكثرية الاطلاع على أقوال الفقهاء التي هي كالقرائن في </w:t>
      </w:r>
    </w:p>
    <w:p>
      <w:pPr>
        <w:pStyle w:val="BookText"/>
        <w:rPr/>
      </w:pPr>
      <w:r>
        <w:rPr>
          <w:rFonts w:ascii="Amiri" w:hAnsi="Amiri" w:eastAsia="Amiri" w:cs="Amiri"/>
          <w:color w:val="111111"/>
          <w:sz w:val="28"/>
          <w:sz w:val="28"/>
          <w:szCs w:val="28"/>
          <w:rtl w:val="true"/>
          <w:lang w:bidi="ar-SA"/>
        </w:rPr>
        <w:t>فهم الأخبار، ومواقع الإجماعات، وأقوال العامة التي هي من المرجحات عند التعارض، وفي فهم القرآن الذي هو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والأعلم الذي يمكن الحكم الصريح بوجوب تقديمه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بجميع تلك المراتب، أو في بعضها مع التساوي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فيشكل الحكم بالتقديم، ومن ذلك تظهر ندرة ما يحكم فيه بوجوب التقديم البتة، والله سبحانه العالم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كله اتضح ما ذكرناه أكثر في سبب الاختلاف في مصداق الأعلم، وأن من أهم أسباب الاختلاف فيه هو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أو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الضابط، وتبعض تلك المراتب السبعة وعدم اجتماعها جميعاً في فقيه غالباً، وامتلاك فقيه لبعضها في حين امتلاك فقيه آخر لبعضها الآخر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قناعة تامة، ألا ترى الناس مختلفين في أمهر الأطباء وأعلمهم؟ وكذا في أفضل المهندسين والبنائين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تابع في الأكثر لاختلاف التشخيص والقناعة التامة بذلك، وليس بالضرورة عن الهوى والتعصب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ولعلماء النفس والاجتماع تحليلهم في هذا المقام، قد نتطرق له في كتاب آخر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إذا اختلف الناس في الأعلم، فإن قلنا بنفوذ حكم الأعلم بنظر كل جماعة، أي الأعلم الإثباتي، في حق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مقلديه ومقلدي غيره، بناءً على تسليم الكبرى من الجميع، وأن الأعلم هو واجب الاتباع، لزم نفوذ أحكام مجموعة من المراجع، ممن ادعى بعض الناس أعلميته، سواء للاختلاف في </w:t>
      </w:r>
    </w:p>
    <w:p>
      <w:pPr>
        <w:pStyle w:val="BookText"/>
        <w:rPr/>
      </w:pPr>
      <w:r>
        <w:rPr>
          <w:rFonts w:ascii="Amiri" w:hAnsi="Amiri" w:eastAsia="Amiri" w:cs="Amiri"/>
          <w:color w:val="111111"/>
          <w:sz w:val="28"/>
          <w:sz w:val="28"/>
          <w:szCs w:val="28"/>
          <w:rtl w:val="true"/>
          <w:lang w:bidi="ar-SA"/>
        </w:rPr>
        <w:t>الضابط، أم للاختلاف في التشخيص بعد الاتفاق على الضابط، على كل الشعب، وهذا محال</w:t>
      </w:r>
      <w:r>
        <w:rPr>
          <w:rStyle w:val="FootnoteAnchor"/>
          <w:rtl w:val="true"/>
        </w:rPr>
        <w:footnoteReference w:id="95"/>
      </w:r>
      <w:r>
        <w:rPr>
          <w:rFonts w:ascii="Amiri" w:hAnsi="Amiri" w:eastAsia="Amiri" w:cs="Amiri"/>
          <w:color w:val="111111"/>
          <w:sz w:val="28"/>
          <w:sz w:val="28"/>
          <w:szCs w:val="28"/>
          <w:rtl w:val="true"/>
          <w:lang w:bidi="ar-SA"/>
        </w:rPr>
        <w:t>، لاستلزامه في صورة الاختلاف طلب النقيضين أو الضدين من المكلف، مثلاً لو حكم أحدهم بتجنيد كل الطاقات للحرب على الجبهة الشمالية، والآخر بتجنيد كلها للحرب على الجبهة الجنوبية مثلاً، أو حكم أحدهم بالحرب والآخر بعدمها، أما إن قلنا بنفوذ حكم الأعلم الثبوتي</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الإثباتي عكسه مطلقاً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المحذور الذي ذكر في الخيار الثاني وتكليف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بعينه يجري فيما لو وجد أعلم يسلم الجميع أعلميته، ولكن لم يلتزموا بأجمعهم بوجوب تقليد الأعلم، فقلّد كثير منهم غيره، إما لاستقلال عقل المكلف بذلك، أو لفتوى الأعلم بعدم تعين تقليد الأعلم، أو لغير ذلك</w:t>
      </w:r>
      <w:r>
        <w:rPr>
          <w:rStyle w:val="FootnoteAnchor"/>
          <w:rtl w:val="true"/>
        </w:rPr>
        <w:footnoteReference w:id="97"/>
      </w:r>
      <w:r>
        <w:rPr>
          <w:rFonts w:ascii="Amiri" w:hAnsi="Amiri" w:eastAsia="Amiri" w:cs="Amiri"/>
          <w:color w:val="111111"/>
          <w:sz w:val="28"/>
          <w:sz w:val="28"/>
          <w:szCs w:val="28"/>
          <w:rtl w:val="true"/>
          <w:lang w:bidi="ar-SA"/>
        </w:rPr>
        <w:t>، فههنا وفي هذه الصورة من الطبيعي أن يرى كل من الأعلم</w:t>
      </w:r>
      <w:r>
        <w:rPr>
          <w:rStyle w:val="FootnoteAnchor"/>
          <w:rtl w:val="true"/>
        </w:rPr>
        <w:footnoteReference w:id="98"/>
      </w:r>
      <w:r>
        <w:rPr>
          <w:rFonts w:ascii="Amiri" w:hAnsi="Amiri" w:eastAsia="Amiri" w:cs="Amiri"/>
          <w:color w:val="111111"/>
          <w:sz w:val="28"/>
          <w:sz w:val="28"/>
          <w:szCs w:val="28"/>
          <w:rtl w:val="true"/>
          <w:lang w:bidi="ar-SA"/>
        </w:rPr>
        <w:t xml:space="preserve">وغير الأعلم نفوذ حكمه هو على مقلديه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لو رأى النفوذ على الجميع باعتباره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يرى مقلدوا الأعلم نفوذ حكمه عليهم، ومقلدوا غيره نفوذ حكم هذا الغير عليهم، ويعود الكلام السابق فيما لو اختلف الناس في الأعلم، ولا يمكن القول بعدم صحة حكم غير الأعلم في حق مقلديه، إذ إن قوله هو الحجة عليهم شرعاً وعقلاً إما تخييراً لما توصولوا إليه بعقولهم من عدم وجوب تقليد الأعلم تعييناً، أو تعييناً بناءً على عدم جواز العدول والتبعيض، فتأمل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يمكن الذهاب إلى أن الواجب عليه هو اتباع الأعلم،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المفضول حتى وإن سلّم أنه المفضول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رأيه في هذه القضية هو الموافق </w:t>
      </w:r>
    </w:p>
    <w:p>
      <w:pPr>
        <w:pStyle w:val="BookText"/>
        <w:rPr/>
      </w:pPr>
      <w:r>
        <w:rPr>
          <w:rFonts w:ascii="Amiri" w:hAnsi="Amiri" w:eastAsia="Amiri" w:cs="Amiri"/>
          <w:color w:val="111111"/>
          <w:sz w:val="28"/>
          <w:sz w:val="28"/>
          <w:szCs w:val="28"/>
          <w:rtl w:val="true"/>
          <w:lang w:bidi="ar-SA"/>
        </w:rPr>
        <w:t>للموازين الفقهية ويرى رأي غيره خطأً، ولذا قال في العروة في كتاب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للقاضي أن يحكم بمقتضى رأي نفسه لا رأي غيره وإن كان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المناسق من الأدلة، ولأصالة عدم الاعتبار في غيره، ولكن لو اتفق رأيه مع رأي غيره من حيث تمامية الدليل لديه، لا اعتماداً على نظره يصح حينئذٍ</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تنازع المتخاصمين عند حاكم في أمر لاختلاف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الحاكم المترافع إليه الحكم في الواقعة بمقتضى رأيه وفتواه إجماعاً، لأنه حكم الله عنده وفي حق كل من يقلده أو يترافع إليه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لأنه يصدق أنه حكم بحكمهم، وأن الراد عليهم كالراد عليهم عليهم السلام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ولا يخفى جريان ما ذكر في المهذب والمستند والفقه من التعليل في أمر الحكم في الشؤون العامة فليلاحظ</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في غنى عن إثبات ذلك، إذ لم يقل المشهور بوجوب 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بجواز 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لغيره في الفتاوى</w:t>
      </w:r>
      <w:r>
        <w:rPr>
          <w:rStyle w:val="FootnoteAnchor"/>
          <w:rtl w:val="true"/>
        </w:rPr>
        <w:footnoteReference w:id="102"/>
      </w:r>
      <w:r>
        <w:rPr>
          <w:rFonts w:ascii="Amiri" w:hAnsi="Amiri" w:eastAsia="Amiri" w:cs="Amiri"/>
          <w:color w:val="111111"/>
          <w:sz w:val="28"/>
          <w:sz w:val="28"/>
          <w:szCs w:val="28"/>
          <w:rtl w:val="true"/>
          <w:lang w:bidi="ar-SA"/>
        </w:rPr>
        <w:t xml:space="preserve">أو في القضاء، وأما في الحكم فقد تطرقنا ههنا لجانب من البحث، وسنتكلم عنه في مكان آخر أيضاً إن شاء الله تعالى، وسنتطرق إلى صورة حدوث التدافع أيضاً، بأن رأى الأعلم نفوذ حكمه على سائر المجتهدين ورأى غير الأعلم عدمه، أو بالعكس بأن رأى غيره نفوذ حكم </w:t>
      </w:r>
      <w:bookmarkStart w:id="129" w:name="pg8204_100903"/>
    </w:p>
    <w:p>
      <w:pPr>
        <w:pStyle w:val="BookText"/>
        <w:rPr/>
      </w:pPr>
      <w:bookmarkEnd w:id="129"/>
      <w:r>
        <w:rPr>
          <w:rFonts w:ascii="Amiri" w:hAnsi="Amiri" w:eastAsia="Amiri" w:cs="Amiri"/>
          <w:color w:val="111111"/>
          <w:sz w:val="28"/>
          <w:sz w:val="28"/>
          <w:szCs w:val="28"/>
          <w:rtl w:val="true"/>
          <w:lang w:bidi="ar-SA"/>
        </w:rPr>
        <w:t>السابق سواء أكان أعلم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يقنعوا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غير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تقليدالأعلم، فيرجع الكلام إلى الفرض السابق</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8924020_1051229030"/>
      <w:bookmarkStart w:id="131" w:name="_Toc49"/>
      <w:bookmarkEnd w:id="130"/>
      <w:r>
        <w:rPr>
          <w:rtl w:val="true"/>
        </w:rPr>
        <w:t>ب</w:t>
      </w:r>
      <w:r>
        <w:rPr>
          <w:rtl w:val="true"/>
        </w:rPr>
        <w:t xml:space="preserve">: </w:t>
      </w:r>
      <w:r>
        <w:rPr>
          <w:rtl w:val="true"/>
        </w:rPr>
        <w:t>نفوذ حكم ولي الأمر، والجواب</w:t>
      </w:r>
      <w:bookmarkEnd w:id="131"/>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نلتزم بأن الذي ينفذ حكمه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تعدى منهم إلى خلفائهم كان كل المراجع أولياء للأمر، لا أحدهم بعينه، إذ دليل التعدي عام يشمل كل من جمع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فصلنا الكلام حول ذلك، والاستدلال بهذه الروايات وسائر الروايات في فصل آخر فليراجع</w:t>
      </w:r>
      <w:r>
        <w:rPr>
          <w:rFonts w:eastAsia="Amiri" w:cs="Amiri" w:ascii="Amiri" w:hAnsi="Amiri"/>
          <w:color w:val="111111"/>
          <w:sz w:val="28"/>
          <w:szCs w:val="28"/>
          <w:rtl w:val="true"/>
          <w:lang w:bidi="ar-SA"/>
        </w:rPr>
        <w:t xml:space="preserve">. </w:t>
      </w:r>
      <w:bookmarkStart w:id="132" w:name="pg8204_100904"/>
    </w:p>
    <w:p>
      <w:pPr>
        <w:pStyle w:val="Heading6"/>
        <w:numPr>
          <w:ilvl w:val="5"/>
          <w:numId w:val="1"/>
        </w:numPr>
        <w:rPr/>
      </w:pPr>
      <w:bookmarkStart w:id="133" w:name="__RefHeading___Toc8924022_1051229030"/>
      <w:bookmarkStart w:id="134" w:name="_Toc50"/>
      <w:bookmarkEnd w:id="132"/>
      <w:bookmarkEnd w:id="133"/>
      <w:r>
        <w:rPr>
          <w:rtl w:val="true"/>
        </w:rPr>
        <w:t>ج</w:t>
      </w:r>
      <w:r>
        <w:rPr>
          <w:rtl w:val="true"/>
        </w:rPr>
        <w:t xml:space="preserve">: </w:t>
      </w:r>
      <w:r>
        <w:rPr>
          <w:rtl w:val="true"/>
        </w:rPr>
        <w:t>مناقشة نظرية نفوذ حكم الفقيه الحاكم</w:t>
      </w:r>
      <w:bookmarkEnd w:id="134"/>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ينفذ حكمه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تسلم أزمة أمور الدولة بيده، وهو قائد الثورة الذي أسقط الحكم السابق وأقام مقامه حكومة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بها لم يقيدها أحد من الفقهاء بسقوط السلطة بيده، فللفقيه الولاية شرعاً، داخل الحكم كان أم خارجه</w:t>
      </w:r>
      <w:r>
        <w:rPr>
          <w:rStyle w:val="FootnoteAnchor"/>
          <w:rtl w:val="true"/>
        </w:rPr>
        <w:footnoteReference w:id="105"/>
      </w:r>
      <w:r>
        <w:rPr>
          <w:rFonts w:ascii="Amiri" w:hAnsi="Amiri" w:eastAsia="Amiri" w:cs="Amiri"/>
          <w:color w:val="111111"/>
          <w:sz w:val="28"/>
          <w:sz w:val="28"/>
          <w:szCs w:val="28"/>
          <w:rtl w:val="true"/>
          <w:lang w:bidi="ar-SA"/>
        </w:rPr>
        <w:t xml:space="preserve">،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حالة عدم إمكان تشكيل تلك الحكومة فالولاية لا تسقط، لأن الفقهاء قد ولاهم الله، فيجب على الفقيه أن يعمل بموجب ولايته قدر المستطاع، فعليه أن يأخذ الزكاة والخمس والخراج والجزية إن استطاع لينفق كل ذلك في مصالح المسلمين، وعليه إن استطاع أن يقيم حدود الله</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عدم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نهض بأمر تشكيل الحكومة فقيه عالم عادل فإنه يلي من أمور المجتمع ما كان يليه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ووجب على الناس أن يسمعوا له ويطيعوا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إن 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سائر الفقهاء المراجع، بل هذا الكلام ينافي ما ذكره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الفقهاء قد ولاهم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مستدلاً به على عدم سقوط الولاية إن أراد سقوط ولايتهم بمجرد تولي فقيه آخر للحكم، فإذا كان الله قد ولاهم فما المسقط لولايتهم عند تصدي فقيه للحكم؟، </w:t>
      </w:r>
    </w:p>
    <w:p>
      <w:pPr>
        <w:pStyle w:val="BookText"/>
        <w:rPr/>
      </w:pPr>
      <w:r>
        <w:rPr>
          <w:rFonts w:ascii="Amiri" w:hAnsi="Amiri" w:eastAsia="Amiri" w:cs="Amiri"/>
          <w:color w:val="111111"/>
          <w:sz w:val="28"/>
          <w:sz w:val="28"/>
          <w:szCs w:val="28"/>
          <w:rtl w:val="true"/>
          <w:lang w:bidi="ar-SA"/>
        </w:rPr>
        <w:t>اللهم إلاّ لو قام دليل خاص على الاستنثاء، وأن الولاية ثابتة للفقهاء مطلقاً سواء كانوا داخل الحكم أو خارجه إلاّ في صورة وقوع الحكم بيد أحدهم، ولكن لا يوجد ما يدل على هذا التخصيص، بل الدليل على عدمه كما أوضحناه هيهنا، وفصلناه في مواضع آخر من هذا الكتاب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اتضح تمامية ما ذكره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الفقيه أن يعمل بموجب ولايته قدر المستطاع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 إطلاقه وعدم تقييده بما لو وقع الحكم بيد أحد الفقهاء هو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يكون من الواجب على الحاكم، فقيهاً كان أو غيره، السماح لسائر الفقهاء بإعمال ولايتهم، ويكون سلب قدرة الفقيه على إعمال ولايته، أو عدم السماح له بتحصيلها، صداً عن المعروف، ومنعاً للحق عن ذي الحق، وكلاهما محرم، ولو منعت الحكومة الفقيه عن ذلك كان عليه أن يعمل ولايته قدر 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يسعى ليصل إلى مقدار ما له من الولاية مما اعتبره الشرع المقدس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الهرج والمرج، فقد فصلنا الحديث عنه في موضع آخر، وذكرنا أنه يندفع بشورى الفقهاء، ولا يصح الاستدلال بالأعم على الأخص، إضافة إلى أجوبة أخرى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عدم تمامية ما ذكره لو أريد به تعميم الولاية ووجوب الإطاعة، أنه قد استفاد ولاية الفقيه من مجموعة روايات مطلقة، لم تقيد فيها ولايته ووجوب متابعته بسيطرته على الدولة، أو عدم سيطرة غيره من الفقهاء عليها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الروايات التي 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وسنتي فيعلّمونها الناس من بعدي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مجال للشك في دلالة الرواية على ولاية الفقيه وخلافته في جميع الشؤون</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وإذا كان ذلك، فأين التقييد بصورة توليه للحكم أو صورة عدم تولي غيره له؟ بل إن ما ذكره بعد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والخلافة الواردة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مفهومها في شيء عن الخلافة التي تستعمل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عليخليفتي</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كالصريح في نفي هذا التقييد، إذ مما لا شك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بصورة توليه الحكم، أو بصورة عدم تولي غيره للحكم، فإذا كان العلماء خلفاء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لا تناط خلافتهم وولايتهم بالسلطة الظاهرية أبداً،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جارٍ في الرواية الأخرى التي استند إليها في إثبات ولاية الفقيه، 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بكت عليه الملائكة وبقاع الأرض التي كان يعبد الله عليها وأبواب السماء التي كان يصعد فيها بأعماله، وثلم في الإسلام ثلمة لا يسدها شيء، لأن المؤمنين الفقهاء حصون الإسلام كحصون سور المدينة لها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المؤمنين الفقهاء 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للفقهاء أن يحفظوا الإسلام بعقائده وأحكامه وأنظمته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فهل تنحصر حصنية الفقيه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استفيد منها 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الفقهاء بأن يحفظوا الإسلام بعقائده وأحكامه وأنظمته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بالفقيه المتولي للسلطة، حتى يخرج كافة الفقهاء الذين لم تقع السلطة بأيديهم عن الحصنية، وعن التكليف بحفظ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الجمع المحلى بأل، وإلاّ يلزم من ذلك تخصيص الأكثر وبلا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يجري في سائر الروايات التي استند إليها، فليراجع خاصة المقبولة ص</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ورواية أبي خديجة ص</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ورواية تحف العقول 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الواردة في ظرف عدم تسلم الفقيه والقاضي للسلطة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سقوط الفقيه عن الولاية وعن نفوذ التصرفات بمجرد تسلم فقيه آخر للسلطة، هو المحتاج للدليل،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قائم على العدم، حيث إن إطلاقات أدلة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الروايات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صورتي تسلم الفقيه للحكم وعدمه، وقدذكرنا الآن بعض الروايات، وذكرنا في فصل آخر ما يمكن أن يستدل به منها، فليراجع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نجد ولا في رواية واحدة تعليق الولاية على صورة وقوع السلطة الظاهرية بيد الفقيه، أو اشتراطها بعدم وقوعها بيد فقيه آخر، فليلاحظ</w:t>
      </w:r>
      <w:r>
        <w:rPr>
          <w:rFonts w:eastAsia="Amiri" w:cs="Amiri" w:ascii="Amiri" w:hAnsi="Amiri"/>
          <w:color w:val="111111"/>
          <w:sz w:val="28"/>
          <w:szCs w:val="28"/>
          <w:rtl w:val="true"/>
          <w:lang w:bidi="ar-SA"/>
        </w:rPr>
        <w:t xml:space="preserve">. </w:t>
      </w:r>
      <w:bookmarkStart w:id="135" w:name="pg8204_100908"/>
    </w:p>
    <w:p>
      <w:pPr>
        <w:pStyle w:val="Heading6"/>
        <w:numPr>
          <w:ilvl w:val="5"/>
          <w:numId w:val="1"/>
        </w:numPr>
        <w:rPr/>
      </w:pPr>
      <w:bookmarkStart w:id="136" w:name="__RefHeading___Toc8924024_1051229030"/>
      <w:bookmarkStart w:id="137" w:name="_Toc51"/>
      <w:bookmarkEnd w:id="135"/>
      <w:bookmarkEnd w:id="136"/>
      <w:r>
        <w:rPr>
          <w:rtl w:val="true"/>
        </w:rPr>
        <w:t>د</w:t>
      </w:r>
      <w:r>
        <w:rPr>
          <w:rtl w:val="true"/>
        </w:rPr>
        <w:t xml:space="preserve">: </w:t>
      </w:r>
      <w:r>
        <w:rPr>
          <w:rtl w:val="true"/>
        </w:rPr>
        <w:t>مناقشة نظرية نفوذ حكم السابق من الفقهاء</w:t>
      </w:r>
      <w:bookmarkEnd w:id="137"/>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النافذ حكمه هو السابق في إصدار الحكم، كما قالوا بذلك في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ما نحن فيه بباب القضاء باطل، وذلك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حكم الحاكم الجامع للشرائط في باب القضاء إنما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المقتضي وانتفاء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الكلام في أنه هل للحاكم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ذلك الحكم الثابت أم لا؟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صورة الشك المصداقي واحتمال صدور حكمه صحيحاً</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حكمه،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 فإنما بحكم الله استخف وعلينا قد رد والراد علينا الراد على الله وهو على حد الشرك بالله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حيث قالوا بشمول إطلاقه لصورة الشك، وقيام العلمي على الخلاف أيضاً، وللإجماع ولفطرية وعقلائية قبح نقض حكم القاضي، ولذا نجد اتفاق الملل عليه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باب حكومة الدولة فليس الكلام في أنه هل للحاكم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هل لأكثرية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ورفع حكم الحاكم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p>
    <w:p>
      <w:pPr>
        <w:pStyle w:val="BookText"/>
        <w:rPr/>
      </w:pPr>
      <w:r>
        <w:rPr>
          <w:rFonts w:ascii="Amiri" w:hAnsi="Amiri" w:eastAsia="Amiri" w:cs="Amiri"/>
          <w:color w:val="111111"/>
          <w:sz w:val="28"/>
          <w:sz w:val="28"/>
          <w:szCs w:val="28"/>
          <w:rtl w:val="true"/>
          <w:lang w:bidi="ar-SA"/>
        </w:rPr>
        <w:t xml:space="preserve">بل الكلام في أنه هل يحق للفقيه الجامع للشرائط أن يحكم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استشارة سائر الفقهاء،ودون اعتقاد الأكثرية بما ارتئاه، وانعقاد رأي أكثريتهم عليه، وأن من له صلاحية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فقيه فقيه منفرداً، أم شورى الفقهاء؟</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المقتضي لنفوذ حكم الفقيه الواحد، لا الرافع بعد تسليم المقتضي، فمدعي شورى الفقهاء يدعي عدمه، ومنكرها يدعي وجوده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فلا يصح على هذا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 عليهم كالراد علينا والراد علينا الراد على الله</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إذ الراد على الفقيه فيما هو من شأنه، وفيما نصبه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فيه رادّ على الإمام لا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المشهور إن لم نقل الإجماع، أفتوا بأن الفقيه لا ينفذ حكمه في الموضوعات الصرفة،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ككون هذا خمراً، وتلك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وللمقلد أن يعمل بظنه هو إن كان من أهل الخبرة، أو يعمل بقول خبير في ذلك وإن خالف تشخيص الفقيه؟ ولا يعد هذا رداً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ينصبه حاكماً في هذا الأمر، ليكون رده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وألا ترى أنه مع علم الفقيه الآخر بعدم أهلية الحاكم الأول له أن ينقض حكمه، بل قد يجب، لعدم الموضوع لحرمة النقض حينئذٍ، إذ لا يوجد مقتضٍ لنفوذ حكم الأول؟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لو سلّم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واحد من الفقهاء منفرداً، حاكماً في الشؤون العامة المرتبطة بكافة المقلدين وبغيرهم أيضاً، لكان المقتضي لنفوذ حكم الأول موجوداً،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للأكثرية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نقض حكمه، لأنه يعتبر رداً عليه، والرد عليه رد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نوقش في ذلك وادعي أن المستفاد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تطرقنا لذلك مفصلاً في 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للفقهاء الجامعين للشرائط كافة حُكّاماً، أي نصب كلٍّ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بشرط انضمام الآخرين،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كان المتعلق ارتباطياً كالشؤون العامة، فلا يكون الرد عليه وحده رداً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ليس منصوباً من قبله منفرداً في ذلك، فحكمه من هذه الجهة كحكم أي إنسان عادي، نعم يكون رد حكم شورى الفقهاء رداً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منصوبين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السبب في جعل حكم السابق هو النافذ في باب القضاء، وعدم جواز نقض اللاحق له، قد يكون هو أن عدم جعل ذلك، مع لحاظ عدم إمكان أو عدم عقلائية جعل الحاكم في القضاء هو أكثرية الفقهاء، لكون القضايا التي يرجع فيها للقضاء مما لا تعد ولا تحصى، مما يستلزم لو اشترطنا ذلك تعطيل أكثر المنازعات، مستلزماً للهرج والمرج واختلال النظام، أو بقاء الخصومات وتعطل الأحكام، أما في الشؤون العامة فيمكن لمحدوديتها الإرجاع للأكثرية، وبه يرتفع اختلال النظام، فلا يتوقف الرفع على جعل الأسبق هو النافذ فتأمل، وقد فصلنا الحديث عن هذا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فليس محققاً في مسألة حاكم الدولة، وإن ادعي في مسألة القاضي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اتفاق للملل على عدم نقض حاكم الدولة الجديد لأحكام الحاكم </w:t>
      </w:r>
    </w:p>
    <w:p>
      <w:pPr>
        <w:pStyle w:val="BookText"/>
        <w:rPr/>
      </w:pPr>
      <w:r>
        <w:rPr>
          <w:rFonts w:ascii="Amiri" w:hAnsi="Amiri" w:eastAsia="Amiri" w:cs="Amiri"/>
          <w:color w:val="111111"/>
          <w:sz w:val="28"/>
          <w:sz w:val="28"/>
          <w:szCs w:val="28"/>
          <w:rtl w:val="true"/>
          <w:lang w:bidi="ar-SA"/>
        </w:rPr>
        <w:t>القديم، بل الأمر بالعكس، إذ كثيراً ما ينقض اللاحق أحكام السابق، ولا ترى الملل ولا العقل في ذلك قبحاً، كما لا اتفاق للملل على قبح نقض العقلاء أو القادر منهم لحكم الحاكم إذا ظهر لهم خطؤه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اتفاق للملل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نفوذ حكم الحاكم مشروط بالوحدة، ولو كان شيء فهو في ظرف الوحدة لا بقيد الوحدة،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 العديد من الحكومات الشوروية بشكل أو بآخر في التاريخ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ممالك اليونان،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مملكة سبأ، قال تعالى فيكتابه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يا أَيُّهَا المَلأُ أَفْتُونِي فِي أَمْرِي ما كُنْتُ قاطِعَةً أَمْراً حَتَّى تَشْهَدُونِ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من القبيح عقلاً أن يكون لدولة واحدة عدة حكام عرضيين لكل منهم أن ينقض حكم الآخر متى شاء، لأنه يستلزم الهرج والمرج واختلال النظام والضرر العام كما لا يخفى، والقبح كما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التخصص والخروج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الحاكم واحداً، سواء كان في طوله حاكم آخر أم لا، كذلك يرتفع لو كان الحاكم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الأكثرية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عند الدوران بينهما يكون الثاني هو المقدم كما يوضحه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الدوران والترديد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ببنوده، وكذا سائر البراهين التي ذكرناها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إضافة إلى أن هذا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النافذ حكمه هو السابق في إصدار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لدفع الإشكال على إطلاقه، إذ ما هو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تقارنت الأحكام فمن المقدم؟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تتابعت ثبوتاً، ولكن لم يعلم السابق 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بندرة هاتين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بالتساقط عند التقارن، وعند الجهل بالمتقدم، كما في تزويج وكيلي امرأة إياها لرجلين في آن واحد أو جهل المتقدم، وكما في حكم قاضيين في آن واحد، والرجوع إلى القرعة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بتخيير الأمة عندئذٍ</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الأكثرية في هذه الصورة فقط أو غير ذلك،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فكرة نفوذ حكم من اختارته الأكثرية حاكماً</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النافذ حكمه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اختارته أكثرية الأمة حاكماً؟</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اختيار أكثرية الأمة لمرجع تقليد كحاكم، وبين كون إتخاذ القرار النهائي منوطاً بأكثرية معينة، ألا ترى في كل دول العالم الديمقراطي أن الأكثرية تنتخب حاكماً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جمهورية أو رئيس 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يكون القرار النهائي في الشؤون الخطيرة لأكثرية البرلمان أو مجلس الشعب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أخص من المدعى إذن، أي أن انتخاب أكثرية الأمة لمرجع تقليد كحاكم، لا يستلزم بالضرورة إعطاءه صلاحيات الحاكم الدكتاتوري، بل قد تكون صلاحياته هي صلاحيات الحاكم الديموقراطي، فانتخابه حاكماً لا يعني نفوذ حكمه في الشؤون العامة منفرداً ودون استشارة، وحتى مع معارضة الأكثرية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أكثرية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صحيحاً نافذاً لو كان في الإطار السليم وفي حدود الشريعة، إذ من الواضح أن الأكثرية لو ارتأت جواز السرقة وإباحة الزنا، وحرمة الصوم في رمضان للعامل مثلاً باعتبار أنه يضر باقتصاد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اتباعها، بل وجب إرشادها، وكذلك لو انتخبت الأكثرية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فاقداً للشروط المنصوصة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كالاجتهاد والعدالة وطهارة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ذلك، وكذلك لو انتخبت الأكثرية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فاقداً لما اشترطه الشارع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كالعدالة وطهارة المولد والذكورة والحرية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صحيح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تضح ذلك يتضح أن رأي الأكثرية ليس مشرّعاً، وليس في عرض </w:t>
      </w:r>
    </w:p>
    <w:p>
      <w:pPr>
        <w:pStyle w:val="BookText"/>
        <w:rPr/>
      </w:pPr>
      <w:r>
        <w:rPr>
          <w:rFonts w:ascii="Amiri" w:hAnsi="Amiri" w:eastAsia="Amiri" w:cs="Amiri"/>
          <w:color w:val="111111"/>
          <w:sz w:val="28"/>
          <w:sz w:val="28"/>
          <w:szCs w:val="28"/>
          <w:rtl w:val="true"/>
          <w:lang w:bidi="ar-SA"/>
        </w:rPr>
        <w:t>الشارع، بل في طوله، فعلينا أن نرجع للشارع أولاً لنجد أنه هل اشترط في الفقيه الحاكم اعتبار انضمام رأي أكثرية الفقهاء المراجع في الشؤون العامة، وكون قراراته نافذة إن صوبتها أكثريةالمراجع، وأنه لا حق له في الانفراد والاستبداد باتخاذ القرار، أم لم يشترط ذلك؟</w:t>
      </w:r>
    </w:p>
    <w:p>
      <w:pPr>
        <w:pStyle w:val="BookText"/>
        <w:rPr/>
      </w:pPr>
      <w:r>
        <w:rPr>
          <w:rFonts w:ascii="Amiri" w:hAnsi="Amiri" w:eastAsia="Amiri" w:cs="Amiri"/>
          <w:color w:val="111111"/>
          <w:sz w:val="28"/>
          <w:sz w:val="28"/>
          <w:szCs w:val="28"/>
          <w:rtl w:val="true"/>
          <w:lang w:bidi="ar-SA"/>
        </w:rPr>
        <w:t>فإذا كان الشرع قد اشترط ذلك وحدد صلاحية الحاكم بهذا الحد، فليس للأكثرية مخالفة الشرط، ونصب فقيه حاكماً بحيث يكون له أن يعمل ما يشاء سواء أوافقته أكثرية المراجع أم لا، ولو فعلت ذلك كان باطلاً، لمخالفته للشرع، كما لو انتخبت فاسقاً أو طفلاً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يمكن التمسك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الأكثرية للفقيه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حاكميته في الشؤون العامة بمفرده، ونفوذ حكمه لا بشرط الاجتماع مع سائر الفقهاء، كما أنه لا يمكن العكس أيضاً، إلا لو لم يدل دليل على ولاية الفقهاء، فيكون أمر الناس بيدهم،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 وحقوقهم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فلهم التفويض للأكثرية من الفقهاء، وأما التفويض لأحدهم فمنوط بمبحث حكومة أدلة الشورى على ولاية الناس على أنفسهم وسلطتهم عليها، مما يفصل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قبل صفحات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المستفاد من الروايات الدالة عليها ومن كلمات الفقهاء، غير مقيدة بما لو انتخبته أكثرية الأمة حاكماً، فلا يمكن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النافذ حكمه من الفقهاء من اختارته أكثرية الأمة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تقيد ولايته بالاختيار، فتأمل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تقييد ولايته في الشؤون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تشمل مقلديه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سائر الفقهاء المراجع، واشتراط نفوذها بموافقة الأكثرية، فقد بيّنا وجهه واستفادته من الأخبار وغيرها في فصل آخر</w:t>
      </w:r>
      <w:r>
        <w:rPr>
          <w:rFonts w:eastAsia="Amiri" w:cs="Amiri" w:ascii="Amiri" w:hAnsi="Amiri"/>
          <w:color w:val="111111"/>
          <w:sz w:val="28"/>
          <w:szCs w:val="28"/>
          <w:rtl w:val="true"/>
          <w:lang w:bidi="ar-SA"/>
        </w:rPr>
        <w:t xml:space="preserve">. </w:t>
      </w:r>
      <w:bookmarkStart w:id="138" w:name="pg8204_100915"/>
    </w:p>
    <w:p>
      <w:pPr>
        <w:pStyle w:val="Heading6"/>
        <w:numPr>
          <w:ilvl w:val="5"/>
          <w:numId w:val="1"/>
        </w:numPr>
        <w:rPr/>
      </w:pPr>
      <w:bookmarkStart w:id="139" w:name="__RefHeading___Toc8924026_1051229030"/>
      <w:bookmarkStart w:id="140" w:name="_Toc52"/>
      <w:bookmarkEnd w:id="138"/>
      <w:bookmarkEnd w:id="139"/>
      <w:r>
        <w:rPr/>
        <w:t>4</w:t>
      </w:r>
      <w:r>
        <w:rPr>
          <w:rtl w:val="true"/>
        </w:rPr>
        <w:t xml:space="preserve">: </w:t>
      </w:r>
      <w:r>
        <w:rPr>
          <w:rtl w:val="true"/>
        </w:rPr>
        <w:t>مناقشة فكرة نفوذ أمر أحدهم المخير</w:t>
      </w:r>
      <w:bookmarkEnd w:id="140"/>
    </w:p>
    <w:p>
      <w:pPr>
        <w:pStyle w:val="Heading6"/>
        <w:numPr>
          <w:ilvl w:val="5"/>
          <w:numId w:val="1"/>
        </w:numPr>
        <w:rPr/>
      </w:pPr>
      <w:bookmarkStart w:id="141" w:name="__RefHeading___Toc8924028_1051229030"/>
      <w:bookmarkStart w:id="142" w:name="_Toc53"/>
      <w:bookmarkEnd w:id="141"/>
      <w:r>
        <w:rPr>
          <w:rtl w:val="true"/>
        </w:rPr>
        <w:t>وأما الرابع</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نفوذ حكم أحدهم 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كتخيير المكلف بين خصال الكفارة، فغير تام أيضاً، لاستلزامه الهرج والمرج واختلال النظام والضرر النوعي، إذ لو اختار بعض الشعب رأي الفقيه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الحرب مع الدولة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وبعضهم الآخر رأي الفقيه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الحرب مع دولة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لزم الأخير بل وما قبله في الجملة، أو اختار بعضهم رأيه بالحرب وبعضهم رأي الآخر بالسلم أو الصلح، لزم الكل</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8924030_1051229030"/>
      <w:bookmarkStart w:id="144" w:name="_Toc54"/>
      <w:bookmarkEnd w:id="143"/>
      <w:r>
        <w:rPr>
          <w:rtl w:val="true"/>
        </w:rPr>
        <w:t>فلا مناص إلاّ من حكومة أكثرية الفقهاء</w:t>
      </w:r>
      <w:bookmarkEnd w:id="144"/>
    </w:p>
    <w:p>
      <w:pPr>
        <w:pStyle w:val="BookText"/>
        <w:rPr/>
      </w:pPr>
      <w:r>
        <w:rPr>
          <w:rFonts w:ascii="Amiri" w:hAnsi="Amiri" w:eastAsia="Amiri" w:cs="Amiri"/>
          <w:color w:val="111111"/>
          <w:sz w:val="28"/>
          <w:sz w:val="28"/>
          <w:szCs w:val="28"/>
          <w:rtl w:val="true"/>
          <w:lang w:bidi="ar-SA"/>
        </w:rPr>
        <w:t xml:space="preserve">وإذا لم تصح تلك الصور السابقة بأجمعها، فلا مناص من الالتزام بالشق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 حكم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 الأكثرية ليس أولى من نفوذ حكم الأقلية؟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تقديم رأي الأقلية من الفقهاء والخبراء على الأكثرية منهم، والأقلية من الناس على الأكثرية منهم، ترجيحاً للمرجوح بلا شك، لحكم الوجدان والعقل بذلك، فيما لو دار الأمر بينهما، لوضوح أن تضييع حق الأكثر رعاية لحق الأقل قبيح عقلاً وعرفاً، ولبداهة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 وحقوقهم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دار الأمر بين رفع اليد عن سلطة الأكثر أو سلطة الأقل، رجح الثاني دون شك، هذا بلحاظ المتعلق وفي مرحلة تزاحم المصالح والمفاسد فيها، وأما من حيث الطريق والكاشف عن الأصلح للناس، </w:t>
      </w:r>
    </w:p>
    <w:p>
      <w:pPr>
        <w:pStyle w:val="BookText"/>
        <w:rPr/>
      </w:pPr>
      <w:r>
        <w:rPr>
          <w:rFonts w:ascii="Amiri" w:hAnsi="Amiri" w:eastAsia="Amiri" w:cs="Amiri"/>
          <w:color w:val="111111"/>
          <w:sz w:val="28"/>
          <w:sz w:val="28"/>
          <w:szCs w:val="28"/>
          <w:rtl w:val="true"/>
          <w:lang w:bidi="ar-SA"/>
        </w:rPr>
        <w:t>فإن رأي الأكثرية من الخبراء والفقهاء أقرب للإصابة من رأي الأقلية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تكافأت الفئتان كيفاً، وأما إذا تخالفتا وكان الكيف مع الأقلية، بأن كان الأعلم فيهم مثلاً، فقد أجبنا في موضع آخر عن ذلك بوجوه،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الأكثرية من الخبراء لإحاطتها بالجوانب أقربللأصابة نوعاً من الأقلية، وقد أسهبنا الكلام عن ذلك في مواضع عديدة، كما يرشد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والروايات الواردة حول الاستشارة، وحول إطاعة العقلاء، وقد تحدثنا عن الآية الشريفة وعن هذه الروايات بما ينفع المقام جداً، في فصل الروايات الشريفة، فليراجع</w:t>
      </w:r>
      <w:r>
        <w:rPr>
          <w:rFonts w:eastAsia="Amiri" w:cs="Amiri" w:ascii="Amiri" w:hAnsi="Amiri"/>
          <w:color w:val="111111"/>
          <w:sz w:val="28"/>
          <w:szCs w:val="28"/>
          <w:rtl w:val="true"/>
          <w:lang w:bidi="ar-SA"/>
        </w:rPr>
        <w:t xml:space="preserve">. </w:t>
      </w:r>
      <w:bookmarkStart w:id="145" w:name="pg8204_100917"/>
    </w:p>
    <w:p>
      <w:pPr>
        <w:pStyle w:val="Heading4"/>
        <w:numPr>
          <w:ilvl w:val="3"/>
          <w:numId w:val="1"/>
        </w:numPr>
        <w:rPr/>
      </w:pPr>
      <w:bookmarkStart w:id="146" w:name="__RefHeading___Toc8924032_1051229030"/>
      <w:bookmarkStart w:id="147" w:name="_Toc55"/>
      <w:bookmarkEnd w:id="145"/>
      <w:bookmarkEnd w:id="146"/>
      <w:r>
        <w:rPr>
          <w:rtl w:val="true"/>
        </w:rPr>
        <w:t>الفصل الثالث</w:t>
      </w:r>
      <w:bookmarkEnd w:id="147"/>
    </w:p>
    <w:p>
      <w:pPr>
        <w:pStyle w:val="Heading5"/>
        <w:numPr>
          <w:ilvl w:val="4"/>
          <w:numId w:val="1"/>
        </w:numPr>
        <w:rPr/>
      </w:pPr>
      <w:bookmarkStart w:id="148" w:name="__RefHeading___Toc8924034_1051229030"/>
      <w:bookmarkStart w:id="149" w:name="_Toc56"/>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الاستدلال بالتركب من آحاد مفروضة الحجية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وبصدق العناوين على القليل والكثير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8204_100919"/>
      <w:bookmarkStart w:id="151" w:name="pg8204_100919"/>
      <w:bookmarkEnd w:id="151"/>
    </w:p>
    <w:p>
      <w:pPr>
        <w:pStyle w:val="Heading5"/>
        <w:numPr>
          <w:ilvl w:val="4"/>
          <w:numId w:val="1"/>
        </w:numPr>
        <w:rPr/>
      </w:pPr>
      <w:bookmarkStart w:id="152" w:name="pg8204_100919"/>
      <w:bookmarkStart w:id="153" w:name="__RefHeading___Toc8924036_1051229030"/>
      <w:bookmarkStart w:id="154" w:name="_Toc57"/>
      <w:bookmarkEnd w:id="152"/>
      <w:bookmarkEnd w:id="153"/>
      <w:r>
        <w:rPr>
          <w:rtl w:val="true"/>
        </w:rPr>
        <w:t>الاستدلال بالتركب من آحاد كلها حجج</w:t>
      </w:r>
      <w:bookmarkEnd w:id="154"/>
    </w:p>
    <w:p>
      <w:pPr>
        <w:pStyle w:val="BookText"/>
        <w:rPr/>
      </w:pPr>
      <w:r>
        <w:rPr>
          <w:rFonts w:ascii="Amiri" w:hAnsi="Amiri" w:eastAsia="Amiri" w:cs="Amiri"/>
          <w:color w:val="111111"/>
          <w:sz w:val="28"/>
          <w:sz w:val="28"/>
          <w:szCs w:val="28"/>
          <w:rtl w:val="true"/>
          <w:lang w:bidi="ar-SA"/>
        </w:rPr>
        <w:t>ويمكن أن يستدل على حجية رأي أكثرية شورى الفقهاء، بمعنى المنجزية والمعذرية، بل بمعنى الكاشفية، ويلزمه لزوماً بيّناً بالمعنى الأعم نفوذ رأيهم ولزوم الاتباع أيضاً،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رأي الأكثرية حجة حتماً، لتركبها من آحادٍ رأي كل واحد منهم حجة قطعاً، لفرض كون أعضائها الفقهاء جامعي الشرائط، وليس انضمام رأي فقيه آخر إلى رأي الفقيه المقلَّد موهناً لحجيته أو مانعاً عن حجيته كما لا يخفى، لوضوح عدم أخذ عدم المطابقة لقول فقيه آخر شرطاً في حجية رأيه، وإذا كانت مطابقة فتوى الفقيه للقياس لا عن استناد إليه غير مسقطة لحجية رأيه فكيف بمطابقته لرأي فقيه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رأي الأكثرية حجة، بمعنى الكاشفية، وجب اتباعها تخييراً أو تعييناً، والأول إن اعتبرنا مزية التعدد والتعاضد والأكثرية مرجحة، والثاني إن اعتبرناها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ينتج حجية رأي الأكثرية بما هي أكثرية، إذ الهيئة الاجتماعية أجنبية عن جهة الحجية، بل غاية الإنتاج كون رأي كل فقيه حجة، والهيئة الاجتماعية غير ضارة، وعلى ذلك فلا تكون مزية للأكثرية على الأقلية، بل على الواحد أصلاً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تفسير الحجية بالكاشفية فإنه لا ريب في أن الكاشفية النوعية لرأي اجتمع عليه أكثر الفقهاء، أقوى من كاشفية رأي أحدهم عن </w:t>
      </w:r>
      <w:bookmarkStart w:id="155" w:name="pg8204_100920"/>
    </w:p>
    <w:p>
      <w:pPr>
        <w:pStyle w:val="BookText"/>
        <w:rPr/>
      </w:pPr>
      <w:bookmarkEnd w:id="155"/>
      <w:r>
        <w:rPr>
          <w:rFonts w:ascii="Amiri" w:hAnsi="Amiri" w:eastAsia="Amiri" w:cs="Amiri"/>
          <w:color w:val="111111"/>
          <w:sz w:val="28"/>
          <w:sz w:val="28"/>
          <w:szCs w:val="28"/>
          <w:rtl w:val="true"/>
          <w:lang w:bidi="ar-SA"/>
        </w:rPr>
        <w:t>الواقع، وعليها</w:t>
      </w:r>
      <w:r>
        <w:rPr>
          <w:rStyle w:val="FootnoteAnchor"/>
          <w:rtl w:val="true"/>
        </w:rPr>
        <w:footnoteReference w:id="122"/>
      </w:r>
      <w:r>
        <w:rPr>
          <w:rFonts w:ascii="Amiri" w:hAnsi="Amiri" w:eastAsia="Amiri" w:cs="Amiri"/>
          <w:color w:val="111111"/>
          <w:sz w:val="28"/>
          <w:sz w:val="28"/>
          <w:szCs w:val="28"/>
          <w:rtl w:val="true"/>
          <w:lang w:bidi="ar-SA"/>
        </w:rPr>
        <w:t>يتفرع لزوم الاتباع</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8924038_1051229030"/>
      <w:bookmarkStart w:id="157" w:name="_Toc58"/>
      <w:bookmarkEnd w:id="156"/>
      <w:r>
        <w:rPr>
          <w:rtl w:val="true"/>
        </w:rPr>
        <w:t>الاستدلال بالصدق على القليل والكثير</w:t>
      </w:r>
      <w:bookmarkEnd w:id="157"/>
    </w:p>
    <w:p>
      <w:pPr>
        <w:pStyle w:val="BookText"/>
        <w:rPr/>
      </w:pPr>
      <w:r>
        <w:rPr>
          <w:rFonts w:ascii="Amiri" w:hAnsi="Amiri" w:eastAsia="Amiri" w:cs="Amiri"/>
          <w:color w:val="111111"/>
          <w:sz w:val="28"/>
          <w:sz w:val="28"/>
          <w:szCs w:val="28"/>
          <w:rtl w:val="true"/>
          <w:lang w:bidi="ar-SA"/>
        </w:rPr>
        <w:t xml:space="preserve">ويمكن الاستدلال على الحجية بوجه آخر، هو 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بحث 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اتفقوا فالظاهر أنه لا دليل على تعيين واحد منهم، فيجوز تقليد جميعهم كما يجوز تقليد بعضهم، وأدلة حجية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حجية الفتوى بنحو صرف الوجود، الصادق على القليل والكثير، فكما أنه لو تعدد الخبر الدال على حكم معين، يكون الجميع حجة على ذلك الحكم، كما يكون البعض كذلك، ولا تختص الحجية بواحد منها معين أو مردد، كذلك لو تعددت الفتوى، ويشير إلى ذلك آيتي النفر والسؤال، بناءً على ظهورهما في التقليد، ورواية ابن مهزيار الواردة في حكم الإتمام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أخذ التعيين للمجتهد في مفهوم التقليد</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حجية الفتوى ككلي طبيعي، الصادق على كل وأكثر وبعض الأفراد كصدقه على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ينتج حجية الأكثرية فيما نحن فيه ككل، ما دل الدليل فيه على حجية أمر وشبهه، وإن لم ينتج الامتياز، اللهم إلا مع الضميمة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يجلس في مجلس الحكم حكام على نحو الشورى، فينظرون في الأحكام ويقضون بأكثرية الآراء، فالظاهر أنه لا بأس به، لأنه أتقن من حكم القاضي الواحد، ويشمله إطلاقات الأدلة، ولا إشكال في </w:t>
      </w:r>
    </w:p>
    <w:p>
      <w:pPr>
        <w:pStyle w:val="BookText"/>
        <w:rPr/>
      </w:pPr>
      <w:r>
        <w:rPr>
          <w:rFonts w:ascii="Amiri" w:hAnsi="Amiri" w:eastAsia="Amiri" w:cs="Amiri"/>
          <w:color w:val="111111"/>
          <w:sz w:val="28"/>
          <w:sz w:val="28"/>
          <w:szCs w:val="28"/>
          <w:rtl w:val="true"/>
          <w:lang w:bidi="ar-SA"/>
        </w:rPr>
        <w:t xml:space="preserve">ذلك إذا كان القضاة متساوين، أو كان الأعلم في جانب الأكثرية، أما إذا كان الأعلم في جانب الأقلية فالظاهر عدم الإشكال فيه، إذ المفروض أن الأكثرية حكموا والأقلية لم تحكم، وإنما قالت في بحث تداول الآراء رأيها، وفرق بين إبداء الرأي وبين الحكم، ولم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يشترط الأعلمية في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غير الأعلم مع وجود الأعلم فيما إذا لم يحكم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تبقى صورة ما لو حكمت الأقلية بخلاف حكمالأكثرية لاحقاً، بل يبقى الكلام حول أنه هل لها أن تحكم، أي هل يصح أو يجوز، بخلاف رأي الأكثرية؟ ويبقى أنه ماذا لو سبقت الأقلية الأكثرية في إصدار الحكم؟ وقد جرى الكلام عن ذلك في مطاوي الكتاب فراجع، كما سنشير لبعض جوانبه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وافق رأي المقلَّد رأي أكثرية الشورى، أو سكت ولم يخالف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تخالف رأي المقلَّد ورأي الأكثرية، فهل يجوز لمقلِّد هذا الفقيه الرجوع إلى رأي الأكثرية؟ </w:t>
      </w:r>
      <w:bookmarkStart w:id="158" w:name="pg8204_100922"/>
    </w:p>
    <w:p>
      <w:pPr>
        <w:pStyle w:val="Heading5"/>
        <w:numPr>
          <w:ilvl w:val="4"/>
          <w:numId w:val="1"/>
        </w:numPr>
        <w:rPr/>
      </w:pPr>
      <w:bookmarkStart w:id="159" w:name="__RefHeading___Toc8924040_1051229030"/>
      <w:bookmarkStart w:id="160" w:name="_Toc59"/>
      <w:bookmarkEnd w:id="158"/>
      <w:bookmarkEnd w:id="159"/>
      <w:r>
        <w:rPr>
          <w:rtl w:val="true"/>
        </w:rPr>
        <w:t>الموانع المتوهمة عن الرجوع إلى رأي الأكثرية</w:t>
      </w:r>
      <w:bookmarkEnd w:id="160"/>
    </w:p>
    <w:p>
      <w:pPr>
        <w:pStyle w:val="BookText"/>
        <w:rPr/>
      </w:pPr>
      <w:r>
        <w:rPr>
          <w:rFonts w:ascii="Amiri" w:hAnsi="Amiri" w:eastAsia="Amiri" w:cs="Amiri"/>
          <w:color w:val="111111"/>
          <w:sz w:val="28"/>
          <w:sz w:val="28"/>
          <w:szCs w:val="28"/>
          <w:rtl w:val="true"/>
          <w:lang w:bidi="ar-SA"/>
        </w:rPr>
        <w:t>ما ربما يتوهم مانعاً هو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التبعيض في القليد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العدول، سواء قلنا بوجوب تقليد الأعلم أم لم نقل، فلا يجوز العدول من المقلد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تقليد الأعلم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الثالث فقد بحثناه في موضع آخر فليراجع</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8924042_1051229030"/>
      <w:bookmarkStart w:id="162" w:name="_Toc60"/>
      <w:bookmarkEnd w:id="161"/>
      <w:r>
        <w:rPr>
          <w:rtl w:val="true"/>
        </w:rPr>
        <w:t xml:space="preserve">الأجوبة </w:t>
      </w:r>
      <w:r>
        <w:rPr>
          <w:rtl w:val="true"/>
        </w:rPr>
        <w:t>:</w:t>
      </w:r>
      <w:bookmarkEnd w:id="162"/>
    </w:p>
    <w:p>
      <w:pPr>
        <w:pStyle w:val="BookText"/>
        <w:rPr/>
      </w:pPr>
      <w:r>
        <w:rPr>
          <w:rFonts w:ascii="Amiri" w:hAnsi="Amiri" w:eastAsia="Amiri" w:cs="Amiri"/>
          <w:color w:val="111111"/>
          <w:sz w:val="28"/>
          <w:sz w:val="28"/>
          <w:szCs w:val="28"/>
          <w:rtl w:val="true"/>
          <w:lang w:bidi="ar-SA"/>
        </w:rPr>
        <w:t>وأما الأولان، ففيهما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التي أقيمت على عدم جواز التبعيض أو العدول غير تامة، بل الدليل قائم على العكس، وبعض الكلام عن ذلك</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 دليلاً للمنع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حجية رأي الفقيه الثاني بعد الالتزام بتقليد الفقيه الأول، وأن ذلك هو مقتضى القاعدة عند دوران الأمر بين التعيين والتخيير، والاستصحاب، والإجماع</w:t>
      </w:r>
      <w:r>
        <w:rPr>
          <w:rFonts w:eastAsia="Amiri" w:cs="Amiri" w:ascii="Amiri" w:hAnsi="Amiri"/>
          <w:color w:val="111111"/>
          <w:sz w:val="28"/>
          <w:szCs w:val="28"/>
          <w:rtl w:val="true"/>
          <w:lang w:bidi="ar-SA"/>
        </w:rPr>
        <w:t xml:space="preserve">. </w:t>
      </w:r>
      <w:bookmarkStart w:id="163" w:name="pg8204_100923"/>
    </w:p>
    <w:p>
      <w:pPr>
        <w:pStyle w:val="Heading5"/>
        <w:numPr>
          <w:ilvl w:val="4"/>
          <w:numId w:val="1"/>
        </w:numPr>
        <w:rPr/>
      </w:pPr>
      <w:bookmarkStart w:id="164" w:name="__RefHeading___Toc8924044_1051229030"/>
      <w:bookmarkStart w:id="165" w:name="_Toc61"/>
      <w:bookmarkEnd w:id="163"/>
      <w:bookmarkEnd w:id="164"/>
      <w:r>
        <w:rPr>
          <w:rtl w:val="true"/>
        </w:rPr>
        <w:t>الوجوب التخييري للتقليد فطري أو عقلي وهو أعم</w:t>
      </w:r>
      <w:bookmarkEnd w:id="165"/>
    </w:p>
    <w:p>
      <w:pPr>
        <w:pStyle w:val="BookText"/>
        <w:rPr/>
      </w:pPr>
      <w:r>
        <w:rPr>
          <w:rFonts w:ascii="Amiri" w:hAnsi="Amiri" w:eastAsia="Amiri" w:cs="Amiri"/>
          <w:color w:val="111111"/>
          <w:sz w:val="28"/>
          <w:sz w:val="28"/>
          <w:szCs w:val="28"/>
          <w:rtl w:val="true"/>
          <w:lang w:bidi="ar-SA"/>
        </w:rPr>
        <w:t>ويرد عليها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التخييري للتقليد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الاجتهاد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أو عقلي أو شرعي، وعلى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واضح جلي، إذ العقل حاكم بوجوب الرجوع إلى العالم وإلى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مُدرك لذلك بناءً على أنه ليس إلاّ مدركاً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في نظره الرجوع إلى هذا الخبير في كل المسائل، أو في بعضها والرجوع في البعض الآخر إلى آخر، أو الاستمرار في الرجوع إلى هذا الخبير أو الانتقال إلى غيره، بل هو مستقل بكفاية كل واحد من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يكشف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وبناؤهم، ألا ترى سيرتهم قد جرت على الرجوع إلى هذا الطبيب فترة، ثم العدول لطبيب آخر، لا لأعلميته بل لمجرد أقربية مكانه إلى داره، أو لحسن أخلاقه أو لصداقته أو لمضبوطية مواعيده أو لأي سبب آخر لا مساس له بجهة الطريقية، ومما لا يدخله في دائرة باب التزاحم، أو إن أدخله فمما لا يرى العقلاء كونه مزاحماً أقوى ولا مساوياً لمصلحة الواقع المفوَّتة فرضاً بإتباع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تراهم يرجعون إلى هذا الطبيب العام في مرض، ثم إلى طبيب عام آخر في مرض آخر أو في ذات المرض، بل وإن تخالفت الآراء، ولا يرون للأسبقية ميزة، إلاّ لو أوجبت تفاوتاً في جهة الطريقية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طرح هذا التفصيل على العقلاء مثار للاستغراب إن لم يكن باعثاً على السخرية، ألا تراهم يسخرون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تراجع طبيباً جديداً لدوران الأمر بين التعيين والتخيير، لأن رأي الأول حجة قطعاً أما الثاني فحجيته </w:t>
      </w:r>
    </w:p>
    <w:p>
      <w:pPr>
        <w:pStyle w:val="BookText"/>
        <w:rPr/>
      </w:pPr>
      <w:r>
        <w:rPr>
          <w:rFonts w:ascii="Amiri" w:hAnsi="Amiri" w:eastAsia="Amiri" w:cs="Amiri"/>
          <w:color w:val="111111"/>
          <w:sz w:val="28"/>
          <w:sz w:val="28"/>
          <w:szCs w:val="28"/>
          <w:rtl w:val="true"/>
          <w:lang w:bidi="ar-SA"/>
        </w:rPr>
        <w:t>التخييرية غير ثابتة فلا يجوز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حجية رأي الجديد، أو إن الاستصحاب يقتضي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جرى ديدنهم وبناؤهم في كافة الشؤون من الهندسة والفيزياء والكيمياء والسفر والحضر؛ ألا تراهم يسألون هذا المعلم في مسألة فيزيائية، ويقبلون منه حكمها وإن لم يفهموا برهانها، ثم يسألون آخر في مسألة أخرى، أو ينتقلون كلياً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ترىالتعليل بما ذكر غريباً عليهم، نعم قد لايفعلون لعلة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حكم العقل وبناء العقلاء لا مجال للاستصحاب، لوروده عليه، إذ لا شك لاحق، ولا لتلك الأصالة أو القاعدة، للورود بل للتخصص، فتأمل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سيأتي مختصراً من الإشكال على كل واحد من هذه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الأمر بالتقليد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الوجوب والأمر الدال عليه شرعياً، فلا يخلو إما أن نقول بكونه إرشادياً أو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بناءً على الإرشادية، فالأمر كما ذكر، لعوده إلى الإرشاد لحكم العقل أو الفطرة، وحكمها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 الوجوب شرعياً والأمر مولوياً فكذلك أيضاً، إذ يرد إضافة إلى ما سبق أنه ليس في ما استدل به لجواز التقليد ما يدل على عدم جواز العدول أو التبعيض، بل هي دالة على الجواز لإطلاقها أو لعمومها، ألا ترى أن آية النبأ والنفر والذكر مطلقة، والمتفاهم العرفي منها حجية كلام المنذر وأهل الذكر والعادل، سواء رجع إليه في مسائله الآخر، أم رجع إلى آخر فيها، وسواء كان هو مرجعه سابقاً أو غيره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يحق للعبد الاعتذار عن عدم سماع إنذار المنذر أو خبر العادل أو أهل الذكر بأن منذره ومخبره كان في السابق شخصاً آخر، وأن في سماع كلام هذا عدولاً أو تبعيضاً، وألا ترى بالوجدان استحقاقه للعقاب والذم لو خالف؟</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وألا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سماعهم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يتحيرون إن تخالف المنذران والمخبران وإن كان أحدهما هو المرجع لهذه الطائفة عادةً والآخر لتلك، إلاّ لو كان اطمينان بقول من يرجع إليه عادة، وهو خروج عن محل البحث، ولذا لو وجد الاطمينان بكلام الآخر دونه رجعواللآخر، فالكلام في صورة التساوي وعدم وجود مرجح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ترى أن المنذرين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وزمن نزول الآيات كانوا إذا سألوا منذراً مسألة وعملوا على طبقها ألزموا أنفسهم بالرجوع إليه في كل المسائل، أو اعترض عليهم معترض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أكثر بملاحظة أوامر الموالي العرفية، فلو قال المولى لعبيده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في معرفة أحكامي إلى وكلائي، فهل تراهم يفهمون إلا ما ذكرنا؟ وهل ترى مقبِّحاً لعبد سأل هذا الوكيل مسألة ثم سأل الآخر أخرى، أو سأل هذا مسائل ثم عدل في أسئلته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ترى في كل الروايات ردعاً عن سؤال زرارة مثلاً لمن كان يسأل أبان أو حمران أولاً، أو عن التبعيض في سؤال من وجد من الرواة، علماً بأن الرواة لم يكونوا صرف ناقلين للروايات بل كانوا مستنبطين، وروايات باب التعادل والتراجيح وغيرها بذلك شاهدة، فعدم الردع مع كون المسألة عامة الابتلاء، بل وكون العرف غير مفرِّق، دليل قوي على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 الروايات ينفي دعوى منع التبعيض أو العدول</w:t>
      </w:r>
    </w:p>
    <w:p>
      <w:pPr>
        <w:pStyle w:val="BookText"/>
        <w:rPr/>
      </w:pPr>
      <w:r>
        <w:rPr>
          <w:rFonts w:ascii="Amiri" w:hAnsi="Amiri" w:eastAsia="Amiri" w:cs="Amiri"/>
          <w:color w:val="111111"/>
          <w:sz w:val="28"/>
          <w:sz w:val="28"/>
          <w:szCs w:val="28"/>
          <w:rtl w:val="true"/>
          <w:lang w:bidi="ar-SA"/>
        </w:rPr>
        <w:t xml:space="preserve">ويجري جميع ما ذكرناه في الروايات التي استدل بها لجواز التقليد، كالتوقيع المروي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فإنه لا تُعَدّ استفادة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للراوي الآخر الذي يراد الرجوع إليه بعد الرجوع فترة إلى راوٍ سابق، بل احتمالها، مخالفاً للفهم العرفي وللمنساق منها ولعمومها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يكون من رجع إلى راوٍ في حادثة وإلى آخر في أخرى من نوع واحد أو من ماهيتين مختلفتين ممتثلاً لهذا الحديث؟ وألا يكون راجعاً إلى رواة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شك في عدم صحة السلب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العلة معممة ومخصصة، فإذا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الرجوع لرواة الحديث بأنهم حججه علينا، فما المخصص لحجية كلامهم علينا بما لو لم يسبق رجوع إلى فقيه آخر في هذه المسألة أو غيرها؟ إلاّ رفع اليد عن العموم والإطلاق بلا وجه أصلاً؟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للنقاش في الإطلاق باعتبار عدم ثبوت كونه في مقام البيان من هذه الجهة، وإلاّ لزم عدم تمامية أكثر الإطلاقات،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وغيرها، لدعوى </w:t>
      </w:r>
      <w:bookmarkStart w:id="166" w:name="pg8204_100928"/>
    </w:p>
    <w:p>
      <w:pPr>
        <w:pStyle w:val="BookText"/>
        <w:rPr/>
      </w:pPr>
      <w:bookmarkEnd w:id="166"/>
      <w:r>
        <w:rPr>
          <w:rFonts w:ascii="Amiri" w:hAnsi="Amiri" w:eastAsia="Amiri" w:cs="Amiri"/>
          <w:color w:val="111111"/>
          <w:sz w:val="28"/>
          <w:sz w:val="28"/>
          <w:szCs w:val="28"/>
          <w:rtl w:val="true"/>
          <w:lang w:bidi="ar-SA"/>
        </w:rPr>
        <w:t xml:space="preserve">كونه تعالى في مقام أصل التشريع أو لعدم إحراز كونه تعالى في مقام البيان من هذه الجهة أو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 اللفظ والعربية وتقديم الإيجاب مثلاً، وكجزئية شيء أو شرطيته، وكون المسؤول حراً أو عبداً، طاهر المولد أو غيره، كبيراًأو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بحثنا عن ذلك في موضع آخر، فلا داعي للتكرار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8924046_1051229030"/>
      <w:bookmarkStart w:id="168" w:name="_Toc62"/>
      <w:bookmarkEnd w:id="167"/>
      <w:r>
        <w:rPr>
          <w:rtl w:val="true"/>
        </w:rPr>
        <w:t>الاستناد للإطلاق المقامي واللفظي</w:t>
      </w:r>
      <w:bookmarkEnd w:id="168"/>
    </w:p>
    <w:p>
      <w:pPr>
        <w:pStyle w:val="BookText"/>
        <w:rPr/>
      </w:pPr>
      <w:r>
        <w:rPr>
          <w:rFonts w:ascii="Amiri" w:hAnsi="Amiri" w:eastAsia="Amiri" w:cs="Amiri"/>
          <w:color w:val="111111"/>
          <w:sz w:val="28"/>
          <w:sz w:val="28"/>
          <w:szCs w:val="28"/>
          <w:rtl w:val="true"/>
          <w:lang w:bidi="ar-SA"/>
        </w:rPr>
        <w:t>ونزيد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ذهبوا إلى البراءة في الشك في الجزئية والشرطية في الأقل والأكثر الارتباطيين، 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ذهب المشهور إلى البراءة مع ذهابهم إلى الصحيح</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ومنشأ الذهاب إليها إما التمسك بالإطلاق المقامي أو إرجاع الشك إلى الشك في التكليف وانحلال العلم الإجمالي، وكلا الشقين نافع في المقام، أما الأول فواضح، أما الثاني فلالتزامهم بالبراءة مع دوران الأمر بين التعيين والتخيير، إذ يدور الأمر بين تعيين الأكثر أو التخيير بينه وبين الأقل، فالنسبة بين المسألتين العموم المطلق، لأعمية مسألة الدوران بين التعيين والتخيير من مسألة الدوران بين الأقل والأكثر، لشمول الأولى الدوران بين المتباينين</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8924048_1051229030"/>
      <w:bookmarkStart w:id="170" w:name="_Toc63"/>
      <w:bookmarkEnd w:id="169"/>
      <w:r>
        <w:rPr>
          <w:rtl w:val="true"/>
        </w:rPr>
        <w:t>الجواب عن إشكال أن المقام من الدوران بين المتباينين</w:t>
      </w:r>
      <w:bookmarkEnd w:id="1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يستشكل بأن في صورة الدوران بين الأقل والأكثر، يكون الأكثر موضوعاً لقاعدة البراءة العقلية أو الشرعية، فلا دوران حينئذٍ، عكس المقام مما دار فيه الأمر بين المتباينين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الأول أو العدول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في المقام </w:t>
      </w:r>
    </w:p>
    <w:p>
      <w:pPr>
        <w:pStyle w:val="BookText"/>
        <w:rPr/>
      </w:pPr>
      <w:r>
        <w:rPr>
          <w:rFonts w:ascii="Amiri" w:hAnsi="Amiri" w:eastAsia="Amiri" w:cs="Amiri"/>
          <w:color w:val="111111"/>
          <w:sz w:val="28"/>
          <w:sz w:val="28"/>
          <w:szCs w:val="28"/>
          <w:rtl w:val="true"/>
          <w:lang w:bidi="ar-SA"/>
        </w:rPr>
        <w:t>أيضاً يجري الإطلاق المقامي، بل ويزيد عليه بجريان الإطلاق اللفظي فلا تصل النوبة للدوران بين التعيين والتخيير، لشمول دليل الحجية للطرفين، فهو مخير حتماً، فلا موضوع للقاعدة، وأما إن لم يتم أحد الإطلاقين فقول الفقيه الثاني ليس بحجة لمن قلد أولاً غيره، والشك في الحجية موضوع عدم الحجية، فلا معنى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وإلاّ لصح دعوى الدوران بين تعيين الرجوع إلى خبر الثقة أو التخييربينه وبين الرجوع إلى قول الرمال وأشباهه والأصل التعيين،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وجود استصحاب عدم التعيين لكونه حادثاً، وهو حاكم على مقتضى الأصل عند الدوران بين التعيين والتخيير أو وارد، وذلك بعد فرض الشمول لهما ابتداءً، أو نقول باستصحاب الحجية الابتدائية لكليهما وهما مقدمان عليه</w:t>
      </w:r>
      <w:r>
        <w:rPr>
          <w:rStyle w:val="FootnoteAnchor"/>
          <w:rtl w:val="true"/>
        </w:rPr>
        <w:footnoteReference w:id="133"/>
      </w:r>
      <w:r>
        <w:rPr>
          <w:rFonts w:ascii="Amiri" w:hAnsi="Amiri" w:eastAsia="Amiri" w:cs="Amiri"/>
          <w:color w:val="111111"/>
          <w:sz w:val="28"/>
          <w:sz w:val="28"/>
          <w:szCs w:val="28"/>
          <w:rtl w:val="true"/>
          <w:lang w:bidi="ar-SA"/>
        </w:rPr>
        <w:t>، لكونه مسبّباً وإن كان أصلاً عقلياً،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جواب آخر عن خصوص قاعدة الدوران، وهو النقض بمسألة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الاحتياط ولو كان مستلزماً للتكرار وأمكن الاجتهاد والتقليد</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إذ كيف يلتزم بعدم جواز العدول عن الحي إلى الحي لقاعدة الدوران ويلتزم بجواز الاحتياط مع وجود هذه القاعدة مع أنه نوع عدول أو تبعيض؟</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 ذيل المسألة الحادية عشرة، تعليلاً لكلام الماتن من عدم جواز العدول من الحي إلى الحي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ويقتضيه الأصل العقلي المتقدم، للشك في حجية فتوى من يريد العدول إليه، والعلم بحجية فتوى من يريد العدول عنه، وفي مثله يبنى على عدم حجية مشكوك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مرجع إلاّ الأصل العقلي وهو أصالة التعيين عند التردد في الحجية بين التعيين والتخيير</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والتزم في المسألة الرابعة بكلام الماتن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جواز الاحتياط ولو كان مستلزماً للتكرار وأمكن الاجتهاد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سيأتي لهذا البحث تتمة في موضع آخر بإذنه تعالى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بتام صغرى، ولو تحقق فهو محتمل الاستناد بل معلومه</w:t>
      </w:r>
      <w:r>
        <w:rPr>
          <w:rFonts w:eastAsia="Amiri" w:cs="Amiri" w:ascii="Amiri" w:hAnsi="Amiri"/>
          <w:color w:val="111111"/>
          <w:sz w:val="28"/>
          <w:szCs w:val="28"/>
          <w:rtl w:val="true"/>
          <w:lang w:bidi="ar-SA"/>
        </w:rPr>
        <w:t xml:space="preserve">. </w:t>
      </w:r>
      <w:bookmarkStart w:id="171" w:name="pg8204_100931"/>
    </w:p>
    <w:p>
      <w:pPr>
        <w:pStyle w:val="Heading5"/>
        <w:numPr>
          <w:ilvl w:val="4"/>
          <w:numId w:val="1"/>
        </w:numPr>
        <w:rPr/>
      </w:pPr>
      <w:bookmarkStart w:id="172" w:name="__RefHeading___Toc8924050_1051229030"/>
      <w:bookmarkStart w:id="173" w:name="_Toc64"/>
      <w:bookmarkEnd w:id="171"/>
      <w:bookmarkEnd w:id="172"/>
      <w:r>
        <w:rPr>
          <w:rtl w:val="true"/>
        </w:rPr>
        <w:t xml:space="preserve">الملحق </w:t>
      </w:r>
      <w:r>
        <w:rPr>
          <w:rtl w:val="true"/>
        </w:rPr>
        <w:t>(</w:t>
      </w:r>
      <w:r>
        <w:rPr/>
        <w:t>1</w:t>
      </w:r>
      <w:r>
        <w:rPr>
          <w:rtl w:val="true"/>
        </w:rPr>
        <w:t>)</w:t>
      </w:r>
      <w:bookmarkEnd w:id="173"/>
    </w:p>
    <w:p>
      <w:pPr>
        <w:pStyle w:val="BookText"/>
        <w:rPr/>
      </w:pPr>
      <w:r>
        <w:rPr>
          <w:rFonts w:ascii="Amiri" w:hAnsi="Amiri" w:eastAsia="Amiri" w:cs="Amiri"/>
          <w:color w:val="111111"/>
          <w:sz w:val="28"/>
          <w:sz w:val="28"/>
          <w:szCs w:val="28"/>
          <w:rtl w:val="true"/>
          <w:lang w:bidi="ar-SA"/>
        </w:rPr>
        <w:t>بحث عن صحة القضاء بالعلم</w:t>
      </w:r>
    </w:p>
    <w:p>
      <w:pPr>
        <w:pStyle w:val="BookText"/>
        <w:rPr/>
      </w:pPr>
      <w:r>
        <w:rPr>
          <w:rFonts w:ascii="Amiri" w:hAnsi="Amiri" w:eastAsia="Amiri" w:cs="Amiri"/>
          <w:color w:val="111111"/>
          <w:sz w:val="28"/>
          <w:sz w:val="28"/>
          <w:szCs w:val="28"/>
          <w:rtl w:val="true"/>
          <w:lang w:bidi="ar-SA"/>
        </w:rPr>
        <w:t>رغم النصوص الحاصرة بالأيمان والبينات</w:t>
      </w:r>
    </w:p>
    <w:p>
      <w:pPr>
        <w:pStyle w:val="BookText"/>
        <w:rPr/>
      </w:pPr>
      <w:r>
        <w:rPr>
          <w:rFonts w:ascii="Amiri" w:hAnsi="Amiri" w:eastAsia="Amiri" w:cs="Amiri"/>
          <w:color w:val="111111"/>
          <w:sz w:val="28"/>
          <w:sz w:val="28"/>
          <w:szCs w:val="28"/>
          <w:rtl w:val="true"/>
          <w:lang w:bidi="ar-SA"/>
        </w:rPr>
        <w:t>مما يستظهر منه طريقية الأمارات</w:t>
      </w:r>
    </w:p>
    <w:p>
      <w:pPr>
        <w:pStyle w:val="BookText"/>
        <w:rPr/>
      </w:pPr>
      <w:r>
        <w:rPr>
          <w:rFonts w:ascii="Amiri" w:hAnsi="Amiri" w:eastAsia="Amiri" w:cs="Amiri"/>
          <w:color w:val="111111"/>
          <w:sz w:val="28"/>
          <w:sz w:val="28"/>
          <w:szCs w:val="28"/>
          <w:rtl w:val="true"/>
          <w:lang w:bidi="ar-SA"/>
        </w:rPr>
        <w:t xml:space="preserve">وبذلك يظهر عدم تمامية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الكل ما لا يخفى، إذ الروايات الأربع تدل على عدم ذلك في الخارج لا على عدم الجواز، فإن روايتي 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تدلان على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خارجاً، لا أنه يجوز له ولا يجوز لغيره</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عدم وقوع ذلك في الخارج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ما لم يقع في الخارج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دليل على حجيته، بل الدليل على العدم، لحصر الحجة في رواية إسماعيل بن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عادلة أو يمين قاطعة أو سُنة جارية مع أئمة هدى، ومن الواضح أن عدم الدليل على حجية شيء ملاك عدم الحجية، فإذا لم يكن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عاملون بالعلم في باب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سلّم دلالتهما على عدم ذلك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فمدعي الحجية لابد له من دليل، فكيف لو قام دليل على العدم، فالاستدلال </w:t>
      </w:r>
    </w:p>
    <w:p>
      <w:pPr>
        <w:pStyle w:val="BookText"/>
        <w:rPr/>
      </w:pPr>
      <w:r>
        <w:rPr>
          <w:rFonts w:ascii="Amiri" w:hAnsi="Amiri" w:eastAsia="Amiri" w:cs="Amiri"/>
          <w:color w:val="111111"/>
          <w:sz w:val="28"/>
          <w:sz w:val="28"/>
          <w:szCs w:val="28"/>
          <w:rtl w:val="true"/>
          <w:lang w:bidi="ar-SA"/>
        </w:rPr>
        <w:t>بالروايتين على عدم الجواز إنما هو بضميمة رواية إسماعيل، فتدلان على عدم الجواز، فلا يصح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الأربع تدل على عدم ذلك في الخارج لا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 ما ذكرناه تظهر الخدشة فيما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يستدل أيضاً برواية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الْمُسْلِمِينَ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مَاضِيَةٍ مِنْ أَئِمَّةِ الْهُدَى</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فإن سنتهم كانت قضاءهم بما يعلمون كما دلت عليه الأخبار</w:t>
      </w:r>
      <w:r>
        <w:rPr>
          <w:rStyle w:val="FootnoteAnchor"/>
          <w:rtl w:val="true"/>
        </w:rPr>
        <w:footnoteReference w:id="138"/>
      </w:r>
      <w:r>
        <w:rPr>
          <w:rFonts w:ascii="Amiri" w:hAnsi="Amiri" w:eastAsia="Amiri" w:cs="Amiri"/>
          <w:color w:val="111111"/>
          <w:sz w:val="28"/>
          <w:sz w:val="28"/>
          <w:szCs w:val="28"/>
          <w:rtl w:val="true"/>
          <w:lang w:bidi="ar-SA"/>
        </w:rPr>
        <w:t xml:space="preserve">، لما أوضحناه من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أو ماضية، بل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عملهم بعلمهم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لندرة موارده، ولذلك كله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ذكروا هذه الرواية في عداد الأدلة الدالة على عدم جواز الحكم بالعلم، بل إن ادعى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عدم العمل بالعلم لندرة عملهم به لم يكن ذلك بعيداً، بل كان متحتماً،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على نقيض ما كان الغالب هو نقيضه، أي على ما الغالب الجري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ذلك كله من الروايات الدالة على تعيين طرق خاصة للحكم بين الناس وعدم جواز اتباع غيرها، نجد المشهور يفتون بجواز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القاضي بعلمه، وليس ذلك إلاّ لأن بناءهم على اعتبار الحجج من باب الطريقية المحضرة، وكون المركوز في أذهانهم إلغاء الخصوصية وإن أخذت في الدليل مما ظاهره التعبدية، وحمل ذكرها على التمثيل أو بيان الغالب أو بيان المورد أو كون الحصر إضافياً، أو عدم عملهم بعلمهم لضرورات معينة، وشبه ذلك، وإلاّ فلو كان بناؤهم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لصرف التعبدية أو لهما وللطريقية لما أمكن قولهم بحجية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مع حصر الأدلة الحجة في باب القضاء </w:t>
      </w:r>
    </w:p>
    <w:p>
      <w:pPr>
        <w:pStyle w:val="BookText"/>
        <w:rPr/>
      </w:pP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استدل المشهور بأدلة عديدة دالة على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بالعلم، وهي الآيات والروايات الخاصة، لا أن الرواية حصرت الحجية في البينة واليمين وعممها الفقهاء للعلم بملاك تمحض البينة واليمين في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أدلتهم لا تدل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باب القضاء، وجواز أو وجوب العمل به، بل استدلوا بما يتوقف تمامية الاستدلال به على الالتزام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حجة من بابالأمارية المحضة، ولنذكر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مدعى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فإن العالم بالحق إن سكت فيكون ممن لم يحكم بما أنزل الله، وإن حكم بغير ما يعلم فكذلك بزيادة الحكم بغير ما أنزل الله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يحكم بما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وصدق هذا العنوان على شخص موقوف على كون مدخول عدم حكمه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عدم الحكم بما أنزل الله هو المستلزم للكفر، لا عدم الحكم بغيره،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القضاء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السارق وجلد الزاني وإعطاء الدين للدائن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فالحد والجلد وغيرهما،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بالسارق والزاني والمدين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لكن ما هو الحجة على أن هذا سارق أو زان؟ الروايات السابقة تحصر </w:t>
      </w:r>
    </w:p>
    <w:p>
      <w:pPr>
        <w:pStyle w:val="BookText"/>
        <w:rPr/>
      </w:pPr>
      <w:r>
        <w:rPr>
          <w:rFonts w:ascii="Amiri" w:hAnsi="Amiri" w:eastAsia="Amiri" w:cs="Amiri"/>
          <w:color w:val="111111"/>
          <w:sz w:val="28"/>
          <w:sz w:val="28"/>
          <w:szCs w:val="28"/>
          <w:rtl w:val="true"/>
          <w:lang w:bidi="ar-SA"/>
        </w:rPr>
        <w:t xml:space="preserve">الحجة في تشخيص الموضوع بالبينة واليمين، فلو قامت البينة على أنه سارق ثبت الموضوع للحد فوجب الحكم ومن لم يحكم فهو كافر، فما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حجة شرعاً لتشخيص الموضوع في باب القضاء؟ وهل يتم ذلك إلاّ بإذعانهم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حصر الروايات بهما، مأخوذان من باب الطريقية المحضة</w:t>
      </w:r>
      <w:r>
        <w:rPr>
          <w:rStyle w:val="FootnoteAnchor"/>
          <w:rtl w:val="true"/>
        </w:rPr>
        <w:footnoteReference w:id="143"/>
      </w:r>
      <w:r>
        <w:rPr>
          <w:rFonts w:ascii="Amiri" w:hAnsi="Amiri" w:eastAsia="Amiri" w:cs="Amiri"/>
          <w:color w:val="111111"/>
          <w:sz w:val="28"/>
          <w:sz w:val="28"/>
          <w:szCs w:val="28"/>
          <w:rtl w:val="true"/>
          <w:lang w:bidi="ar-SA"/>
        </w:rPr>
        <w:t xml:space="preserve">، فيكون العلم لكونه أقوى طريقية حجة، ولو كانا مأخوذين تعبداً، لإثبات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والزاني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تكون هذه الآيات دليلاً لكون العلم أيضاً طريقاًلإثباته مع أن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يتكفل بيان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هو السارق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بيان طريق إثبات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المثبت لكون هذا سارقاً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أترى الشارع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متكفلاً لإثبات أي شيء هي الخمرة، هذا في مرحلة الثبوت، ولإثبات أن مُثبِت كون هذه خمرة هو كذا وكذا، وهذه مرحلة الإثبات؟ ولولا بداهة وارتكازية الطريقية في نظرهم لما استدلوا بهذه الأدلة بأجمعهم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فمبنى استدلال المشهور بهذه الآيات على أن الحجج مأخوذة بعنوان الطريقية، فإذا علمنا أن هذا سارق ولم نحكم عليه بالحد انطبق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ولو كان الدليل تعبدياً توقيفياً لما كان عدم حكمنا على من علمنا سرقته ولم يقم ذلك الدليل التعبدي عليه عدم حكم بما أنزل الله، لكون ما أنزل الله على هذا المبنى هو حد السارق الثابت سرقته بطريق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ذكرناه يجري بعينه في سائر الأدلة التي ذكرها المشهور، وقد استوفاها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لأدلة وجوب الأمر بالمعروف</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يتكفل بيان الطريق المثبت لمتعلق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هو الأمر بالمعروف، ومتعلقه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تكون أدلة وجوب الأمر بالمعروف دالة على كون العلم حجة لتشخيص الموضوع، إلاّ لو كان المبنى على حجية البينة واليمين بملاك الأمارية المحضة، فيثبت متعلق الموضوع بالعلم فيحمل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ولعموم أدلة الحكم مع وجود الوصف المعلق عليه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والزانية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إعانة الضعيف وإغاثة الملهوف ودفع الظلم عن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قوامين بالقسط</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كل هذه عندنا 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الملهوف، المظلوم،القسط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الإعانة، والإغاثة، والدفع، والقيام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يتم الاستدلال بثبوت هذه المحمولات لموضوعاتها على حجية العلم في إثبات الموضوع إلاّ لكون البناء على أن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صرف الموضوع، وكون البينة أمارة محضة، فلو ثبت الموضوع بالعلم ترتب عليه المحمول، وإلا لزم التناقض كما فصل في بحث القطع الطريقي والموضوعي، ويجري ما ذكرناه بأجمعه فيما ذكره في الجواهر والفقه من الأدلة فراجع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إلى ما ذكرنا يشير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الإنصاف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بتلك المكانة من الضعف، ضرورة أن البحث في أن العلم من طرق الحكم والفصل بين المتخاصمين ولو من غير </w:t>
      </w:r>
    </w:p>
    <w:p>
      <w:pPr>
        <w:pStyle w:val="BookText"/>
        <w:rPr/>
      </w:pPr>
      <w:r>
        <w:rPr>
          <w:rFonts w:ascii="Amiri" w:hAnsi="Amiri" w:eastAsia="Amiri" w:cs="Amiri"/>
          <w:color w:val="111111"/>
          <w:sz w:val="28"/>
          <w:sz w:val="28"/>
          <w:szCs w:val="28"/>
          <w:rtl w:val="true"/>
          <w:lang w:bidi="ar-SA"/>
        </w:rPr>
        <w:t xml:space="preserve">المعصوم في جميع الحقوق أو لا، وليس في شيء من الأدلة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الإجماع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بعض الأدلة التي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توقفها على إثبات الأمارية المحضة، فليلاحظ وليتأمل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ما سبق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يستدل بوجوه أخر غير تامة، كالإجماع المنقول، وكون العلم أقوى من البينة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الأول عدم الحجية، وفي الثاني عدم معلومية العلة في البينة حتى يقاس عليها العلم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إذ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ظهور كون العلم أقوى من البينة المعلوم إرادة الكشف منها</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يناقض استدلاله بتلك الأدلة السابقة، إذ لو لم يمكن القياس لعدم معلومية العلة فلا يعلم كون العلم حجة في باب القضاء، لعدم العلم بكون كل الملاك الطريقية، فلا يثبت به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والزاني والمعروف والمنكر والضعيفوالملهوف والمظلوم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يترتب عليه المحمول، فكيف تكون تلك الأدلة الدالة على ثبوت المحمولات لموضوعاتها دالة على جواز أو وجوب اتباع العلم بتحقق موضوع منها، مع كون العلم في نظره لعدم معلومية العلة غير مفيد، وهل هذا إلا حكم بثبوت المحمول لما لم يعلم موضوعيته التامة له؟ وتشنيع على تارك المحمول لعدم ثبوت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معلومية كون العلم مثبتاً له، واحتمال لحاظ خصوصية خاصة في البينة أو في ما </w:t>
      </w:r>
    </w:p>
    <w:p>
      <w:pPr>
        <w:pStyle w:val="BookText"/>
        <w:rPr/>
      </w:pPr>
      <w:r>
        <w:rPr>
          <w:rFonts w:ascii="Amiri" w:hAnsi="Amiri" w:eastAsia="Amiri" w:cs="Amiri"/>
          <w:color w:val="111111"/>
          <w:sz w:val="28"/>
          <w:sz w:val="28"/>
          <w:szCs w:val="28"/>
          <w:rtl w:val="true"/>
          <w:lang w:bidi="ar-SA"/>
        </w:rPr>
        <w:t xml:space="preserve">أدت إليه حسب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الحكم قد ثبت لموضوعه الكذائي، وخلافه فسق وكفر وحرام؟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استثناء القائلين بعدم جواز قضاء القاضي بعلمه لصورة ما إذا علم القاضي بخطأ الشهود أو كذبهم، حيث يجوز له حينئذٍ القضاء بعلمه</w:t>
      </w:r>
      <w:r>
        <w:rPr>
          <w:rStyle w:val="FootnoteAnchor"/>
          <w:rtl w:val="true"/>
        </w:rPr>
        <w:footnoteReference w:id="150"/>
      </w:r>
      <w:r>
        <w:rPr>
          <w:rFonts w:ascii="Amiri" w:hAnsi="Amiri" w:eastAsia="Amiri" w:cs="Amiri"/>
          <w:color w:val="111111"/>
          <w:sz w:val="28"/>
          <w:sz w:val="28"/>
          <w:szCs w:val="28"/>
          <w:rtl w:val="true"/>
          <w:lang w:bidi="ar-SA"/>
        </w:rPr>
        <w:t xml:space="preserve">، دليل على شدة ارتكاز الطريقية في أذهان الفقهاء حتى المنكر لها، إذ لو لم تكن الحجية بملاك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يتفرع عليه عدم جواز قضاء القاضي بعلمه وإن كان العلم أقوى من البينة لعدم معلومية العلة في البينة حتى يقاس عليها العلم كما ذكره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جاز إسقاط البينة وطرحها للعلم بخطأها أو كذبها، إذ أن ما مناط حجيته الطريقية يسقط عن الحجية بثبوت عدم طريقيته للخطأ أو الكذب، أما ما لا تكون الطريقية ملاك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البينة حسب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يسقط عنها بثبوت عدم طريقيته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صحيح فيما كانت حجيته من باب التعبدية المحضة، أما ما كانت حجيته لطريقيته مع أخذ خصوصية خاصة تعبداً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كاجتهاد المجتهد حيث إن حجيته لطريقيته مع أخذ العدالة تعبداً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إذ بالعلم بالكذب أو الخطأ يعلم بعدم الطريقية فتسقط البينة عن الحجية لتقومها بالركنين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الطريقية والكاشفية النوعية عن الواقع مع خصوصية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هي الباعثة لعدم جواز قياس العلم بالبينة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ذلك ما هو مقرر في باب التعادل والتراجيح من عدم كون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حجيته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مرجحة لأحدالخبرين المتعارضين مما كان حجيته من باب الطريقية، لأنها لا توجب أقوائية ملاك ما طابقته، ولذا تكون الأصول عند التكافؤ من سائر الجهات مرجعاً لا مرجحاً</w:t>
      </w:r>
      <w:r>
        <w:rPr>
          <w:rFonts w:eastAsia="Amiri" w:cs="Amiri" w:ascii="Amiri" w:hAnsi="Amiri"/>
          <w:color w:val="111111"/>
          <w:sz w:val="28"/>
          <w:szCs w:val="28"/>
          <w:rtl w:val="true"/>
          <w:lang w:bidi="ar-SA"/>
        </w:rPr>
        <w:t xml:space="preserve">. </w:t>
      </w:r>
      <w:bookmarkStart w:id="174" w:name="pg8204_100938"/>
    </w:p>
    <w:p>
      <w:pPr>
        <w:pStyle w:val="Heading5"/>
        <w:numPr>
          <w:ilvl w:val="4"/>
          <w:numId w:val="1"/>
        </w:numPr>
        <w:rPr/>
      </w:pPr>
      <w:bookmarkStart w:id="175" w:name="__RefHeading___Toc8924052_1051229030"/>
      <w:bookmarkStart w:id="176" w:name="_Toc65"/>
      <w:bookmarkEnd w:id="174"/>
      <w:bookmarkEnd w:id="175"/>
      <w:r>
        <w:rPr>
          <w:rtl w:val="true"/>
        </w:rPr>
        <w:t xml:space="preserve">الملحق </w:t>
      </w:r>
      <w:r>
        <w:rPr>
          <w:rtl w:val="true"/>
        </w:rPr>
        <w:t>(</w:t>
      </w:r>
      <w:r>
        <w:rPr/>
        <w:t>2</w:t>
      </w:r>
      <w:r>
        <w:rPr>
          <w:rtl w:val="true"/>
        </w:rPr>
        <w:t>)</w:t>
      </w:r>
      <w:bookmarkEnd w:id="176"/>
    </w:p>
    <w:p>
      <w:pPr>
        <w:pStyle w:val="Heading6"/>
        <w:numPr>
          <w:ilvl w:val="5"/>
          <w:numId w:val="1"/>
        </w:numPr>
        <w:rPr/>
      </w:pPr>
      <w:bookmarkStart w:id="177" w:name="__RefHeading___Toc8924054_1051229030"/>
      <w:bookmarkStart w:id="178" w:name="_Toc66"/>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من الأدلة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التزام المشهور بوجوب تقليد الأعلم</w:t>
      </w:r>
    </w:p>
    <w:p>
      <w:pPr>
        <w:pStyle w:val="BookText"/>
        <w:rPr/>
      </w:pPr>
      <w:r>
        <w:rPr>
          <w:rFonts w:ascii="Amiri" w:hAnsi="Amiri" w:eastAsia="Amiri" w:cs="Amiri"/>
          <w:color w:val="111111"/>
          <w:sz w:val="28"/>
          <w:sz w:val="28"/>
          <w:szCs w:val="28"/>
          <w:rtl w:val="true"/>
          <w:lang w:bidi="ar-SA"/>
        </w:rPr>
        <w:t>ومن ذلك يعلم عدم صحة تسليم بنائهم وإبطال مبناهم، إذ لو لم تكن في مورد أقربية لم يكن بناؤهم عليه أيضاً، ولم يكن معنى لذاك البناء،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يظهر أن ما ذكر من لزوم تعطيل المهن، غير تام، إذ تعطيلها إنما يلزم لو بني على وجوب الرجوع للأعلم مطلقاً، سواء خالفه المشهور أم لا، وافق الاحتياط أم لا، عارض رأي ميت أعلم أم لا، مع إحراز الجميع كون هذا أعلم، ومع عدم تعذر أو تعسر رجوع الجميع إليه، أما لو انتفى أحد الشروط الثلاثة، بأن بني على وجوب الرجوع للأعلم فيما لم يخالفه المشهور ولا أعلم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فلا يلزم تعطيل مهن المفضولين، وكذا لو بني على وجوب الرجوع إليه مطلقاً لكن اختلف الناس في الأعلم، وكذا لو بني على وجوب الرجوع إليه مطلقاً ولم يختلف الناس فيه لكن تعذر أو تعسر الرجوع إليه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 من كون بنائهم على اتباع الأقرب للواقع وحجية هذا البناء، لزم حجية بنائهم على اتباع القياس، لكونه أقرب في نظرهم إلى الواقع من خبر الواحد في كثير من الأحيان، كما يظهر ذلك جلياً في مسألة دية أصابع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بنائهم على اتباع الأقرب للواقع، إلا أن الشارع لكونه محيطاً بكل الجهات، عالماً بكثير مما لا تصل إليه عقولنا، قد يرى ما يتوهمه العقلاء أقرب أبعد، وما يتوهمونه أبعدأقرب، فلو انكشف لهم أن ما توهموه أقرب أبعد لتركوه، والعكس بالعكس، مما يؤكد أن الملاك عندهم على القرب والبعد، ولا محيص لنا نحن لإيماننا بالشارع وإحاطته عن قبول كون القياس أبعد عن الواقع، لإخبار الشارع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 إذا قيست محق الدين</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والخبر أقرب لأمره باتباعه وإن عارضه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أن النقاش في الصغرى، وأن أي شيء أقرب للواقع ولا نقاش في أن 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الثبوتي،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كونه أقرب للواقع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الاتباع،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التي ادعاها المستشكل غير تامة، إذ يلزم من حجية بنائهم على اتباع الأقرب لزوم اتباع ما هو أقرب واقعاً، وهو الخبر، لا ما هو أقرب في نظرهم المجرد وقبل مراجعة الشارع، وهو القياس مثلاً، مع كون الأقرب غيره مما كشف عنه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بناءهم على اتباع الأقرب حجة ما لم يدل دليل على عدم كونه أقرب، فلا يكون حجية حينئذٍ من باب السالبة بانتفاء الموضوع لا المحمول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بناؤهم على حجية شيء مقتضٍ للحجية، وشرطه عدم ردع الشارع</w:t>
      </w:r>
      <w:r>
        <w:rPr>
          <w:rFonts w:eastAsia="Amiri" w:cs="Amiri" w:ascii="Amiri" w:hAnsi="Amiri"/>
          <w:color w:val="111111"/>
          <w:sz w:val="28"/>
          <w:szCs w:val="28"/>
          <w:rtl w:val="true"/>
          <w:lang w:bidi="ar-SA"/>
        </w:rPr>
        <w:t xml:space="preserve">. </w:t>
      </w:r>
      <w:bookmarkStart w:id="179" w:name="pg8204_100940"/>
    </w:p>
    <w:p>
      <w:pPr>
        <w:pStyle w:val="Heading6"/>
        <w:numPr>
          <w:ilvl w:val="5"/>
          <w:numId w:val="1"/>
        </w:numPr>
        <w:rPr/>
      </w:pPr>
      <w:bookmarkStart w:id="180" w:name="__RefHeading___Toc8924056_1051229030"/>
      <w:bookmarkStart w:id="181" w:name="_Toc67"/>
      <w:bookmarkEnd w:id="179"/>
      <w:bookmarkEnd w:id="180"/>
      <w:r>
        <w:rPr>
          <w:rtl w:val="true"/>
        </w:rPr>
        <w:t>تنبيه</w:t>
      </w:r>
      <w:r>
        <w:rPr>
          <w:rtl w:val="true"/>
        </w:rPr>
        <w:t>:</w:t>
      </w:r>
      <w:bookmarkEnd w:id="18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استدلال المشهور ببناء العقلاء على وجوب الرجوع للأعلم، الذي ملاكه الأقربية للواقع جزماً، رغم إطلاقات أدلة التقليد التي لم تكن خافية عليهم قطعاً، والتي لو سلمت بأركانها الثلاثة لم يكن بدّ من رفع اليد عن بنائهم، ورغم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في صحة الرجوع إلى مطلق راوي الحديث، وكون التقييد بالأعلم خلاف المنساق منها ومن أشباهها من أدلة التقليد، دليل واضح على أن بناءهم في الأمارات على الطريقية المحضة، وأن ما أحرز كونه أقرب للواقع هو اللازم اتباعه، وإن كان ظهور الدليل أو إشعاره على الأقل على جواز الرجوع إلى غيره حسب مبناهم من كون رأي الأعلم أقرب للواقع من رأي غيره، وإن كنا لا نقبل هذا المبنى على إطلاقه،ولولا شدة ارتكاز الطريقية في أذهانهم وبنائهم عليها لما رفعوا اليد عن ظهور الأدلة في جواز الرجوع إلى غير الأعلم، وتصرفوا فيه بقرينة بناء العقلاء، أو لما التجؤوا إلى عدم كون هذه المطلقات في مقام البيان من هذه الجهة، مع وضوح ظهورها عرفاً في البيان، بل ومع كون بعضها عمومات لا مطلقات، فتأمل</w:t>
      </w:r>
      <w:r>
        <w:rPr>
          <w:rFonts w:eastAsia="Amiri" w:cs="Amiri" w:ascii="Amiri" w:hAnsi="Amiri"/>
          <w:color w:val="111111"/>
          <w:sz w:val="28"/>
          <w:szCs w:val="28"/>
          <w:rtl w:val="true"/>
          <w:lang w:bidi="ar-SA"/>
        </w:rPr>
        <w:t xml:space="preserve">. </w:t>
      </w:r>
      <w:bookmarkStart w:id="182" w:name="pg8204_100941"/>
    </w:p>
    <w:p>
      <w:pPr>
        <w:pStyle w:val="Heading6"/>
        <w:numPr>
          <w:ilvl w:val="5"/>
          <w:numId w:val="1"/>
        </w:numPr>
        <w:rPr/>
      </w:pPr>
      <w:bookmarkStart w:id="183" w:name="__RefHeading___Toc8924058_1051229030"/>
      <w:bookmarkStart w:id="184" w:name="_Toc68"/>
      <w:bookmarkEnd w:id="182"/>
      <w:bookmarkEnd w:id="183"/>
      <w:r>
        <w:rPr>
          <w:rtl w:val="true"/>
        </w:rPr>
        <w:t>مناقشة مع الآخوند في نفيه الإطلاق في أدلة التقليد</w:t>
      </w:r>
      <w:bookmarkEnd w:id="184"/>
    </w:p>
    <w:p>
      <w:pPr>
        <w:pStyle w:val="Heading6"/>
        <w:numPr>
          <w:ilvl w:val="5"/>
          <w:numId w:val="1"/>
        </w:numPr>
        <w:rPr/>
      </w:pPr>
      <w:bookmarkStart w:id="185" w:name="__RefHeading___Toc8924060_1051229030"/>
      <w:bookmarkStart w:id="186" w:name="_Toc69"/>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ومما ذكرنا ظهر عدم صحة ما ذكره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إطلاق في أدلة التقليد بعد الغض عن نهوضها على مشروعية أصله، لوضوح أنها إنما تكون بصدد بيان أصل جواز الأخذ بقول العالم، لا في كل حال، من غير تعرض أصلاً لصورة معارضته بقول الفاضل، كما هو شأن سائر الطرق والأمارات على ما لا يخفى</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التقليد ليست بأجمعها مطلقات، بل فيها عمومات، فلا يكفي نفيها في نفيها، إلا إذا أريد الأعم، فيكون الإشكال عليه أتم،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والجمع المحلى والمضاف مفيدان للعموم، ولسنا بحاجة إلى الإطلاق الأحوالي،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يشمل الحادثة المعارضة وغيرها، أو الرأي المعارض وغيره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بناءً على كون الموصول للعموم، كما ذهب إليه جمع من المحققين، قال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ذكرنا في محله تبعاً للمحققين أن الموصول للعموم</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تكون بصدد بيان أصل جواز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بلا </w:t>
      </w:r>
    </w:p>
    <w:p>
      <w:pPr>
        <w:pStyle w:val="BookText"/>
        <w:rPr/>
      </w:pPr>
      <w:r>
        <w:rPr>
          <w:rFonts w:ascii="Amiri" w:hAnsi="Amiri" w:eastAsia="Amiri" w:cs="Amiri"/>
          <w:color w:val="111111"/>
          <w:sz w:val="28"/>
          <w:sz w:val="28"/>
          <w:szCs w:val="28"/>
          <w:rtl w:val="true"/>
          <w:lang w:bidi="ar-SA"/>
        </w:rPr>
        <w:t>دليل، بل الدليل على عدمها، أترى العرف يفهمون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ثقة خُذ منه معالم دينك</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وغير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أصل جواز السؤال أم الإطلاق، وأن أي شخص تعنون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منه؟</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أقلنا بكون الموصول للعموم أم للإطلاق؟، وإخراج صورة التعارض عن شمول الآية لها، هو المحتاج للدليل على ما يفهمه العرف، ولذا يتحيرون لو تعارض كلام أهل الذكر، حيث يرون الآية دالة على الحجية وقد تعارضت الحجتان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نوقش في الآية فلا نقاش في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التعرض أصلاً لصورة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مفهومه تمامية الإطلاق من سائر الجهات ينافي ادعاء كونها بصدد بيان أصل جواز الأخذ لا غير، فتأمل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أراد عدم الإطلاق مطلقاً، أجبنا بمخالفته للفهم العرفي، وهل تراه هو يلتزم بذلك في سائر المطلقات؟ وهل يمكن الالتزام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أصل جواز أو وجوب الإكرام،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جاءني أكرمته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يمكن الالتزام بعدم إطلاقه، وإن أراد عدم تحقق الإطلاق من هذه الجهة بمعنى عدم شمولها لصورة التعارض لعدم كونه في مقام البيان من هذه الجهة،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يفهمون الشمول لذلك، لذا يتحيرون عند التعارض في العمل بأيهما، ولو لم يشملهما الدليل لما تحيّر في العمل بأيهما إذ كانا حينئذٍ </w:t>
      </w:r>
    </w:p>
    <w:p>
      <w:pPr>
        <w:pStyle w:val="BookText"/>
        <w:rPr/>
      </w:pPr>
      <w:r>
        <w:rPr>
          <w:rFonts w:ascii="Amiri" w:hAnsi="Amiri" w:eastAsia="Amiri" w:cs="Amiri"/>
          <w:color w:val="111111"/>
          <w:sz w:val="28"/>
          <w:sz w:val="28"/>
          <w:szCs w:val="28"/>
          <w:rtl w:val="true"/>
          <w:lang w:bidi="ar-SA"/>
        </w:rPr>
        <w:t xml:space="preserve">جميعاً غير واجبين أو غير حجة، ألا ترى أنه عند تعارض خبرين مع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العرف عدم شمول الدليل لهما معاً، ولذا لا يطرحهما معاً، بل يرى شموله لهما، غاية الأمر أنه لتعارضهما يبحث عن المرجح لأحد الخبرين، والترجيح فرع الحجية الشأنية للطرفين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وجود المقتضي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شمولأدلة الحجية لهما، فتأمل</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نجده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بشمول أدلة حجية خبر الواحد، وكذا سائر الطرق والأمارات للمتعارضين، كما صرح بذلك في باب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تعريفهم للتعارض بأنه تنافي الدليلين أو الأدلة بحسب عالم الإثبات أو تنافي مدلولي الدليلين، فلو كان دليل الحجية غير شامل لصورة التعارض لما تنافى الدليلان، بل لم يكونا دليلين أصلاً لعدم المقتضي للدليلية وهو شمول الدال لهما إلاّ أن يراد الشأنية، وما هو دليل لولا المعارضة، تجوزاً، والخلاصة أن العرف لا يرى فرقاً بين المطلقات والعمومات في شمولها للمتعارضين، والرجوع عندئذٍ إلى المرجحات، فتدبر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الإطلاق ينافي مسلك المشهور من ذهابهم إلى تقليد الأعلم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إثبات عدم قصور مطلقات أدلة التقليد عن سائر المطلقات والعمومات من جهة كونها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نفاه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وجود قدر متيقن، لعدم وجود قدر متيقن في مقام التخاطب، ولا </w:t>
      </w:r>
    </w:p>
    <w:p>
      <w:pPr>
        <w:pStyle w:val="BookText"/>
        <w:rPr/>
      </w:pPr>
      <w:r>
        <w:rPr>
          <w:rFonts w:ascii="Amiri" w:hAnsi="Amiri" w:eastAsia="Amiri" w:cs="Amiri"/>
          <w:color w:val="111111"/>
          <w:sz w:val="28"/>
          <w:sz w:val="28"/>
          <w:szCs w:val="28"/>
          <w:rtl w:val="true"/>
          <w:lang w:bidi="ar-SA"/>
        </w:rPr>
        <w:t xml:space="preserve">يتنافى ذلك مع الالتزام بعدم الإطلاق، لوجود قرينة على الخلاف عندهم، وهي بناء العقلاء على الرجوع للأعلم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الأقربية للواقع في الأعلم، أو أدلة باب القضاء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موقوف على عدم كون جهة عدم تسليمهم الإطلاق عدم كون المولى في مقام البيان، أو وجود قدر متيقن، إضافة إلى عدم التزامهم بمخصصية بناء العقلاء للعمومات،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جهة عدم تمامية الإطلاق عندهم عدم تحقق المقدمتين الأُوليين من مقدمات الحكمة لا عدم تحقق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إذ يقال حينئذٍ إن سبب التزامهم بعدم كونه في مقام البيان هو ارتكازية بناء العقلاء على الرجوع للأعلم عندهم، مما يكون قرينةلا على الخلاف بل على عدم كون المولى في مقام البيان حسب كلامهم،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مسلك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الرجوع للأعلم في صورة واحدة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صورة 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فالأمر أوضح، إذ تسليم الإطلاق بمقدماته الثلاث لا ينافي تقديم أحد المتعارضين لوجود مزية فيه أو طرح الآخر، فتدبر، ويتضح ذلك بمراجعة باب التعادل والتراجيح من الأصول، هذا إضافة إلى عدم مضرية إثباتنا الإطلاق وتنافيه مع مسلك المشهور، إذ المضر التزامهم بالإطلاق مع حفظ مسلكهم، فتأمل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بناء المشهور ومرتكزهم غير حجة ليس بمضر فيما نحن بصدده، من إثبات صحة التمسك على وجوب اتباع رأي الأكثرية بكونه أقرب للواقع، على مبنى المشهور</w:t>
      </w:r>
      <w:r>
        <w:rPr>
          <w:rStyle w:val="FootnoteAnchor"/>
          <w:rtl w:val="true"/>
        </w:rPr>
        <w:footnoteReference w:id="162"/>
      </w:r>
      <w:r>
        <w:rPr>
          <w:rFonts w:ascii="Amiri" w:hAnsi="Amiri" w:eastAsia="Amiri" w:cs="Amiri"/>
          <w:color w:val="111111"/>
          <w:sz w:val="28"/>
          <w:sz w:val="28"/>
          <w:szCs w:val="28"/>
          <w:rtl w:val="true"/>
          <w:lang w:bidi="ar-SA"/>
        </w:rPr>
        <w:t>، وأما نحن فلنا طرق أخرى تظهر من مطاوي ما سبق وسيأتي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الغرض مما ذكرناه ليس قبول ما ذهب إليه المشهور من عدم كون المطلقات في مقام البيان ووجوب تقليد الأعلم استناداً لما ادعوه من بناء العقلاء، بل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صحة المدعى على مبناهم،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حول الدليل الآخر الذي تمسك للمشهور لإثبات وجوب تقليد الأعلم،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 الأعلم أقرب للواقع، وكلما كان أقرب يتعين الأخذ به عقلاً</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الحاصل من قول الأعلم أقرب للواقع</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يرد على ما نحن فيه عدم تسليم كون المعيار في باب الحجية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نظرنا، لكون الأقربية في باب الشورى ثابتة بالدليل كما سبق، لا بنظرنا المحتمل مخالفته لما هو الأقربواقعاً مما لا يكون الكاشف عنه إلاّ الشارع المحيط بالخفيات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يرد عدم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نحن فيه، لأن الدليل لو دلّ على أن الظن الحاصل من شيء أقوى من آخر، كان اللازم اتباعه عند التعارض، لما فصّله الفقهاء في باب التعادل والتراجيح في صورة تعارض الحجتين، نعم لو لم يقم دليل على ذلك، بل قام الظن على أن الظن الكذائي أقوى من الظن الكذائي لم يصح المبنى، كما ذكره المستشكل</w:t>
      </w:r>
      <w:r>
        <w:rPr>
          <w:rFonts w:eastAsia="Amiri" w:cs="Amiri" w:ascii="Amiri" w:hAnsi="Amiri"/>
          <w:color w:val="111111"/>
          <w:sz w:val="28"/>
          <w:szCs w:val="28"/>
          <w:rtl w:val="true"/>
          <w:lang w:bidi="ar-SA"/>
        </w:rPr>
        <w:t xml:space="preserve">. </w:t>
      </w:r>
      <w:bookmarkStart w:id="187" w:name="pg8204_100946"/>
    </w:p>
    <w:p>
      <w:pPr>
        <w:pStyle w:val="Heading6"/>
        <w:numPr>
          <w:ilvl w:val="5"/>
          <w:numId w:val="1"/>
        </w:numPr>
        <w:rPr/>
      </w:pPr>
      <w:bookmarkStart w:id="188" w:name="__RefHeading___Toc8924062_1051229030"/>
      <w:bookmarkStart w:id="189" w:name="_Toc70"/>
      <w:bookmarkEnd w:id="187"/>
      <w:bookmarkEnd w:id="188"/>
      <w:r>
        <w:rPr>
          <w:rtl w:val="true"/>
        </w:rPr>
        <w:t>مناقشة أخرى مع الآخوند في نفي ملاكية القرب للواقع</w:t>
      </w:r>
      <w:bookmarkEnd w:id="189"/>
    </w:p>
    <w:p>
      <w:pPr>
        <w:pStyle w:val="BookText"/>
        <w:rPr/>
      </w:pPr>
      <w:r>
        <w:rPr>
          <w:rFonts w:ascii="Amiri" w:hAnsi="Amiri" w:eastAsia="Amiri" w:cs="Amiri"/>
          <w:color w:val="111111"/>
          <w:sz w:val="28"/>
          <w:sz w:val="28"/>
          <w:szCs w:val="28"/>
          <w:rtl w:val="true"/>
          <w:lang w:bidi="ar-SA"/>
        </w:rPr>
        <w:t xml:space="preserve">ولا يرد ما ذكره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الكبرى فلأن ملاك حجية قول الغير تعبداً ولو على نحو الطريقية لم يعلم أنه القرب من الواقع، فلعله يكون ما هو الأفضل وغيره سيان ولم يكن لزيادة القرب في أحدهما دخل أصلاً، نعم لو كان تمام الملاك هو القرب كما إذا كان حجة بنظر العقل لتعين الأقرب قطعاً فافهم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يحتمل أن لا يكون لزيادة القرب مدخل أصلاً في الملاك، يحتمل كذلك مدخليته، فعلى تقدير المدخلية يكون هو الحجة دون قسيمه، وعلى تقدير عدمها يكونان سيان في الحجية، فالأقرب للواقع مقطوع الحجية إذن وغيره محتملها، فيكون العقل حاكماً بضرورة الرجوع إليه دون غيره، لقاعدة دوران الأمر بين التعيين والتخيير، وإنكار هذا إنكار لنفس دليله الذي أقامه على تعيّن الرجوع للأعلم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من الرجوع إلى الأفضل إذا احتمل تعينه للقطع بحجيته والشك في حجية غيره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كانت حجيته من باب محض التعبدية لا تكون للأقربية للواقع مدخلية فيها أصلاً، سلباً أو إيجاباً، أما ما كانت حجيته تعبدية 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ملاك حجية قول الغير تعبداً ولو على نحو الطريقية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فلا يعقل عدم مدخلية الأقربية </w:t>
      </w:r>
    </w:p>
    <w:p>
      <w:pPr>
        <w:pStyle w:val="BookText"/>
        <w:rPr/>
      </w:pPr>
      <w:r>
        <w:rPr>
          <w:rFonts w:ascii="Amiri" w:hAnsi="Amiri" w:eastAsia="Amiri" w:cs="Amiri"/>
          <w:color w:val="111111"/>
          <w:sz w:val="28"/>
          <w:sz w:val="28"/>
          <w:szCs w:val="28"/>
          <w:rtl w:val="true"/>
          <w:lang w:bidi="ar-SA"/>
        </w:rPr>
        <w:t>للواقع في الحجية، لكونها جزء قوامها، فكيف لا تكون شدتها وضعفها مؤثرة في شدتها وضعفها مما يستلزم الترجيح بها عند التعارض، هذا خلف،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أنه لو صح ما ذكره، لزم بطلان دليله على تعيّن تقليد الأعلم من الدوران بين التعيين والتخيير، لوجود أصلحاكم، إذ إن مدخلية رتبة معينة من القرب للواقع في ملاك الحجية محرز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لفرض كون الملاك طريقياً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 في مدخلية وتأثير واعتبار مرتبة أعلى منها في ملاك الحجية، والأصل العدم فلا دوران، ولا شك في حجية ذي الطريقية الأقل، إذ يرفع بالأصل،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استدلالهم لوجوب تقليده بورود الأمر بالرجوع إلى الأفقه في القضاء عند اختلاف القضاة، شاهد آخر على أن مبناهم إلغاء الخصوصية ونفي التعبدية، وكون الملاك محض الطريقية المشترك بين بابي القضاء والتقليد، وسيأتي تفصيل الكلام حول هذا الدليل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قيل بأن وجه تحتم الرجوع إلى الأعلم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بحجيته والشك في حجية غيره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ولم نناقش بما سبق، كان ذلك دالاً على المدعى أيضاً، من وجوب الرجوع إلى ما هو أقرب للواقع وإن لم يدل على كون الأصل الطريقية، إذ إن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بحجية قول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لأقربيته للواقع والقطع، أو احتمال مدخليتها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لإحراز بناء العقلاء على اتباع الأعلم وعدم إحراز اتباع غيره أو إحراز العدم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أوضحنا أن كلا الوجهين مما يدل على المدعى من لزوم اتباع الأقرب </w:t>
      </w:r>
    </w:p>
    <w:p>
      <w:pPr>
        <w:pStyle w:val="BookText"/>
        <w:rPr/>
      </w:pPr>
      <w:r>
        <w:rPr>
          <w:rFonts w:ascii="Amiri" w:hAnsi="Amiri" w:eastAsia="Amiri" w:cs="Amiri"/>
          <w:color w:val="111111"/>
          <w:sz w:val="28"/>
          <w:sz w:val="28"/>
          <w:szCs w:val="28"/>
          <w:rtl w:val="true"/>
          <w:lang w:bidi="ar-SA"/>
        </w:rPr>
        <w:t>للواقع، مجيبين عن الإشكالات الواردة عليها،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لا تدل على أزيد من حجية قول الأعلم، لعدم إطلاقها، إذ ليست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الدال على حجية قول الأعلم لو كان هو الروايات ولم يلتزم بإطلاقها، لما شك حينئذٍ في حجية قول غيره، إذ عدم وجود الدليل على الحجية ملاك عدمها، فلا شك في حجية قول غيره حينئذٍ،فعلم بذلك التنافي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بالقطع بحجية قول الأعلم، والشك في حجية قول غيره، والالتزام بعدم الإطلاق في أدلة التقليد بضرس قاطع،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أنها إنما تكون بصدد بيان أصل جواز الأخذ بقول العالم لا في كل حال من غير تعرض أصلاً بصورة معارضته بقول الفاضل</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فلا يصح تعليل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التعيين والتخيير، بعدم إطلاق روايات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منشأ الشك احتمال بناء العقلاء على حجية قول غيره وعدم إحراز بنائهم على عدم الحجية، لا إحراز عدم الإطلاق في الأخبار حتى لا يكون شك، لإحراز العدم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كون المراد من الشك البدوي، أي الشك الموجود قبل ملاحظة قاعدة عدم الدليل دليل العدم،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شككنا في الإطلاق والتقييد دار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إحراز الدليل على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للدوران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ملاك عدمها فلا شك فيها،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يحرز الدليل عليها كان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الشك مسببي فلا يجري الأصل فيه، لكون الشك في الحجية حينئذٍ مسبباً عن الشك في الإطلاق والتقييد، لتفرعها وجوداً وعدماً عليهما، فعلينا التمسك بالأصول الجارية فيهما، إن لم يكن ظن نوعي في المقام كاشف عن المرام، نعم لو قلنا بأن التقابل بين الإطلاق والتقييد هو تقابل التضاد، تعارض الأصلان السببيان فتصل النوبة للمسببيين،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الدليل على الحجية إنما يكون ملاك عدمها لو لم يكن هناك أصل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مفصلاً من تمامية الإطلاق فيها من حيث كونه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دلالة الروايات على حجية أزيد من قول الأعلم أيضاً لا ينافي كون ملاك الحجية هو الأقرب للواقع ولزوم الرجوع إليه، بل قد يدل عليه ولو بدلالة الاقتضاء، لما قد سبق من تبعية الأحكام لمصالح ومفاسد في متن الواقع، فليس الحكم باتباع هذا الطريق دون ذاك عبثاً، بل لعلةٍ في مرحلة الثبوت ولكون الارتكاز والبناء على الطريقية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جعل الحجية في لسان الروايات معلول علة هي عدم القرب أو عدم الأقربية بشهادة بناء العقلاء، ولذا يرون العلة في جعل الشارع قول الأعلم حجة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الأقربية للواقع، وأما مصلحة </w:t>
      </w:r>
      <w:bookmarkStart w:id="190" w:name="pg8204_100950"/>
    </w:p>
    <w:p>
      <w:pPr>
        <w:pStyle w:val="BookText"/>
        <w:rPr/>
      </w:pPr>
      <w:bookmarkEnd w:id="190"/>
      <w:r>
        <w:rPr>
          <w:rFonts w:ascii="Amiri" w:hAnsi="Amiri" w:eastAsia="Amiri" w:cs="Amiri"/>
          <w:color w:val="111111"/>
          <w:sz w:val="28"/>
          <w:sz w:val="28"/>
          <w:szCs w:val="28"/>
          <w:rtl w:val="true"/>
          <w:lang w:bidi="ar-SA"/>
        </w:rPr>
        <w:t>التسهيل مثلاً فتقتضي العكس، أو لا تقتضي عدم حجية قول غيره على الأقل</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8924064_1051229030"/>
      <w:bookmarkStart w:id="192" w:name="_Toc71"/>
      <w:bookmarkEnd w:id="191"/>
      <w:r>
        <w:rPr>
          <w:rtl w:val="true"/>
        </w:rPr>
        <w:t>تنبيه آخر</w:t>
      </w:r>
      <w:r>
        <w:rPr>
          <w:rtl w:val="true"/>
        </w:rPr>
        <w:t>:</w:t>
      </w:r>
      <w:bookmarkEnd w:id="192"/>
    </w:p>
    <w:p>
      <w:pPr>
        <w:pStyle w:val="BookText"/>
        <w:rPr/>
      </w:pPr>
      <w:r>
        <w:rPr>
          <w:rFonts w:ascii="Amiri" w:hAnsi="Amiri" w:eastAsia="Amiri" w:cs="Amiri"/>
          <w:color w:val="111111"/>
          <w:sz w:val="28"/>
          <w:sz w:val="28"/>
          <w:szCs w:val="28"/>
          <w:rtl w:val="true"/>
          <w:lang w:bidi="ar-SA"/>
        </w:rPr>
        <w:t>ظهر مما ذكرنا أن المقياس في باب الحجج هو الأقربية إلى الواقع التي دلّ الدليل عليها، لا الأقربية في نظرنا، فلا يرد استلزام ذلك حجية ما توصل إليه بالرمل والجفر من الأحكام الشرعية، إذ ليست للرمل أقربية قد دل عليها الدليل، وبل ليست من الظنون النوعية العقلائية</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8924066_1051229030"/>
      <w:bookmarkStart w:id="194" w:name="_Toc72"/>
      <w:bookmarkEnd w:id="193"/>
      <w:r>
        <w:rPr>
          <w:rtl w:val="true"/>
        </w:rPr>
        <w:t>مناقشة القول بأن الأقربية لا توجب تعين الأخذ</w:t>
      </w:r>
      <w:bookmarkEnd w:id="194"/>
    </w:p>
    <w:p>
      <w:pPr>
        <w:pStyle w:val="BookText"/>
        <w:rPr/>
      </w:pPr>
      <w:r>
        <w:rPr>
          <w:rFonts w:ascii="Amiri" w:hAnsi="Amiri" w:eastAsia="Amiri" w:cs="Amiri"/>
          <w:color w:val="111111"/>
          <w:sz w:val="28"/>
          <w:sz w:val="28"/>
          <w:szCs w:val="28"/>
          <w:rtl w:val="true"/>
          <w:lang w:bidi="ar-SA"/>
        </w:rPr>
        <w:t>ومن ذلك كله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ما يقال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منافاة بين الطريقية وبين حجية فتوى غير الأعلم أيضاً، نظير تعارض البينتين، فإن أقربية إحداهما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أعرف بالحال من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تعيينها وسقوط البينة الأخرى عن الحجية مع أنهما طريقان، ولذا ذهب المشهور إلى التساقط فيهما، وليس ذلك إلاللتزاحم ووجود ملاك الحجية في كليهما، وإلاّ لما أوجبت الأمارة غير الأقرب سقوط الأقرب أيضاً كما لا يخفى</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إذ يرد عليه، إضافة إلى ما سبق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الشاهد يناقض المستشهد له، إذ إن المستشهد له هو عدم المنافاة بين الطريقية وبين حجية فتوى غير الأعلم، مما يقتضي التخيير، وهو الذي يريد إثباته، لكونه في مقام إثبات عدم تعيّن الرجوع للأعلم، وأما الشاهد هو تعارض </w:t>
      </w:r>
    </w:p>
    <w:p>
      <w:pPr>
        <w:pStyle w:val="BookText"/>
        <w:rPr/>
      </w:pPr>
      <w:r>
        <w:rPr>
          <w:rFonts w:ascii="Amiri" w:hAnsi="Amiri" w:eastAsia="Amiri" w:cs="Amiri"/>
          <w:color w:val="111111"/>
          <w:sz w:val="28"/>
          <w:sz w:val="28"/>
          <w:szCs w:val="28"/>
          <w:rtl w:val="true"/>
          <w:lang w:bidi="ar-SA"/>
        </w:rPr>
        <w:t>البينتين الموجب للتساقط حسب ما ذكره، فقد كانت هناك منافاة بين الطريقية وبين حجية المتعارضين لسقوطهما كليهما عن الحجية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الجواب عن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ذلك إلا للتزاحم ووجوب ملاك الحجية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تزاحماً بل هو تعارض، إذ المتزاحمان متنافيان في مرحلة الامتثال لا الجعل، فالتزاحم مانع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والأمارات كلها إن تخالفت متعارضة، لكون التنافي في مرحلة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أحدهما طريقاً إلى الواقع لا يعقل كون الآخر طريقاً إليه أيضاً، لكونه ضده أو نقيضه، وإلاّ لزم تناقض الواقع أو تضاده، وتناقض أو تضاد حكم الله في الواقعة، هذا في مرحلة الثبوت، وأما في مرحلة الإثبات فكذلك للعلم الإجمالي عند تنافي الدليلين بكذب أحدهما، فكيف يوجد ملاك الحجية فيهما ثبوتاً أو إثباتاً؟ اللهم إلاّ أن يريد بملاك الحجية الشأنية والاقتضاء، فيرد عليه حينئذٍ إشكالان آخران،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بحجية البينة من باب السببية، لتزاحمت البينتان، لكون كل منهما حال التزاحم أيضاً على ما كان عليه من المصلحة التامة المقتضية للإيجاب، وإنما التزاحم مانع عن التنجز،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التزاحم هو التخيير أو تعيّن أحدهما إن كان ذا ملاك آكد لا التساقط، وبذلك ظهر عدم تمامية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إذعلى التزاحم ووجود ملاك الحجية في كليهما، لا يوجب أي منهما سقوط الآخر ككل 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لم يذهبوا إلى التساقط، بل إنهم ذهبوا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العين بيد أحدهما وأقام كل منهما بينة، إلى ترجيح بينة </w:t>
      </w:r>
    </w:p>
    <w:p>
      <w:pPr>
        <w:pStyle w:val="BookText"/>
        <w:rPr/>
      </w:pPr>
      <w:r>
        <w:rPr>
          <w:rFonts w:ascii="Amiri" w:hAnsi="Amiri" w:eastAsia="Amiri" w:cs="Amiri"/>
          <w:color w:val="111111"/>
          <w:sz w:val="28"/>
          <w:sz w:val="28"/>
          <w:szCs w:val="28"/>
          <w:rtl w:val="true"/>
          <w:lang w:bidi="ar-SA"/>
        </w:rPr>
        <w:t>الخارج مطلقاً،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مطلقاً، أو الخارج مطلقاً إلاّ إذا انفردت بينة الداخل بذكر السبب، أو الخارج مطلقاً إلاّ مع أعدلية بينة الداخل، ثم أكثريتها فيترجح، أو الرجوع إلى القرعة مطلقاً، أو غير ذلك من الأقوال، وليس فيها قول بالتساقط</w:t>
      </w:r>
      <w:r>
        <w:rPr>
          <w:rStyle w:val="FootnoteAnchor"/>
          <w:rtl w:val="true"/>
        </w:rPr>
        <w:footnoteReference w:id="171"/>
      </w:r>
      <w:r>
        <w:rPr>
          <w:rFonts w:ascii="Amiri" w:hAnsi="Amiri" w:eastAsia="Amiri" w:cs="Amiri"/>
          <w:color w:val="111111"/>
          <w:sz w:val="28"/>
          <w:sz w:val="28"/>
          <w:szCs w:val="28"/>
          <w:rtl w:val="true"/>
          <w:lang w:bidi="ar-SA"/>
        </w:rPr>
        <w:t>، والقول الأول هو المشهور بين الأصحاب شهرة عظيمة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كون العين بيدهما وأقاما البينة، يقضي بها بينهما نصفين من دون إقراع ولا ملاحظة ترجيح بأعدلية أو أكثرية على الأشهر، بل عليه عامة من تأخر إلا من ندر</w:t>
      </w:r>
      <w:r>
        <w:rPr>
          <w:rStyle w:val="FootnoteAnchor"/>
          <w:rtl w:val="true"/>
        </w:rPr>
        <w:footnoteReference w:id="173"/>
      </w:r>
      <w:r>
        <w:rPr>
          <w:rFonts w:ascii="Amiri" w:hAnsi="Amiri" w:eastAsia="Amiri" w:cs="Amiri"/>
          <w:color w:val="111111"/>
          <w:sz w:val="28"/>
          <w:sz w:val="28"/>
          <w:szCs w:val="28"/>
          <w:rtl w:val="true"/>
          <w:lang w:bidi="ar-SA"/>
        </w:rPr>
        <w:t>، وبلا خلاف أجده بين من تأخر عن القديمين الحسن وأبي علي، بل صرح غير واحد منهم بعدم الالتفات إلى المرجحات الآتية في غير هذه الصورة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وعن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الحكم بينهما نصفين، لكن اختلف في سببه،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لتساقط البينتين بسبب التساوي فيبقى الحكم كما لو لم تكن بينة،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 كل منهما مرجحاً باليد على نصفها فقدمت بينته على ما في يده،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يد كل واحد على النصف وقد أقام الآخر بينة عليه فيقضي له بما في يد غريمه بناءً على تقديم بينة الخارج، فكل منهما قد اعتبرت فيما لا تعتبر فيه الأخرى، ولذا لم يلحظ ترجيح بالعدد ولا بالعدالة وهذا هو الأشهر</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فليس المشهور هو التساقط</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كون العين في يد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بأرجح البينتين عدالة، ومع التساوي في العدالة يقضى بأكثرهما عدداً، ومع التساوي يقرع بين المتداعيين </w:t>
      </w:r>
    </w:p>
    <w:p>
      <w:pPr>
        <w:pStyle w:val="BookText"/>
        <w:rPr/>
      </w:pPr>
      <w:r>
        <w:rPr>
          <w:rFonts w:ascii="Amiri" w:hAnsi="Amiri" w:eastAsia="Amiri" w:cs="Amiri"/>
          <w:color w:val="111111"/>
          <w:sz w:val="28"/>
          <w:sz w:val="28"/>
          <w:szCs w:val="28"/>
          <w:rtl w:val="true"/>
          <w:lang w:bidi="ar-SA"/>
        </w:rPr>
        <w:t>على المشهور بين الأصحاب، خصوصاً المتأخرين، بل عليهم عامتهم كما قيل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المسالك وغيرها نسبته إلى الشهرة، بل في الغنية الإجماع عليه، بل في الرياض نسبته إلى الأشهر، بل عامة متأخري أصحابنا</w:t>
      </w:r>
      <w:r>
        <w:rPr>
          <w:rStyle w:val="FootnoteAnchor"/>
          <w:rtl w:val="true"/>
        </w:rPr>
        <w:footnoteReference w:id="177"/>
      </w:r>
      <w:r>
        <w:rPr>
          <w:rFonts w:ascii="Amiri" w:hAnsi="Amiri" w:eastAsia="Amiri" w:cs="Amiri"/>
          <w:color w:val="111111"/>
          <w:sz w:val="28"/>
          <w:sz w:val="28"/>
          <w:szCs w:val="28"/>
          <w:rtl w:val="true"/>
          <w:lang w:bidi="ar-SA"/>
        </w:rPr>
        <w:t>، والجواهر وإن ناقش في تحقق الشهرة إلا أنه لا مناقشة في عدم انعقاد الشهرة على التساقط فتدبر، هذا لو فرض وجود قول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تكن العين بيد أحدهما وأقاما بينة، فظاهر عبارة الصدوقين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حكم يد الثالث، وقال بعض فضلائنا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الأولى، وهو كذلك لإطلاق أكثر الأخبار المتقدمة إن لم نقل جميعها بالنسبة إلى هذه الصورة أيضاً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يقال بأن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تعارض البينتين في غير الماليات، فيندفع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الأقربية للواقع موجبة لتعيّن الأخذ بذيها، للزم في الصورتين الأوليين الترجيح بالعدد والعدالة وأشباههما، لا الحكم بترجيح بينة الخارج مطلقاً في الصورة الأولى، والتنصيف في الثانية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الترجيح فيهما لوجود الدليل الخاص على تقديم بينة الخارج وعلى التنصيف وهي الروايات، ومنها المستفيضة المصرحة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استفاد منها الفقهاء اختصاص قبول البينة بالمدعي، لكون التفصيل قاطعاً للشركة، وهذه الرواية وإن أشكل في دلالتها على المدعى إلاّ أن المستشكلين استندوا إلى روايات أخرى دالة على </w:t>
      </w:r>
    </w:p>
    <w:p>
      <w:pPr>
        <w:pStyle w:val="BookText"/>
        <w:rPr/>
      </w:pPr>
      <w:r>
        <w:rPr>
          <w:rFonts w:ascii="Amiri" w:hAnsi="Amiri" w:eastAsia="Amiri" w:cs="Amiri"/>
          <w:color w:val="111111"/>
          <w:sz w:val="28"/>
          <w:sz w:val="28"/>
          <w:szCs w:val="28"/>
          <w:rtl w:val="true"/>
          <w:lang w:bidi="ar-SA"/>
        </w:rPr>
        <w:t>تقديم بينة الخارج، كالتعليل المذكور في خبر منصور الذي هو بالشهرةمجبور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وَجَلَّ إِنَّمَا أَمَرَ أَنْ يُطْلَبَ الْبَيِّنَةُ مِنَ الْمُدَّعِي، فَإِنْ كَانَتْ لَهُ بَيِّنَةٌ، وَإِلَّا فَيَمِينُ الَّذِي هُوَ فِي يَدِهِ، هَكَذَا أَمَرَ اللَّهُ عَزَّ وَ جَلَّ</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وكذا الرضوي المنجبر بعمل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ترجيح بينة الداخل بالعدد والعدالة إنما هو لعدم كون بينته مقبولة شرعاً حسب الروايات، لا لعدم الاعتناء بمرجحاتها بعد الفراغ عن مقبوليتها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بينته بينة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محلاً لها، كما ليست المرأة محلاً للقضاوة، وذلك مما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حجيتها ههنا تعبدية لا طريقية محضة، وبملاك الكاشفية النوعية المحضة عن الواقع، ولذا التزم المولى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حجيتها من باب الظن حتى تكون بينة الداخل مقدمة فيما لو كان الظن الحاصل منها أقوى من الحاصل من بينة الخارج، كما لو كانت أكثر عدداً أو أشد عدالة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وما ادعيناه من لزوم العمل بالأقرب من المتعارضين ليس في صورة تعبد الشارع بالعمل بأحدهما غير الأقرب، ولا في صورة عدم قيام الدليل على أن هذا أقرب، بل كان الظن قائماً عليه، 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في نظرنا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هو في صورة العلم بالطريقية المحضة أو الشك بينها وبين التعبدية، لكون الأصل الطريقية وعدم لحاظ الشارع أمراً زائداً على صرف الإيصال إلى الواقع، ولأنه مقتضى دوران الأمر بين التعيين والتخيير، فتأمل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صورة تنصيص الشارع على اتباع أحد المتعارضين، فكيف إذا </w:t>
      </w:r>
    </w:p>
    <w:p>
      <w:pPr>
        <w:pStyle w:val="BookText"/>
        <w:rPr/>
      </w:pPr>
      <w:r>
        <w:rPr>
          <w:rFonts w:ascii="Amiri" w:hAnsi="Amiri" w:eastAsia="Amiri" w:cs="Amiri"/>
          <w:color w:val="111111"/>
          <w:sz w:val="28"/>
          <w:sz w:val="28"/>
          <w:szCs w:val="28"/>
          <w:rtl w:val="true"/>
          <w:lang w:bidi="ar-SA"/>
        </w:rPr>
        <w:t>علله الشارع بأنه أقرب للواقع، وبأن في عدمه الضرر والوقوع في الندم، كما في الروايات الدالة على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إنكار الملازمة بوجه آخر،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ترجيح بينة الخارج مطلقاً لكونها أقرب نوعاً إلى الواقع من بينة الداخل في نظر الشارع، وإن كانت بينة الداخل أكثر عدداً وعدالةً،بمعنى أنه رأى كون أكثر مواقع دعوى الخارج ما في يد آخر وإقامته البينة مطابقة للواقع وكون الأقل مطابقاً للداخل وإن كانت بينته أكثر وأقوى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مبني على الالتزام بالتعبدية في البينة، والثاني على الالتزام بالطريقية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تقرير هذا الوجه الثاني يظهر أن هناك شقاً ثالثاً، يمكن به التخلص عما استشكله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يرد عليهم أنه إن كان بناؤهم على عدم حجيتها فهو مناف لقبولها في بعض الموارد، وإن كان على قوة الظن، فقد يكون الظن الحاصل من بينة الداخل أقوى من بينة الخارج</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وهو كون البناء على حجيتها من باب أقربيتها إلى الواقع نوعاً بنظر الشارع، وإن كان الظن الحاصل من بينة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العدد أو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هذا الوجه في الصورة الثانية، وهي ما لو كانت العين بيدهما حيث حكم بالتنصيف، فتأمل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في جواب هذا الإشكال ظهر الجواب عن النقض بكل موارد تقديم الشارع ما يتوهم كونه غير أقرب، أو ما يكون غير أقرب واقعاً، من أول الفقه إلى آخره</w:t>
      </w:r>
      <w:r>
        <w:rPr>
          <w:rFonts w:eastAsia="Amiri" w:cs="Amiri" w:ascii="Amiri" w:hAnsi="Amiri"/>
          <w:color w:val="111111"/>
          <w:sz w:val="28"/>
          <w:szCs w:val="28"/>
          <w:rtl w:val="true"/>
          <w:lang w:bidi="ar-SA"/>
        </w:rPr>
        <w:t xml:space="preserve">. </w:t>
      </w:r>
      <w:bookmarkStart w:id="195" w:name="pg8204_100956"/>
    </w:p>
    <w:p>
      <w:pPr>
        <w:pStyle w:val="Heading5"/>
        <w:numPr>
          <w:ilvl w:val="4"/>
          <w:numId w:val="1"/>
        </w:numPr>
        <w:rPr/>
      </w:pPr>
      <w:bookmarkStart w:id="196" w:name="__RefHeading___Toc8924068_1051229030"/>
      <w:bookmarkStart w:id="197" w:name="_Toc73"/>
      <w:bookmarkEnd w:id="195"/>
      <w:bookmarkEnd w:id="196"/>
      <w:r>
        <w:rPr>
          <w:rtl w:val="true"/>
        </w:rPr>
        <w:t xml:space="preserve">الملحق </w:t>
      </w:r>
      <w:r>
        <w:rPr>
          <w:rtl w:val="true"/>
        </w:rPr>
        <w:t>(</w:t>
      </w:r>
      <w:r>
        <w:rPr/>
        <w:t>3</w:t>
      </w:r>
      <w:r>
        <w:rPr>
          <w:rtl w:val="true"/>
        </w:rPr>
        <w:t>)</w:t>
      </w:r>
      <w:bookmarkEnd w:id="197"/>
    </w:p>
    <w:p>
      <w:pPr>
        <w:pStyle w:val="Heading6"/>
        <w:numPr>
          <w:ilvl w:val="5"/>
          <w:numId w:val="1"/>
        </w:numPr>
        <w:rPr/>
      </w:pPr>
      <w:bookmarkStart w:id="198" w:name="__RefHeading___Toc8924070_1051229030"/>
      <w:bookmarkStart w:id="199" w:name="_Toc74"/>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بحث عن الوجه في تقديم حكم الأفقه</w:t>
      </w:r>
    </w:p>
    <w:p>
      <w:pPr>
        <w:pStyle w:val="BookText"/>
        <w:rPr/>
      </w:pPr>
      <w:r>
        <w:rPr>
          <w:rFonts w:ascii="Amiri" w:hAnsi="Amiri" w:eastAsia="Amiri" w:cs="Amiri"/>
          <w:color w:val="111111"/>
          <w:sz w:val="28"/>
          <w:sz w:val="28"/>
          <w:szCs w:val="28"/>
          <w:rtl w:val="true"/>
          <w:lang w:bidi="ar-SA"/>
        </w:rPr>
        <w:t>في القضاء وفرقه عن باب الفتوى</w:t>
      </w:r>
    </w:p>
    <w:p>
      <w:pPr>
        <w:pStyle w:val="BookText"/>
        <w:rPr/>
      </w:pPr>
      <w:r>
        <w:rPr>
          <w:rFonts w:ascii="Amiri" w:hAnsi="Amiri" w:eastAsia="Amiri" w:cs="Amiri"/>
          <w:color w:val="111111"/>
          <w:sz w:val="28"/>
          <w:sz w:val="28"/>
          <w:szCs w:val="28"/>
          <w:rtl w:val="true"/>
          <w:lang w:bidi="ar-SA"/>
        </w:rPr>
        <w:t>إذ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الحاكم لفصل الخصومة أعم من ترجيح حكم الأفقه، إذ يتم فصلها بالحكم بترجيح قول غير الأفقه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الخصومة يحصل بتقديم أي منهما تعييناً، لا بتقديم خصوص قول الأفقه تعييناً، فلماذا قدم قول الأفقه؟ لا مناص إلاّ بالتزام كون ذلك لأقربيته إلى الواقع، ثم ألم يكن ترجيح حكم المفضول قبيحاً عقلاً وعرفاً؟ وما ذلك إلاّ لذلك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بتمامية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إنه لا ينكر ههنا أقربية قول الأعلم للواقع من غيره، بل يرى أن هذه الأقربية في باب الحكومة 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لتعين الرجوع في القضاء للأعلم بضميمة أنه لابد في باب القضاء </w:t>
      </w:r>
    </w:p>
    <w:p>
      <w:pPr>
        <w:pStyle w:val="BookText"/>
        <w:rPr/>
      </w:pPr>
      <w:r>
        <w:rPr>
          <w:rFonts w:ascii="Amiri" w:hAnsi="Amiri" w:eastAsia="Amiri" w:cs="Amiri"/>
          <w:color w:val="111111"/>
          <w:sz w:val="28"/>
          <w:sz w:val="28"/>
          <w:szCs w:val="28"/>
          <w:rtl w:val="true"/>
          <w:lang w:bidi="ar-SA"/>
        </w:rPr>
        <w:t>لكونه مجعولاً لفصل الخصومة من جعل الحجة التعيينية لا التخييرية، وغير موجبة لذلك في باب الفتوى لعدم تلك الضميمة، فتبقى أدلة حجية فتوى المجتهد على إطلاقها المقتضية للحجية التخييرية،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عدم قبولنا ما ذكره غير ضار، إذ الكلام في استفادة الفقهاء الطريقية ونفي التعبدية في محتملها، وليس الكلام فيأن وجود الأقوى طريقيةً، كالأعلم، يوجب التعيين ولا غير، كما في باب الحكومة، إذ لا يمكن فيها التخيير، أو لا يستلزم إيجابه، بل يمكن إيجابه أو التخيير كما في باب الفتوى،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ما سبق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فِي حَلالِنَا وَحَرَامِنَا وَعَرَفَ أَحْكَامَنَا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 فَلَمْ يَقْبَلْهُ مِنْهُ فَإِنَّمَا اسْتَخَفَّ بِحُكْمِ اللَّه</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وما في لحوق تعليل تقديم المجمع عليه على الشاذ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وتعليل تقديم مخالف العامة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الرَّشَاد</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من الدلالة القوية على أن الملاك هو القرب أو الأقربية للواقع، فيكون الترجيح لأجلها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دلالة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حيث إن الظاهر أن سؤاله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فإن كان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سؤال عن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حلالنا، وحرامنا، وأحكامنا، وحكمنا، وبحكم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فعيّنه له الإمام، وأنه ما حكم به الأعدل الأفقه، أما دلالة ما لحق فلا يخفى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فمناط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وهو القرب أو الأقربية للواقع، بقرينة ما سبق وما لحق، ولكون التعبدية على خلاف الأصل، كما سبق تقريره من </w:t>
      </w:r>
    </w:p>
    <w:p>
      <w:pPr>
        <w:pStyle w:val="BookText"/>
        <w:rPr/>
      </w:pPr>
      <w:r>
        <w:rPr>
          <w:rFonts w:ascii="Amiri" w:hAnsi="Amiri" w:eastAsia="Amiri" w:cs="Amiri"/>
          <w:color w:val="111111"/>
          <w:sz w:val="28"/>
          <w:sz w:val="28"/>
          <w:szCs w:val="28"/>
          <w:rtl w:val="true"/>
          <w:lang w:bidi="ar-SA"/>
        </w:rPr>
        <w:t>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الكلام فيما ذكره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يجاب أولاً بأن التعدي عن موردها قياس فلا يتعدى عن مورد المقبولة إلى غيره من موارد القضاء فضلاً عن باب الإفتاء</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كما ظهر الجواب عما ذكره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الترجيح مع المعارضة في مقام الحكومة لأجل رفع الخصومة التي لا تكاد ترتفعإلا به لا يستلزم الترجيح في مقام الفتوى كما لا يخفى</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إذ اتضح أن هذا الفرق غير فارق لارتفاع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قول غير الأفقه الأعدل الأصدق الأورع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بتقديم حكم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بالإرجاع إلى ثالث يرتضيانه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بالقرعة بعد اختلافهما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بغير ذلك، فتقديم قول الأفقه الأعدل ليس إلا بملاك الأقربية للواقع، كما فصلناه قبل قليل، إلا أن يدل دليل من الخارج على جواز اتباع غير الأقرب، مما يكون لأجل مصلحة أخرى كمصلحة التسهيل، فيلتزم حينئذٍ بالتخيير، وإلاّ فمقتضى القاعدة التعيين لما سبق، ولا أقل لدوران الأمر بين التعيين والتخيير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للدليل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بعدم وجوب الرجوع للقاضي الأعلم ابتداءً</w:t>
      </w:r>
      <w:r>
        <w:rPr>
          <w:rStyle w:val="FootnoteAnchor"/>
          <w:rtl w:val="true"/>
        </w:rPr>
        <w:footnoteReference w:id="189"/>
      </w:r>
      <w:r>
        <w:rPr>
          <w:rFonts w:ascii="Amiri" w:hAnsi="Amiri" w:eastAsia="Amiri" w:cs="Amiri"/>
          <w:color w:val="111111"/>
          <w:sz w:val="28"/>
          <w:sz w:val="28"/>
          <w:szCs w:val="28"/>
          <w:rtl w:val="true"/>
          <w:lang w:bidi="ar-SA"/>
        </w:rPr>
        <w:t xml:space="preserve">، بعدم تعدينا عن مورد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اختيارهما الرجوع إلى </w:t>
      </w:r>
    </w:p>
    <w:p>
      <w:pPr>
        <w:pStyle w:val="BookText"/>
        <w:rPr/>
      </w:pPr>
      <w:r>
        <w:rPr>
          <w:rFonts w:ascii="Amiri" w:hAnsi="Amiri" w:eastAsia="Amiri" w:cs="Amiri"/>
          <w:color w:val="111111"/>
          <w:sz w:val="28"/>
          <w:sz w:val="28"/>
          <w:szCs w:val="28"/>
          <w:rtl w:val="true"/>
          <w:lang w:bidi="ar-SA"/>
        </w:rPr>
        <w:t>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سائر موارد القضاء لأجل الدليل الخارجي، لا لما ذكره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قياساً، إذ بيّنا أن الملاك في التقديم موجود بعينه فيما نحن فيه، ولئن نوقش في وجوده في موارد الفتوى فلا شك في وجوده في سائر موارد القضاء،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الخارجي هو إطلاق أو عموم أدلة النصب المقتضي لحجية قضاء جميع القضاة على الناس، كخبري أبي خديجة</w:t>
      </w:r>
      <w:r>
        <w:rPr>
          <w:rStyle w:val="FootnoteAnchor"/>
          <w:rtl w:val="true"/>
        </w:rPr>
        <w:footnoteReference w:id="190"/>
      </w:r>
      <w:r>
        <w:rPr>
          <w:rFonts w:ascii="Amiri" w:hAnsi="Amiri" w:eastAsia="Amiri" w:cs="Amiri"/>
          <w:color w:val="111111"/>
          <w:sz w:val="28"/>
          <w:sz w:val="28"/>
          <w:szCs w:val="28"/>
          <w:rtl w:val="true"/>
          <w:lang w:bidi="ar-SA"/>
        </w:rPr>
        <w:t>، ومقبولة ابن حنظلة</w:t>
      </w:r>
      <w:r>
        <w:rPr>
          <w:rStyle w:val="FootnoteAnchor"/>
          <w:rtl w:val="true"/>
        </w:rPr>
        <w:footnoteReference w:id="191"/>
      </w:r>
      <w:r>
        <w:rPr>
          <w:rFonts w:ascii="Amiri" w:hAnsi="Amiri" w:eastAsia="Amiri" w:cs="Amiri"/>
          <w:color w:val="111111"/>
          <w:sz w:val="28"/>
          <w:sz w:val="28"/>
          <w:szCs w:val="28"/>
          <w:rtl w:val="true"/>
          <w:lang w:bidi="ar-SA"/>
        </w:rPr>
        <w:t>، وخبر داود بن الحصين</w:t>
      </w:r>
      <w:r>
        <w:rPr>
          <w:rStyle w:val="FootnoteAnchor"/>
          <w:rtl w:val="true"/>
        </w:rPr>
        <w:footnoteReference w:id="192"/>
      </w:r>
      <w:r>
        <w:rPr>
          <w:rFonts w:ascii="Amiri" w:hAnsi="Amiri" w:eastAsia="Amiri" w:cs="Amiri"/>
          <w:color w:val="111111"/>
          <w:sz w:val="28"/>
          <w:sz w:val="28"/>
          <w:szCs w:val="28"/>
          <w:rtl w:val="true"/>
          <w:lang w:bidi="ar-SA"/>
        </w:rPr>
        <w:t>، والنميري</w:t>
      </w:r>
      <w:r>
        <w:rPr>
          <w:rStyle w:val="FootnoteAnchor"/>
          <w:rtl w:val="true"/>
        </w:rPr>
        <w:footnoteReference w:id="193"/>
      </w:r>
      <w:r>
        <w:rPr>
          <w:rFonts w:ascii="Amiri" w:hAnsi="Amiri" w:eastAsia="Amiri" w:cs="Amiri"/>
          <w:color w:val="111111"/>
          <w:sz w:val="28"/>
          <w:sz w:val="28"/>
          <w:szCs w:val="28"/>
          <w:rtl w:val="true"/>
          <w:lang w:bidi="ar-SA"/>
        </w:rPr>
        <w:t>،وللسيرة المستمرة في الإفتاء والاستفتاء والقضاء والاستقضاء منهم مع تفاوتهم في الفقه والعدالة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أصل تأهل المفضول وكونه منصوباً يجري على قبضه وولايته مجرى قبل الأفضل من القطعيات التي لا ينبغي الوسوسة فيها، خصوصاً بعد ملاحظة نصوص النصب الظاهرة في نصب الجميع الموصوفين بالوصف المزبور، لا الأفضل منهم، وإلا لوجب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الأفضل منكم لا رجل منكم، كما هو واضح بأدنى تأمل</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ولاستلزام وجوب الرجوع للأعلم العسر والحرج عليه وعلى الناس كما لا يخفى، خصوصاً الذين يسكنون بلاداً أخرى، ولعل عموم النصب كان لأجل مصلحة التسهيل هذه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ما ارتضيناه من جواز الرجوع إلى القاضي غير الأعلم </w:t>
      </w:r>
    </w:p>
    <w:p>
      <w:pPr>
        <w:pStyle w:val="BookText"/>
        <w:rPr/>
      </w:pPr>
      <w:r>
        <w:rPr>
          <w:rFonts w:ascii="Amiri" w:hAnsi="Amiri" w:eastAsia="Amiri" w:cs="Amiri"/>
          <w:color w:val="111111"/>
          <w:sz w:val="28"/>
          <w:sz w:val="28"/>
          <w:szCs w:val="28"/>
          <w:rtl w:val="true"/>
          <w:lang w:bidi="ar-SA"/>
        </w:rPr>
        <w:t xml:space="preserve">ابتداءً، أما على مسلك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المجمع عليه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الذريعة، والمحقق الثاني في صريح حواشي كتاب الجهاد من الشرائع</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 ونسبه في الجواهر إلى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الغريب اعتماد الأصحاب عليها في إثبات هذا المطلق حتى أن بعضاً منهم جعل مقتضاها ذلك مع العلم بالخلاف الذي عن جماعة من الأصوليين دعوى الإجماع على تقديمه حينئذٍ لا مطلقاً فجنح إلى التفصيل في المسألة بذلك</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وإن ناقش في تحقق الإجماع وفي نسبته للمحقق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أوضح، حيث إنهم</w:t>
      </w:r>
      <w:r>
        <w:rPr>
          <w:rStyle w:val="FootnoteAnchor"/>
          <w:rtl w:val="true"/>
        </w:rPr>
        <w:footnoteReference w:id="197"/>
      </w:r>
      <w:r>
        <w:rPr>
          <w:rFonts w:ascii="Amiri" w:hAnsi="Amiri" w:eastAsia="Amiri" w:cs="Amiri"/>
          <w:color w:val="111111"/>
          <w:sz w:val="28"/>
          <w:sz w:val="28"/>
          <w:szCs w:val="28"/>
          <w:rtl w:val="true"/>
          <w:lang w:bidi="ar-SA"/>
        </w:rPr>
        <w:t xml:space="preserve">نقلوا من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بالترجيح في مورد خاص إلى الترجيح في مورد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القاضي الأعلم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ذلك إلاّ لبنائهم على إلغاءالخصوصية ونفي التبعدية وكون الملاك أقوائية الظن والأقربية للواقع، بل إنهم صرحوا بذلك، حيث كان مستند قولهم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 الظن بقول الأعلم أقوى فيجب اتباعه، إذ أقوال المفتين بالنسبة للمقلد كالأدلة بالنسبة إلى المجتهد في وجوب اتباع الراجح</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وبالنسبة لتقليد الأعلم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أن الظن الحاصل من قول الأعلم أقرب إلى الواقع</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استشكله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اعتبار الحكم من جهة الظن الحاصل منه أول الدعوى</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فقد سبق أن أجبنا عنه مفصلاً، إضافة إلى أن كلامنا الآن هو تمامية المدعى على مسلك هؤلاء</w:t>
      </w:r>
      <w:r>
        <w:rPr>
          <w:rFonts w:eastAsia="Amiri" w:cs="Amiri" w:ascii="Amiri" w:hAnsi="Amiri"/>
          <w:color w:val="111111"/>
          <w:sz w:val="28"/>
          <w:szCs w:val="28"/>
          <w:rtl w:val="true"/>
          <w:lang w:bidi="ar-SA"/>
        </w:rPr>
        <w:t xml:space="preserve">. </w:t>
      </w:r>
      <w:bookmarkStart w:id="200" w:name="pg8204_100961"/>
    </w:p>
    <w:p>
      <w:pPr>
        <w:pStyle w:val="BookText"/>
        <w:rPr/>
      </w:pPr>
      <w:bookmarkEnd w:id="200"/>
      <w:r>
        <w:rPr>
          <w:rFonts w:ascii="Amiri" w:hAnsi="Amiri" w:eastAsia="Amiri" w:cs="Amiri"/>
          <w:color w:val="111111"/>
          <w:sz w:val="28"/>
          <w:sz w:val="28"/>
          <w:szCs w:val="28"/>
          <w:rtl w:val="true"/>
          <w:lang w:bidi="ar-SA"/>
        </w:rPr>
        <w:t>كما أن استدلالهم بالأخبار كالمقبولة ورواية الحصين والنميري رغم كون موردها تراضيهما بالحكمين، ورغم كون الوارد غير عام، دليل آخر على أن مبناهم على إلغاء الخصوصية واستنباط أن ملاك الترجيح هو الأقربية للواقع، كما هي ملاك الحجية أيضاً</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8924072_1051229030"/>
      <w:bookmarkStart w:id="202" w:name="_Toc75"/>
      <w:bookmarkEnd w:id="201"/>
      <w:r>
        <w:rPr>
          <w:rtl w:val="true"/>
        </w:rPr>
        <w:t>مناقشات مع المستند في قوله بالحكم الظاهري</w:t>
      </w:r>
      <w:bookmarkEnd w:id="202"/>
    </w:p>
    <w:p>
      <w:pPr>
        <w:pStyle w:val="BookText"/>
        <w:rPr/>
      </w:pPr>
      <w:r>
        <w:rPr>
          <w:rFonts w:ascii="Amiri" w:hAnsi="Amiri" w:eastAsia="Amiri" w:cs="Amiri"/>
          <w:color w:val="111111"/>
          <w:sz w:val="28"/>
          <w:sz w:val="28"/>
          <w:szCs w:val="28"/>
          <w:rtl w:val="true"/>
          <w:lang w:bidi="ar-SA"/>
        </w:rPr>
        <w:t>وأما ما ذكره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إنما يتم على القول بأن متابعة المقلد لقول مجتهده لأجل أنه محصل للظن بالواقع، وهو ممنوع، لجواز أن يكون هذا حكماً آخر نائباً مناب الحكم الواقعي وإن لم يحصل الظن به، كالتقية وشهادة الشاهدين واليمين، ولو كان بناء الفقهاء على الظنون لزم عدم سماع دعوى كنّاس على مجتهد أنه أجره للكناسة، ودعوى شرير متغلبعلى مجتهد عادل في دراهم، ولزم أن يقضى بالشاهد الواحد إذا كان مفيداً للظن، سيما إذا كان المدعي معروفاً بالصلاح والسداد، والمدعى عليه بخلافه، وحينئذٍ فلا دليل على اعتبار الظن الأقوى</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ممنوع 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الأصل، ولذا كان رفع اليد عن الحكم الواقعي هو المحتاج للدليل إثباتاً، وللسبب كالتقية ثبوتاً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حكم مناب الحكم الواقعي خلاف الأصل، فلا يرفع اليد عن عمومات الأدلة الواقعية إلا لدليل، ولا يكفي صرف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الأدلة الدالة على لزوم التقليد على من ليس بمجتهد ولا محتاط، تنفي كون لزوم اتباع المجتهد</w:t>
      </w:r>
      <w:r>
        <w:rPr>
          <w:rStyle w:val="FootnoteAnchor"/>
          <w:rtl w:val="true"/>
        </w:rPr>
        <w:footnoteReference w:id="202"/>
      </w:r>
      <w:r>
        <w:rPr>
          <w:rFonts w:ascii="Amiri" w:hAnsi="Amiri" w:eastAsia="Amiri" w:cs="Amiri"/>
          <w:color w:val="111111"/>
          <w:sz w:val="28"/>
          <w:sz w:val="28"/>
          <w:szCs w:val="28"/>
          <w:rtl w:val="true"/>
          <w:lang w:bidi="ar-SA"/>
        </w:rPr>
        <w:t>حكماً آخر نائباً مناب الحكم الواقعي، أترى كون الفطرة الحاكمة أو العقل الحاكم بوجوب أن يكون المرء في ما كلفه به مولاه، أو حد له حدوداً فيه من عباداته ومعاملاته، مجتهداً أو مقلداً أو محتاطاً، حاكمة به بملاك غير ملاك تحصيل الواقع، وترى كون كلام المقلَّد حكماً نائباً مناب الواقع؟ خاصة إذا كان مستند هذا الحكم علم المكلف بأنه ليس كالبهائم، واحتماله العقاب في ترك التعرض لتحصيل التكاليف الواقعية، بل حتى لو كان مستنده القريب حكم العقل بوجوب شكر المنعم، والبعيد احتماله العقاب ووجوب دفع الضرر المحتمل، بل حتى لو كان مستنده وجوب شكر المنعم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هذا الوجوب طريقي محض لانفسية فيه بوجه، فيكون المناط كله على الواقع</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وقال تعليقاً على ما ذكره في العروة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العمل بالاحتياط مجتهداً كان أو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تقدم من أنه لا موضوعية للطرق الثلاثة، وإنما هي طريق محض لدرك الواقع، والاحتياط أوثقها وأقواها</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أدلة وجوب التعلم الآتية بمعونة أن ليس المراد منها </w:t>
      </w:r>
    </w:p>
    <w:p>
      <w:pPr>
        <w:pStyle w:val="BookText"/>
        <w:rPr/>
      </w:pPr>
      <w:r>
        <w:rPr>
          <w:rFonts w:ascii="Amiri" w:hAnsi="Amiri" w:eastAsia="Amiri" w:cs="Amiri"/>
          <w:color w:val="111111"/>
          <w:sz w:val="28"/>
          <w:sz w:val="28"/>
          <w:szCs w:val="28"/>
          <w:rtl w:val="true"/>
          <w:lang w:bidi="ar-SA"/>
        </w:rPr>
        <w:t>إلاّ العمل على طبق الواقعيات تفيد وجوب إحدى الثلاث</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ومما يوضح ما ذكرناه أن التقليد من باب رجوع الجاهل للعالم، ولا ريب أن العقل يلزمه بالرجوع إليه لإدراك الواقع، لا لأن لكلامه موضوعية أو لقسيميه، والوجدان بذلك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له أن من الواضح حكم العقل بعدم جواز اتباعه لو علم المقلد خطأه، ولو كانت لكلامه موضوعية لكان قسيماً للواقع، لازم الاتباع وإن خالفه،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بموضوعية كلامه ونيابته مناب الحكم الواقعي بشرط عدم العلم بخطأه،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الأخرى التي أقيمت على جواز أو وجوب التقليد، فإن قيل بكونها إرشادية فالأمر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المولوية،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بها على ذلك، فالظاهر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أن المقصود معرفة المنذرين بالدين وأحكامه وحذرهم من مخالفتها، وكون الإنذار طريقاً إلى معرفة الدين لا أن يكون تفقههم سبباً لموضوعية أقوالهم ونيابتها مناب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هو ذلك، حيث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العلم، فيقتضي ارتفاعه بوجود السؤال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اسألوا إن لم تعلموا </w:t>
      </w:r>
    </w:p>
    <w:p>
      <w:pPr>
        <w:pStyle w:val="BookText"/>
        <w:rPr/>
      </w:pPr>
      <w:r>
        <w:rPr>
          <w:rFonts w:ascii="Amiri" w:hAnsi="Amiri" w:eastAsia="Amiri" w:cs="Amiri"/>
          <w:color w:val="111111"/>
          <w:sz w:val="28"/>
          <w:sz w:val="28"/>
          <w:szCs w:val="28"/>
          <w:rtl w:val="true"/>
          <w:lang w:bidi="ar-SA"/>
        </w:rPr>
        <w:t xml:space="preserve">الواقع لتعلموا، فالسؤال طريق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 من الدقي والعرفي ومما يساوق الاطمينان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فمنطوقها يدل بصريح التعليل، على أن وجوب التبين لأجل أن لا يصيب قوماً بجهالة، وعدم وجوبه في العادل لإلغاء احتمال الكذب وإصابة القوم بجهالة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التبين في خبر الفاسق ليس من حيث هو هو، بل مخافة إصابة القوم بجهالة، وباعتبار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مخالفة الواقع وتسبيبه الوقوع في الندم، وأما مفهوم الوصف</w:t>
      </w:r>
      <w:r>
        <w:rPr>
          <w:rStyle w:val="FootnoteAnchor"/>
          <w:rtl w:val="true"/>
        </w:rPr>
        <w:footnoteReference w:id="209"/>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خبر العادل، لعدم تلك المخافة عرفاً، وعدم ذلك التسبيب عادة، فليس قبوله بما هو هو، بل لأنه مصيب ومطابق للواقع عرفاً، واحتمال مخالفته للواقع لضعفه ملغى عقلاً، فعلة وجوب التبيّن وعدمه إذن هي مخالفة الواقع، وعدمها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التعليل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فالتوقيع الوارد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ظاهرة أيضاً في حجية قول الفقيه من حيث إنه كاشف عن قول الإمام الكاشف عن حكم الله، لا أن هنا حكماً آخر نائباً مناب الحكم الواقعي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أترى أن المولى لو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حجتي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استفيد منه أن هنا </w:t>
      </w:r>
    </w:p>
    <w:p>
      <w:pPr>
        <w:pStyle w:val="BookText"/>
        <w:rPr/>
      </w:pPr>
      <w:r>
        <w:rPr>
          <w:rFonts w:ascii="Amiri" w:hAnsi="Amiri" w:eastAsia="Amiri" w:cs="Amiri"/>
          <w:color w:val="111111"/>
          <w:sz w:val="28"/>
          <w:sz w:val="28"/>
          <w:szCs w:val="28"/>
          <w:rtl w:val="true"/>
          <w:lang w:bidi="ar-SA"/>
        </w:rPr>
        <w:t>حكماً ظاهرياً نائباً مناب الأحكام التي يصدرها المولى، وأن حجية كلامه من حيث هو هو؟ أم أن حجيته من حيث كونه موصلاً إلى تكاليف المولى وأحكامه، بحيث لو سلبت عنه هذه الجهة وصار قسيماً لكلام المولى وأحكامه لم تكن له حجية أبداً ولما وجب اتباعه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ما يحتج به المولى على عبده، ولولا كون كلمات الفقهاء طريقاً موصلاً لروايات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كانوا حجتهم علينا، ولما صحت إضافة الحجية لياء المتكلم، إذ لو قطع النظر عن حيثية كاشفية كلام الفقيه عن حكم المعصوم وروايته، لما كانت له رابطة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كلماته حجة الإمام علينا، فهذا هو الظاهر وإن أمكن دقةً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يمثل بالفرض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يصح أن يجعل رواة الأحاديث المكذوبة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هريرة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حجة الإمام علينا؟ وما ذلك إلا لعدم طريقيتها إلى أقوالهم، فلا تصح حينئذٍ هذه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التقية حكم واقعي ثانوي، نائب مناب الحكم الواقعي الأولي، فمع العلم بأن هذا اليوم من رمضان يجب الإفطار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بما ذكرناه أيضاً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يشعر به أو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المساواة المذكور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مما يعني أنهم حجة الله، ومن المسلّم أن كونهم حجة علينا من حيث إنهم الطريق إلى الله والوسيلة إليه، لا مع قطع النظر عن هذه الحيثية، ولذا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كما أن من المسلّم أن حجية قولهم من حيث إفادتها العلم أو </w:t>
      </w:r>
    </w:p>
    <w:p>
      <w:pPr>
        <w:pStyle w:val="BookText"/>
        <w:rPr/>
      </w:pPr>
      <w:r>
        <w:rPr>
          <w:rFonts w:ascii="Amiri" w:hAnsi="Amiri" w:eastAsia="Amiri" w:cs="Amiri"/>
          <w:color w:val="111111"/>
          <w:sz w:val="28"/>
          <w:sz w:val="28"/>
          <w:szCs w:val="28"/>
          <w:rtl w:val="true"/>
          <w:lang w:bidi="ar-SA"/>
        </w:rPr>
        <w:t>الظن النوعي</w:t>
      </w:r>
      <w:r>
        <w:rPr>
          <w:rStyle w:val="FootnoteAnchor"/>
          <w:rtl w:val="true"/>
        </w:rPr>
        <w:footnoteReference w:id="214"/>
      </w:r>
      <w:r>
        <w:rPr>
          <w:rFonts w:ascii="Amiri" w:hAnsi="Amiri" w:eastAsia="Amiri" w:cs="Amiri"/>
          <w:color w:val="111111"/>
          <w:sz w:val="28"/>
          <w:sz w:val="28"/>
          <w:szCs w:val="28"/>
          <w:rtl w:val="true"/>
          <w:lang w:bidi="ar-SA"/>
        </w:rPr>
        <w:t xml:space="preserve">بحكم الله، ولذا لا يجب اتباع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الظن النوعي على الخلاف، وإن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بحكم الله، بأن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التعليم لا الفتوى</w:t>
      </w:r>
      <w:r>
        <w:rPr>
          <w:rStyle w:val="FootnoteAnchor"/>
          <w:rtl w:val="true"/>
        </w:rPr>
        <w:footnoteReference w:id="215"/>
      </w:r>
      <w:r>
        <w:rPr>
          <w:rFonts w:ascii="Amiri" w:hAnsi="Amiri" w:eastAsia="Amiri" w:cs="Amiri"/>
          <w:color w:val="111111"/>
          <w:sz w:val="28"/>
          <w:sz w:val="28"/>
          <w:szCs w:val="28"/>
          <w:rtl w:val="true"/>
          <w:lang w:bidi="ar-SA"/>
        </w:rPr>
        <w:t xml:space="preserve">حالة التقية مثلاً، فحكم بحكم موافق للعامة تقيةً ومن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 النورة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رواية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سَاعَةٍ أَلْقَاكَ، وَلا يُمْكِنُ الْقُدُومُ، وَيَجِي‌ءُ الرَّجُلُ مِنْ أَصْحَابِنَا فَيَسْأَلُنِي، وَلَيْسَ عِنْدِي كُلُّ مَا يَسْأَلُنِي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مُحَمَّدِ بْنِ مُسْلِمٍ الثَّقَفِيِّ فَإِنَّهُ سَمِعَ مِنْ أَبِي وَكَانَ عِنْدَهُ وَجِيهاً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عدّ هذه الرواية من أدلة جواز التقليد، إذ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ابن مسلم بسماعه 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وجيهاً عنده، ومن الواضح أن العرف الملقى إليه هذا الكلام يستفيد حجية كلام ابن مسلم من حيث طريقيته لكلام الإمام وإيصاله إليه، لا أن صرف السماع يسبب موضوعية لكلامه، بحيث ينشأ حكم آخر على منواله نائباً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لحصول الظن بالواقع وبكلام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Style w:val="FootnoteAnchor"/>
          <w:rtl w:val="true"/>
        </w:rPr>
        <w:footnoteReference w:id="218"/>
      </w:r>
      <w:r>
        <w:rPr>
          <w:rFonts w:ascii="Amiri" w:hAnsi="Amiri" w:eastAsia="Amiri" w:cs="Amiri"/>
          <w:color w:val="111111"/>
          <w:sz w:val="28"/>
          <w:sz w:val="28"/>
          <w:szCs w:val="28"/>
          <w:rtl w:val="true"/>
          <w:lang w:bidi="ar-SA"/>
        </w:rPr>
        <w:t xml:space="preserve">، بل المتبادر إلى الذهن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بصدد بيان ما يكشف عن الواقع ظناً، فتأمل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سمع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لو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أو </w:t>
      </w:r>
    </w:p>
    <w:p>
      <w:pPr>
        <w:pStyle w:val="BookText"/>
        <w:rPr/>
      </w:pPr>
      <w:r>
        <w:rPr>
          <w:rFonts w:ascii="Amiri" w:hAnsi="Amiri" w:eastAsia="Amiri" w:cs="Amiri"/>
          <w:color w:val="111111"/>
          <w:sz w:val="28"/>
          <w:sz w:val="28"/>
          <w:szCs w:val="28"/>
          <w:rtl w:val="true"/>
          <w:lang w:bidi="ar-SA"/>
        </w:rPr>
        <w:t>سمع منه مستند الحكم وما يستنبط منه الحكم، ولافرق بينهما عرفاً في صحة الإسناد والاستناد، فيمكن اسناد إخبارات المجتهد الحدسية المستندة إلى إعمال قواعد العام والخاص، والمطلق والمقيد، والحاكم والوارد، والتعادل والتراجيح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إلى الشارع، ولا يقدح انسباق سماع الحكم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بدوياً، ولذا لو سمع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نقض اليقين بالشك فأفتى العامي ببقاء زوجية زوجته عند شكه في طلاقها، صدق استناده في حكمه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لسماعه منه مستند الحكم، ولو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الثقة وحجية الاستصحاب وأعمل قاعدة الحكومة أو 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المسلكين في تقديم خبر الواحد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أفتى العامي الشاك في طلاق زوجته بانقطاع الزوجية، لإخبار ثقة بإجراء صيغة الطلاق، كان الأمر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رواية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شُقَّتِي بَعِيدَةٌ وَلَسْتُ أَصِلُ إِلَيْكَ فِي كُلِّ وَقْتٍ، فَمِمَّنْ آخُذُ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 الْمَأْمُونِ عَلَى الدِّينِ وَالدُّنْيَا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يشعر بل يدل عرفاً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على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سبب الحكم بأخذ معالم الدين منه، ومن الواضح كون مأمونية شخص على الدين والدنيا، سبباً للظن النوعي بالواقع ومطابقته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حال روايات أخر يطول بذكرها المقام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إضافة إلى استلزامه على الاحتمالين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حكم ظاهري عند الإصابة، وهو كما ترى، للغوية واستحقاق العقوبتين عند المخالفة، أو كون استحقاق العقوبة على مخالفة الحكم الظاهري لا الواقعي المطابق له، ولا يمكن إنكار الملازمة بدعوى جعل الحكم الظاهري عند </w:t>
      </w:r>
    </w:p>
    <w:p>
      <w:pPr>
        <w:pStyle w:val="BookText"/>
        <w:rPr/>
      </w:pPr>
      <w:r>
        <w:rPr>
          <w:rFonts w:ascii="Amiri" w:hAnsi="Amiri" w:eastAsia="Amiri" w:cs="Amiri"/>
          <w:color w:val="111111"/>
          <w:sz w:val="28"/>
          <w:sz w:val="28"/>
          <w:szCs w:val="28"/>
          <w:rtl w:val="true"/>
          <w:lang w:bidi="ar-SA"/>
        </w:rPr>
        <w:t>الخطأ فقط، لكونه خلاف كلامه أولاً</w:t>
      </w:r>
      <w:r>
        <w:rPr>
          <w:rStyle w:val="FootnoteAnchor"/>
          <w:rtl w:val="true"/>
        </w:rPr>
        <w:footnoteReference w:id="220"/>
      </w:r>
      <w:r>
        <w:rPr>
          <w:rFonts w:ascii="Amiri" w:hAnsi="Amiri" w:eastAsia="Amiri" w:cs="Amiri"/>
          <w:color w:val="111111"/>
          <w:sz w:val="28"/>
          <w:sz w:val="28"/>
          <w:szCs w:val="28"/>
          <w:rtl w:val="true"/>
          <w:lang w:bidi="ar-SA"/>
        </w:rPr>
        <w:t>، ولأنه خلاف الأدلة والطريقة العقلائية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الالتزام بكون قول المجتهد حجة لكونه محصلاً للظن بالواقع يستلزم المعذرية عقلاً عند الخطأ، ولا حاجة إلى جعل حكم ظاهري عنده، إذ كون هذا الطريق غالب الإيصال للواقع كافٍ لجعله حجة، وإن لم يوصل أحياناً لغلبة هذه المصلحة على تلك المفسدة،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كل ذلك، استلزامه وجود ثلاثة أحكام فيما لو خالف المجتهد الحكم الواقعي الثانوي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الأولي، والواقعي الثانوي، وحكم ثالث هو ما أدى إليه رأي المجتهد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لجواز أن يكون هذا حكماً آخر نائباً مناب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الأولي حرمة الدم، والثانوي وجوبه التعيني لانحصار العلاج والنجاة به، وقد أدى رأيه إلى وجوبها التخييري، لتوهمه كون النجاة به وبشرب البول مثلاً على سبيل البدل، أو نمثل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كان الحكم الواقعي وجوب التسبيحات الثلاث، والثانوي حرمتها، لضيق الوقت فرضاً أو لتعرضه لخطر إن أطال الصلاة، وكان قوله باستحبابها إما للغفلة عن ضيق الوقت أو مع الالتفات إليه والالتزام باستحبابها عند الضيق،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حقق في محله أن الحجج الشرعية إنما هي كواشف ناقصة عن الواقع، وقد أكمل الشارع كاشفيتها بأدلة حجيتها، أو هي منجزات ومعذرات وليست جعلاً للحكم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 مواردها واقعي ثانوي، وهو </w:t>
      </w:r>
    </w:p>
    <w:p>
      <w:pPr>
        <w:pStyle w:val="BookText"/>
        <w:rPr/>
      </w:pPr>
      <w:r>
        <w:rPr>
          <w:rFonts w:ascii="Amiri" w:hAnsi="Amiri" w:eastAsia="Amiri" w:cs="Amiri"/>
          <w:color w:val="111111"/>
          <w:sz w:val="28"/>
          <w:sz w:val="28"/>
          <w:szCs w:val="28"/>
          <w:rtl w:val="true"/>
          <w:lang w:bidi="ar-SA"/>
        </w:rPr>
        <w:t xml:space="preserve">الحكم المرتب على الموضوعات بعناوينها الثانوية الطارءة كالاضطرار والإكراه غير عنوان مشكوك الحكم، وأما وجوب دفع الخمس وحرمة الخمر واستحباب صلاة الليل مثلاً على المقلد والمجتهد فهي أحكام واقعية أولية، والواجب اتباع الحكم الثانوي وإن علم بالحكم الأولي، لكون مصلحة الأول غالبة فيجب أكل الميتة للاضطرار، والصلاة مكتوفاً له، أما لو علم بخطأ المجتهد حرم اتباعه ولزم اتباع الحكم الواقعي، بأن علم مثلاً خطأ المجتهد في الاكتفاء بتسبيحة واحدة فرضاً، بل وكذا لو حصل له ظن نوعي بخطأه أو بمخالفته للحكم الواقعي، كأن أفتى حالة اضطراب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يبني العقلاء على الاعتداد بكلمات من اعترته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اعتماداً على كتاب ظنه الوسائل مثلاً، وبان للمقلد أنه كتاب آخر مما لا يعتمد عليه هذا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وشهادة الشهادين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أجبنا عنه مفصلاً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بناء الفقهاء على الظنون لزم عدم 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سماع تلك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لإطلاقات أدلة سماعها، ولا منافاة بين حجية ظن نوعي وبين تقدم ظن نوعي آخر عليه، حكومةً أو وروداً أو تخصيصاً، كما لا منافاة بين حجية الظن مطلقاً، وبين تقدم بعض الظنون على البعض الآخر، وهل ترى الانسدادي إلاّ كالانفتاحي في تقديم خبر الواحد الثقة على الاستصحاب، وشهادة العدلين على إدعاء العدل الواحد؟</w:t>
      </w:r>
    </w:p>
    <w:p>
      <w:pPr>
        <w:pStyle w:val="BookText"/>
        <w:rPr/>
      </w:pPr>
      <w:r>
        <w:rPr>
          <w:rFonts w:ascii="Amiri" w:hAnsi="Amiri" w:eastAsia="Amiri" w:cs="Amiri"/>
          <w:color w:val="111111"/>
          <w:sz w:val="28"/>
          <w:sz w:val="28"/>
          <w:szCs w:val="28"/>
          <w:rtl w:val="true"/>
          <w:lang w:bidi="ar-SA"/>
        </w:rPr>
        <w:t xml:space="preserve">وبذلك اتضح عدم صحة الملازمة المذكورة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الفقهاء لو كان على الظنون فإنما هو بنحو المقتضي، </w:t>
      </w:r>
    </w:p>
    <w:p>
      <w:pPr>
        <w:pStyle w:val="BookText"/>
        <w:rPr/>
      </w:pPr>
      <w:r>
        <w:rPr>
          <w:rFonts w:ascii="Amiri" w:hAnsi="Amiri" w:eastAsia="Amiri" w:cs="Amiri"/>
          <w:color w:val="111111"/>
          <w:sz w:val="28"/>
          <w:sz w:val="28"/>
          <w:szCs w:val="28"/>
          <w:rtl w:val="true"/>
          <w:lang w:bidi="ar-SA"/>
        </w:rPr>
        <w:t>فلا محذور في عدم العمل بها إذا ابتليت بالمزاحم الأقوى، وهو إطلاقات أدلة سماع الدعوى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إنكار سماع هذه الدعوى لو كان ظن نوعي على الخلاف، وكان بناء العقلاء على عدم السماع وعدم الاعتناء، إذ إننا لا ندعي حجية كل ظن وحجية الظنون الشخصية ما لم تصل حد الاطمينان، بل ندعي حجية الظنون النوعية، أي مطلق ما كان عليه بناء العقلاء وسيرة العرف إلاّ ما ثبت بدليل خاص خروجه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دعوى شرير متغلب على مجتهد عادل لو كان بناء العقلاء على عدم الاعتناء يلتزم فيه، حتى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سماعها، كما لو وجد شرير متغلب يدعي كل يوم دعوى سخيفة على أحد المجتهدين العدول، أترى القاضي بعد تكرر عدة حوادث خلال مدة قصيرة وعدم قدرة الشرير على الإثبات، أتراه يسمع دعواه السادسة والسابعة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ويحضر ذلك المجتهد العادل إلى المحكمة ويستحلفه ويسير معه حسب ضوابط المدعي والمدعىعليه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كذلك حتى في المرة الواحدة مع الاطمئنان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فالمدار على ما يتعارف من الخصومة بسببه، سواء كان بجزم أو ظن أو احتمال، أما ما لا يتعارف الخصومة به كاحتمال شغل ذمة زيد أو جنايته بما يوجب مالاً أو نحو ذلك مما لا يجري التخاصم به عرفاً فلا سماع للدعوى فيه</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استشهادنا بصغرى كلامه حتى يستشكل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العرف فإنهم يراجعون في مثل ما نفاه ويدل عليه الحضور في المحاكم ليشاهد الإنسان ذلك بأم </w:t>
      </w:r>
    </w:p>
    <w:p>
      <w:pPr>
        <w:pStyle w:val="BookText"/>
        <w:rPr/>
      </w:pPr>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بل بالكبرى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لا يجري التخاصم به عرفاً فلا سماع للدعوى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بقاعدة اليد وأشباهها، فمع أن اليد أمارة الملكية بلا شك، مع ذلك تسمع دعوى الخارج الذي ادعى ملكيته لها، ويستدعى ذو اليد للمحكمة، فهل يصح لأحد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بناء الفقهاء على أمارية اليد، لزم عدم سماع دعوى الخارج على ذي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سماع الدعوى لا يعني تصديقها وقبولها، بل لا يعني إلاّ استدعاء المدعى عليه وطلب البينة من المدعي، ثم مع فقدها إحلاف المنكر ثم المدعي إن نكل، فسماعها إنما هو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مقدمة له، ومن الواضح عدم المنافاة بين حجية ظن وبين كون فعليتها متفرعة على الفحص عن المعارض أو الحاكم والوارد والمخصص، ألا ترى العام رغم حجيته متوقفة حجيته الفعلية على الفحص عن المخصص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ولزم أن يقضى بالشاهد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جوابه مما سبق، إضافة إلى أن ردع الشارع عن العمل بظن معين مما لا إشكال فيه، وقد ردع هنا لحصره بالشاهدين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العمل بهذا الظن قد يكون لعدم المقتضي، وقد يكون لوجود المانع، ولا يكون الأعم دليل الأخص،فتدبر جيداً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ويحتمل في كلام المرحوم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آخر، لكن لا يلائمه التمثيل بالتقية، كما لا يصح سوق التقية والشهادة بعصى واحدة، كما لا يلائمة التصريح بالنيابة مناب الحكم الواقعي، فليدقق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ويؤيد الطريقية، بل يدل عليها في باب الشهادة العديد من القيود والشروط المعتبرة في حجيتها في لسان الروايات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ولنختم الكلام إذ طال بنا المقام، ولربما ذكرنا تفصيل ذلك وموارد أخرى عديدة دالة على أصالة الطريقية في المجلد الثاني من الكتاب بمناسبة أخرى، والله المستعان</w:t>
      </w:r>
      <w:r>
        <w:rPr>
          <w:rFonts w:eastAsia="Amiri" w:cs="Amiri" w:ascii="Amiri" w:hAnsi="Amiri"/>
          <w:color w:val="111111"/>
          <w:sz w:val="28"/>
          <w:szCs w:val="28"/>
          <w:rtl w:val="true"/>
          <w:lang w:bidi="ar-SA"/>
        </w:rPr>
        <w:t xml:space="preserve">. </w:t>
      </w:r>
      <w:bookmarkStart w:id="203" w:name="pg8204_100973"/>
    </w:p>
    <w:p>
      <w:pPr>
        <w:pStyle w:val="Heading3"/>
        <w:numPr>
          <w:ilvl w:val="2"/>
          <w:numId w:val="1"/>
        </w:numPr>
        <w:rPr/>
      </w:pPr>
      <w:bookmarkStart w:id="204" w:name="__RefHeading___Toc8924074_1051229030"/>
      <w:bookmarkStart w:id="205" w:name="_Toc76"/>
      <w:bookmarkEnd w:id="203"/>
      <w:bookmarkEnd w:id="204"/>
      <w:r>
        <w:rPr>
          <w:rtl w:val="true"/>
        </w:rPr>
        <w:t>القسم الثاني</w:t>
      </w:r>
      <w:r>
        <w:rPr>
          <w:rtl w:val="true"/>
        </w:rPr>
        <w:t xml:space="preserve">: </w:t>
      </w:r>
      <w:r>
        <w:rPr>
          <w:rtl w:val="true"/>
        </w:rPr>
        <w:t>الاستدلال بالآيات الكريمة</w:t>
      </w:r>
      <w:bookmarkEnd w:id="205"/>
    </w:p>
    <w:p>
      <w:pPr>
        <w:pStyle w:val="Heading4"/>
        <w:numPr>
          <w:ilvl w:val="3"/>
          <w:numId w:val="1"/>
        </w:numPr>
        <w:rPr/>
      </w:pPr>
      <w:bookmarkStart w:id="206" w:name="__RefHeading___Toc8924076_1051229030"/>
      <w:bookmarkStart w:id="207" w:name="_Toc77"/>
      <w:bookmarkEnd w:id="206"/>
      <w:r>
        <w:rPr>
          <w:rtl w:val="true"/>
        </w:rPr>
        <w:t>الفصل الأول</w:t>
      </w:r>
      <w:r>
        <w:rPr>
          <w:rtl w:val="true"/>
        </w:rPr>
        <w:t xml:space="preserve">: </w:t>
      </w:r>
      <w:r>
        <w:rPr>
          <w:rtl w:val="true"/>
        </w:rPr>
        <w:t xml:space="preserve">في الاستدلال بالآية الكريمة </w:t>
      </w:r>
      <w:r>
        <w:rPr>
          <w:rtl w:val="true"/>
        </w:rPr>
        <w:t>: (</w:t>
      </w:r>
      <w:r>
        <w:rPr>
          <w:rtl w:val="true"/>
        </w:rPr>
        <w:t>وَأَمْرُهُمْ شُورى بَيْنَهُمْ</w:t>
      </w:r>
      <w:r>
        <w:rPr>
          <w:rtl w:val="true"/>
        </w:rPr>
        <w:t>)</w:t>
      </w:r>
      <w:bookmarkEnd w:id="20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8" w:name="__RefHeading___Toc8924078_1051229030"/>
      <w:bookmarkStart w:id="209" w:name="_Toc78"/>
      <w:bookmarkEnd w:id="208"/>
      <w:r>
        <w:rPr>
          <w:rtl w:val="true"/>
        </w:rPr>
        <w:t>اشارة</w:t>
      </w:r>
      <w:bookmarkEnd w:id="20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8204_100975"/>
      <w:bookmarkStart w:id="211" w:name="pg8204_100975"/>
      <w:bookmarkEnd w:id="211"/>
    </w:p>
    <w:p>
      <w:pPr>
        <w:pStyle w:val="Heading5"/>
        <w:numPr>
          <w:ilvl w:val="4"/>
          <w:numId w:val="1"/>
        </w:numPr>
        <w:rPr/>
      </w:pPr>
      <w:bookmarkStart w:id="212" w:name="pg8204_100975"/>
      <w:bookmarkStart w:id="213" w:name="__RefHeading___Toc8924080_1051229030"/>
      <w:bookmarkStart w:id="214" w:name="_Toc79"/>
      <w:bookmarkEnd w:id="212"/>
      <w:bookmarkEnd w:id="213"/>
      <w:r>
        <w:rPr>
          <w:rtl w:val="true"/>
        </w:rPr>
        <w:t>آية الشورى</w:t>
      </w:r>
      <w:bookmarkEnd w:id="214"/>
    </w:p>
    <w:p>
      <w:pPr>
        <w:pStyle w:val="Heading6"/>
        <w:numPr>
          <w:ilvl w:val="5"/>
          <w:numId w:val="1"/>
        </w:numPr>
        <w:rPr/>
      </w:pPr>
      <w:bookmarkStart w:id="215" w:name="__RefHeading___Toc8924082_1051229030"/>
      <w:bookmarkStart w:id="216" w:name="_Toc80"/>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عِنْدَ اللهِ خَيْرٌ وَأَبْقى لِلَّذِينَ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يَجْتَنِبُونَ كَبائِرَ الإِثْمِ وَالْفَواحِشَ وَإِذا ما غَضِبُوا هُمْ يَغْفِرُونَ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أَصابَهُمُ الْبَغْيُ هُمْ يَنْتَصِرُونَ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ولا ريب في دلالتها على الرجحان، لكونها صفة من صفات المؤمنين</w:t>
      </w:r>
      <w:r>
        <w:rPr>
          <w:rStyle w:val="FootnoteAnchor"/>
          <w:rtl w:val="true"/>
        </w:rPr>
        <w:footnoteReference w:id="224"/>
      </w:r>
      <w:r>
        <w:rPr>
          <w:rFonts w:ascii="Amiri" w:hAnsi="Amiri" w:eastAsia="Amiri" w:cs="Amiri"/>
          <w:color w:val="111111"/>
          <w:sz w:val="28"/>
          <w:sz w:val="28"/>
          <w:szCs w:val="28"/>
          <w:rtl w:val="true"/>
          <w:lang w:bidi="ar-SA"/>
        </w:rPr>
        <w:t xml:space="preserve">، ولكون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اتصف بهذه الصفة وما سبقها ولحقها، بل لبداهة أن المقام مقام المدح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دلالتها على الوجوب، فتتوقف على إحدى وجوه على سبيل منع الخلو</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8924084_1051229030"/>
      <w:bookmarkStart w:id="218" w:name="_Toc81"/>
      <w:bookmarkEnd w:id="217"/>
      <w:r>
        <w:rPr>
          <w:rtl w:val="true"/>
        </w:rPr>
        <w:t>الوجه الأول</w:t>
      </w:r>
      <w:r>
        <w:rPr>
          <w:rtl w:val="true"/>
        </w:rPr>
        <w:t xml:space="preserve">: </w:t>
      </w:r>
      <w:r>
        <w:rPr>
          <w:rtl w:val="true"/>
        </w:rPr>
        <w:t>الأصل في ما عدّ صفة للمؤمن، وجوب تحصيله</w:t>
      </w:r>
      <w:bookmarkEnd w:id="21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الأصل في ما يعدّ صفة للمؤمن أنه واجب التحصيل، لكون الصفة بمنزلة المعرِّف الذي ينتفي المعرَّف عند انتفائه، ولكونها جملة أسمية، وظاهرها </w:t>
      </w:r>
    </w:p>
    <w:p>
      <w:pPr>
        <w:pStyle w:val="BookText"/>
        <w:rPr/>
      </w:pPr>
      <w:r>
        <w:rPr>
          <w:rFonts w:ascii="Amiri" w:hAnsi="Amiri" w:eastAsia="Amiri" w:cs="Amiri"/>
          <w:color w:val="111111"/>
          <w:sz w:val="28"/>
          <w:sz w:val="28"/>
          <w:szCs w:val="28"/>
          <w:rtl w:val="true"/>
          <w:lang w:bidi="ar-SA"/>
        </w:rPr>
        <w:t>الاستقرار والثبوت، فتدل على كونها صفة ثابتة للمؤمنين، ولكون الظاهر هو ذلك، ولذا كان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دالاً على وجوب الإعراض عنه وحرمة اللغو عرفاً، إما لكونه إخباراً في مقام الإنشاء، أو لتوقف الفلاح عليه</w:t>
      </w:r>
      <w:r>
        <w:rPr>
          <w:rStyle w:val="FootnoteAnchor"/>
          <w:rtl w:val="true"/>
        </w:rPr>
        <w:footnoteReference w:id="226"/>
      </w:r>
      <w:r>
        <w:rPr>
          <w:rFonts w:ascii="Amiri" w:hAnsi="Amiri" w:eastAsia="Amiri" w:cs="Amiri"/>
          <w:color w:val="111111"/>
          <w:sz w:val="28"/>
          <w:sz w:val="28"/>
          <w:szCs w:val="28"/>
          <w:rtl w:val="true"/>
          <w:lang w:bidi="ar-SA"/>
        </w:rPr>
        <w:t>، وكذا سائر الآيات، وأما عدم وجوب الخشوع في الصلاة فللدليل الخارجي، وإلاّ كان مقتضى القاعدة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لِلْكَذِبِ سَمَّاعُونَ لِقَوْمٍ آخَرِينَ لَمْ يَأْتُوكَ يُحَرِّفُونَ الْكَلِمَ مِنْ بَعْدِ مَواضِعِهِ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دالاً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دالاً على وجوب التربص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 وَلا يَزْنُونَ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ذُكِّرُوا بِآياتِ رَبِّهِمْ لَمْ يَخِرُّوا عَلَيْها صُمًّا وَعُمْياناً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دالاً على الوجوب، وما علم استحبابه فذلك لقرينة من خارج</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bookmarkStart w:id="219" w:name="pg8204_100977"/>
    </w:p>
    <w:p>
      <w:pPr>
        <w:pStyle w:val="Heading5"/>
        <w:numPr>
          <w:ilvl w:val="4"/>
          <w:numId w:val="1"/>
        </w:numPr>
        <w:rPr/>
      </w:pPr>
      <w:bookmarkStart w:id="220" w:name="__RefHeading___Toc8924086_1051229030"/>
      <w:bookmarkStart w:id="221" w:name="_Toc82"/>
      <w:bookmarkEnd w:id="219"/>
      <w:bookmarkEnd w:id="220"/>
      <w:r>
        <w:rPr>
          <w:rtl w:val="true"/>
        </w:rPr>
        <w:t>إشكالات وأجوبة</w:t>
      </w:r>
      <w:bookmarkEnd w:id="221"/>
    </w:p>
    <w:p>
      <w:pPr>
        <w:pStyle w:val="Heading6"/>
        <w:numPr>
          <w:ilvl w:val="5"/>
          <w:numId w:val="1"/>
        </w:numPr>
        <w:rPr/>
      </w:pPr>
      <w:bookmarkStart w:id="222" w:name="__RefHeading___Toc8924088_1051229030"/>
      <w:bookmarkStart w:id="223" w:name="_Toc83"/>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ولكن قد 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بكثير من الصفات المذكورة في الآيات والرواياتالشريفة للمؤمن، وهي غير واجبة التحصيل، كالصبر والخشوع في الصلاة والاكتحال والتختم باليمين وغير ذلك، فلو سلم كون الأصل في ما عدّ صفة للمؤمن وجوب التحصيل فالمجاز الغالب يقتضي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أو الحرمة فيها مستفادة من مناسبات الحكم والموضوع، أو المتعلق، أو ارتكاز المتشرعة، أو غير ذلك، لا من صرف وقوعها وصفاً وصفةً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بأن الإيمان درجات، ولكل درجة صفات وعلائم، فأصل الإيمان واجب التحصيل وكذا صفاته غير المنفكة عنه أو مطلقاً، فتأمل، أما كمال الإيمان فلا، ولا يعلم كون هذه الصفة المذكورة في الآية الشريفة صفة أصل أم صفة كمال، فلا يمكن الالتزام بالوجوب مع الشك في موضوعه،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الشيء صفة ثابتة للمؤمنين أعم من الوجوب والاستحباب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الإجابة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مجاز أصلاً</w:t>
      </w:r>
      <w:r>
        <w:rPr>
          <w:rStyle w:val="FootnoteAnchor"/>
          <w:rtl w:val="true"/>
        </w:rPr>
        <w:footnoteReference w:id="231"/>
      </w:r>
      <w:r>
        <w:rPr>
          <w:rFonts w:ascii="Amiri" w:hAnsi="Amiri" w:eastAsia="Amiri" w:cs="Amiri"/>
          <w:color w:val="111111"/>
          <w:sz w:val="28"/>
          <w:sz w:val="28"/>
          <w:szCs w:val="28"/>
          <w:rtl w:val="true"/>
          <w:lang w:bidi="ar-SA"/>
        </w:rPr>
        <w:t>، بل صرف الغلبة</w:t>
      </w:r>
      <w:r>
        <w:rPr>
          <w:rStyle w:val="FootnoteAnchor"/>
          <w:rtl w:val="true"/>
        </w:rPr>
        <w:footnoteReference w:id="232"/>
      </w:r>
      <w:r>
        <w:rPr>
          <w:rFonts w:ascii="Amiri" w:hAnsi="Amiri" w:eastAsia="Amiri" w:cs="Amiri"/>
          <w:color w:val="111111"/>
          <w:sz w:val="28"/>
          <w:sz w:val="28"/>
          <w:szCs w:val="28"/>
          <w:rtl w:val="true"/>
          <w:lang w:bidi="ar-SA"/>
        </w:rPr>
        <w:t>، وعلى تقديره فيمكن الإجابة بنظير</w:t>
      </w:r>
      <w:r>
        <w:rPr>
          <w:rStyle w:val="FootnoteAnchor"/>
          <w:rtl w:val="true"/>
        </w:rPr>
        <w:footnoteReference w:id="233"/>
      </w:r>
      <w:r>
        <w:rPr>
          <w:rFonts w:ascii="Amiri" w:hAnsi="Amiri" w:eastAsia="Amiri" w:cs="Amiri"/>
          <w:color w:val="111111"/>
          <w:sz w:val="28"/>
          <w:sz w:val="28"/>
          <w:szCs w:val="28"/>
          <w:rtl w:val="true"/>
          <w:lang w:bidi="ar-SA"/>
        </w:rPr>
        <w:t xml:space="preserve">ما أجابوا به من ادعى عدم ظهور الأمر في </w:t>
      </w:r>
    </w:p>
    <w:p>
      <w:pPr>
        <w:pStyle w:val="BookText"/>
        <w:rPr/>
      </w:pPr>
      <w:r>
        <w:rPr>
          <w:rFonts w:ascii="Amiri" w:hAnsi="Amiri" w:eastAsia="Amiri" w:cs="Amiri"/>
          <w:color w:val="111111"/>
          <w:sz w:val="28"/>
          <w:sz w:val="28"/>
          <w:szCs w:val="28"/>
          <w:rtl w:val="true"/>
          <w:lang w:bidi="ar-SA"/>
        </w:rPr>
        <w:t>الوجوب، لكون الندب مجازاً غالباً، فإن مجرد الغلبة لا تسبب الخروج عن الأصل في الموارد المشكوكة ما لم تبلغ حد النقل، أو التكافؤ والإجمال، ولو سلمت الغلبة في الروايات فلا تسلم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الأصل أن تكون الصفة صفة الأصل لا صفة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بأن الشك في العنوان والمحصل، فاللازم الاحتياط بتحقيق تلك الصفة، وفيه نقاش صغرىً وكبرىً فتدبر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لم يكن بالاستقراء ليجاب بوجودوجوه أخرى، بل بالأصل لو تمّ، فلا بد من جواب آخر كالأول والثالث، إذ لا مانعة جمع بين الأصل لو تمّ وتلك الوجوه، فتأمل</w:t>
      </w:r>
      <w:r>
        <w:rPr>
          <w:rFonts w:eastAsia="Amiri" w:cs="Amiri" w:ascii="Amiri" w:hAnsi="Amiri"/>
          <w:color w:val="111111"/>
          <w:sz w:val="28"/>
          <w:szCs w:val="28"/>
          <w:rtl w:val="true"/>
          <w:lang w:bidi="ar-SA"/>
        </w:rPr>
        <w:t xml:space="preserve">. </w:t>
      </w:r>
      <w:bookmarkStart w:id="224" w:name="pg8204_100979"/>
    </w:p>
    <w:p>
      <w:pPr>
        <w:pStyle w:val="Heading6"/>
        <w:numPr>
          <w:ilvl w:val="5"/>
          <w:numId w:val="1"/>
        </w:numPr>
        <w:rPr/>
      </w:pPr>
      <w:bookmarkStart w:id="225" w:name="__RefHeading___Toc8924090_1051229030"/>
      <w:bookmarkStart w:id="226" w:name="_Toc84"/>
      <w:bookmarkEnd w:id="224"/>
      <w:bookmarkEnd w:id="225"/>
      <w:r>
        <w:rPr>
          <w:rtl w:val="true"/>
        </w:rPr>
        <w:t>الوجه الثاني</w:t>
      </w:r>
      <w:r>
        <w:rPr>
          <w:rtl w:val="true"/>
        </w:rPr>
        <w:t xml:space="preserve">: </w:t>
      </w:r>
      <w:r>
        <w:rPr>
          <w:rtl w:val="true"/>
        </w:rPr>
        <w:t>دلالة السياق على الوجوب</w:t>
      </w:r>
      <w:bookmarkEnd w:id="226"/>
    </w:p>
    <w:p>
      <w:pPr>
        <w:pStyle w:val="Heading6"/>
        <w:numPr>
          <w:ilvl w:val="5"/>
          <w:numId w:val="1"/>
        </w:numPr>
        <w:rPr/>
      </w:pPr>
      <w:bookmarkStart w:id="227" w:name="__RefHeading___Toc8924092_1051229030"/>
      <w:bookmarkStart w:id="228" w:name="_Toc85"/>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دلالة السياق على الوجوب، بأن يكون ما سبق وما لحق للوجوب، فيكون قرينة على وجوب المتوسط،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عِنْدَ اللهِ خَيْرٌ وَأَبْقى لِلَّذِينَ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يَجْتَنِبُونَ كَبائِرَ الإِثْمِ وَالْفَواحِشَ وَإِذا ما غَضِبُوا هُمْ يَغْفِرُونَ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أَصابَهُمُ الْبَغْيُ هُمْ يَنْتَصِرُونَ</w:t>
      </w:r>
      <w:r>
        <w:rPr>
          <w:rFonts w:eastAsia="Amiri" w:cs="Amiri" w:ascii="Amiri" w:hAnsi="Amiri"/>
          <w:color w:val="111111"/>
          <w:sz w:val="28"/>
          <w:szCs w:val="28"/>
          <w:rtl w:val="true"/>
          <w:lang w:bidi="ar-SA"/>
        </w:rPr>
        <w:t>).</w:t>
      </w:r>
      <w:r>
        <w:rPr>
          <w:rStyle w:val="FootnoteAnchor"/>
          <w:rtl w:val="true"/>
        </w:rPr>
        <w:footnoteReference w:id="234"/>
      </w:r>
    </w:p>
    <w:p>
      <w:pPr>
        <w:pStyle w:val="Heading6"/>
        <w:numPr>
          <w:ilvl w:val="5"/>
          <w:numId w:val="1"/>
        </w:numPr>
        <w:rPr/>
      </w:pPr>
      <w:bookmarkStart w:id="229" w:name="__RefHeading___Toc8924094_1051229030"/>
      <w:bookmarkStart w:id="230" w:name="_Toc86"/>
      <w:bookmarkEnd w:id="229"/>
      <w:r>
        <w:rPr>
          <w:rtl w:val="true"/>
        </w:rPr>
        <w:t>المناقشة</w:t>
      </w:r>
      <w:bookmarkEnd w:id="230"/>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مبني على حجية قرينة السياق، لكن المشهور العدم، فلا تعدو كونها مؤيداً، إلاّ أن تعضد بمناسبات الحكم والموضوع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سياق، إذ أن بعضها للاستحباب، كالتوكل والغفران والإنفاق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يقال بالوجوب في الجملة، أو في بعض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بالشهرة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بعض المراتب الأخرى، وفي بعض الصور، فتدبر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قسمان، واجب ومستحب، فإن إيكال الأمر إلى الله سبحانه وتعالى فيما ليس من صنع الإنسان من لوازم </w:t>
      </w:r>
    </w:p>
    <w:p>
      <w:pPr>
        <w:pStyle w:val="BookText"/>
        <w:rPr/>
      </w:pPr>
      <w:r>
        <w:rPr>
          <w:rFonts w:ascii="Amiri" w:hAnsi="Amiri" w:eastAsia="Amiri" w:cs="Amiri"/>
          <w:color w:val="111111"/>
          <w:sz w:val="28"/>
          <w:sz w:val="28"/>
          <w:szCs w:val="28"/>
          <w:rtl w:val="true"/>
          <w:lang w:bidi="ar-SA"/>
        </w:rPr>
        <w:t xml:space="preserve">الإيمان، وقد ورد في الآيات والروايات الأمر بذلك، وألمعنا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والمحرمات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أماالغفران في قبال الاسترسال في المعاصي من جهة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عادة كثير من الناس حيث إنهم إذا غضبوا فعلوا المحرم بالنسبة إلى المغضوب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نعم لا يجب بالنسبة إلى القدر المحتاج إليه مما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والإنفاق أيضاً على قسمين، فالواجب منه كالزكاة والخمس وشبههما، والمستحب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التوكل إذا كان على قسمين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مبهماً مردداً بينهما، أو كان لمطلق الرجحان فلا يتم كون السياق للوجوب، ولا يندفع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يستشكل بأن التوكل وغفران الذنب ليسا واجبين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نعم جوابه الأول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بعدم إضرار استثناء فقرة أو فقرتين أو أكثر، بكون السياق للوجوب أو مع الغلبة أو المساواة أو المقاربة، أو يقال بكون ما سبق ولحق مما هو ظاهر في الوجوب قرينة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يقال بما ذكرناه من دلالة الآية عرفاً على وجوب المذكورات فيها، ومنها التوكل مطلقاً، خرج ما خرج منه بالدليل، فليتأمل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دلالة قرينة خارجية على كون بعض الفقرات للاستحباب لا يخرج سائر الفقرات عن ظاهرها، كما التزموا بذلك في أوامر متعددة قام الدليل الخارجي على كونها ما عدا واحداً للاستحباب، فلا يخرج ذلك الواحد عن </w:t>
      </w:r>
      <w:bookmarkStart w:id="231" w:name="pg8204_100981"/>
    </w:p>
    <w:p>
      <w:pPr>
        <w:pStyle w:val="BookText"/>
        <w:rPr/>
      </w:pPr>
      <w:bookmarkEnd w:id="231"/>
      <w:r>
        <w:rPr>
          <w:rFonts w:ascii="Amiri" w:hAnsi="Amiri" w:eastAsia="Amiri" w:cs="Amiri"/>
          <w:color w:val="111111"/>
          <w:sz w:val="28"/>
          <w:sz w:val="28"/>
          <w:szCs w:val="28"/>
          <w:rtl w:val="true"/>
          <w:lang w:bidi="ar-SA"/>
        </w:rPr>
        <w:t>ظاهره بذلك، خاصة مع سبق هذه الفقرة بالصلاة ولحوقها بالزكاة الواجبتين، لكنه موقوف على ثبوت الظهور، فتدبر</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8924096_1051229030"/>
      <w:bookmarkStart w:id="233" w:name="_Toc87"/>
      <w:bookmarkEnd w:id="232"/>
      <w:r>
        <w:rPr>
          <w:rtl w:val="true"/>
        </w:rPr>
        <w:t>الوجه الثالث</w:t>
      </w:r>
      <w:r>
        <w:rPr>
          <w:rtl w:val="true"/>
        </w:rPr>
        <w:t xml:space="preserve">: </w:t>
      </w:r>
      <w:r>
        <w:rPr>
          <w:rtl w:val="true"/>
        </w:rPr>
        <w:t xml:space="preserve">توقف </w:t>
      </w:r>
      <w:r>
        <w:rPr>
          <w:rtl w:val="true"/>
        </w:rPr>
        <w:t>(</w:t>
      </w:r>
      <w:r>
        <w:rPr>
          <w:rtl w:val="true"/>
        </w:rPr>
        <w:t>الخير من الله</w:t>
      </w:r>
      <w:r>
        <w:rPr>
          <w:rtl w:val="true"/>
        </w:rPr>
        <w:t xml:space="preserve">) </w:t>
      </w:r>
      <w:r>
        <w:rPr>
          <w:rtl w:val="true"/>
        </w:rPr>
        <w:t>على توفر صفات منها الشورى</w:t>
      </w:r>
      <w:bookmarkEnd w:id="233"/>
    </w:p>
    <w:p>
      <w:pPr>
        <w:pStyle w:val="BookText"/>
        <w:rPr/>
      </w:pPr>
      <w:r>
        <w:rPr>
          <w:rFonts w:ascii="Amiri" w:hAnsi="Amiri" w:eastAsia="Amiri" w:cs="Amiri"/>
          <w:color w:val="111111"/>
          <w:sz w:val="28"/>
          <w:sz w:val="28"/>
          <w:szCs w:val="28"/>
          <w:rtl w:val="true"/>
          <w:lang w:bidi="ar-SA"/>
        </w:rPr>
        <w:t>دلالة الآية الشريفة على أن ما عند الله خير ثابت فقط لمن تجمعت فيهم الصفات التالية،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في أمرهم، فمن لم تتوفر فيه تلك الصفات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فتدل على وجوب توفير تلك الصفات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خير واجب التحصيل ومحرم الترك، وليس كل ما عند الله كذلك، فتأمل</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8924098_1051229030"/>
      <w:bookmarkStart w:id="235" w:name="_Toc88"/>
      <w:bookmarkEnd w:id="234"/>
      <w:r>
        <w:rPr>
          <w:rtl w:val="true"/>
        </w:rPr>
        <w:t>الوجه الرابع</w:t>
      </w:r>
      <w:r>
        <w:rPr>
          <w:rtl w:val="true"/>
        </w:rPr>
        <w:t>: (</w:t>
      </w:r>
      <w:r>
        <w:rPr>
          <w:rtl w:val="true"/>
        </w:rPr>
        <w:t>أمرهم</w:t>
      </w:r>
      <w:r>
        <w:rPr>
          <w:rtl w:val="true"/>
        </w:rPr>
        <w:t xml:space="preserve">) </w:t>
      </w:r>
      <w:r>
        <w:rPr>
          <w:rtl w:val="true"/>
        </w:rPr>
        <w:t>إنشاء بصيغة إخبار</w:t>
      </w:r>
      <w:bookmarkEnd w:id="235"/>
    </w:p>
    <w:p>
      <w:pPr>
        <w:pStyle w:val="Heading6"/>
        <w:numPr>
          <w:ilvl w:val="5"/>
          <w:numId w:val="1"/>
        </w:numPr>
        <w:rPr/>
      </w:pPr>
      <w:bookmarkStart w:id="236" w:name="__RefHeading___Toc8924100_1051229030"/>
      <w:bookmarkStart w:id="237" w:name="_Toc89"/>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إنشاءً بصيغة الإخبار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 وقد يجاب بان الأصل في كلام الشارع الإنشاء لكون الأصل في كلماته المولوية، وفيه تأمل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238" w:name="pg8204_100982"/>
    </w:p>
    <w:p>
      <w:pPr>
        <w:pStyle w:val="Heading6"/>
        <w:numPr>
          <w:ilvl w:val="5"/>
          <w:numId w:val="1"/>
        </w:numPr>
        <w:rPr/>
      </w:pPr>
      <w:bookmarkStart w:id="239" w:name="__RefHeading___Toc8924102_1051229030"/>
      <w:bookmarkStart w:id="240" w:name="_Toc90"/>
      <w:bookmarkEnd w:id="238"/>
      <w:bookmarkEnd w:id="239"/>
      <w:r>
        <w:rPr>
          <w:rtl w:val="true"/>
        </w:rPr>
        <w:t>دلالة الآية على مطلوبية الشورى قبل وبعد الحكم</w:t>
      </w:r>
      <w:bookmarkEnd w:id="240"/>
    </w:p>
    <w:p>
      <w:pPr>
        <w:pStyle w:val="BookText"/>
        <w:rPr/>
      </w:pPr>
      <w:r>
        <w:rPr>
          <w:rFonts w:ascii="Amiri" w:hAnsi="Amiri" w:eastAsia="Amiri" w:cs="Amiri"/>
          <w:color w:val="111111"/>
          <w:sz w:val="28"/>
          <w:sz w:val="28"/>
          <w:szCs w:val="28"/>
          <w:rtl w:val="true"/>
          <w:lang w:bidi="ar-SA"/>
        </w:rPr>
        <w:t>ثم إنه لا يخفى دلالة الآية على مطلوبية الشورى، سواء قبل الوصول للحكم أم بعده؛ لكون الآية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المعني بالآية هم الأنصار، كانوا إذا أرادوا أمراً قبل الإسلام وقبل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وتشاوروا ثم عملوا عليه، فأثنى الله عليهم بذلك،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تشاورهم حين سمعوا بظهور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 النقباء عليه حتى اجتمعوا في دار أبي أيوب على الإيمان به والنصرة له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فلا ينفي دلالتها على مطلوبية مطلق الشورى، لكون المورد لا يخصص الوارد، وكون ذلك من قبيل المصداق فلاحظ، هذا لو لم نقل بظهورها في كونها إخباراً في مقام الإنشاء،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ينفردون برأي حتى يتشاوروا ويجتمعوا عليه، وذلك من فرط تيقظهم في الأمور</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وأما ما قاله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يشاورون الإمام فيما يحتاجون إليه من أمر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أنه تفسير بالمصداق أو أجلى المصاديق، إذ لا ريب في عمومية الآية، خاصة مع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إمكان القول بعدم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لو كان التشاور من طرف واحد، فتأمل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دينهم، فيما لو أريد خصوص المحمولات الشرعية بلا مخصص، كما سيأتي</w:t>
      </w:r>
      <w:r>
        <w:rPr>
          <w:rFonts w:eastAsia="Amiri" w:cs="Amiri" w:ascii="Amiri" w:hAnsi="Amiri"/>
          <w:color w:val="111111"/>
          <w:sz w:val="28"/>
          <w:szCs w:val="28"/>
          <w:rtl w:val="true"/>
          <w:lang w:bidi="ar-SA"/>
        </w:rPr>
        <w:t xml:space="preserve">. </w:t>
      </w:r>
      <w:bookmarkStart w:id="241" w:name="pg8204_100983"/>
    </w:p>
    <w:p>
      <w:pPr>
        <w:pStyle w:val="Heading6"/>
        <w:numPr>
          <w:ilvl w:val="5"/>
          <w:numId w:val="1"/>
        </w:numPr>
        <w:rPr/>
      </w:pPr>
      <w:bookmarkStart w:id="242" w:name="__RefHeading___Toc8924104_1051229030"/>
      <w:bookmarkStart w:id="243" w:name="_Toc91"/>
      <w:bookmarkEnd w:id="241"/>
      <w:bookmarkEnd w:id="242"/>
      <w:r>
        <w:rPr>
          <w:rtl w:val="true"/>
        </w:rPr>
        <w:t>دلالة الآية على عموم مطلوبية الشورى</w:t>
      </w:r>
      <w:bookmarkEnd w:id="243"/>
    </w:p>
    <w:p>
      <w:pPr>
        <w:pStyle w:val="BookText"/>
        <w:rPr/>
      </w:pPr>
      <w:r>
        <w:rPr>
          <w:rFonts w:ascii="Amiri" w:hAnsi="Amiri" w:eastAsia="Amiri" w:cs="Amiri"/>
          <w:color w:val="111111"/>
          <w:sz w:val="28"/>
          <w:sz w:val="28"/>
          <w:szCs w:val="28"/>
          <w:rtl w:val="true"/>
          <w:lang w:bidi="ar-SA"/>
        </w:rPr>
        <w:t xml:space="preserve">كما لا يخفى دلالتها على عمومية مطلوبيتها في كافة الشؤون،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مضافاً، وهو مفيد للعموم أو الإطلاق،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كلامكم نور وأمركم رشد</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أو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التقوى أو التواضع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جعلنا المفرد المضاف مفيداً للعموم كما هو رأي المحققين من الأصوليين كما أشرنا إليه سابقاً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 مثله</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ويستثنى منه كلما لم يكن من شأنه المشورة فيه، ككثير من صغائر الأمور، وكثير من الأعمال اليومية</w:t>
      </w:r>
      <w:r>
        <w:rPr>
          <w:rFonts w:eastAsia="Amiri" w:cs="Amiri" w:ascii="Amiri" w:hAnsi="Amiri"/>
          <w:color w:val="111111"/>
          <w:sz w:val="28"/>
          <w:szCs w:val="28"/>
          <w:rtl w:val="true"/>
          <w:lang w:bidi="ar-SA"/>
        </w:rPr>
        <w:t xml:space="preserve">. </w:t>
      </w:r>
      <w:bookmarkStart w:id="244" w:name="pg8204_100984"/>
    </w:p>
    <w:p>
      <w:pPr>
        <w:pStyle w:val="Heading5"/>
        <w:numPr>
          <w:ilvl w:val="4"/>
          <w:numId w:val="1"/>
        </w:numPr>
        <w:rPr/>
      </w:pPr>
      <w:bookmarkStart w:id="245" w:name="__RefHeading___Toc8924106_1051229030"/>
      <w:bookmarkStart w:id="246" w:name="_Toc92"/>
      <w:bookmarkEnd w:id="244"/>
      <w:bookmarkEnd w:id="245"/>
      <w:r>
        <w:rPr>
          <w:rtl w:val="true"/>
        </w:rPr>
        <w:t>الاعتراض بالآيات التي تذم الأكثرية</w:t>
      </w:r>
      <w:bookmarkEnd w:id="246"/>
    </w:p>
    <w:p>
      <w:pPr>
        <w:pStyle w:val="Heading6"/>
        <w:numPr>
          <w:ilvl w:val="5"/>
          <w:numId w:val="1"/>
        </w:numPr>
        <w:rPr/>
      </w:pPr>
      <w:bookmarkStart w:id="247" w:name="__RefHeading___Toc8924108_1051229030"/>
      <w:bookmarkStart w:id="248" w:name="_Toc93"/>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وربما يعترض على لزوم اتباع الأكثرية بالآيات الشريفة الواردة في ذم الأكثرية، وكونها جاهلة غير عالمة،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غالِبٌ عَلى أَمْرِهِ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يَتَّبِعُ أَكْثَرُهُمْ إِلاَّ ظَنًّا 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يَجْهَلُونَ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bookmarkStart w:id="249" w:name="pg8204_100985"/>
    </w:p>
    <w:p>
      <w:pPr>
        <w:pStyle w:val="Heading6"/>
        <w:numPr>
          <w:ilvl w:val="5"/>
          <w:numId w:val="1"/>
        </w:numPr>
        <w:rPr/>
      </w:pPr>
      <w:bookmarkStart w:id="250" w:name="__RefHeading___Toc8924110_1051229030"/>
      <w:bookmarkStart w:id="251" w:name="_Toc94"/>
      <w:bookmarkEnd w:id="249"/>
      <w:bookmarkEnd w:id="250"/>
      <w:r>
        <w:rPr>
          <w:rtl w:val="true"/>
        </w:rPr>
        <w:t>القدح لأكثر الناس لا لأكثر الفقهاء والخبراء</w:t>
      </w:r>
      <w:bookmarkEnd w:id="25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الشريفة صغرى لكبرى يضمها المستدل إليها لتنتج المقصود، والكبرى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يعلمون لا يجوز اتباعهم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أكثرية شورى الفقهاء وأكثرية أهل الخبرة خارجة خروجاً موضوعياً عن الكبرى، ومحمولياً عن الصغرى، إذ لا يصح القول بأن الأصوليين ممن لا يعلمون الأصول، أو الفقهاء ممن لا يعرفون الفقه، أو الأطباء ممن يجهلون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 بين كون أكثرية الناس لا يعلمون، وكون أكثرية أهل الخبرة فيما هم خبراء فيه ممن يعلمون، ولا تلازم بينهما، فلا يدل أحدهما على الآخر، ولذا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لا يعرفون الصلاة، 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أكثرية المتدينين يعرفونها، أو أكثرية الناس لا تعرف الطب ولكن أكثرية الأطباء بل كلهم يعرفون الطب، وفي الآيات الشريفة لو فرض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يعلمون الحق، لم يناف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أكثرية علماء المسلمين بل كلهم فيعلمون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الكفار،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أكثرية علماء الشيعة يعلمون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أهل العامة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ما ذكرناه من كون أكثرية أهل الخبرة ممن يعلمون، لا ممن لا يعلمون،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ودع الشاذ النادر فإن المجمع عليه لا ريب فيه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52" w:name="pg8204_100986"/>
    </w:p>
    <w:p>
      <w:pPr>
        <w:pStyle w:val="BookText"/>
        <w:rPr/>
      </w:pPr>
      <w:bookmarkEnd w:id="252"/>
      <w:r>
        <w:rPr>
          <w:rFonts w:ascii="Amiri" w:hAnsi="Amiri" w:eastAsia="Amiri" w:cs="Amiri"/>
          <w:color w:val="111111"/>
          <w:sz w:val="28"/>
          <w:sz w:val="28"/>
          <w:szCs w:val="28"/>
          <w:rtl w:val="true"/>
          <w:lang w:bidi="ar-SA"/>
        </w:rPr>
        <w:t xml:space="preserve">ولا 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الإرجاع لما انتخبته الأكثرية في هذهالرواية، وبين كون الأكثرية مذمومة في الآيات، لكون الأكثرية المذمومة هي الأكثرية الجاهلة، والممدوحة هي الأكثرية العالمة، لأن أكثرية أهل الخبرة هي ممن تعلم لا ممن لاتعلم</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8924112_1051229030"/>
      <w:bookmarkStart w:id="254" w:name="_Toc95"/>
      <w:bookmarkEnd w:id="253"/>
      <w:r>
        <w:rPr>
          <w:rtl w:val="true"/>
        </w:rPr>
        <w:t>الذم معلل باتباع الظن غير المعتبر</w:t>
      </w:r>
      <w:bookmarkEnd w:id="25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ذم اتباع الأكثرية معلل في بعض الآيات، فيدور الحكم مدار العلة وجوداً وعدماً،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 إِنْ يَتَّبِعُونَ إِلاَّ الظَّنَّ</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فقد بيّن جل وعلا علة كون إطاعة الأكثرية مضلة بكونهم يتبعون الظن</w:t>
      </w:r>
      <w:r>
        <w:rPr>
          <w:rStyle w:val="FootnoteAnchor"/>
          <w:rtl w:val="true"/>
        </w:rPr>
        <w:footnoteReference w:id="253"/>
      </w:r>
      <w:r>
        <w:rPr>
          <w:rFonts w:ascii="Amiri" w:hAnsi="Amiri" w:eastAsia="Amiri" w:cs="Amiri"/>
          <w:color w:val="111111"/>
          <w:sz w:val="28"/>
          <w:sz w:val="28"/>
          <w:szCs w:val="28"/>
          <w:rtl w:val="true"/>
          <w:lang w:bidi="ar-SA"/>
        </w:rPr>
        <w:t xml:space="preserve">، فلو كانت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كأكثرية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متبعة للعلم والعلمي أي الظن المعتبر، لما كانت مضلة، فاتباع الأكثرية الظن غير المعتبر شرعاً وعقلاً هو سبب ضلالها وإضلالها، دون ما لو اتبعت الظن المعتبر وما جعله الشارع حجة، والمفروض أن أكثرية شورى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كونهم عدولاً جامعين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 اجتهاداتهم عن الطرق المجعولة شرعاً، ولذا نجد أن أتباع أكثرية الشيعة في قولهم بعصمة المعصومين الأربعة عشر يعدّ هادياً لا مضلاً، لكونه اتباعاً للعلم أو للعلمي</w:t>
      </w:r>
      <w:r>
        <w:rPr>
          <w:rStyle w:val="FootnoteAnchor"/>
          <w:rtl w:val="true"/>
        </w:rPr>
        <w:footnoteReference w:id="254"/>
      </w:r>
      <w:r>
        <w:rPr>
          <w:rFonts w:ascii="Amiri" w:hAnsi="Amiri" w:eastAsia="Amiri" w:cs="Amiri"/>
          <w:color w:val="111111"/>
          <w:sz w:val="28"/>
          <w:sz w:val="28"/>
          <w:szCs w:val="28"/>
          <w:rtl w:val="true"/>
          <w:lang w:bidi="ar-SA"/>
        </w:rPr>
        <w:t>، لا للظن غير المعتبر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يَتَّبِعُ أَكْثَرُهُمْ إِلاَّ ظَنًّا 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فإنه دال على مذمومية اتباع الأكثرية للظن غير المعتبر، فلو اتبعوا الظن المعتبر لما كان ذم إطلاقاً، كما أن في اتباع الفقيه الواحد لا ذم، بل الموجود هو المدح فقط، مع أن الفقيه كسائرالخبراء والمتخصصين يعتمد الظواهر والظنون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 يذم الأكثرية مطلقاً، بل ذمهم في زمان كون الأكثرية منحرفة عن سبيل الله، ولذا لم يكن الأمر كذلك فيما إذا كانت أكثرية نسبية،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ذهبوا إلى شيء، أو كان أكثرية مطلقة، إذا كل أهل الأرض مؤمنين كما في زمان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زمان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نجاته من السفينة حيث لم يبق إلاّ المؤمنون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فالقضية خارجية أو حينية شرطية، لا مطلقة حقيقية، بدلالة العقل، لا من باب مخصصية المورد للوارد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بأنه إذا علم بكون الأكثرية على الحق أو على الباطل فلا كلام، وليس هذا محل النزاع، أما لو جهل فإن مفاد الآية أن الأكثرية لا يتبعون إلاّ الظن غير المعتبر فليس رأيهم حجة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محدد، وهو أكثرية الكفار والمشركين وشبههم، ولا ريب في عدم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علماء المسلمين بما فيهم 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مرجع الضمير لو جهل لما تم الإطلاق أبداً</w:t>
      </w:r>
      <w:r>
        <w:rPr>
          <w:rFonts w:eastAsia="Amiri" w:cs="Amiri" w:ascii="Amiri" w:hAnsi="Amiri"/>
          <w:color w:val="111111"/>
          <w:sz w:val="28"/>
          <w:szCs w:val="28"/>
          <w:rtl w:val="true"/>
          <w:lang w:bidi="ar-SA"/>
        </w:rPr>
        <w:t xml:space="preserve">. </w:t>
      </w:r>
      <w:bookmarkStart w:id="255" w:name="pg8204_100988"/>
    </w:p>
    <w:p>
      <w:pPr>
        <w:pStyle w:val="Heading6"/>
        <w:numPr>
          <w:ilvl w:val="5"/>
          <w:numId w:val="1"/>
        </w:numPr>
        <w:rPr/>
      </w:pPr>
      <w:bookmarkStart w:id="256" w:name="__RefHeading___Toc8924114_1051229030"/>
      <w:bookmarkStart w:id="257" w:name="_Toc96"/>
      <w:bookmarkEnd w:id="255"/>
      <w:bookmarkEnd w:id="256"/>
      <w:r>
        <w:rPr>
          <w:rtl w:val="true"/>
        </w:rPr>
        <w:t>الآيات خاصة بشؤون العقائد</w:t>
      </w:r>
      <w:bookmarkEnd w:id="257"/>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مختصة بشؤون العقائد وشبهها، وهي المتعلقة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غالِبٌ عَلى أَمْرِهِ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أي لا يعلمون كون الله غالباً على أمره</w:t>
      </w:r>
      <w:r>
        <w:rPr>
          <w:rStyle w:val="FootnoteAnchor"/>
          <w:rtl w:val="true"/>
        </w:rPr>
        <w:footnoteReference w:id="258"/>
      </w:r>
      <w:r>
        <w:rPr>
          <w:rFonts w:ascii="Amiri" w:hAnsi="Amiri" w:eastAsia="Amiri" w:cs="Amiri"/>
          <w:color w:val="111111"/>
          <w:sz w:val="28"/>
          <w:sz w:val="28"/>
          <w:szCs w:val="28"/>
          <w:rtl w:val="true"/>
          <w:lang w:bidi="ar-SA"/>
        </w:rPr>
        <w:t>،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 أي لايعلمون أن ذلك هو الدين القيم،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أَكْثَرَهُمْ يَجْهَلُونَ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وصدقه لجهلهم بالله وجحدهم نبوة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الدين القيم ولكن أكثر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أقوله لعدولهم عن الحق والنظر والاستدلال،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ذلك لكفرهم وجحدهم أنبياءه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أن المشركين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غير العلماء الباغين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يجهلون مقام ربهم ويتعلقون بالأسباب على أنها مستقلة في نفسها مستغنية عن ربها</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يجهلون بأن الكل من الله وبقضائه وقدره،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أنهم جهلوا أنهم يبقون كفاراً عند ظهور </w:t>
      </w:r>
    </w:p>
    <w:p>
      <w:pPr>
        <w:pStyle w:val="BookText"/>
        <w:rPr/>
      </w:pPr>
      <w:r>
        <w:rPr>
          <w:rFonts w:ascii="Amiri" w:hAnsi="Amiri" w:eastAsia="Amiri" w:cs="Amiri"/>
          <w:color w:val="111111"/>
          <w:sz w:val="28"/>
          <w:sz w:val="28"/>
          <w:szCs w:val="28"/>
          <w:rtl w:val="true"/>
          <w:lang w:bidi="ar-SA"/>
        </w:rPr>
        <w:t>الآيات التي طلبوها والمعجزات التي اقترحوها وكان أكثرهم يظنون ذلك</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الاختصاص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لآتِيَةٌ لا رَيْبَ فِيها وَلكِنَّ أَكْثَرَ النَّاسِ لا يُؤْمِنُونَ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يَشْكُرُونَ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غير مرتبطة بالموضوعات الخارجية والشؤون العامة مما يرتبط بإدارة الدولة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عَنْسَبِيلِ اللهِ إِنْ يَتَّبِعُونَ إِلاَّ الظَّنَّ وَإِنْ هُمْ إِلاَّ يَخْرُصُونَ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 هؤلاء الكفار الذين ينازعونك دينك ومذهبك غير قاطعين بصحة مذاهبهم، بل لا يتبعون إلاّ الظن وهم خراصون كذابون في إدعاء القطع، وكثير من المفسرين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ذلك الظن رجوعهم في إثبات مذاهبهم إلى تقليد أسلافهم لا إلى تعليل أصلاً</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وَالأَرْضِ لا تَأْتِيكُمْ إِلاَّ بَغْتَةً يَسْئَلُونَكَ </w:t>
      </w:r>
    </w:p>
    <w:p>
      <w:pPr>
        <w:pStyle w:val="BookText"/>
        <w:rPr/>
      </w:pPr>
      <w:r>
        <w:rPr>
          <w:rFonts w:ascii="Amiri" w:hAnsi="Amiri" w:eastAsia="Amiri" w:cs="Amiri"/>
          <w:color w:val="111111"/>
          <w:sz w:val="28"/>
          <w:sz w:val="28"/>
          <w:szCs w:val="28"/>
          <w:rtl w:val="true"/>
          <w:lang w:bidi="ar-SA"/>
        </w:rPr>
        <w:t>كَأَنَّكَ حَفِيٌّ عَنْها قُلْ إِنَّما عِلْمُها عِنْدَ اللهِ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 وسيأتي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مِنْ أَنْباءِ الْغَيْبِ نُوحِيهِ إِلَيْكَ وَما كُنْتَ لَدَيْهِمْ إِذْ أَجْمَعُوا أَمْرَهُمْ وَهُمْ يَمْكُرُونَ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softHyphen/>
      </w:r>
      <w:r>
        <w:rPr>
          <w:rFonts w:ascii="Amiri" w:hAnsi="Amiri" w:eastAsia="Amiri" w:cs="Amiri"/>
          <w:color w:val="111111"/>
          <w:sz w:val="28"/>
          <w:sz w:val="28"/>
          <w:szCs w:val="28"/>
          <w:rtl w:val="true"/>
          <w:lang w:bidi="ar-SA"/>
        </w:rPr>
        <w:t xml:space="preserve">بِنَصْرِ اللهِ يَنْصُرُ مَنْ يَشاءُ وَهُوَ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يُخْلِفُ اللهُ وَعْدَهُ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الروم، وكذا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 وغير ذلك من الموارد فلتراجع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مرجع الضمير في كثير من الآيات إنما هو لأهل الكتاب من الأمم السابقة، أو غيرهم، أو غير ذلك مما يتعلق بشؤون العقائد،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هَلْ تَنْقِمُونَ مِنَّا إِلاَّ أَنْ آمَنَّا بِاللهِ وَما أُنْزِلَ إِلَيْنا وَما أُنْزِلَ مِنْ قَبْلُ وَأَنَّ أَكْثَرَكُمْ فاسِقُونَ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الَّذِينَ كَفَرُوا يَفْتَرُونَ عَلَى اللهِ الْكَذِبَ وَأَكْثَرُهُمْ لا يَعْقِلُونَ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لا نُزِّلَ عَلَيْهِ آيَةٌ مِنْ رَبِّهِ قُلْ إِنَّ اللهَ قادِرٌ عَلى أَنْ يُنَزِّلَ آيَةً وَلكِنَّ أَكْثَرَهُمْ لا يَعْلَمُونَ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لِيُؤْمِنُوا إِلاَّ أَنْ يَشاءَ اللهُ وَلكِنَّ أَكْثَرَهُمْ يَجْهَلُونَ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الْقُرى نَقُصُّ عَلَيْكَ مِنْ أَنْبائِها وَلَقَدْ جاءَتْهُمْ رُسُلُهُمْ بِالْبَيِّناتِ فَما كانُوا لِيُؤْمِنُوا بِما كَذَّبُوا مِنْ قَبْلُ كَذلِكَ يَطْبَعُ اللهُ عَلى قُلُوبِ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لأَكْثَرِهِمْ مِنْ عَهْدٍ وَإِنْ وَجَدْنا أَكْثَرَهُمْ 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مُوسى</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جاءَتْهُمُ الحَسَنَةُ قالُوا لَنا هذِهِ وَإِنْ تُصِبْهُمْ سَيِّئَةٌ يَطَّيَّرُوا بِمُوسى وَمَنْ مَعَهُ أَلا إِنَّما طائِرُهُمْ عِنْدَ اللهِ وَلكِنَّ أَكْثَرَهُمْ لا يَعْلَمُونَ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أَلاَّ يُعَذِّبَهُمُ اللهُ وَهُمْ يَصُدُّونَ عَنِ المَسْجِدِ الحَرامِ وَما كانُوا أَوْلِياءَهُ إِنْ أَوْلِياؤُهُ إِلاَّ المُتَّقُونَ وَلكِنَّ أَكْثَرَهُمْ لايَعْلَمُونَ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وَإِنْ يَظْهَرُوا عَلَيْكُمْ لا يَرْقُبُوا فِيكُمْ إِلاًّ وَلا ذِمَّةً يُرْضُونَكُمْ بِأَفْواهِهِمْ وَتَأْبى قُلُوبُهُمْ وَأَكْثَرُهُمْ فاسِقُونَ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للهِ ما فِي السَّماواتِ وَالأَرْضِ أَلا إِنَّ وَعْدَ اللهِ حَقٌّ وَلكِنَّ أَكْثَرَهُمْ لا يَعْلَمُونَ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بِهِ مِنَ الأَحْزابِ فَالنَّارُ مَوْعِدُهُ فَلا تَكُ فِي مِرْيَةٍ مِنْهُ إِنَّهُ الْحَقُّ مِنْ رَبِّكَ وَلكِنَّ أَكْثَرَ النَّاسِ لا يُؤْمِنُونَ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آبائِي إِبْراهِيمَ وَإِسْحاقَ وَيَعْقُوبَ ما كانَ لَنا أَنْ نُشْرِكَ بِاللهِ مِنْ شَيْ‌ءٍ ذلِكَ مِنْ فَضْلِ اللهِ عَلَيْنا وَعَلَى النَّاسِ وَلكِنَّ أَكْثَرَ النَّاسِ لا يَشْكُرُونَ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 تِلْكَ آياتُ الْكِتابِ وَالَّذِي أُنْزِلَ إِلَيْكَ مِنْ رَبِّكَ الْحَقُّ وَلكِنَّ أَكْثَرَ النَّاسِ لا يُؤْمِنُونَ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بَدَّلْنا آيَةً مَكانَ آيَةٍ وَاللهُ أَعْلَمُ بِما يُنَزِّلُ قالُوا إِنَّما أَنْتَ مُفْتَرٍ بَلْ أَكْثَرُهُمْ لا يَعْلَمُونَ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آلِهَةً قُلْ هاتُوا بُرْهانَكُمْ هذا ذِكْرُ مَنْ مَعِيَ وَذِكْرُ مَنْ قَبْلِي بَلْ أَكْثَرُهُمْ لا يَعْلَمُونَ الْحَقَّ فَهُمْ مُعْرِضُونَ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ولنقف على هذا العدد وعلى غرار ذلك سائر الآيات الشريفة، فراجع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ما سبقها ولحقها، وكذا الآية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وكذا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وسورة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إلى غير ذلك من الموارد، فلتراجع</w:t>
      </w:r>
      <w:r>
        <w:rPr>
          <w:rFonts w:eastAsia="Amiri" w:cs="Amiri" w:ascii="Amiri" w:hAnsi="Amiri"/>
          <w:color w:val="111111"/>
          <w:sz w:val="28"/>
          <w:szCs w:val="28"/>
          <w:rtl w:val="true"/>
          <w:lang w:bidi="ar-SA"/>
        </w:rPr>
        <w:t xml:space="preserve">. </w:t>
      </w:r>
      <w:bookmarkStart w:id="258" w:name="pg8204_100994"/>
    </w:p>
    <w:p>
      <w:pPr>
        <w:pStyle w:val="Heading6"/>
        <w:numPr>
          <w:ilvl w:val="5"/>
          <w:numId w:val="1"/>
        </w:numPr>
        <w:rPr/>
      </w:pPr>
      <w:bookmarkStart w:id="259" w:name="__RefHeading___Toc8924116_1051229030"/>
      <w:bookmarkStart w:id="260" w:name="_Toc97"/>
      <w:bookmarkEnd w:id="258"/>
      <w:bookmarkEnd w:id="259"/>
      <w:r>
        <w:rPr>
          <w:rtl w:val="true"/>
        </w:rPr>
        <w:t>ليست الآيات في مقام البيان</w:t>
      </w:r>
      <w:bookmarkEnd w:id="260"/>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لي بعض كبار أساتذة 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الآيات لا إطلاق فيها، لعدم كونها في مقام البيان حسب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مطلقات القرآن ليست في مقام البيان، بل في مقام أصل التشريع أو شبهه، فتأمل</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8924118_1051229030"/>
      <w:bookmarkStart w:id="262" w:name="_Toc98"/>
      <w:bookmarkEnd w:id="261"/>
      <w:r>
        <w:rPr>
          <w:rtl w:val="true"/>
        </w:rPr>
        <w:t>ليس أكثر الفقهاء أكثر الناس</w:t>
      </w:r>
      <w:bookmarkEnd w:id="262"/>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لي أيضاً أستاذ آخر من كبار أساتذة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الآيات ذكرت أن أكثر الناس لا يعلمون، ولا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الموضوع في الآية على أكثرية الفقهاء أو أكثرية الأطباء مثلاً، فهل يقال لأكثرية الفقهاء أكثر الناس، أو أكثرية البشرية أو ما أشبه؟ فالخروج موضوعي حسب نظره، خاصة إذا لاحظنا أن أكثر الفقهاء مثلاً لا يشكلون واحداً بالمائة ألف من الناس، فكيف يصدق عليهم أكثر الناس؟ إنما الصادق قسيمه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ومرجع هذا الجواب إلى الجواب الأول، فتدبر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الآيات مخصصة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مخصّصة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وَيَتَّبِع غَيرَ سَبيلِ المُؤمِنينَ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ولكن ذلك بناء على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السبيل الذي عليه مشهورهم أو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 السبيل الثبوتي الواقعي، ولا يعلم أن سبيل أكثرهم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الموضوعات والمتعلقات الثبوتية لا طريق إليها إلاّ الحجج، ومنها الشهرة بين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أكثر الفقهاء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الإشكال في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المرتكز في الأذهان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عليه من أصول الدين والمذهب، ولا يعم الرأي في الأحكام الشرعية، فكيف بالشؤون العامة، فتأمل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المراد بالآية قد نتطرق له في بحث لاحق إذا وفقنا الله تعالى</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8204_100997"/>
      <w:bookmarkStart w:id="264" w:name="pg8204_100997"/>
      <w:bookmarkEnd w:id="264"/>
    </w:p>
    <w:p>
      <w:pPr>
        <w:pStyle w:val="Heading4"/>
        <w:numPr>
          <w:ilvl w:val="3"/>
          <w:numId w:val="1"/>
        </w:numPr>
        <w:rPr/>
      </w:pPr>
      <w:bookmarkStart w:id="265" w:name="pg8204_100997"/>
      <w:bookmarkStart w:id="266" w:name="__RefHeading___Toc8924120_1051229030"/>
      <w:bookmarkStart w:id="267" w:name="_Toc99"/>
      <w:bookmarkEnd w:id="265"/>
      <w:bookmarkEnd w:id="266"/>
      <w:r>
        <w:rPr>
          <w:rtl w:val="true"/>
        </w:rPr>
        <w:t>الفصل الثاني</w:t>
      </w:r>
      <w:r>
        <w:rPr>
          <w:rtl w:val="true"/>
        </w:rPr>
        <w:t xml:space="preserve">: </w:t>
      </w:r>
      <w:r>
        <w:rPr>
          <w:rtl w:val="true"/>
        </w:rPr>
        <w:t xml:space="preserve">في الاستدلال بالآية الكريمة </w:t>
      </w:r>
      <w:r>
        <w:rPr>
          <w:rtl w:val="true"/>
        </w:rPr>
        <w:t>(</w:t>
      </w:r>
      <w:r>
        <w:rPr>
          <w:rtl w:val="true"/>
        </w:rPr>
        <w:t>وَشاوِرْهُمْ فِي الأَمْرِ</w:t>
      </w:r>
      <w:r>
        <w:rPr>
          <w:rtl w:val="true"/>
        </w:rPr>
        <w:t>)</w:t>
      </w:r>
      <w:bookmarkEnd w:id="267"/>
    </w:p>
    <w:p>
      <w:pPr>
        <w:pStyle w:val="Heading5"/>
        <w:numPr>
          <w:ilvl w:val="4"/>
          <w:numId w:val="1"/>
        </w:numPr>
        <w:rPr/>
      </w:pPr>
      <w:bookmarkStart w:id="268" w:name="__RefHeading___Toc8924122_1051229030"/>
      <w:bookmarkStart w:id="269" w:name="_Toc100"/>
      <w:bookmarkEnd w:id="268"/>
      <w:r>
        <w:rPr>
          <w:rtl w:val="true"/>
        </w:rPr>
        <w:t>اشارة</w:t>
      </w:r>
      <w:bookmarkEnd w:id="26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التطرق للعديد من الإشكالات والأجوبة عنها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8204_100999"/>
      <w:bookmarkStart w:id="271" w:name="pg8204_100999"/>
      <w:bookmarkEnd w:id="271"/>
    </w:p>
    <w:p>
      <w:pPr>
        <w:pStyle w:val="Heading5"/>
        <w:numPr>
          <w:ilvl w:val="4"/>
          <w:numId w:val="1"/>
        </w:numPr>
        <w:rPr/>
      </w:pPr>
      <w:bookmarkStart w:id="272" w:name="pg8204_100999"/>
      <w:bookmarkStart w:id="273" w:name="__RefHeading___Toc8924124_1051229030"/>
      <w:bookmarkStart w:id="274" w:name="_Toc101"/>
      <w:bookmarkEnd w:id="272"/>
      <w:bookmarkEnd w:id="273"/>
      <w:r>
        <w:rPr>
          <w:rtl w:val="true"/>
        </w:rPr>
        <w:t xml:space="preserve">آية </w:t>
      </w:r>
      <w:r>
        <w:rPr>
          <w:rtl w:val="true"/>
        </w:rPr>
        <w:t>(</w:t>
      </w:r>
      <w:r>
        <w:rPr>
          <w:rtl w:val="true"/>
        </w:rPr>
        <w:t>وشاورهم</w:t>
      </w:r>
      <w:r>
        <w:rPr>
          <w:rtl w:val="true"/>
        </w:rPr>
        <w:t>)</w:t>
      </w:r>
      <w:bookmarkEnd w:id="274"/>
    </w:p>
    <w:p>
      <w:pPr>
        <w:pStyle w:val="Heading6"/>
        <w:numPr>
          <w:ilvl w:val="5"/>
          <w:numId w:val="1"/>
        </w:numPr>
        <w:rPr/>
      </w:pPr>
      <w:bookmarkStart w:id="275" w:name="__RefHeading___Toc8924126_1051229030"/>
      <w:bookmarkStart w:id="276" w:name="_Toc102"/>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يستدل بهذه الآية الكريمة على وجوب الاستشارة في الأمور التي تتعلق بالأمة والشؤون العامة، بل وعلى وجوب الاستشارة في كل أمر يتعلق بمجموعة مما يعدّ أمراً لهم، بل وعلى وجوب الشورى والعمل برأي المشيرين أو أكثريتهم فيما عدّ من أمورهم، إما استناداً إلى الآية الكريمة بمفردها، أو بضميمة الروايات الكثيرة الدالة على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أفردنا له فصلاً خاصاً من فصول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ثبت وجوب الاستشارة، ثبتت حرمة المنع، ووجوب ردع المانع، ووجوب السعي والطلب وشبهه، مما طرحناه في فصل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 الاستدلال على إحدى تلك المسائل أفاد وجوب الاستشارة، ووجوب الشورى على المتصدين للشؤون العامة وأمور الأمة، سواءً أكانوا فقهاء أم غيرهم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كنا من القائلين بولاية الفقيه العامة، أفاد الاستدلال بالآية أو </w:t>
      </w:r>
    </w:p>
    <w:p>
      <w:pPr>
        <w:pStyle w:val="BookText"/>
        <w:rPr/>
      </w:pPr>
      <w:r>
        <w:rPr>
          <w:rFonts w:ascii="IRNazanin" w:hAnsi="IRNazanin" w:eastAsia="IRNazanin"/>
          <w:color w:val="111111"/>
          <w:sz w:val="28"/>
          <w:sz w:val="28"/>
          <w:szCs w:val="28"/>
          <w:rtl w:val="true"/>
          <w:lang w:bidi="fa-IR"/>
        </w:rPr>
        <w:t>نظائرها</w:t>
      </w:r>
      <w:r>
        <w:rPr>
          <w:rStyle w:val="FootnoteAnchor"/>
          <w:rtl w:val="true"/>
        </w:rPr>
        <w:footnoteReference w:id="290"/>
      </w:r>
      <w:r>
        <w:rPr>
          <w:rFonts w:ascii="Amiri" w:hAnsi="Amiri" w:eastAsia="Amiri" w:cs="Amiri"/>
          <w:color w:val="111111"/>
          <w:sz w:val="28"/>
          <w:sz w:val="28"/>
          <w:szCs w:val="28"/>
          <w:rtl w:val="true"/>
          <w:lang w:bidi="ar-SA"/>
        </w:rPr>
        <w:t>مما سبق أو يأتي، أن على الفقيه الاستشارة من سائر الفقهاء والخبراء، بل ومن عامة الأمة، عبر السبل والطرق المختلفة، في شؤون الحكم والأمور العامة، بنحو الوجوب، بل وجب عليهالعمل برأي أكثرية شورى الفقهاء وأكثرية الخبراء من أهل الحل والعقد، وأكثرية الناس بما يصدق عليه بالحمل الشايع الصناعي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إذا تمت دعوى صحة 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مقتضى مشورة أكثريتهم، أو تم الاستدلال بالآية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أو تم الاستدلال بالآية بضميمة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 النَّاسِ مَنْ أَطَاعَ الْعُقَلاء</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اسْتَشِرِ الْعَاقِلَ مِنَ الرِّجَالِ الْوَرِعَ فَإِنَّهُ لا يَأْمُرُ إِلاّ بِخَيْرٍ وَإِيَّاكَ وَالْخِلافَ فَإِنَّ خِلافَ الْوَرِعِ الْعَاقِلِ مَفْسَدَةٌ فِي الدِّينِ وَالدُّنْيَا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وغيرها مما سيأتي في فصل الأحكام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سيأتي أن وجه وجوب العمل بالأكثرية حينئذٍ مع القول بولاية الفقيه العامة هو حكومة أدلة الشورى والاستشارة على أدلة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لم نكن ممن يرى ولاية الفقيه، فإن الآية تفيد وجوب الاستشارة والمشورة والشورى على كل متصدٍ للحكم بالحق، كما لو كانوا عدول المؤمنين، أو كانوا ممن رضيت أكثرية الناس بحكومتهم، على المسالك المختلفة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يستفاد أيضاً وجوب الاستشارة والمشورة على المتصدي للحكم بالباطل، بالأولوية، أو لبداهة تعدد المطلوب في كونه حاكماً بالحق وباجتماع الشروط فيه، وكونه حاكماً بالمشورة والشورى لا الاستبداد</w:t>
      </w:r>
      <w:r>
        <w:rPr>
          <w:rFonts w:eastAsia="Amiri" w:cs="Amiri" w:ascii="Amiri" w:hAnsi="Amiri"/>
          <w:color w:val="111111"/>
          <w:sz w:val="28"/>
          <w:szCs w:val="28"/>
          <w:rtl w:val="true"/>
          <w:lang w:bidi="ar-SA"/>
        </w:rPr>
        <w:t xml:space="preserve">. </w:t>
      </w:r>
      <w:bookmarkStart w:id="277" w:name="pg8204_101001"/>
    </w:p>
    <w:p>
      <w:pPr>
        <w:pStyle w:val="BookText"/>
        <w:rPr/>
      </w:pPr>
      <w:bookmarkEnd w:id="277"/>
      <w:r>
        <w:rPr>
          <w:rFonts w:ascii="Amiri" w:hAnsi="Amiri" w:eastAsia="Amiri" w:cs="Amiri"/>
          <w:color w:val="111111"/>
          <w:sz w:val="28"/>
          <w:sz w:val="28"/>
          <w:szCs w:val="28"/>
          <w:rtl w:val="true"/>
          <w:lang w:bidi="ar-SA"/>
        </w:rPr>
        <w:t>وتفصيل البحث عن ذلك بمناقشاته يتم ضمن التطرق للإشكالات التي أوردت أو يمكن أن تورد على الاستدلال بهذه الآية الكريمة، فنقول وبالله نستعين</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8924128_1051229030"/>
      <w:bookmarkStart w:id="279" w:name="_Toc103"/>
      <w:bookmarkEnd w:id="278"/>
      <w:r>
        <w:rPr>
          <w:rtl w:val="true"/>
        </w:rPr>
        <w:t>الإشكال الأول</w:t>
      </w:r>
      <w:r>
        <w:rPr>
          <w:rtl w:val="true"/>
        </w:rPr>
        <w:t xml:space="preserve">: </w:t>
      </w:r>
      <w:r>
        <w:rPr>
          <w:rtl w:val="true"/>
        </w:rPr>
        <w:t xml:space="preserve">عدم عمله </w:t>
      </w:r>
      <w:r>
        <w:rPr>
          <w:rtl w:val="true"/>
        </w:rPr>
        <w:t>(</w:t>
      </w:r>
      <w:r>
        <w:rPr>
          <w:rtl w:val="true"/>
        </w:rPr>
        <w:t>صلى الله عليه وآله</w:t>
      </w:r>
      <w:r>
        <w:rPr>
          <w:rtl w:val="true"/>
        </w:rPr>
        <w:t xml:space="preserve">) </w:t>
      </w:r>
      <w:r>
        <w:rPr>
          <w:rtl w:val="true"/>
        </w:rPr>
        <w:t>بالشورى فلا تجب على غيره</w:t>
      </w:r>
      <w:bookmarkEnd w:id="279"/>
    </w:p>
    <w:p>
      <w:pPr>
        <w:pStyle w:val="BookText"/>
        <w:rPr/>
      </w:pPr>
      <w:r>
        <w:rPr>
          <w:rFonts w:ascii="Amiri" w:hAnsi="Amiri" w:eastAsia="Amiri" w:cs="Amiri"/>
          <w:color w:val="111111"/>
          <w:sz w:val="28"/>
          <w:sz w:val="28"/>
          <w:szCs w:val="28"/>
          <w:rtl w:val="true"/>
          <w:lang w:bidi="ar-SA"/>
        </w:rPr>
        <w:t>ربما يعترض على الاستدلال بالآية الكريمة على وجوب الاستشارة ووجوب اتباع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بمبدأي الاستشارة والاتباع، مما يستكشف منه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وجوبها عليه، وإلاّ لما تركها في أحيان كثيرة، فلا مناص من ارتكاب التجوز بحمل الأمر على الاستحباب، لأجل هذه القرينة المقامية، لكون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فيصلح صارفاً للأمر عن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يستفد من هذه الآية وجوب الاستشارة والشورى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يستفد منها وبطريق أولى وجوبها على الآخرين، لكون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بها، فإذا وجبت على الآخرين دونه لزم خروج المورد وتخصيصه، وهو قبيح لا يجوز على الحكيم ارتكابه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بوجوه عديدة</w:t>
      </w:r>
      <w:r>
        <w:rPr>
          <w:rFonts w:eastAsia="Amiri" w:cs="Amiri" w:ascii="Amiri" w:hAnsi="Amiri"/>
          <w:color w:val="111111"/>
          <w:sz w:val="28"/>
          <w:szCs w:val="28"/>
          <w:rtl w:val="true"/>
          <w:lang w:bidi="ar-SA"/>
        </w:rPr>
        <w:t xml:space="preserve">: </w:t>
      </w:r>
      <w:bookmarkStart w:id="280" w:name="pg8204_101002"/>
    </w:p>
    <w:p>
      <w:pPr>
        <w:pStyle w:val="Heading6"/>
        <w:numPr>
          <w:ilvl w:val="5"/>
          <w:numId w:val="1"/>
        </w:numPr>
        <w:rPr/>
      </w:pPr>
      <w:bookmarkStart w:id="281" w:name="__RefHeading___Toc8924130_1051229030"/>
      <w:bookmarkStart w:id="282" w:name="_Toc104"/>
      <w:bookmarkEnd w:id="280"/>
      <w:bookmarkEnd w:id="281"/>
      <w:r>
        <w:rPr>
          <w:rtl w:val="true"/>
        </w:rPr>
        <w:t>الجواب الأول</w:t>
      </w:r>
      <w:r>
        <w:rPr>
          <w:rtl w:val="true"/>
        </w:rPr>
        <w:t xml:space="preserve">: </w:t>
      </w:r>
      <w:r>
        <w:rPr>
          <w:rtl w:val="true"/>
        </w:rPr>
        <w:t xml:space="preserve">الأدلة قائمة على عمله </w:t>
      </w:r>
      <w:r>
        <w:rPr>
          <w:rtl w:val="true"/>
        </w:rPr>
        <w:t>(</w:t>
      </w:r>
      <w:r>
        <w:rPr>
          <w:rtl w:val="true"/>
        </w:rPr>
        <w:t>صلى الله عليه وآله</w:t>
      </w:r>
      <w:r>
        <w:rPr>
          <w:rtl w:val="true"/>
        </w:rPr>
        <w:t xml:space="preserve">) </w:t>
      </w:r>
      <w:r>
        <w:rPr>
          <w:rtl w:val="true"/>
        </w:rPr>
        <w:t>بالشورى</w:t>
      </w:r>
      <w:bookmarkEnd w:id="282"/>
    </w:p>
    <w:p>
      <w:pPr>
        <w:pStyle w:val="BookText"/>
        <w:rPr/>
      </w:pPr>
      <w:r>
        <w:rPr>
          <w:rFonts w:ascii="Amiri" w:hAnsi="Amiri" w:eastAsia="Amiri" w:cs="Amiri"/>
          <w:color w:val="111111"/>
          <w:sz w:val="28"/>
          <w:sz w:val="28"/>
          <w:szCs w:val="28"/>
          <w:rtl w:val="true"/>
          <w:lang w:bidi="ar-SA"/>
        </w:rPr>
        <w:t xml:space="preserve">الدليل قائم على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بالشورى في العديد من الشؤون العامة</w:t>
      </w:r>
      <w:r>
        <w:rPr>
          <w:rStyle w:val="FootnoteAnchor"/>
          <w:rtl w:val="true"/>
        </w:rPr>
        <w:footnoteReference w:id="295"/>
      </w:r>
      <w:r>
        <w:rPr>
          <w:rFonts w:ascii="Amiri" w:hAnsi="Amiri" w:eastAsia="Amiri" w:cs="Amiri"/>
          <w:color w:val="111111"/>
          <w:sz w:val="28"/>
          <w:sz w:val="28"/>
          <w:szCs w:val="28"/>
          <w:rtl w:val="true"/>
          <w:lang w:bidi="ar-SA"/>
        </w:rPr>
        <w:t>، وقد وردت بذلك روايات عديدة</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8924132_1051229030"/>
      <w:bookmarkStart w:id="284" w:name="_Toc105"/>
      <w:bookmarkEnd w:id="283"/>
      <w:r>
        <w:rPr>
          <w:rtl w:val="true"/>
        </w:rPr>
        <w:t xml:space="preserve">بحث إجمالي عن حجية روايات عمله </w:t>
      </w:r>
      <w:r>
        <w:rPr>
          <w:rtl w:val="true"/>
        </w:rPr>
        <w:t>(</w:t>
      </w:r>
      <w:r>
        <w:rPr>
          <w:rtl w:val="true"/>
        </w:rPr>
        <w:t>صلی الله علیه وآله وسلم</w:t>
      </w:r>
      <w:r>
        <w:rPr>
          <w:rtl w:val="true"/>
        </w:rPr>
        <w:t xml:space="preserve">) </w:t>
      </w:r>
      <w:r>
        <w:rPr>
          <w:rtl w:val="true"/>
        </w:rPr>
        <w:t>بالشورى</w:t>
      </w:r>
      <w:r>
        <w:rPr>
          <w:rtl w:val="true"/>
        </w:rPr>
        <w:t>:</w:t>
      </w:r>
      <w:bookmarkEnd w:id="284"/>
    </w:p>
    <w:p>
      <w:pPr>
        <w:pStyle w:val="BookText"/>
        <w:rPr/>
      </w:pPr>
      <w:r>
        <w:rPr>
          <w:rFonts w:ascii="Amiri" w:hAnsi="Amiri" w:eastAsia="Amiri" w:cs="Amiri"/>
          <w:color w:val="111111"/>
          <w:sz w:val="28"/>
          <w:sz w:val="28"/>
          <w:szCs w:val="28"/>
          <w:rtl w:val="true"/>
          <w:lang w:bidi="ar-SA"/>
        </w:rPr>
        <w:t>وهذه الروايات وغيرها مما سيأتي يمكن إثبات حجيتها بإثبات تواتر مضمونها، أو بإثبات تواترها الإجمالي، وإلاّ فلا تكون أكثر من روايات مستفيضة نقلها الأصحاب، فلا تتعدى كونها مؤيدة لا دليلاً</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8924134_1051229030"/>
      <w:bookmarkStart w:id="286" w:name="_Toc106"/>
      <w:bookmarkEnd w:id="285"/>
      <w:r>
        <w:rPr>
          <w:rtl w:val="true"/>
        </w:rPr>
        <w:t>روايتها في تفسير القمي</w:t>
      </w:r>
      <w:bookmarkEnd w:id="286"/>
    </w:p>
    <w:p>
      <w:pPr>
        <w:pStyle w:val="BookText"/>
        <w:rPr/>
      </w:pPr>
      <w:r>
        <w:rPr>
          <w:rFonts w:ascii="Amiri" w:hAnsi="Amiri" w:eastAsia="Amiri" w:cs="Amiri"/>
          <w:color w:val="111111"/>
          <w:sz w:val="28"/>
          <w:sz w:val="28"/>
          <w:szCs w:val="28"/>
          <w:rtl w:val="true"/>
          <w:lang w:bidi="ar-SA"/>
        </w:rPr>
        <w:t xml:space="preserve">نعم يمكن تصحيح أكثر الروايات التي نقلناها في هذا الباب، باعتبار ذكرها في تفسير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المسالك الرجالية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نحكم بوثاقة جميع مشايخ علي بن إبراهيم الذين روى عنهم في تفسيره، مع انتهاء السند إلى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في مقدمة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ذاكرون ومخبرون بما ينتهي إلينا </w:t>
      </w:r>
    </w:p>
    <w:p>
      <w:pPr>
        <w:pStyle w:val="BookText"/>
        <w:rPr/>
      </w:pPr>
      <w:r>
        <w:rPr>
          <w:rFonts w:ascii="Amiri" w:hAnsi="Amiri" w:eastAsia="Amiri" w:cs="Amiri"/>
          <w:color w:val="111111"/>
          <w:sz w:val="28"/>
          <w:sz w:val="28"/>
          <w:szCs w:val="28"/>
          <w:rtl w:val="true"/>
          <w:lang w:bidi="ar-SA"/>
        </w:rPr>
        <w:t>من مشايخنا وثقاتنا عن الذين فرض الله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هذا الكلام دلالة ظاهرة على أنهلا يروى في كتابه هذا إلاّ عن ثقة، بل استفاد صاحب الوسائل في 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في ذكر شهادة جمع كثير من علمائنا بصحة الكتب المذكورة وأمثالها وتواترها وثبوتها عن مؤلفيها وثبوت أحاديثها عن أهل بيت العصمة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وقع في أسناد روايات علي بن إبراهيم المنتهية إلى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علي بن إبراهيم بوثاقته،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شهد علي بن إبراهيم أيضاً بثبوت أحاديث تفسيره وأنها مروية عن الثقات عن الأئمة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فإن علي بن إبراهيم يريد بما ذكره إثبات صحة تفسيره، وأن رواياته ثابتة وصادرة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انتهت إليه بوساطة المشايخ والثقات من الشيعة، وعلى ذلك فلا موجب لتخصيص التوثيق بمشايخه الذين يروي عنهم علي بن إبراهيم بلا واسطة كما زعمه بعضهم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عبارة علي بن إبراهيم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ذكره وأخبر به في كتابه قد انتهى إليه من مشايخه الثقات، سواء ذكر سلسلة السند أم لا، لمكان الاطلاق، إذ لم يقيد توثيق مشايخه الذين روى عنهم بالمذكور اسمه في كتابه، ولذا قال البعض بأن مراسيله كالصحاح</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إخباراته كلها تنتهي إلى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 ذلك صاحب الوسائل أيضاً على ما يظهر من عباراته، اللهم إلا أن يكون مراده بالأحاديث المعنى الاصطلاحي لا اللغوي،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تقييد لعبارة القمي بدون جهة، إذ 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ذاكرون ومخبرون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فلا موجب لتخصيص التوثيق بمسانيده دون مراسيله، مع ظهور عبارته في توثيق الكل، هذا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فروايات الاستشارة المنقولة في كتابه المذكور ههنا، إن كانت من تتمة ما نقله بسنده كانت صحيحة بلا إشكال،لكونها مسانيد قد ذكر مشايخه فيها، وإن كانت كلاماً مستقلاً كانت مراسيل، واحتجنا في إثبات صحتها إلى هذه المقدمة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حال الصغرى لا بأس بالتطرق إلى كل واحدة واحدة منها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الرواية المذكورة في ضمن تفسير سورة الأنفال 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فقد ذكر في أول السورة 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فحدثني أبي عن فضالة بن أيوب،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الأنفال،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كلام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الرواية مسندة، والرواة موثقين توثيقاً خاصاً في الكتب الرجالية، وعاماً بتوثيق علي بن إبراهيم، وإلا كانت مرسلة، واحتجنا إلى تلك المقدمة لإثبات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الأخرى المذكورة ضمن تفسير سورة الأحزاب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فالظاهر إرسالها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فالكلام فيها هو الكلام في الأولى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المذكورة ضمن تفسير سورة آل عمران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bookmarkStart w:id="287" w:name="pg8204_101005"/>
    </w:p>
    <w:p>
      <w:pPr>
        <w:pStyle w:val="BookText"/>
        <w:rPr/>
      </w:pPr>
      <w:bookmarkEnd w:id="287"/>
      <w:r>
        <w:rPr>
          <w:rFonts w:ascii="Amiri" w:hAnsi="Amiri" w:eastAsia="Amiri" w:cs="Amiri"/>
          <w:color w:val="111111"/>
          <w:sz w:val="28"/>
          <w:sz w:val="28"/>
          <w:szCs w:val="28"/>
          <w:rtl w:val="true"/>
          <w:lang w:bidi="ar-SA"/>
        </w:rPr>
        <w:t>فكالثانية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المذكورة 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فكالثانية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والمذكورة في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للملاحظ أن هذه الروايات كلها من تفسير علي بن إبراهيم، وليست من روايات تلميذه أبي الفضل العباس بن محمد بن قاسم بن حمزة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توضح ذلك أكثر بمراجعة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ذيل الحديث عن تفسير القمي، حيث ذكر الضابط في التفريق بين تفسير علي بن إبراهيم وبين ما نقله تلميذه، فليراجعمع إشارته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قصور تفسير أبي الجارود في الاعتبار عن تفسير علي بن إبراهيم، هذا</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8924136_1051229030"/>
      <w:bookmarkStart w:id="289" w:name="_Toc107"/>
      <w:bookmarkEnd w:id="288"/>
      <w:r>
        <w:rPr>
          <w:rtl w:val="true"/>
        </w:rPr>
        <w:t>وجه آخر</w:t>
      </w:r>
      <w:r>
        <w:rPr>
          <w:rtl w:val="true"/>
        </w:rPr>
        <w:t xml:space="preserve">: </w:t>
      </w:r>
      <w:r>
        <w:rPr>
          <w:rtl w:val="true"/>
        </w:rPr>
        <w:t>حجية مراسيل الثقات في التاريخ بل مطلقاً</w:t>
      </w:r>
      <w:bookmarkEnd w:id="289"/>
    </w:p>
    <w:p>
      <w:pPr>
        <w:pStyle w:val="BookText"/>
        <w:rPr/>
      </w:pPr>
      <w:r>
        <w:rPr>
          <w:rFonts w:ascii="Amiri" w:hAnsi="Amiri" w:eastAsia="Amiri" w:cs="Amiri"/>
          <w:color w:val="111111"/>
          <w:sz w:val="28"/>
          <w:sz w:val="28"/>
          <w:szCs w:val="28"/>
          <w:rtl w:val="true"/>
          <w:lang w:bidi="ar-SA"/>
        </w:rPr>
        <w:t>ويمكن تصحيح هذه الروايات حتى مع قطع النظر عن شمول توثيق علي بن إبراهيم لها، وكذا غيرها، إذ لنا أن نلتزم بصحة المراسيل في القضايا التاريخية بل مطلقاً إن روى ذلك الثقة، مع عدم إحراز كونه ممن يروى عن الضعفاء بحيث يخلّ بالوثوق النوعي، لبناء العقلاء على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كافة العقلاء من كل الأديان في كل الأزمان يستندون في أكثر رواياتهم التاريخية إلى قول الثقة في ذلك الموضوع، مع كونها مراسيل عادةً، بحيث لو دعاهم داع إلى تركها وعدم الاعتماد عليها عدّوه بعيداً عن الصواب، خارجاً عن ديدن العقلاء وسيرتهم، وذلك بشرط عدم المعارض، ومنه ما يوهن </w:t>
      </w:r>
      <w:bookmarkStart w:id="290" w:name="pg8204_101006"/>
    </w:p>
    <w:p>
      <w:pPr>
        <w:pStyle w:val="BookText"/>
        <w:rPr/>
      </w:pPr>
      <w:bookmarkEnd w:id="290"/>
      <w:r>
        <w:rPr>
          <w:rFonts w:ascii="Amiri" w:hAnsi="Amiri" w:eastAsia="Amiri" w:cs="Amiri"/>
          <w:color w:val="111111"/>
          <w:sz w:val="28"/>
          <w:sz w:val="28"/>
          <w:szCs w:val="28"/>
          <w:rtl w:val="true"/>
          <w:lang w:bidi="ar-SA"/>
        </w:rPr>
        <w:t>المضمون، وكلاهما جارٍ في المسانيد أيضاً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خصوص المسلمين نجد كثرة الاعتماد من الشيعة والسنة على كتب التفسير والتاريخ في بيان شأن نزول الآية وتأويلها وقصص القرآن، وكذا في بيان حالات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وقصصهم ومحاجتهم وغير ذلك، يرشد إلى ذلك الذهن العرفي الفطري الخالي عن تشكيكات بعض الأصوليين والرجاليين</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8924138_1051229030"/>
      <w:bookmarkStart w:id="292" w:name="_Toc108"/>
      <w:bookmarkEnd w:id="291"/>
      <w:r>
        <w:rPr>
          <w:rtl w:val="true"/>
        </w:rPr>
        <w:t>وخلاصة القول</w:t>
      </w:r>
      <w:r>
        <w:rPr>
          <w:rtl w:val="true"/>
        </w:rPr>
        <w:t>:</w:t>
      </w:r>
      <w:bookmarkEnd w:id="292"/>
    </w:p>
    <w:p>
      <w:pPr>
        <w:pStyle w:val="BookText"/>
        <w:rPr/>
      </w:pPr>
      <w:r>
        <w:rPr>
          <w:rFonts w:ascii="Amiri" w:hAnsi="Amiri" w:eastAsia="Amiri" w:cs="Amiri"/>
          <w:color w:val="111111"/>
          <w:sz w:val="28"/>
          <w:sz w:val="28"/>
          <w:szCs w:val="28"/>
          <w:rtl w:val="true"/>
          <w:lang w:bidi="ar-SA"/>
        </w:rPr>
        <w:t>إن بناء العقلاء وسيرتهم وارتكازهم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قال في تنقيح المقال</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المراد بأن مراسيل الثقات من الأصحاب مقبولة معتمدة،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بالثقات من وثقوه ولم ينصوا بأنه يروي عن الضعفاء وحينئذٍ فتعتدل جملة من المراسيل لعدم قصور هذه الشهادة من التوثيقات الرجالية 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عدم القصور مع كون ذلك اجتهاداً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بناء العقلاء وشبهه، وإلاّ فليس حدس المجتهد حجة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المتتبع يعثر على موارد عديدة اعتمد فيها الفقهاء والأصوليون على أقوال بعض المفسرين ومراسيلهم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ذكره في الرسائل حيث قال</w:t>
      </w:r>
      <w:r>
        <w:rPr>
          <w:rStyle w:val="FootnoteAnchor"/>
          <w:rtl w:val="true"/>
        </w:rPr>
        <w:footnoteReference w:id="3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إن كان بظاهر الآية فظاهرها بمقتضى السياق إرادة علماء أهل الكتاب، كما عن ابن </w:t>
      </w:r>
    </w:p>
    <w:p>
      <w:pPr>
        <w:pStyle w:val="BookText"/>
        <w:rPr/>
      </w:pPr>
      <w:r>
        <w:rPr>
          <w:rFonts w:ascii="Amiri" w:hAnsi="Amiri" w:eastAsia="Amiri" w:cs="Amiri"/>
          <w:color w:val="111111"/>
          <w:sz w:val="28"/>
          <w:sz w:val="28"/>
          <w:szCs w:val="28"/>
          <w:rtl w:val="true"/>
          <w:lang w:bidi="ar-SA"/>
        </w:rPr>
        <w:t>عباس ومجاهد والحسن وقتادة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 المدعى بما نقله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جمهور الأصوليين بقوله في الرسائل</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حكي هذا القول عن جمهور الأصوليين معللين ذلك بأن الغالب فيما يصدر من الشارع الحكم بما يحتاج إلى البيان ولا يستغني عنه بحكم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القول هو تقديم الناقل على المقرر، لأقوائية الظن الحاصل من رواية الثقة الذي لا يروي عن الضعفاء عادةً من الظن الحاصل بهذه الغلبة،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كما أن لمن يرى حجية قول اللغوي دون اعتبار العدالة أن يلتزم بحجية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وسيأتي منّا إن شاء الله تعالى في الجزء الثاني من هذا الكتاب بحث مفصل حول حجية ما ذكر، مع التطرق إلى أدلة منكري ومثبتي حجية قول اللغوي، وكذا الشهرة ونقضها وإبرامها بالمقدار الذي ينفع في بحثنا هذا، فلينتظر والله المستعان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وسنذكر ههنا بعض الروايات الواردة حول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بالشورى مما أشرنا إليه إجمالاً، مع التطرق لمدى دلالتها على المدعى</w:t>
      </w:r>
      <w:r>
        <w:rPr>
          <w:rFonts w:eastAsia="Amiri" w:cs="Amiri" w:ascii="Amiri" w:hAnsi="Amiri"/>
          <w:color w:val="111111"/>
          <w:sz w:val="28"/>
          <w:szCs w:val="28"/>
          <w:rtl w:val="true"/>
          <w:lang w:bidi="ar-SA"/>
        </w:rPr>
        <w:t xml:space="preserve">: </w:t>
      </w:r>
      <w:bookmarkStart w:id="293" w:name="pg8204_101008"/>
    </w:p>
    <w:p>
      <w:pPr>
        <w:pStyle w:val="Heading5"/>
        <w:numPr>
          <w:ilvl w:val="4"/>
          <w:numId w:val="1"/>
        </w:numPr>
        <w:rPr/>
      </w:pPr>
      <w:bookmarkStart w:id="294" w:name="__RefHeading___Toc8924140_1051229030"/>
      <w:bookmarkStart w:id="295" w:name="_Toc109"/>
      <w:bookmarkEnd w:id="293"/>
      <w:bookmarkEnd w:id="294"/>
      <w:r>
        <w:rPr>
          <w:rtl w:val="true"/>
        </w:rPr>
        <w:t>الرواية الأولى</w:t>
      </w:r>
      <w:r>
        <w:rPr>
          <w:rtl w:val="true"/>
        </w:rPr>
        <w:t xml:space="preserve">: </w:t>
      </w:r>
      <w:r>
        <w:rPr>
          <w:rtl w:val="true"/>
        </w:rPr>
        <w:t>في معركة بدر الكبرى</w:t>
      </w:r>
      <w:r>
        <w:rPr>
          <w:rtl w:val="true"/>
        </w:rPr>
        <w:t xml:space="preserve">: </w:t>
      </w:r>
      <w:r>
        <w:rPr>
          <w:rtl w:val="true"/>
        </w:rPr>
        <w:t>الخروج لحرب النفير</w:t>
      </w:r>
      <w:bookmarkEnd w:id="295"/>
    </w:p>
    <w:p>
      <w:pPr>
        <w:pStyle w:val="BookText"/>
        <w:rPr/>
      </w:pPr>
      <w:r>
        <w:rPr>
          <w:rFonts w:ascii="Amiri" w:hAnsi="Amiri" w:eastAsia="Amiri" w:cs="Amiri"/>
          <w:color w:val="111111"/>
          <w:sz w:val="28"/>
          <w:sz w:val="28"/>
          <w:szCs w:val="28"/>
          <w:rtl w:val="true"/>
          <w:lang w:bidi="ar-SA"/>
        </w:rPr>
        <w:t>ما ورد في قصة بدر الكبرى</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له على العير اسمه عدي، فلما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أين فارق العير، نزل جبرائيل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بنفير المشركين من مكة، فاستشار أصحابه في طلب العير وحرب النفير، 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قريش وخيلاؤها ما آمنت منذ كفرت، ولا ذلت منذ عزّت، ولم نخرج على أهبة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 حمزة،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عالم بهذا الطريق، فارق عدي العير بكذا وكذا، وساروا وسرنا فنحن والقوم على بدر يوم كذا وكذا، كأنا فرسان رهان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 ثم قام عمر بن الخطاب فقال مثل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إنها قريش وخيلاؤها وقد آمنا بك وصدقنا أن ما جئت به حق، والله لو أمرتنا أن نخوض جمر الغضا وشوك الهراس لخضناه معك، والله لا نقول لك ما قالت بنو </w:t>
      </w:r>
    </w:p>
    <w:p>
      <w:pPr>
        <w:pStyle w:val="BookText"/>
        <w:rPr/>
      </w:pPr>
      <w:r>
        <w:rPr>
          <w:rFonts w:ascii="Amiri" w:hAnsi="Amiri" w:eastAsia="Amiri" w:cs="Amiri"/>
          <w:color w:val="111111"/>
          <w:sz w:val="28"/>
          <w:sz w:val="28"/>
          <w:szCs w:val="28"/>
          <w:rtl w:val="true"/>
          <w:lang w:bidi="ar-SA"/>
        </w:rPr>
        <w:t xml:space="preserve">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 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ولكنا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لأمر ربك فإنا معك مقاتلون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على قوله 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عليّ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يريد الأنصار، لأن أكثر الناس منهم، ولأنهم حين بايعوه بالعقبة،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براء من ذمتك حتى تصل إلى دارنا ثم أنت في ذمتنا نمنعك مما نمنع آباءنا ونساءنا،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يتخوف أن لا يكون الأنصار ترى عليها نصرته إلاّ على من دهمه بالمدينة من عدو، وأن ليس عليهم أن ينصروه بخارج المدينة، 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كأنك أردتنا؟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إنا قد آمنا بك وصدقناك وشهدنا أن ما جئت به حق من عند الله فمرنا بما شئت وخذ من أموالنا ماشئت وأترك منها ما شئت، والله لو أمرتنا أن نخوض هذا البحر لخضناه معك، ولعل الله أن يريك ما تقرّ به عينك، فسر بنا على بركة، ففرح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على بركة الله، فإن الله وعدني إحدى الطائفتين ولن يخلف الله وعده، والله لكأني أنظر إلى مصرع أبي جهل بن هشام وعتبة بن ربيعة وشيبة بن ربيعة وفلان وفلان، 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بالرحيل وخرج إلى بدر وهو بئر </w:t>
      </w:r>
      <w:r>
        <w:rPr>
          <w:rFonts w:eastAsia="Amiri" w:cs="Amiri" w:ascii="Amiri" w:hAnsi="Amiri"/>
          <w:color w:val="111111"/>
          <w:sz w:val="28"/>
          <w:szCs w:val="28"/>
          <w:rtl w:val="true"/>
          <w:lang w:bidi="ar-SA"/>
        </w:rPr>
        <w:t xml:space="preserve">... </w:t>
      </w:r>
      <w:bookmarkStart w:id="296" w:name="pg8204_101010"/>
    </w:p>
    <w:p>
      <w:pPr>
        <w:pStyle w:val="Heading5"/>
        <w:numPr>
          <w:ilvl w:val="4"/>
          <w:numId w:val="1"/>
        </w:numPr>
        <w:rPr/>
      </w:pPr>
      <w:bookmarkStart w:id="297" w:name="__RefHeading___Toc8924142_1051229030"/>
      <w:bookmarkStart w:id="298" w:name="_Toc110"/>
      <w:bookmarkEnd w:id="296"/>
      <w:bookmarkEnd w:id="297"/>
      <w:r>
        <w:rPr>
          <w:rtl w:val="true"/>
        </w:rPr>
        <w:t>الرواية الثانية</w:t>
      </w:r>
      <w:r>
        <w:rPr>
          <w:rtl w:val="true"/>
        </w:rPr>
        <w:t xml:space="preserve">: </w:t>
      </w:r>
      <w:r>
        <w:rPr>
          <w:rtl w:val="true"/>
        </w:rPr>
        <w:t>في معركة الأحزاب</w:t>
      </w:r>
      <w:r>
        <w:rPr>
          <w:rtl w:val="true"/>
        </w:rPr>
        <w:t xml:space="preserve">: </w:t>
      </w:r>
      <w:r>
        <w:rPr>
          <w:rtl w:val="true"/>
        </w:rPr>
        <w:t>المقام بالمدينة</w:t>
      </w:r>
      <w:bookmarkEnd w:id="298"/>
    </w:p>
    <w:p>
      <w:pPr>
        <w:pStyle w:val="BookText"/>
        <w:rPr/>
      </w:pPr>
      <w:r>
        <w:rPr>
          <w:rFonts w:ascii="Amiri" w:hAnsi="Amiri" w:eastAsia="Amiri" w:cs="Amiri"/>
          <w:color w:val="111111"/>
          <w:sz w:val="28"/>
          <w:sz w:val="28"/>
          <w:szCs w:val="28"/>
          <w:rtl w:val="true"/>
          <w:lang w:bidi="ar-SA"/>
        </w:rPr>
        <w:t>ما ذكره في الإرشاد</w:t>
      </w:r>
      <w:r>
        <w:rPr>
          <w:rStyle w:val="FootnoteAnchor"/>
          <w:rtl w:val="true"/>
        </w:rPr>
        <w:footnoteReference w:id="304"/>
      </w:r>
      <w:r>
        <w:rPr>
          <w:rFonts w:ascii="Amiri" w:hAnsi="Amiri" w:eastAsia="Amiri" w:cs="Amiri"/>
          <w:color w:val="111111"/>
          <w:sz w:val="28"/>
          <w:sz w:val="28"/>
          <w:szCs w:val="28"/>
          <w:rtl w:val="true"/>
          <w:lang w:bidi="ar-SA"/>
        </w:rPr>
        <w:t>في غزوة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الأحزاب عليه وقوة عزيمتهم في حربه، استشار أصحابه، فأجمع رأيهم على المقام بالمدينة، وحرب القوم إن جاؤوا إليهم على أنقابها</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8924144_1051229030"/>
      <w:bookmarkStart w:id="300" w:name="_Toc111"/>
      <w:bookmarkEnd w:id="299"/>
      <w:r>
        <w:rPr>
          <w:rtl w:val="true"/>
        </w:rPr>
        <w:t>الرواية الثالثة</w:t>
      </w:r>
      <w:r>
        <w:rPr>
          <w:rtl w:val="true"/>
        </w:rPr>
        <w:t xml:space="preserve">: </w:t>
      </w:r>
      <w:r>
        <w:rPr>
          <w:rtl w:val="true"/>
        </w:rPr>
        <w:t>وفي الأحزاب أيضاً</w:t>
      </w:r>
      <w:r>
        <w:rPr>
          <w:rtl w:val="true"/>
        </w:rPr>
        <w:t xml:space="preserve">: </w:t>
      </w:r>
      <w:r>
        <w:rPr>
          <w:rtl w:val="true"/>
        </w:rPr>
        <w:t>حفر الخندق</w:t>
      </w:r>
      <w:bookmarkEnd w:id="30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تفسير القمي</w:t>
      </w:r>
      <w:r>
        <w:rPr>
          <w:rStyle w:val="FootnoteAnchor"/>
          <w:rtl w:val="true"/>
        </w:rPr>
        <w:footnoteReference w:id="305"/>
      </w:r>
      <w:r>
        <w:rPr>
          <w:rFonts w:ascii="Amiri" w:hAnsi="Amiri" w:eastAsia="Amiri" w:cs="Amiri"/>
          <w:color w:val="111111"/>
          <w:sz w:val="28"/>
          <w:sz w:val="28"/>
          <w:szCs w:val="28"/>
          <w:rtl w:val="true"/>
          <w:lang w:bidi="ar-SA"/>
        </w:rPr>
        <w:t>في غزوة الأحزاب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يزل يسير معهم حي بن أخطب في قبائل العرب حتى اجتمعوا قدر عشرة آلاف من قريش وكنانة والأقرع بن حابس في قومه وعباس بن مرداس في بني سليم،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واستشار أصحابه وكانوا سبعمائة رجل،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301" w:name="pg8204_101011"/>
    </w:p>
    <w:p>
      <w:pPr>
        <w:pStyle w:val="BookText"/>
        <w:rPr/>
      </w:pPr>
      <w:bookmarkEnd w:id="301"/>
      <w:r>
        <w:rPr>
          <w:rFonts w:ascii="Amiri" w:hAnsi="Amiri" w:eastAsia="Amiri" w:cs="Amiri"/>
          <w:color w:val="111111"/>
          <w:sz w:val="28"/>
          <w:sz w:val="28"/>
          <w:szCs w:val="28"/>
          <w:rtl w:val="true"/>
          <w:lang w:bidi="ar-SA"/>
        </w:rPr>
        <w:t>رسول الله إن القليل لا يقاوم الكثير في المطاولة،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نحفر خندقاً يكونبيننا وبينهم حجاباً فيمكنك منعهم من المطاولة، ولا يمكنهم أن يأتونا من كل وجه، فإنا كنا معاشر العجم في بلاد فارس إذا دهمنا دهم من عدونا نحفر الخنادق فيكون الحرب من مواضع معروفة، فنزل جبرائيل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بصواب</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8924146_1051229030"/>
      <w:bookmarkStart w:id="303" w:name="_Toc112"/>
      <w:bookmarkEnd w:id="302"/>
      <w:r>
        <w:rPr>
          <w:rtl w:val="true"/>
        </w:rPr>
        <w:t>الرواية الرابعة</w:t>
      </w:r>
      <w:r>
        <w:rPr>
          <w:rtl w:val="true"/>
        </w:rPr>
        <w:t xml:space="preserve">: </w:t>
      </w:r>
      <w:r>
        <w:rPr>
          <w:rtl w:val="true"/>
        </w:rPr>
        <w:t>وفي الأحزاب</w:t>
      </w:r>
      <w:r>
        <w:rPr>
          <w:rtl w:val="true"/>
        </w:rPr>
        <w:t xml:space="preserve">: </w:t>
      </w:r>
      <w:r>
        <w:rPr>
          <w:rtl w:val="true"/>
        </w:rPr>
        <w:t>الصلح على ثلث ثمار المدينة</w:t>
      </w:r>
      <w:bookmarkEnd w:id="303"/>
    </w:p>
    <w:p>
      <w:pPr>
        <w:pStyle w:val="Heading6"/>
        <w:numPr>
          <w:ilvl w:val="5"/>
          <w:numId w:val="1"/>
        </w:numPr>
        <w:rPr/>
      </w:pPr>
      <w:bookmarkStart w:id="304" w:name="__RefHeading___Toc8924148_1051229030"/>
      <w:bookmarkStart w:id="305" w:name="_Toc113"/>
      <w:bookmarkEnd w:id="304"/>
      <w:r>
        <w:rPr>
          <w:rtl w:val="true"/>
        </w:rPr>
        <w:t>اشارة</w:t>
      </w:r>
      <w:bookmarkEnd w:id="30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الإرشاد في غزوة الأحزاب أيضاً</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الأحزاب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فهال المسلمين أمرهم وارتاعوا من كثرتهم وجمعهم، فنزلوا في ناحية من الخندق وأقاموا بمكانهم بضعاً وعشرين يوماً وليلة، لم يكن بينهم حرب إلاّ الرمي بالنبل والحصي،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قلوب أكثر المسلمين من حصارهم لهم، ووهنهم في حربهم، بعث إلى عيينة بن حصن والحارث بن عوف وهما قائدا غطفان يدعوهما إلى صلحه والكف عنه والرجوع بقومهما عن حربه، على أن يعطيهما ثلث ثمار المدينة، واستشار سعد بن عبادة فيما بعث به إلى عيينة والحارث،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كان هذا الأمر لابد لنا من العمل به، لأن الله أمرك فيه بما صنعت، والوحي جاءك به فافعل ما بدا لك، وإن كنت تختار أن تصنعه لنا كان لنا فيه رأي،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يأتني وحي به ولكني رأيت العرب قد رمتكم عن قوس </w:t>
      </w:r>
      <w:bookmarkStart w:id="306" w:name="pg8204_101012"/>
    </w:p>
    <w:p>
      <w:pPr>
        <w:pStyle w:val="BookText"/>
        <w:rPr/>
      </w:pPr>
      <w:bookmarkEnd w:id="306"/>
      <w:r>
        <w:rPr>
          <w:rFonts w:ascii="Amiri" w:hAnsi="Amiri" w:eastAsia="Amiri" w:cs="Amiri"/>
          <w:color w:val="111111"/>
          <w:sz w:val="28"/>
          <w:sz w:val="28"/>
          <w:szCs w:val="28"/>
          <w:rtl w:val="true"/>
          <w:lang w:bidi="ar-SA"/>
        </w:rPr>
        <w:t>واحدة وجاؤوكم من كل جانب فأردت أن أكسر عنكم من شوكتهم إلى أمر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نحن وهؤلاء القوم على الشرك بالله وعبادة الأوثان لا نعرف الله ولا نعبده ونحن لا نطعمهم من ثمرنا إلاّ قرى أو بيعاً، والآن حين أكرمنا الله بالإسلام وهدانا به وأعزنا بك نعطيهم أموالنا؟ ما بنا إلى هذا من حاجة، والله لا نعطيهم إلاّ السيف حتى يحكم الله بيننا وبينهم،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عرفت ما عندكم، فكونوا على ما أنتم عليه فإن الله تعالى لم يخذل نبيه ولن يسلمه حتى ينجز له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في طي صفحات الكتاب مواضع أخرى استشار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فأعطوه أصواتهم، وفوضوا إليه الأمر تارة، ولم يفعلوا ذلك،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بآرائهم رغم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بخطئهم تارة أخرى</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8924150_1051229030"/>
      <w:bookmarkStart w:id="308" w:name="_Toc114"/>
      <w:bookmarkEnd w:id="307"/>
      <w:r>
        <w:rPr>
          <w:rtl w:val="true"/>
        </w:rPr>
        <w:t>إشكال</w:t>
      </w:r>
      <w:r>
        <w:rPr>
          <w:rtl w:val="true"/>
        </w:rPr>
        <w:t xml:space="preserve">: </w:t>
      </w:r>
      <w:r>
        <w:rPr>
          <w:rtl w:val="true"/>
        </w:rPr>
        <w:t>لعل عمله برأي الأكثرية كان اضطراراً</w:t>
      </w:r>
      <w:bookmarkEnd w:id="30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عمله برأي الأكثرية كان من باب الاضطرار، كي لا يخالفوه وكي يجلب ودّهم ومحبتهم، ولتوقعهم ذلك منه حسب عاداتهم، كما قيل في 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ويؤيده ما جاء في خبر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صلى الله عليه وآله يتخوف أن لا يكون الأنصار ترى عليها نصرته إلا على من دهمه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جاء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ففرح بذلك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bookmarkStart w:id="309" w:name="pg8204_101013"/>
    </w:p>
    <w:p>
      <w:pPr>
        <w:pStyle w:val="Heading6"/>
        <w:numPr>
          <w:ilvl w:val="5"/>
          <w:numId w:val="1"/>
        </w:numPr>
        <w:rPr/>
      </w:pPr>
      <w:bookmarkStart w:id="310" w:name="__RefHeading___Toc8924152_1051229030"/>
      <w:bookmarkStart w:id="311" w:name="_Toc115"/>
      <w:bookmarkEnd w:id="309"/>
      <w:bookmarkEnd w:id="310"/>
      <w:r>
        <w:rPr>
          <w:rtl w:val="true"/>
        </w:rPr>
        <w:t>الأجوبة</w:t>
      </w:r>
      <w:r>
        <w:rPr>
          <w:rtl w:val="true"/>
        </w:rPr>
        <w:t>:</w:t>
      </w:r>
      <w:bookmarkEnd w:id="311"/>
    </w:p>
    <w:p>
      <w:pPr>
        <w:pStyle w:val="Heading6"/>
        <w:numPr>
          <w:ilvl w:val="5"/>
          <w:numId w:val="1"/>
        </w:numPr>
        <w:rPr/>
      </w:pPr>
      <w:bookmarkStart w:id="312" w:name="__RefHeading___Toc8924154_1051229030"/>
      <w:bookmarkStart w:id="313" w:name="_Toc116"/>
      <w:bookmarkEnd w:id="312"/>
      <w:r>
        <w:rPr>
          <w:rtl w:val="true"/>
        </w:rPr>
        <w:t>العمل لا جهة له، والأصل عدم الاضطرار</w:t>
      </w:r>
      <w:bookmarkEnd w:id="313"/>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لا جهة له من حيث الاضطرار وعدمه، وأصالة عدم الاضطرار محكمة، فلا يقتصر في التزام الإباحة بالمعنى الأعم على صورة تحقق وجوده، والتخوف أعم من الاضطرار ومن عدم إطاعتهم له، فتأمل</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8924156_1051229030"/>
      <w:bookmarkStart w:id="315" w:name="_Toc117"/>
      <w:bookmarkEnd w:id="314"/>
      <w:r>
        <w:rPr>
          <w:rtl w:val="true"/>
        </w:rPr>
        <w:t xml:space="preserve">الأصل في قوله وفعله </w:t>
      </w:r>
      <w:r>
        <w:rPr>
          <w:rtl w:val="true"/>
        </w:rPr>
        <w:t>(</w:t>
      </w:r>
      <w:r>
        <w:rPr>
          <w:rtl w:val="true"/>
        </w:rPr>
        <w:t>صلى الله عليه وآله</w:t>
      </w:r>
      <w:r>
        <w:rPr>
          <w:rtl w:val="true"/>
        </w:rPr>
        <w:t xml:space="preserve">) </w:t>
      </w:r>
      <w:r>
        <w:rPr>
          <w:rtl w:val="true"/>
        </w:rPr>
        <w:t>الحجية</w:t>
      </w:r>
      <w:bookmarkEnd w:id="315"/>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قول وفعل وتقرير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ولزوم الإتباع، من غير حاجة إلى نفي احتمال مثل الاضطرار بالأصل، فتأمل</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8924158_1051229030"/>
      <w:bookmarkStart w:id="317" w:name="_Toc118"/>
      <w:bookmarkEnd w:id="316"/>
      <w:r>
        <w:rPr>
          <w:rtl w:val="true"/>
        </w:rPr>
        <w:t>لو كان اضطراراً لكان في غيره أولى</w:t>
      </w:r>
      <w:bookmarkEnd w:id="317"/>
    </w:p>
    <w:p>
      <w:pPr>
        <w:pStyle w:val="BookText"/>
        <w:rPr/>
      </w:pPr>
      <w:r>
        <w:rPr>
          <w:rFonts w:ascii="Amiri" w:hAnsi="Amiri" w:eastAsia="Amiri" w:cs="Amiri"/>
          <w:color w:val="111111"/>
          <w:sz w:val="28"/>
          <w:sz w:val="28"/>
          <w:szCs w:val="28"/>
          <w:rtl w:val="true"/>
          <w:lang w:bidi="ar-SA"/>
        </w:rPr>
        <w:t xml:space="preserve">كون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اضطراراً للجهات المذكورة مع لحاظ وجودها في غيره، بل بشكل أقوى وأولى، يستلزم ثبوت الحكم موجبة كلية، إذ لا يخلو ظرف من ذلك في الشؤون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ملاكات الأحكام ليست بأيدينا، وإن ما ذكر داخل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الموجبة الجزئية في رفع السالبة الكلية، وهي عدم </w:t>
      </w:r>
      <w:bookmarkStart w:id="318" w:name="pg8204_101014"/>
    </w:p>
    <w:p>
      <w:pPr>
        <w:pStyle w:val="BookText"/>
        <w:rPr/>
      </w:pPr>
      <w:bookmarkEnd w:id="318"/>
      <w:r>
        <w:rPr>
          <w:rFonts w:ascii="Amiri" w:hAnsi="Amiri" w:eastAsia="Amiri" w:cs="Amiri"/>
          <w:color w:val="111111"/>
          <w:sz w:val="28"/>
          <w:sz w:val="28"/>
          <w:szCs w:val="28"/>
          <w:rtl w:val="true"/>
          <w:lang w:bidi="ar-SA"/>
        </w:rPr>
        <w:t>جواز اتباع الفقيه لرأي الغير، بل يكفي وضوح أن الاضطرار من العناوين الثانوية الحاكمة على الأولية، وقد فصلنا الحديث عن هذا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القرائن المقامية على خلاف الأصل، ولكن على المدعي الإثبات، وعلى تقديره فهو غير ضار بتمسكنا بالآية الشريفة كما فصلناه، فليراجع</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8924160_1051229030"/>
      <w:bookmarkStart w:id="320" w:name="_Toc119"/>
      <w:bookmarkEnd w:id="319"/>
      <w:r>
        <w:rPr>
          <w:rtl w:val="true"/>
        </w:rPr>
        <w:t xml:space="preserve">الظاهر أنه </w:t>
      </w:r>
      <w:r>
        <w:rPr>
          <w:rtl w:val="true"/>
        </w:rPr>
        <w:t>(</w:t>
      </w:r>
      <w:r>
        <w:rPr>
          <w:rtl w:val="true"/>
        </w:rPr>
        <w:t>صلی الله علیه وآله وسلم</w:t>
      </w:r>
      <w:r>
        <w:rPr>
          <w:rtl w:val="true"/>
        </w:rPr>
        <w:t xml:space="preserve">) </w:t>
      </w:r>
      <w:r>
        <w:rPr>
          <w:rtl w:val="true"/>
        </w:rPr>
        <w:t>لم يعمل برأيه حتى وافقته الأكثرية</w:t>
      </w:r>
      <w:bookmarkEnd w:id="320"/>
    </w:p>
    <w:p>
      <w:pPr>
        <w:pStyle w:val="BookText"/>
        <w:rPr/>
      </w:pPr>
      <w:r>
        <w:rPr>
          <w:rFonts w:ascii="Amiri" w:hAnsi="Amiri" w:eastAsia="Amiri" w:cs="Amiri"/>
          <w:color w:val="111111"/>
          <w:sz w:val="28"/>
          <w:sz w:val="28"/>
          <w:szCs w:val="28"/>
          <w:rtl w:val="true"/>
          <w:lang w:bidi="ar-SA"/>
        </w:rPr>
        <w:t>والأولى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الرواية أن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الخروج،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به إلاّ بعد استشارة الناس واستقرار رأي الأكثرية على الظاهر من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وطلب العير وحرب النفير، وذلك لقرائن عديدة في نفس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أبا بكر وعمر بالجلوس عندما أبديا التحذر والتثبيط، وجزى مقداد خيراً عندما أبدى التأهب والاستعداد لكل 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صلى الله عليه وآله يتخوف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عليهم أن ينصروه بخارج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ففرح بذلك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لم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الاستشارة، وإشارة الأكثرية بذلك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مقتضى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المدعى، إذ قد يكون عدم الإقدام قبلهما</w:t>
      </w:r>
      <w:r>
        <w:rPr>
          <w:rStyle w:val="FootnoteAnchor"/>
          <w:rtl w:val="true"/>
        </w:rPr>
        <w:footnoteReference w:id="309"/>
      </w:r>
      <w:bookmarkStart w:id="321" w:name="pg8204_101015"/>
    </w:p>
    <w:p>
      <w:pPr>
        <w:pStyle w:val="BookText"/>
        <w:rPr/>
      </w:pPr>
      <w:bookmarkEnd w:id="321"/>
      <w:r>
        <w:rPr>
          <w:rFonts w:ascii="Amiri" w:hAnsi="Amiri" w:eastAsia="Amiri" w:cs="Amiri"/>
          <w:color w:val="111111"/>
          <w:sz w:val="28"/>
          <w:sz w:val="28"/>
          <w:szCs w:val="28"/>
          <w:rtl w:val="true"/>
          <w:lang w:bidi="ar-SA"/>
        </w:rPr>
        <w:t>اضطراراً، وقد يكون لوجوبهما أو الأول منهما، فلا يمكن الاستدلال بذلك على أحد الوجهين إلاّ بضميمة مثل أن الظاهر أن ذلك كان امتثالاً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أو ما هو بمنزلته فتأمل، كما أن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على طبقها في العديد من الروايات المذكورة قد يكون استناداً إليهما وقد يكون لا كذلك</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8924162_1051229030"/>
      <w:bookmarkStart w:id="323" w:name="_Toc120"/>
      <w:bookmarkEnd w:id="322"/>
      <w:r>
        <w:rPr>
          <w:rtl w:val="true"/>
        </w:rPr>
        <w:t>رواية القمي في صلح الحديبية</w:t>
      </w:r>
      <w:bookmarkEnd w:id="32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للإشكال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أو موثقة علي بن إبراهيم، عن أبيه، عن أبي عمير، عن ابن سنان</w:t>
      </w:r>
      <w:r>
        <w:rPr>
          <w:rStyle w:val="FootnoteAnchor"/>
          <w:rtl w:val="true"/>
        </w:rPr>
        <w:footnoteReference w:id="311"/>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صلح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أكثروا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إنلم تقبلوا الصلح فحاربوهم، فمروا نحو قريش وهم مستعدون للحرب وحملوا عليهم فانهزم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قبيحة ومروا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خذ السيف واستقبل قريشاً، فأخذ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وحمل على قريش، فلما نظروا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بدا لمحمد فيما أعطانا،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فرجع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مستحيين وأقبلوا يعتذرون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أصحابي يوم بدر إذ أنزل الله </w:t>
      </w:r>
      <w:bookmarkStart w:id="324" w:name="pg8204_101016"/>
    </w:p>
    <w:p>
      <w:pPr>
        <w:pStyle w:val="BookText"/>
        <w:rPr/>
      </w:pPr>
      <w:bookmarkEnd w:id="324"/>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وندموا على ما كان منهم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ورسوله فاصنع ما بدا لك</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إن دلت على اضطراره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لقبول رأي القوم وثبت كونهم الأكثرية</w:t>
      </w:r>
      <w:r>
        <w:rPr>
          <w:rStyle w:val="FootnoteAnchor"/>
          <w:rtl w:val="true"/>
        </w:rPr>
        <w:footnoteReference w:id="314"/>
      </w:r>
      <w:r>
        <w:rPr>
          <w:rFonts w:ascii="Amiri" w:hAnsi="Amiri" w:eastAsia="Amiri" w:cs="Amiri"/>
          <w:color w:val="111111"/>
          <w:sz w:val="28"/>
          <w:sz w:val="28"/>
          <w:szCs w:val="28"/>
          <w:rtl w:val="true"/>
          <w:lang w:bidi="ar-SA"/>
        </w:rPr>
        <w:t>، لما أفادت إلاّ عمله على طبق رأي الأكثرية أو الأقلية في هذا المورد اضطراراً، ولا تصلح دليلاً على أنه كلما عمل برأي الأكثرية المخالفة لرأيه كان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إلى أنه لا يعلم كون ذلك عملاً برأيهم من باب الاضطرار أو غيره، بل الظاهر أنه كان تعجيزاً لهم،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برأيهم لجهز كل الجيش وأمر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معهم في الهجوم، إضافة إلى ظهور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سؤالهم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بدا لمحمد فيما أعطانا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ذلك فيكون المورد من صغريات عدم عمله بالأكثرية، فيدخل في الشق الآتي مع أجوبته الخمسة باستثناء الرابع والخامس، فتأمل</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8924164_1051229030"/>
      <w:bookmarkStart w:id="326" w:name="_Toc121"/>
      <w:bookmarkEnd w:id="325"/>
      <w:r>
        <w:rPr>
          <w:rtl w:val="true"/>
        </w:rPr>
        <w:t xml:space="preserve">الإشكال بأنه </w:t>
      </w:r>
      <w:r>
        <w:rPr/>
        <w:t>o</w:t>
      </w:r>
      <w:r>
        <w:rPr>
          <w:rtl w:val="true"/>
        </w:rPr>
        <w:t xml:space="preserve"> </w:t>
      </w:r>
      <w:r>
        <w:rPr>
          <w:rtl w:val="true"/>
        </w:rPr>
        <w:t>وافق على الصلح في الحديبية دون مشورة</w:t>
      </w:r>
      <w:bookmarkEnd w:id="32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يمكن الاستدلال بها على عدم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الأكثرية لإجابته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الصلح في حادثة الحديبية دون استشارته أصحابه،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إلى أن ننظر إلى ماذا يصير أمرك وأمر العرب، على أن ترجع من عامك هذا، فإن العرب قد تسامعه بمسيرك، فإن دخلت بلادنا وحرمنا استذلتنا العرب واجترأت </w:t>
      </w:r>
      <w:bookmarkStart w:id="327" w:name="pg8204_101017"/>
    </w:p>
    <w:p>
      <w:pPr>
        <w:pStyle w:val="BookText"/>
        <w:rPr/>
      </w:pPr>
      <w:bookmarkEnd w:id="327"/>
      <w:r>
        <w:rPr>
          <w:rFonts w:ascii="Amiri" w:hAnsi="Amiri" w:eastAsia="Amiri" w:cs="Amiri"/>
          <w:color w:val="111111"/>
          <w:sz w:val="28"/>
          <w:sz w:val="28"/>
          <w:szCs w:val="28"/>
          <w:rtl w:val="true"/>
          <w:lang w:bidi="ar-SA"/>
        </w:rPr>
        <w:t xml:space="preserve">علينا، ونخلي لك البيت في القابل في هذا الشهر ثلاثة أيام حتى تقضي نسكك وتنصرف عنا، فأجابه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إلينا كل ما جاءك من رجالنا ونرد إليك من جاءنا من رجالك،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جائكم من رجالنا فلا حاجة لنا فيه، ولكن على أن المسلمين بمكة لا يؤذون في إظهارهم الإسلام ولا يكرهون ولا ينكر عليهم شيء يفعلونه من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فقبلوا ذلك، فلما أجابهم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الصلح أنكر عليه عامة أصحابه</w:t>
      </w:r>
      <w:r>
        <w:rPr>
          <w:rFonts w:eastAsia="Amiri" w:cs="Amiri" w:ascii="Amiri" w:hAnsi="Amiri"/>
          <w:color w:val="111111"/>
          <w:sz w:val="28"/>
          <w:szCs w:val="28"/>
          <w:rtl w:val="true"/>
          <w:lang w:bidi="ar-SA"/>
        </w:rPr>
        <w:t>).</w:t>
      </w:r>
      <w:r>
        <w:rPr>
          <w:rStyle w:val="FootnoteAnchor"/>
          <w:rtl w:val="true"/>
        </w:rPr>
        <w:footnoteReference w:id="315"/>
      </w:r>
    </w:p>
    <w:p>
      <w:pPr>
        <w:pStyle w:val="Heading6"/>
        <w:numPr>
          <w:ilvl w:val="5"/>
          <w:numId w:val="1"/>
        </w:numPr>
        <w:rPr/>
      </w:pPr>
      <w:bookmarkStart w:id="328" w:name="__RefHeading___Toc8924166_1051229030"/>
      <w:bookmarkStart w:id="329" w:name="_Toc122"/>
      <w:bookmarkEnd w:id="328"/>
      <w:r>
        <w:rPr>
          <w:rtl w:val="true"/>
        </w:rPr>
        <w:t>والجواب</w:t>
      </w:r>
      <w:r>
        <w:rPr>
          <w:rtl w:val="true"/>
        </w:rPr>
        <w:t>:</w:t>
      </w:r>
      <w:bookmarkEnd w:id="329"/>
    </w:p>
    <w:p>
      <w:pPr>
        <w:pStyle w:val="BookText"/>
        <w:rPr/>
      </w:pPr>
      <w:r>
        <w:rPr>
          <w:rFonts w:ascii="Amiri" w:hAnsi="Amiri" w:eastAsia="Amiri" w:cs="Amiri"/>
          <w:color w:val="111111"/>
          <w:sz w:val="28"/>
          <w:sz w:val="28"/>
          <w:szCs w:val="28"/>
          <w:rtl w:val="true"/>
          <w:lang w:bidi="ar-SA"/>
        </w:rPr>
        <w:t>أما عن الشق الثاني</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8924168_1051229030"/>
      <w:bookmarkStart w:id="331" w:name="_Toc123"/>
      <w:bookmarkEnd w:id="330"/>
      <w:r>
        <w:rPr>
          <w:rtl w:val="true"/>
        </w:rPr>
        <w:t>أجوبة خمسة عن الإشكال</w:t>
      </w:r>
      <w:bookmarkEnd w:id="331"/>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الجواب الثالث من عدم مجال للشورى والاستشارة فيما ورد فيه نص من الباري جل وعلا، وذلك قطعي إما للانصراف أو للتخصيص، والمقام صغرى هذه الكبرى لعدة قرائن وأدلة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رأى سُهيل بن عمرو توجه الأمر عليهم ضرع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الصلح ونزل عليه الوحي بالإجابة إلى ذلك، وأن يجعل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 يومئذ والمتولي لعقد الصلح بخطه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علي بن إبراهيم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ونزلت في بيعة 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اشترط عليهم أن لا ينكروا بعد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يفعله ولا يخالفوه في شيء يأمرهم به</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وسيأتي استثناء ما أوحى به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فعله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به من باب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الاستشارة والشورى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الظانين بالله ظن السوء عليهم دائرة السوء</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هم الذين أنكروا الصلح واتهموا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الظاهر في علمهم بأن قرار الصلح من الباري عز وجل، ولذا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المتتبع يجد قرائن أخرى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الجواب الرابع والخامس استنتاج عدم وجوب الشورى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غيره، من عدم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 وشبهه برأي الأكثرية وعدم استشارته لها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بكون إجابته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للصلح غير منجزيته له، وما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الاستشارة فيه صورةالمنجزية لا ما يسبقها من الحديث والتفاوض، والذي يدل على الصغرى وأنه لم يكن للصلح قبل التوقيع والكتابة </w:t>
      </w:r>
      <w:bookmarkStart w:id="332" w:name="pg8204_101019"/>
    </w:p>
    <w:p>
      <w:pPr>
        <w:pStyle w:val="BookText"/>
        <w:rPr/>
      </w:pPr>
      <w:bookmarkEnd w:id="332"/>
      <w:r>
        <w:rPr>
          <w:rFonts w:ascii="Amiri" w:hAnsi="Amiri" w:eastAsia="Amiri" w:cs="Amiri"/>
          <w:color w:val="111111"/>
          <w:sz w:val="28"/>
          <w:sz w:val="28"/>
          <w:szCs w:val="28"/>
          <w:rtl w:val="true"/>
          <w:lang w:bidi="ar-SA"/>
        </w:rPr>
        <w:t>اعتبار في مرحلة منجزيته وفعليته، ما 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 محمد أول ما أقاضيك عليه أن ترده،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نرض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بعد</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للأكثرية باتباع رأيها كما 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تقبلوا الصلح فحاربوهم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8924170_1051229030"/>
      <w:bookmarkStart w:id="334" w:name="_Toc124"/>
      <w:bookmarkEnd w:id="333"/>
      <w:r>
        <w:rPr>
          <w:rtl w:val="true"/>
        </w:rPr>
        <w:t xml:space="preserve">الإشكال بأن عمله </w:t>
      </w:r>
      <w:r>
        <w:rPr/>
        <w:t>o</w:t>
      </w:r>
      <w:r>
        <w:rPr>
          <w:rtl w:val="true"/>
        </w:rPr>
        <w:t xml:space="preserve"> </w:t>
      </w:r>
      <w:r>
        <w:rPr>
          <w:rtl w:val="true"/>
        </w:rPr>
        <w:t>كان على طبق الشورى لا استناداً إليها</w:t>
      </w:r>
      <w:bookmarkEnd w:id="334"/>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من حيث هي هي، ولأنها حجة حتى في الموارد التي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طبقها، إذ قد يكون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طبقها لا استناداً إليها، بل لموافقتها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ولعلمه بمطابقتها للواقع في تلك الصور، فلا يدل عمله على طبقها على حجيتها حال الجهل بمطابقتها للواقع، فكيف بحال الاطمينان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للفقيه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بمخالفتها للواقع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حال موافقتها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لايدل على حجيتها حتى في هذه الصورة أيضاً، إذ يكون عمله حينئذٍ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برأي الأكثرية وإن كانت على وفقه، إذ أن مطابقة غير الحجة للحجة لا يوجب صيرورتها حجة، وذلك كما لو طابق القياس والاستحسان إحدى الحجج، بأن دل الخبر على شيء ووافقه القياس، فهل يستلزم ذلك حجية القياس؟ وكذلك مطابقة مجهول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بأن الشك في الحجية موضوع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نعلم أن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في تلك </w:t>
      </w:r>
      <w:bookmarkStart w:id="335" w:name="pg8204_101020"/>
    </w:p>
    <w:p>
      <w:pPr>
        <w:pStyle w:val="BookText"/>
        <w:rPr/>
      </w:pPr>
      <w:bookmarkEnd w:id="335"/>
      <w:r>
        <w:rPr>
          <w:rFonts w:ascii="Amiri" w:hAnsi="Amiri" w:eastAsia="Amiri" w:cs="Amiri"/>
          <w:color w:val="111111"/>
          <w:sz w:val="28"/>
          <w:sz w:val="28"/>
          <w:szCs w:val="28"/>
          <w:rtl w:val="true"/>
          <w:lang w:bidi="ar-SA"/>
        </w:rPr>
        <w:t>الموارد من حيث هي هي لتكون حجة،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لمعلوم الحجية فإنه لا يصيره حجة، كما لو طابقت الشهرة أو الإجماع المنقول الكتاب أوالسنة في مسألة أو في مسائل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أيدل ذلك على حجيتهما؟ فالعمل على طبق شيء غير العمل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لكون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في موارد عمله على طبقها إنما كان من باب موافقتها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عمله كان على طبقها لا بها، ما ورد في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أشار بصواب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قد عرفت ما عندكم فكونوا على ما أنتم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ففرح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8924172_1051229030"/>
      <w:bookmarkStart w:id="337" w:name="_Toc125"/>
      <w:bookmarkEnd w:id="336"/>
      <w:r>
        <w:rPr>
          <w:rtl w:val="true"/>
        </w:rPr>
        <w:t>الأجوبة</w:t>
      </w:r>
      <w:r>
        <w:rPr>
          <w:rtl w:val="true"/>
        </w:rPr>
        <w:t>:</w:t>
      </w:r>
      <w:bookmarkEnd w:id="337"/>
    </w:p>
    <w:p>
      <w:pPr>
        <w:pStyle w:val="Heading6"/>
        <w:numPr>
          <w:ilvl w:val="5"/>
          <w:numId w:val="1"/>
        </w:numPr>
        <w:rPr/>
      </w:pPr>
      <w:bookmarkStart w:id="338" w:name="__RefHeading___Toc8924174_1051229030"/>
      <w:bookmarkStart w:id="339" w:name="_Toc126"/>
      <w:bookmarkEnd w:id="338"/>
      <w:r>
        <w:rPr>
          <w:rtl w:val="true"/>
        </w:rPr>
        <w:t xml:space="preserve">الظاهر بقرائن عديدة عمله </w:t>
      </w:r>
      <w:r>
        <w:rPr/>
        <w:t>o</w:t>
      </w:r>
      <w:r>
        <w:rPr>
          <w:rtl w:val="true"/>
        </w:rPr>
        <w:t xml:space="preserve"> </w:t>
      </w:r>
      <w:r>
        <w:rPr>
          <w:rtl w:val="true"/>
        </w:rPr>
        <w:t>استناداً إليها</w:t>
      </w:r>
      <w:bookmarkEnd w:id="33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تلك الروايات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واستناد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بالخندق فأمر بحفره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الفاء للتفريع، فقد فرع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بحفر الخندق على إشارة سلمان، علماً بأن الأكثرية الساحقة أيدت أطروحة سلمان،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حيلة فارسية، ومن الواضح 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يتفرع على الباطل وما ليس بحجة،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الفاء الترتيب لا التفريع، ولا ظهور في غيره، فتأمل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واستشار أصحابه وكانوا سبعمائة رجل،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جبرائيل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أشار بصواب،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بحفره من ناحية أحد إلى راتج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التفريع، وظاهره الاستناد، ألا ترى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قاس أمامه قائس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القياس يقتضي كونالأصبع الرابعة للمرأة كسائر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فرضاً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فحكمي هو أن الدية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يكن هذا الكلام المصدر بفاء التفريع والمطابق للقياس دليلاً على حجية القياس واستناده في حكمه إليه؟</w:t>
      </w:r>
    </w:p>
    <w:p>
      <w:pPr>
        <w:pStyle w:val="BookText"/>
        <w:rPr/>
      </w:pPr>
      <w:r>
        <w:rPr>
          <w:rFonts w:ascii="Amiri" w:hAnsi="Amiri" w:eastAsia="Amiri" w:cs="Amiri"/>
          <w:color w:val="111111"/>
          <w:sz w:val="28"/>
          <w:sz w:val="28"/>
          <w:szCs w:val="28"/>
          <w:rtl w:val="true"/>
          <w:lang w:bidi="ar-SA"/>
        </w:rPr>
        <w:t xml:space="preserve">هذا، ولكن الظاهر التفرع في الرواية الثانية على قول جبرئيل، نعم في رواية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المذيلة بفاء التفريع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ففرح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 أمره بالسير على إشارة</w:t>
      </w:r>
      <w:r>
        <w:rPr>
          <w:rStyle w:val="FootnoteAnchor"/>
          <w:rtl w:val="true"/>
        </w:rPr>
        <w:footnoteReference w:id="323"/>
      </w:r>
      <w:r>
        <w:rPr>
          <w:rFonts w:ascii="Amiri" w:hAnsi="Amiri" w:eastAsia="Amiri" w:cs="Amiri"/>
          <w:color w:val="111111"/>
          <w:sz w:val="28"/>
          <w:sz w:val="28"/>
          <w:szCs w:val="28"/>
          <w:rtl w:val="true"/>
          <w:lang w:bidi="ar-SA"/>
        </w:rPr>
        <w:t>الأصحاب، حيث انعقدت الأكثرية على طلب العير وحرب النفير، إذ وافق الأنصار على ذلك وهم أكثر الناس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أشيروا عليّ أيها الناس، وإنما يريد الأنصار لأن أكثر الناس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كان رأي سعد تجسيداً لرأي كافة الأنصار لكونه رئيسهم، وكون حالتهم حالة قبلية، كما لا يخفى على من راجع التاريخ</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 بأكمله جواب الشق الثاني من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جعله جواباً للشق الأول أيضاً بعدم القول بالفصل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الاستناد إليها حال العلم بمطابقتها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الاستناد إليها حال الجهل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أوجب أو صحح الاستناد إليها أوجبه أو صححه مطلقاً، ومن حرّم حرّم مطلقاً، ويتضح هذا مما سبق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لللاحجة غير واقع شرعاً، ولا صحيح ولا نافع حتى لو طابق الحجة، إذ لو طابقها كان الاستناد إليها لا إليه، </w:t>
      </w:r>
      <w:bookmarkStart w:id="340" w:name="pg8204_101022"/>
    </w:p>
    <w:p>
      <w:pPr>
        <w:pStyle w:val="BookText"/>
        <w:rPr/>
      </w:pPr>
      <w:bookmarkEnd w:id="340"/>
      <w:r>
        <w:rPr>
          <w:rFonts w:ascii="Amiri" w:hAnsi="Amiri" w:eastAsia="Amiri" w:cs="Amiri"/>
          <w:color w:val="111111"/>
          <w:sz w:val="28"/>
          <w:sz w:val="28"/>
          <w:szCs w:val="28"/>
          <w:rtl w:val="true"/>
          <w:lang w:bidi="ar-SA"/>
        </w:rPr>
        <w:t xml:space="preserve">فإذا استند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للشورى حال مطابقتها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حجة مطلقاً، للإجماع المركب</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8924176_1051229030"/>
      <w:bookmarkStart w:id="342" w:name="_Toc127"/>
      <w:bookmarkEnd w:id="341"/>
      <w:r>
        <w:rPr>
          <w:rtl w:val="true"/>
        </w:rPr>
        <w:t>دليل آخرعلى الملازمة</w:t>
      </w:r>
      <w:r>
        <w:rPr>
          <w:rtl w:val="true"/>
        </w:rPr>
        <w:t>:</w:t>
      </w:r>
      <w:bookmarkEnd w:id="342"/>
    </w:p>
    <w:p>
      <w:pPr>
        <w:pStyle w:val="BookText"/>
        <w:rPr/>
      </w:pPr>
      <w:r>
        <w:rPr>
          <w:rFonts w:ascii="Amiri" w:hAnsi="Amiri" w:eastAsia="Amiri" w:cs="Amiri"/>
          <w:color w:val="111111"/>
          <w:sz w:val="28"/>
          <w:sz w:val="28"/>
          <w:szCs w:val="28"/>
          <w:rtl w:val="true"/>
          <w:lang w:bidi="ar-SA"/>
        </w:rPr>
        <w:t xml:space="preserve">إذا صح الاستناد للشورى حال المطابقة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العلم بالمطابقة للواقع، صح الاستناد إليها حال الجهلبالمطابقة للواقع، وحال الظن الشخصي بالخلاف أيضاً، ألا ترى أن خبر الواحد إن صح الاستناد إليه مع العلم بمطابقته للواقع، صح مع الجهل ومع الظن بالخلاف، لإناطة حجيته بالظن النواعي الثابت حتى مع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الشورى وكذا خبر الواحد إذا علمنا بمطابقتها الواقع فهما حينئذٍ حجة ذاتية، لمكان العلم، وفي الواقع الحجة هو ذلك العلم لا غير، وهذا لا يستلزم حجيتهما مع الجهل، إذ الحجة الذاتية مفقودة، والحجية الجعلية في الشورى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بالتفريق بين صورتين بوجه لا يخلو من دقة،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الشورى مثلاً، لو أفادت العلم بالواقع كانت حجة ذاتاً، وصح الاستناد إليها، ولكن لم ينتج ذلك حجيتها في غير صورة إفادة العلم، أما لو أفاد العلم بالواقع شيء آخر وطابقته الشورى أو أي ظن آخر لم يثبت اعتباره حتى الآن، فهل يصح الاستناد إلى ذلك الظن غير المعتبر لصرف تطابق مضمونه مع ما أفاد العلم؟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تطابق مضمون ما ليس بحجة مع ما هو حجة لا يصيّره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شاهدنا الاستناد والحال هذه كشف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الحجية، وكونه ظناً معتبراً المستلزم لحجيته مطلقاً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أفاد القياس العلم كان حجة ذاتاً، لمكان العلم، وفي </w:t>
      </w:r>
    </w:p>
    <w:p>
      <w:pPr>
        <w:pStyle w:val="BookText"/>
        <w:rPr/>
      </w:pPr>
      <w:r>
        <w:rPr>
          <w:rFonts w:ascii="Amiri" w:hAnsi="Amiri" w:eastAsia="Amiri" w:cs="Amiri"/>
          <w:color w:val="111111"/>
          <w:sz w:val="28"/>
          <w:sz w:val="28"/>
          <w:szCs w:val="28"/>
          <w:rtl w:val="true"/>
          <w:lang w:bidi="ar-SA"/>
        </w:rPr>
        <w:t>الواقع الحجة هو ذلك العلم، أما لو أفاد التواتر أو الكتاب الحكم قطعاً وطابقه القياس فلا يكون هذا القياس حجة، بل الحجة هو ذاك، ولا يصح الاستناد إليه، أي للقياس بل المستند 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أن الحجية لا تسري من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العلم أو الظن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كالقياس وكالوهم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الاستناد إلى القياس إذاً، أترى يصح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لمطابقته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النوعي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قام خبر على شيء وحصل للفقيه الظن الشخصي بالخلاف،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وكلامنا بناءً عدم تقيد حجية الخبر بعدم ظن شخصي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مما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الوفاق، أفهل يصح جعل هذا الوهم مستنداً ودليلاً، بأن يقول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الأدلة الوهم الحاصل على كذا، لأن هذا الوهم مطابق للدليل وللظن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ترى يصح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الفقيه فأمر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خبر واحد عنده على كذا مثلاً، فأمر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ثبت استناد الشارع والحال هذه، إلى أمر دل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لأن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لم يكن مستنداً لكلام الناس ولانعقاد رأي الأكثرية، ومع ذلك فظاهر الرواية استناده في عمله إلى رأي الأكثرية، فيمكننا ببرهان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اكتشاف حجية الشورى من صحة الاستناد إليها، بل فعلية استناد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ولو لم تكن حجة لما استند إليها، ولما فرع أمره عليها وإن طابق مضمونها الحجة، وهي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فالمدار كل المدار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343" w:name="pg8204_101024"/>
    </w:p>
    <w:p>
      <w:pPr>
        <w:pStyle w:val="Heading6"/>
        <w:numPr>
          <w:ilvl w:val="5"/>
          <w:numId w:val="1"/>
        </w:numPr>
        <w:rPr/>
      </w:pPr>
      <w:bookmarkStart w:id="344" w:name="__RefHeading___Toc8924178_1051229030"/>
      <w:bookmarkStart w:id="345" w:name="_Toc128"/>
      <w:bookmarkEnd w:id="343"/>
      <w:bookmarkEnd w:id="344"/>
      <w:r>
        <w:rPr>
          <w:rtl w:val="true"/>
        </w:rPr>
        <w:t xml:space="preserve">عمله </w:t>
      </w:r>
      <w:r>
        <w:rPr>
          <w:rtl w:val="true"/>
        </w:rPr>
        <w:t>(</w:t>
      </w:r>
      <w:r>
        <w:rPr>
          <w:rtl w:val="true"/>
        </w:rPr>
        <w:t>صلی الله علیه وآله وسلم</w:t>
      </w:r>
      <w:r>
        <w:rPr>
          <w:rtl w:val="true"/>
        </w:rPr>
        <w:t xml:space="preserve">) </w:t>
      </w:r>
      <w:r>
        <w:rPr>
          <w:rtl w:val="true"/>
        </w:rPr>
        <w:t>بالشورى رغم مخالفتها لرأيه</w:t>
      </w:r>
      <w:bookmarkEnd w:id="345"/>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خبر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رأياً آخر،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عند رأي الشورى، عندما رآها ترتئي غير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ذلك صريح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إلى قائدي غطفان يدعوهما إلى 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 هذا الأمر لابد لنا من العمل به لأن الله أمرك فيه بما صنعت والوحي جاءك به فافعل ما بدا لك، وإن كنت تختار أن تصنعه لنا كان لنا فيه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يأتني وحي به، ولكني رأيت العرب قد رمتكم عن قوس واحدة وجاؤوكم من كل جانب، فأردت أن أكسر عنكم من شوكتهم إلى أمر ما،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عرفت ما عندكم فكونوا على ما أنتم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عدل عنه إلى رأي الأكثرية حيث كان سعد ينطق باسمها، وقد عبّر عن رأيها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كنا نحن وهؤلاء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وأوصاهم بالسير على طبق رأيهم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فكونوا على ما أنتم عليه</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8924180_1051229030"/>
      <w:bookmarkStart w:id="347" w:name="_Toc129"/>
      <w:bookmarkEnd w:id="346"/>
      <w:r>
        <w:rPr>
          <w:rtl w:val="true"/>
        </w:rPr>
        <w:t>العمل برأي الأكثرية مع عدم وجود النص</w:t>
      </w:r>
      <w:bookmarkEnd w:id="34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هنالك روايات أُخر صريحة 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الأكثرية رغم علمه بخطئهم وعدم مطابقتها للواقع</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348" w:name="pg8204_101025"/>
    </w:p>
    <w:p>
      <w:pPr>
        <w:pStyle w:val="Heading5"/>
        <w:numPr>
          <w:ilvl w:val="4"/>
          <w:numId w:val="1"/>
        </w:numPr>
        <w:rPr/>
      </w:pPr>
      <w:bookmarkStart w:id="349" w:name="__RefHeading___Toc8924182_1051229030"/>
      <w:bookmarkStart w:id="350" w:name="_Toc130"/>
      <w:bookmarkEnd w:id="348"/>
      <w:bookmarkEnd w:id="349"/>
      <w:r>
        <w:rPr>
          <w:rtl w:val="true"/>
        </w:rPr>
        <w:t>الرواية الخامسة</w:t>
      </w:r>
      <w:r>
        <w:rPr>
          <w:rtl w:val="true"/>
        </w:rPr>
        <w:t xml:space="preserve">: </w:t>
      </w:r>
      <w:r>
        <w:rPr>
          <w:rtl w:val="true"/>
        </w:rPr>
        <w:t>العدول عن الحكم بالقتل إلى أخذ الفداء موافقة لرأي الأكثرية</w:t>
      </w:r>
      <w:bookmarkEnd w:id="350"/>
    </w:p>
    <w:p>
      <w:pPr>
        <w:pStyle w:val="Heading6"/>
        <w:numPr>
          <w:ilvl w:val="5"/>
          <w:numId w:val="1"/>
        </w:numPr>
        <w:rPr/>
      </w:pPr>
      <w:bookmarkStart w:id="351" w:name="__RefHeading___Toc8924184_1051229030"/>
      <w:bookmarkStart w:id="352" w:name="_Toc131"/>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ما ورد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وَاللهُ يُرِيدُ الآخِرَةَ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كتاب علي بن إبراهيم</w:t>
      </w:r>
      <w:r>
        <w:rPr>
          <w:rStyle w:val="FootnoteAnchor"/>
          <w:rtl w:val="true"/>
        </w:rPr>
        <w:footnoteReference w:id="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حارث وعقبة بن أبي معيط خافت الأنصار أن يقتل الأسارى،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قتلنا سبعين وهم قومك وأسرتك، أتجذ أصلهم، فخذ يا رسول الله منهم الفداء، وقد كانوا أخذوا ما وجدوه من الغنائم في عسكر قريش، فلما طلبوا إليه وسألوه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فأطلق لهم ذلك وكان أكثر الفداء أربعة آلاف درهم، وأقله ألف درهم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أخذ الفداء حتى رأى سعد بن معاذ كراهية ذلك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أول حرب لقينا فيه المشركين والأثخان في القتل أحدب إلينا من استبقاء الرجال، 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كذبوك وأخرجوك فقدمهم وأضرب أعناقهم، ومكن علياً من عقيل فيضرب عنقه، ومكني من فلان أضرب عنقه، فإن هؤلاء أئمة الكفر، وقال أبو </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وقومك استأن بهم واستبقهم وخذ منهم فدية تكون لنا قوة على الكفار، 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الفداء يوم بدر كل رجل من المشركين بأربعين أوقية، والأوقية أربعون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الخرائج</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كانت وقعة بدر قتل المسلمون من قريش سبعين رجلاً وأسروا منهم سبعين، فحكم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الأسارى وحرق الغنائم، فقال جماعة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الأسارى هم قومك وقد قتلنا منهم سبعيناً، فأطلق لنا أن نأخذ الفداء من الأسارى والغنائم فنقوى بها على جهادنا،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تقتلوا يقتل منكم في العام المقبل في مثل هذا اليوم عدد الأسارى،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 تُرِيدُونَ عَرَضَ الدُّنْيا</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فلما كان في العام المقبل وقُتل من المسلمين سبعون بعدد الأسارى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وعدتنا النصر فما هذا الذي وقع بنا؟ ونسوا الشط ببدر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أَوَلَمَّا أَصابَتْكُمْ مُصِيبَةٌ قَدْ أَصَبْتُمْ مِثْلَيْها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كانوا أصابوا من قريش ببدر وقبلوا الفداء من الأسرى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أَنَّى هذا قُلْ هُوَ مِنْ عِنْدِ أَنْفُسِكُمْ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يعني بالشرط الذي شرطوه على أنفسهم أن يقتل منهم بعدد الأسارى إذا هو أطلق لهم الفداء منهم والغنائم فكان الحال في ذلك على حكم الشرط</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القمي</w:t>
      </w:r>
      <w:r>
        <w:rPr>
          <w:rStyle w:val="FootnoteAnchor"/>
          <w:rtl w:val="true"/>
        </w:rPr>
        <w:footnoteReference w:id="330"/>
      </w:r>
      <w:r>
        <w:rPr>
          <w:rFonts w:ascii="Amiri" w:hAnsi="Amiri" w:eastAsia="Amiri" w:cs="Amiri"/>
          <w:color w:val="111111"/>
          <w:sz w:val="28"/>
          <w:sz w:val="28"/>
          <w:szCs w:val="28"/>
          <w:rtl w:val="true"/>
          <w:lang w:bidi="ar-SA"/>
        </w:rPr>
        <w:t>ذيل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دخلوا المدينة 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أصابنا وقد كنت تعدنا </w:t>
      </w:r>
    </w:p>
    <w:p>
      <w:pPr>
        <w:pStyle w:val="BookText"/>
        <w:rPr/>
      </w:pPr>
      <w:r>
        <w:rPr>
          <w:rFonts w:ascii="Amiri" w:hAnsi="Amiri" w:eastAsia="Amiri" w:cs="Amiri"/>
          <w:color w:val="111111"/>
          <w:sz w:val="28"/>
          <w:sz w:val="28"/>
          <w:szCs w:val="28"/>
          <w:rtl w:val="true"/>
          <w:lang w:bidi="ar-SA"/>
        </w:rPr>
        <w:t>النصر؟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أَوَلَمَّا أَصابَتْكُمْ مُصِيبَةٌ</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الآية، وذلك أن يوم بدر قُتل من قريش سبعون، وأسر منهم سبعون، وكان الحكم في الأسارى القتل، فقامت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هبهم لنا ولا تقتلهم حتى نفاديهم،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أباح لهم الفداء أن يأخذوا من هؤلاء ويطلقوهم على أن يستشهد منهم في عام قابل بقدر مايأخذون منه الفداء، فأخبرهم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الشرط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به نأخذ العام الفداء من هؤلاء ونتقوى به ويقتل منها في عام قابل بعدد من نأخذ منهم الفداء وندخل الجنة، فأخذوا منهم الفداء وأطلقوهم، فلما كان في هذا اليوم وهو يوم أُحُد قُتل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هذا الذي أصابنا وقد كنت تعدنا النصر؟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أَوَلَمَّا أَصابَتْكُمْ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اشترطتم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w:t>
      </w:r>
      <w:r>
        <w:rPr>
          <w:rStyle w:val="FootnoteAnchor"/>
          <w:rtl w:val="true"/>
        </w:rPr>
        <w:footnoteReference w:id="332"/>
      </w:r>
      <w:r>
        <w:rPr>
          <w:rFonts w:ascii="Amiri" w:hAnsi="Amiri" w:eastAsia="Amiri" w:cs="Amiri"/>
          <w:color w:val="111111"/>
          <w:sz w:val="28"/>
          <w:sz w:val="28"/>
          <w:szCs w:val="28"/>
          <w:rtl w:val="true"/>
          <w:lang w:bidi="ar-SA"/>
        </w:rPr>
        <w:t>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يحبس كافراً للفداء والمنّ حتى يثخن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تريدون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نزلت في أسارى بدر قبل أن يكثر الإسلام، فلما كثر المسلمون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 وَإِمَّا فِداءً</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مجمع البيان في ذيل الآية ما يقارب ذلك فراجع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الطباطبائي في الميزان في ذيل الآية</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اختلف المفسرون في تفسير الآيات بعد اتفاقهم على أنها إنما نزلت بعد وقعة بدر تعاتب أهل بدر وتبيح لهم </w:t>
      </w:r>
    </w:p>
    <w:p>
      <w:pPr>
        <w:pStyle w:val="BookText"/>
        <w:rPr/>
      </w:pP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تفاسير العامة فقد روى أكثرهم هذه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أصحابك من أخذهم الفداء، لقد عرض علي عذابهم أدنى من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يقرب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أبكي للذي عرض على أصحابك من أخذهم الفداء، لقد عرض علي عذابهم أدنى من هذه الشجرة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فمع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بقتل الأسارى وحرف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الخرائج،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في الأسارى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فيتفسير القمي،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أخذ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تفسيره أيضاً، مع ذلك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رأي الأكثرية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خافت الأنصار أن يقتل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يا رسول الله منهم الفداء فلما طلبوا ذلك وسألوه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فأطلق لهم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في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هبهم لنا ولا تقتلهم حتى نفاديهم، فنزل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أباح لهم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تفسير القمي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من هذا البيان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الأكثرية مع مخالفتها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وللحكم الإلهي الأولي في الحادثة، ومن الواضح أن رأيه وأن حكم الله هو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 الفداء بدل الاثخان سبب ضرراً عظيماً عليهم، بل لعله كاد يسبب زوال الإسلام، 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أحُد وقُتل من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الذي أصابنا وقد كنتَ تعدنا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Style w:val="FootnoteAnchor"/>
          <w:rtl w:val="true"/>
        </w:rPr>
        <w:footnoteReference w:id="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أَوَلَمَّا أَصابَتْكُمْ مُصِيبَةٌ </w:t>
      </w:r>
      <w:bookmarkStart w:id="353" w:name="pg8204_101029"/>
    </w:p>
    <w:p>
      <w:pPr>
        <w:pStyle w:val="BookText"/>
        <w:rPr/>
      </w:pPr>
      <w:bookmarkEnd w:id="353"/>
      <w:r>
        <w:rPr>
          <w:rFonts w:ascii="Amiri" w:hAnsi="Amiri" w:eastAsia="Amiri" w:cs="Amiri"/>
          <w:color w:val="111111"/>
          <w:sz w:val="28"/>
          <w:sz w:val="28"/>
          <w:szCs w:val="28"/>
          <w:rtl w:val="true"/>
          <w:lang w:bidi="ar-SA"/>
        </w:rPr>
        <w:t>قَدْ أَصَبْتُمْ مِثْلَيْها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سبعون قتيلاً من المشركين ببدر وفداء سبعين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أَنَّى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ورد هذا البلاء العظيم علينا في هذه الحرب، حرب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مِنْ عِنْدِ أَنْفُسِكُمْ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فأنتم السبب في حلوله بكم لاختياركم الفداء في حرب بدر</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8924186_1051229030"/>
      <w:bookmarkStart w:id="355" w:name="_Toc132"/>
      <w:bookmarkEnd w:id="354"/>
      <w:r>
        <w:rPr>
          <w:rtl w:val="true"/>
        </w:rPr>
        <w:t>إشكال الاضطرار والجواب عنه صغروياً</w:t>
      </w:r>
      <w:bookmarkEnd w:id="355"/>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برأي الأكثرية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مخالفتها للواقع وللحكم الوارد في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الاضطرار وخوف الفتنة، فعمله بها كان بالعنوان الثانوي لا الأولي؟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 مضافاً إلى ما سبق وإلى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أباح لهم الفداء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الإباحة بالعنوان الأولي لا الثانوي الاضطراري، كظهور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الواردة بعد اقتراب بعض الشباب سراً إلى زوجاتهم في ليالي شهر رمضان، في الحلية بالعنوان الأولي لا الثانوي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كون عمله برأيها للاضطرار أن أكثرية الأصحاب عند ما رأت كراهة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الفداء، فوضوا الأمر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رواية علي بن إبراهيم</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 النبي صلى </w:t>
      </w:r>
    </w:p>
    <w:p>
      <w:pPr>
        <w:pStyle w:val="BookText"/>
        <w:rPr/>
      </w:pPr>
      <w:r>
        <w:rPr>
          <w:rFonts w:ascii="Amiri" w:hAnsi="Amiri" w:eastAsia="Amiri" w:cs="Amiri"/>
          <w:color w:val="111111"/>
          <w:sz w:val="28"/>
          <w:sz w:val="28"/>
          <w:szCs w:val="28"/>
          <w:rtl w:val="true"/>
          <w:lang w:bidi="ar-SA"/>
        </w:rPr>
        <w:t>الله عليه وآله كره أخذ الفداء</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ومع تفويضهم الأمر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يبقى اضطرار أو أي عنوان ثانوي آخر؟ فعمله برأيهم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طلبهم الإثخان فيما بعد كان احتراماً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ونزولاً عند 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اضطرار، دليل على صحة اتباع الأكثرية وإن خالف رأيها الواقع في الموضوعات المستنبط والشؤون العامة، والحاصل اندراج الأمر في باب التزاحم والأهم والمهم،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الله أخذ الفداء فيما بعد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الشورى والعمل بالأكثرية على خلاف الحكم في الموضوع المستنبط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مانعة جمع بين تحليله سبحانه وتعالى له وحرمتها، كما أن تحليله الرفث إلى النساء ليلة الصيام فيما بعد لا يعني حلية ما ارتكبه الشباب قبل نزول آية الحل، إذ أن عملهم كان حراماً بلا شك، فنزول الحكم على طبق رأي الأكثرية لا يستلزم جواز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الأمرين، إذ أن مخالفة الحكم محرمة لا طلب تغييره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فالوطي مع التحريم محرم، أما طلب تحليله فليس بمحرم،وفيما نحن فيه لو كانت الأكثرية تخالف الحكم بأن لا تقتل الأسرى وبأن تأخذ الفداء خلافاً لحكم الله ورسوله، كانت قد فعلت محرماً، إذ لا شورى قبال النص، ولكنها طلبت تغيير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جماعة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الأسارى هم قومك وقد قتلنا منهم سبعيناً فأطلق لنا أن نأخذ الفداء من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رواية الخرائج، فقد طلبوا تغيير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اجعله طِلقاً جائزاً، ومر مثله أيضاً في خبر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طلبوا إليه وسألوه نزلت </w:t>
      </w:r>
      <w:r>
        <w:rPr>
          <w:rFonts w:eastAsia="Amiri" w:cs="Amiri" w:ascii="Amiri" w:hAnsi="Amiri"/>
          <w:color w:val="111111"/>
          <w:sz w:val="28"/>
          <w:szCs w:val="28"/>
          <w:rtl w:val="true"/>
          <w:lang w:bidi="ar-SA"/>
        </w:rPr>
        <w:t>(</w:t>
        <w:softHyphen/>
      </w:r>
      <w:r>
        <w:rPr>
          <w:rFonts w:ascii="Amiri" w:hAnsi="Amiri" w:eastAsia="Amiri" w:cs="Amiri"/>
          <w:color w:val="111111"/>
          <w:sz w:val="28"/>
          <w:sz w:val="28"/>
          <w:szCs w:val="28"/>
          <w:rtl w:val="true"/>
          <w:lang w:bidi="ar-SA"/>
        </w:rPr>
        <w:t>ما كانَ لِنَبِيٍّ</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فأطلق لهم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يا رسول الله هبهم لنا </w:t>
      </w:r>
      <w:bookmarkStart w:id="356" w:name="pg8204_101031"/>
    </w:p>
    <w:p>
      <w:pPr>
        <w:pStyle w:val="BookText"/>
        <w:rPr/>
      </w:pPr>
      <w:bookmarkEnd w:id="356"/>
      <w:r>
        <w:rPr>
          <w:rFonts w:ascii="Amiri" w:hAnsi="Amiri" w:eastAsia="Amiri" w:cs="Amiri"/>
          <w:color w:val="111111"/>
          <w:sz w:val="28"/>
          <w:sz w:val="28"/>
          <w:szCs w:val="28"/>
          <w:rtl w:val="true"/>
          <w:lang w:bidi="ar-SA"/>
        </w:rPr>
        <w:t>ولاتقتلهم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الأكثرية بالشرط الذي قبلوه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يستشهد منهم في القابل بقدر ما يأخذون من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أَنَّى هذا قُلْ هُوَ مِنْ عِنْدِ أَنْفُسِكُمْ</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يعني بالشرط الذي شرطوه على أنفسهم أن يقتل منهم بعدد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الخرائج، فأطلق لهم كل ذلك رغم أن طلبهم في غير محله، وكان الأصلح ما حكم به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 الإثخان في الأرض</w:t>
      </w:r>
      <w:r>
        <w:rPr>
          <w:rFonts w:eastAsia="Amiri" w:cs="Amiri" w:ascii="Amiri" w:hAnsi="Amiri"/>
          <w:color w:val="111111"/>
          <w:sz w:val="28"/>
          <w:szCs w:val="28"/>
          <w:rtl w:val="true"/>
          <w:lang w:bidi="ar-SA"/>
        </w:rPr>
        <w:t>.</w:t>
      </w:r>
      <w:r>
        <w:rPr>
          <w:rStyle w:val="FootnoteAnchor"/>
          <w:rtl w:val="true"/>
        </w:rPr>
        <w:footnoteReference w:id="344"/>
      </w:r>
    </w:p>
    <w:p>
      <w:pPr>
        <w:pStyle w:val="Heading6"/>
        <w:numPr>
          <w:ilvl w:val="5"/>
          <w:numId w:val="1"/>
        </w:numPr>
        <w:rPr/>
      </w:pPr>
      <w:bookmarkStart w:id="357" w:name="__RefHeading___Toc8924188_1051229030"/>
      <w:bookmarkStart w:id="358" w:name="_Toc133"/>
      <w:bookmarkEnd w:id="357"/>
      <w:r>
        <w:rPr>
          <w:rtl w:val="true"/>
        </w:rPr>
        <w:t>وجوه عدم تمامية الاستدلال بالرواية الخامسة</w:t>
      </w:r>
      <w:bookmarkEnd w:id="358"/>
    </w:p>
    <w:p>
      <w:pPr>
        <w:pStyle w:val="BookText"/>
        <w:rPr/>
      </w:pPr>
      <w:r>
        <w:rPr>
          <w:rFonts w:ascii="Amiri" w:hAnsi="Amiri" w:eastAsia="Amiri" w:cs="Amiri"/>
          <w:color w:val="111111"/>
          <w:sz w:val="28"/>
          <w:sz w:val="28"/>
          <w:szCs w:val="28"/>
          <w:rtl w:val="true"/>
          <w:lang w:bidi="ar-SA"/>
        </w:rPr>
        <w:t>ولكن الظاهر عدم إمكان الاستدلال بهذه الآية الشريفة برواياتها على المدعى،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تلك الروايات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حكمدون استشارة المسلمين في الأمر ودون إخبارهم بذلك، ولذا اعترض الكثيرون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صدور الحكم حيث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فحكم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الأنصار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 الأكثرية لو كان لازم الاتباع لما كان للاشتراط معنى ومحل، وظاهر تلك الروايات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اقتراحهم ورأيهم دائراً مدار </w:t>
      </w:r>
    </w:p>
    <w:p>
      <w:pPr>
        <w:pStyle w:val="BookText"/>
        <w:rPr/>
      </w:pPr>
      <w:r>
        <w:rPr>
          <w:rFonts w:ascii="Amiri" w:hAnsi="Amiri" w:eastAsia="Amiri" w:cs="Amiri"/>
          <w:color w:val="111111"/>
          <w:sz w:val="28"/>
          <w:sz w:val="28"/>
          <w:szCs w:val="28"/>
          <w:rtl w:val="true"/>
          <w:lang w:bidi="ar-SA"/>
        </w:rPr>
        <w:t>الشرط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استجابته جل وعلا لطلب الأكثرية غير دال على حجية رأيها وصحة اتباعه، ولا بنحو الموجبة الجزئية، إذ هو كما لو استجاب لطلب الأقلية، أو لطلب فرد واحد، مؤمن أو كافر، فاسق أو عادل، بشرط أو بدونه، ولله الولاية المطلقة، فكما له السلب له الإيجاب، وكما لا يدل الأول على عدم الحجية لنا لا يدل الثاني على ثبوتها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ذلك بالنسبة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فاستجابتهم لطلب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دليلاً على حجيتها، بل وجواز اتباعها موجبة جزئية، إذ لعله من باب الولاية فتأمل، إذ الأصل في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وتقريره الحجية، والأصل عدم كونه من باب الولاية الخاصة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ذكرنا لموارد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الأكثرية في صدر البحث لم يكن لإثبات حجيتها ولزوم اتباعها استناداً إلى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العمل لا جهة له، والصغرى لا تنتج كبرى كلية، بل كان لدفع إشكال عدم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بمبدأ الاستشارة ومبدأ اتباع الأكثرية 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 الآية عن ظاهرها، فتأمل</w:t>
      </w:r>
      <w:r>
        <w:rPr>
          <w:rFonts w:eastAsia="Amiri" w:cs="Amiri" w:ascii="Amiri" w:hAnsi="Amiri"/>
          <w:color w:val="111111"/>
          <w:sz w:val="28"/>
          <w:szCs w:val="28"/>
          <w:rtl w:val="true"/>
          <w:lang w:bidi="ar-SA"/>
        </w:rPr>
        <w:t xml:space="preserve">. </w:t>
      </w:r>
      <w:bookmarkStart w:id="359" w:name="pg8204_101033"/>
    </w:p>
    <w:p>
      <w:pPr>
        <w:pStyle w:val="Heading5"/>
        <w:numPr>
          <w:ilvl w:val="4"/>
          <w:numId w:val="1"/>
        </w:numPr>
        <w:rPr/>
      </w:pPr>
      <w:bookmarkStart w:id="360" w:name="__RefHeading___Toc8924190_1051229030"/>
      <w:bookmarkStart w:id="361" w:name="_Toc134"/>
      <w:bookmarkEnd w:id="359"/>
      <w:bookmarkEnd w:id="360"/>
      <w:r>
        <w:rPr>
          <w:rtl w:val="true"/>
        </w:rPr>
        <w:t>الرواية السادسة</w:t>
      </w:r>
      <w:r>
        <w:rPr>
          <w:rtl w:val="true"/>
        </w:rPr>
        <w:t xml:space="preserve">: </w:t>
      </w:r>
      <w:r>
        <w:rPr>
          <w:rtl w:val="true"/>
        </w:rPr>
        <w:t>عمله برأي الأكثرية في الخروج من المدينة</w:t>
      </w:r>
      <w:bookmarkEnd w:id="361"/>
    </w:p>
    <w:p>
      <w:pPr>
        <w:pStyle w:val="Heading6"/>
        <w:numPr>
          <w:ilvl w:val="5"/>
          <w:numId w:val="1"/>
        </w:numPr>
        <w:rPr/>
      </w:pPr>
      <w:bookmarkStart w:id="362" w:name="__RefHeading___Toc8924192_1051229030"/>
      <w:bookmarkStart w:id="363" w:name="_Toc135"/>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استشارته</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 برأي الأكثرية رغم مخالفتها لرأيه في القضية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سبعمائة والمشركين ألفين،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استشار أصحابه، وكان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يقاتل الرجال على أفواه السكك ويرمي الضعفاء من فوق البيوت، فأبوا إلاّ الخروج إليهم، فلما صار على الطريق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إذا قصد قوماً أن يرجع عنهم</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ورأى أن لا يخرج من المدينة لهذه الرؤيا، فقام عبد الله بن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كنا نقاتل في الجاهلية في هذه المدينة ونجعل النساء والذراري في هذه الصياصي ونجعل معهم الحجارة، يا رسول الله إن مدينتنا عذراء، ما فضّت علينا قط، وما خرجنا إلى عدو منها قط إلاّ أصاب منها، وما دخل علينا قط إلاّ أصبناهم، فكان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رأيه، وكان ذلك رأي الأكابر من المهاجرين والأنصار، فقام فتيان أحداث لم يشهدوا بدراً وطلبوا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عدوهم ورغبوا في الشهادة، وقال رجال من أهل التيه وأهل السن منهم حمزة وسعد بن عبادة والنعمان بن مالك في غيرهم من 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نخشى يا رسول الله أن يظن عدونا أنا كرهنا الخروج إليهم جبناً عن لقائهم، فيكون هذا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جرأة منهم علينا، 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أنزل عليه الكتاب لا أطعم اليوم طعاماً حتى أجالدهم بسيفي خارجاً من المدينة،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حمزة يومالجمعة صائماً ويوم السبت صائماً فلاقاهم وهو صائم، وقام خيثمة أبو سعد بن خيثمة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قريشاً مكثت حولاً تجمع الجموع وتستجلب العرب في بواديها ثم جاؤونا وقد قادوا الخيل حتى نزلوا بساحتنا فيحصروننا في بيوتنا وصياصينا ثم يرجعون وافرين لم يكلموا فيجرّؤهم ذلك علينا حتى يشنوا الغارات علينا ويضعوا الأرصاد والعيون علينا، وعسى الله أن يظفرنا بهم، فتلك عادة الله عندنا، أو يكون الأخرى فهي الشهادة، لقد أخطأتني وقعة بدر وقد كنت عليها حريصاً، لقد بلغ من حرصي أن ساهمت ابني في الخروج فخرج سهمه فرزق الشهادة، وقد رأيت ابني البارحة في النوم في أحسن صورة يسرح في ثمار الجنة وأنهارها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بنا ترافقنا في الجنة، فقد وجدت ما وعدني ربي حقاً، وقد والله يا رسول الله أصبحت مشتاقاً إلى مرافقته في الجنة، وقد كبرت سني و رقّ عظمي وأحببت لقاء ربي، فادع الله أن يرزقني الشهادة، 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فقُتل بأحُد شهيداً، فقال كل منهم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الهزيمة، فلما أبوا إلاّ الخروج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بالناس ثم وعظهم وأمرهم بالجد والاجتهاد، وأخبرهم أن لهم النصر ما صبروا، ثم صلّى العصر ولبس السلاح وخرج، وكان مقدم قريش يوم الخميس لخمس خلون من شوال، وكانت الوقعة يوم السبت لسبع خلون من شوال، وباتت وجوه الأوس والخزرج ليلة الجمعة عليهم السلاح في المسجد بباب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تبييت المشركين، وحرست المدينة تلك الليلة حتى أصبحوا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فرغم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أن لا يخرج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رأي رسول الله صلى الله عليه وآله مع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رأيه صلى الله عليه وآله أن يقاتل الرجال على أفواه السكك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رأي الأكثرية عندما خالفته، رغم أنه كان يرى في رأيها خطر الهزيمة،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رأي الأكثرية موافقاً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وكانذلك رأي الأكابر من المهاجرين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يستظهر أن الأكثرية كانت في الجانب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إلا الخروج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فتيان 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رجال من أهل التيه والسن منهم حمزة وسعد بن عبادة والنعمان بن مالك في غيرهم من الأوس والخزرج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الظاهرة في أن الأكثرية الساحقة للأوس والخزرج كانت ترى الخروج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خيثمة أبو سعد بن خيثمة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 منهم مثل ذلك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أخلاف عليكم الهزيمة، فلما أبوا إلاّ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ذلك رأي الأكابر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محمول على مجموعة منهم، كخمسة أو عشرة مثلاً منهم، 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الجانب، وعبد الله بن أبيّ من ذلك الجانب، وآخر من الجانب الثالث، حيث يطلق على تركيبة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ما لا يخفى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عندما رأوا حماسة الشباب من جانب، وعزيمة وإصرار أهل السن من جانب آخر، وحججهم القوية من جانب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الرجال من أهل التيه وأهل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نخشى يا رسول الله أن يظن عدونا أنا كرهنا الخروج إليهم جبناً عن لقائهم فيكون هذا جرأة منهم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خيثمة أبو سعد بن خيثمة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الواضح رغم كل الأدلة، أن رأي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الأرجح والمطابق للواقع، وقد انكشف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للأصحاب، حيث هزموا هزيمة كبيرة، وقُتل الكثير منهم، منهم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 لولا التدخل الإلهي الخارجي الإعجازي وبطولات أسد الله الغالب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نجدهم في غزوة الأحزاب أجمعت على اتباع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البقاء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بيان شأن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أَوَلَمَّا أَصابَتْكُمْ مُصِيبَةٌ قَدْ أَصَبْتُمْ مِثْلَيْها قُلْتُمْ أَنَّى هذا قُلْ هُوَ مِنْ عِنْدِ أَنْفُسِكُمْ إِنَّ اللهَ عَلى كُلِّ شَيْ‌ءٍقَدِيرٌ</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مخالفتهم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من المدينة للقتال يوم أحُد،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أن يتحصنوا بها ويدعوا المشركين إلى أن يقصدوهم فيها</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الاستشهاد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مختلف فيه</w:t>
      </w:r>
      <w:r>
        <w:rPr>
          <w:rStyle w:val="FootnoteAnchor"/>
          <w:rtl w:val="true"/>
        </w:rPr>
        <w:footnoteReference w:id="351"/>
      </w:r>
      <w:r>
        <w:rPr>
          <w:rFonts w:ascii="Amiri" w:hAnsi="Amiri" w:eastAsia="Amiri" w:cs="Amiri"/>
          <w:color w:val="111111"/>
          <w:sz w:val="28"/>
          <w:sz w:val="28"/>
          <w:szCs w:val="28"/>
          <w:rtl w:val="true"/>
          <w:lang w:bidi="ar-SA"/>
        </w:rPr>
        <w:t>، بل الاستشهاد بما أجمعوا على القول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النبي صلى الله عليه وآله دعاهم أن يتحصنوا بها ويدعوا المشركين إلى أن يقصدوهم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إذ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هذا القول، لا تتمة ناقل الأقوال</w:t>
      </w:r>
      <w:r>
        <w:rPr>
          <w:rFonts w:eastAsia="Amiri" w:cs="Amiri" w:ascii="Amiri" w:hAnsi="Amiri"/>
          <w:color w:val="111111"/>
          <w:sz w:val="28"/>
          <w:szCs w:val="28"/>
          <w:rtl w:val="true"/>
          <w:lang w:bidi="ar-SA"/>
        </w:rPr>
        <w:t xml:space="preserve">. </w:t>
      </w:r>
      <w:bookmarkStart w:id="364" w:name="pg8204_101037"/>
    </w:p>
    <w:p>
      <w:pPr>
        <w:pStyle w:val="Heading6"/>
        <w:numPr>
          <w:ilvl w:val="5"/>
          <w:numId w:val="1"/>
        </w:numPr>
        <w:rPr/>
      </w:pPr>
      <w:bookmarkStart w:id="365" w:name="__RefHeading___Toc8924194_1051229030"/>
      <w:bookmarkStart w:id="366" w:name="_Toc136"/>
      <w:bookmarkEnd w:id="364"/>
      <w:bookmarkEnd w:id="365"/>
      <w:r>
        <w:rPr>
          <w:rtl w:val="true"/>
        </w:rPr>
        <w:t>الإشكال باختصاص موارد المشورة بالحروب والجواب</w:t>
      </w:r>
      <w:bookmarkEnd w:id="366"/>
    </w:p>
    <w:p>
      <w:pPr>
        <w:pStyle w:val="Heading6"/>
        <w:numPr>
          <w:ilvl w:val="5"/>
          <w:numId w:val="1"/>
        </w:numPr>
        <w:rPr/>
      </w:pPr>
      <w:bookmarkStart w:id="367" w:name="__RefHeading___Toc8924196_1051229030"/>
      <w:bookmarkStart w:id="368" w:name="_Toc137"/>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الموارد المذكورة مختصة بالحرب وشؤونه، ففي أول مورد استشارهم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محاربة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فاستشار أصحابه في طلب العير وحرب النفير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الخندق، وفي أمر المقام بالمدينة أو الخروج منها في غزوة الأحزاب،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 على حكم عام، وليس لها معقد لفظي يستدل بإطلاقه أو عمومه، هذا من جهة، ومن جهة أخرى فإن استشارة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المواضع دون غيرها يكون قرينة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مختصة بشؤون الحرب؟</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الاستدلال بفعل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الاستشارة مطلقاً، تمّ ما ذكر من عدم عموم له، ولكن الاستدلال إنما هو بالآية الكريمة، وبإطلاق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والمفرد المحلى يفيد الإطلاق أو العموم، كما سيجيء مفصلاً، فهو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المفيد للعموم، وذكر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واستشارته في موارد عديدة إنما كان لدفع إشكال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بالشورى فيستكشف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وجوبها عليه بنحو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فتأمل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إضافة إلى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كل ملاك يوجد في شؤون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 مجوز للعمل برأي الأكثرية على خلاف رأي القائد، يوجد في سائر الموضوعات المستنبطة،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كالمعاهدات الدولية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 كانت الشورى في الحرب حجة مع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بمخالفتها للواقع مع ما يترتب على اتباعها من الأضرار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الخروج من المدينة في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تدعى الأولوية القطعية، لكون الدماء هي أصعب في نظر الإسلام من بقية الموضوعات، فإذا ثبت حكم فيها ثبت في غيرها بالأولوية القطيعة، فتأمل</w:t>
      </w:r>
      <w:r>
        <w:rPr>
          <w:rFonts w:eastAsia="Amiri" w:cs="Amiri" w:ascii="Amiri" w:hAnsi="Amiri"/>
          <w:color w:val="111111"/>
          <w:sz w:val="28"/>
          <w:szCs w:val="28"/>
          <w:rtl w:val="true"/>
          <w:lang w:bidi="ar-SA"/>
        </w:rPr>
        <w:t xml:space="preserve">. </w:t>
      </w:r>
      <w:bookmarkStart w:id="369" w:name="pg8204_101039"/>
    </w:p>
    <w:p>
      <w:pPr>
        <w:pStyle w:val="Heading6"/>
        <w:numPr>
          <w:ilvl w:val="5"/>
          <w:numId w:val="1"/>
        </w:numPr>
        <w:rPr/>
      </w:pPr>
      <w:bookmarkStart w:id="370" w:name="__RefHeading___Toc8924198_1051229030"/>
      <w:bookmarkStart w:id="371" w:name="_Toc138"/>
      <w:bookmarkEnd w:id="369"/>
      <w:bookmarkEnd w:id="370"/>
      <w:r>
        <w:rPr>
          <w:rtl w:val="true"/>
        </w:rPr>
        <w:t xml:space="preserve">استشارته </w:t>
      </w:r>
      <w:r>
        <w:rPr/>
        <w:t>o</w:t>
      </w:r>
      <w:r>
        <w:rPr>
          <w:rtl w:val="true"/>
        </w:rPr>
        <w:t xml:space="preserve"> </w:t>
      </w:r>
      <w:r>
        <w:rPr>
          <w:rtl w:val="true"/>
        </w:rPr>
        <w:t>في هذه الموارد غير مقيِّد للآية</w:t>
      </w:r>
      <w:bookmarkEnd w:id="371"/>
    </w:p>
    <w:p>
      <w:pPr>
        <w:pStyle w:val="BookText"/>
        <w:rPr/>
      </w:pPr>
      <w:r>
        <w:rPr>
          <w:rFonts w:ascii="Amiri" w:hAnsi="Amiri" w:eastAsia="Amiri" w:cs="Amiri"/>
          <w:color w:val="111111"/>
          <w:sz w:val="28"/>
          <w:sz w:val="28"/>
          <w:szCs w:val="28"/>
          <w:rtl w:val="true"/>
          <w:lang w:bidi="ar-SA"/>
        </w:rPr>
        <w:t>وأما ما ذكر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جهة أخرى فإن 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ينحل إلى 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المواضع، وعدم استشارته في غيرها</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8924200_1051229030"/>
      <w:bookmarkStart w:id="373" w:name="_Toc139"/>
      <w:bookmarkEnd w:id="372"/>
      <w:r>
        <w:rPr>
          <w:rtl w:val="true"/>
        </w:rPr>
        <w:t>أما الشق الأول</w:t>
      </w:r>
      <w:r>
        <w:rPr>
          <w:rtl w:val="true"/>
        </w:rPr>
        <w:t>:</w:t>
      </w:r>
      <w:bookmarkEnd w:id="373"/>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قرينة على عدم وجوب الشورى إلاّ في هذه الموارد، إذ من المسلم</w:t>
      </w:r>
      <w:r>
        <w:rPr>
          <w:rStyle w:val="FootnoteAnchor"/>
          <w:rtl w:val="true"/>
        </w:rPr>
        <w:footnoteReference w:id="355"/>
      </w:r>
      <w:r>
        <w:rPr>
          <w:rFonts w:ascii="Amiri" w:hAnsi="Amiri" w:eastAsia="Amiri" w:cs="Amiri"/>
          <w:color w:val="111111"/>
          <w:sz w:val="28"/>
          <w:sz w:val="28"/>
          <w:szCs w:val="28"/>
          <w:rtl w:val="true"/>
          <w:lang w:bidi="ar-SA"/>
        </w:rPr>
        <w:t>أن المتخالفين بالعموم والخصوص والإطلاق والتقييد يخصص ويقيد أحدهما بالآخر،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المثبتين، إذ لا تخالف وتنافي ولا بدوي بينها عرفاً، ولذا تجد أنه لا تنافي بين الروايتين الشريفتين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بطيب نفس منه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 منه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بحر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إشكال فيما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إناطة الاستصحاب على الأخبار على مجرد عدم العلم في مورده، من غير فرق بين حصول الظن بأحد الطرفين وعدمه، ولا كلام في ذلك عند أكثر القائلين به من باب الأخبار، لحصر ناقض اليقين في الأخبار في اليقين، والنهي </w:t>
      </w:r>
      <w:bookmarkStart w:id="374" w:name="pg8204_101040"/>
    </w:p>
    <w:p>
      <w:pPr>
        <w:pStyle w:val="BookText"/>
        <w:rPr/>
      </w:pPr>
      <w:bookmarkEnd w:id="374"/>
      <w:r>
        <w:rPr>
          <w:rFonts w:ascii="Amiri" w:hAnsi="Amiri" w:eastAsia="Amiri" w:cs="Amiri"/>
          <w:color w:val="111111"/>
          <w:sz w:val="28"/>
          <w:sz w:val="28"/>
          <w:szCs w:val="28"/>
          <w:rtl w:val="true"/>
          <w:lang w:bidi="ar-SA"/>
        </w:rPr>
        <w:t>عن النقض بالشك في بعضها لا يعارضه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ذكرناه من أنهما مثبتان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تنقض اليقين بالشك وبالظن على الخلاف، أي بمطلق عدم اليقين على الخلاف، هذا لو لم نقل بكون الظاهر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اليقين بقرينة المقابلة،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حتى لو سلمنا التنافي في المثبتين فدلالة العام أو المطلق مقدمة إذ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يمنزلته، كالحادثة المعينة التي استشار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نحن فيه، لا مفهوم له، وحتى لو قلنا بالمفهوم له أو أن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مفهوم الوصف وقلنا بحجيته فرضاً، فعند التعارض يقدم المنطوق على المفهوم بشهادة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التزام عدم انعقاد مفهوم أصلاً مع وجود العام، كما التزم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بنظيره في بحث خبر الواحد في آية النبأ، من عدم انعقاد مفهوم للجملة الشرطية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مع عموم التعليل، إذ يدور الأمر بين تخصيصه وبين رفع اليد عن المفهوم، ولا شك أن الثاني أولى عرفاً، فتأمل</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8924202_1051229030"/>
      <w:bookmarkStart w:id="376" w:name="_Toc140"/>
      <w:bookmarkEnd w:id="375"/>
      <w:r>
        <w:rPr>
          <w:rtl w:val="true"/>
        </w:rPr>
        <w:t>أما الشق الثاني</w:t>
      </w:r>
      <w:r>
        <w:rPr>
          <w:rtl w:val="true"/>
        </w:rPr>
        <w:t>:</w:t>
      </w:r>
      <w:bookmarkEnd w:id="37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استشارته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فالجواب عنه ما سيأتي مفصلاً من الجواب الثاني والثالث والرابع عن الشبهة الأصلية</w:t>
      </w:r>
      <w:r>
        <w:rPr>
          <w:rFonts w:eastAsia="Amiri" w:cs="Amiri" w:ascii="Amiri" w:hAnsi="Amiri"/>
          <w:color w:val="111111"/>
          <w:sz w:val="28"/>
          <w:szCs w:val="28"/>
          <w:rtl w:val="true"/>
          <w:lang w:bidi="ar-SA"/>
        </w:rPr>
        <w:t xml:space="preserve">. </w:t>
      </w:r>
      <w:bookmarkStart w:id="377" w:name="pg8204_101041"/>
    </w:p>
    <w:p>
      <w:pPr>
        <w:pStyle w:val="Heading5"/>
        <w:numPr>
          <w:ilvl w:val="4"/>
          <w:numId w:val="1"/>
        </w:numPr>
        <w:rPr/>
      </w:pPr>
      <w:bookmarkStart w:id="378" w:name="__RefHeading___Toc8924204_1051229030"/>
      <w:bookmarkStart w:id="379" w:name="_Toc141"/>
      <w:bookmarkEnd w:id="377"/>
      <w:bookmarkEnd w:id="378"/>
      <w:r>
        <w:rPr>
          <w:rtl w:val="true"/>
        </w:rPr>
        <w:t>إشكالات وأجوبة</w:t>
      </w:r>
      <w:bookmarkEnd w:id="379"/>
    </w:p>
    <w:p>
      <w:pPr>
        <w:pStyle w:val="Heading6"/>
        <w:numPr>
          <w:ilvl w:val="5"/>
          <w:numId w:val="1"/>
        </w:numPr>
        <w:rPr/>
      </w:pPr>
      <w:bookmarkStart w:id="380" w:name="__RefHeading___Toc8924206_1051229030"/>
      <w:bookmarkStart w:id="381" w:name="_Toc142"/>
      <w:bookmarkEnd w:id="380"/>
      <w:r>
        <w:rPr>
          <w:rtl w:val="true"/>
        </w:rPr>
        <w:t xml:space="preserve">الإشكال الأول </w:t>
      </w:r>
      <w:r>
        <w:rPr>
          <w:rtl w:val="true"/>
        </w:rPr>
        <w:t>:</w:t>
      </w:r>
      <w:bookmarkEnd w:id="381"/>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دالة في ذيلها على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 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موضع آخر أن الشورى واتباع الأكثرية إنما هي فيما لم يرد فيه حكم من الله، والظاهر وروده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 إذا قصد قوماً أن يرجع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إما للانصراف أو للتخصيص، وأحدهما</w:t>
      </w:r>
      <w:r>
        <w:rPr>
          <w:rStyle w:val="FootnoteAnchor"/>
          <w:rtl w:val="true"/>
        </w:rPr>
        <w:footnoteReference w:id="360"/>
      </w:r>
      <w:r>
        <w:rPr>
          <w:rFonts w:ascii="Amiri" w:hAnsi="Amiri" w:eastAsia="Amiri" w:cs="Amiri"/>
          <w:color w:val="111111"/>
          <w:sz w:val="28"/>
          <w:sz w:val="28"/>
          <w:szCs w:val="28"/>
          <w:rtl w:val="true"/>
          <w:lang w:bidi="ar-SA"/>
        </w:rPr>
        <w:t>على سبيل البدل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اضطراره للخروج حيث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إلاّ الخروج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أبوا إلاّ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بقرينة خبر علي بن إبراهيم السابق وقرائن أخرى كثيرة أن الأصحاب كانوا ينقادون لكلام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مخالفته لآرائهم، إن لم يقبل منهم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هنالك اضطرار لهذه ظاهراً،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عنفهم الله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مِنْ عِنْدِ أَنْفُسِكُمْ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التعنيف كان لأجل أخذ الأسرى</w:t>
      </w:r>
      <w:r>
        <w:rPr>
          <w:rStyle w:val="FootnoteAnchor"/>
          <w:rtl w:val="true"/>
        </w:rPr>
        <w:footnoteReference w:id="362"/>
      </w:r>
      <w:r>
        <w:rPr>
          <w:rFonts w:ascii="Amiri" w:hAnsi="Amiri" w:eastAsia="Amiri" w:cs="Amiri"/>
          <w:color w:val="111111"/>
          <w:sz w:val="28"/>
          <w:sz w:val="28"/>
          <w:szCs w:val="28"/>
          <w:rtl w:val="true"/>
          <w:lang w:bidi="ar-SA"/>
        </w:rPr>
        <w:t xml:space="preserve">مع كون الحكم فيهم القتل، </w:t>
      </w:r>
      <w:bookmarkStart w:id="382" w:name="pg8204_101042"/>
    </w:p>
    <w:p>
      <w:pPr>
        <w:pStyle w:val="BookText"/>
        <w:rPr/>
      </w:pPr>
      <w:bookmarkEnd w:id="382"/>
      <w:r>
        <w:rPr>
          <w:rFonts w:ascii="Amiri" w:hAnsi="Amiri" w:eastAsia="Amiri" w:cs="Amiri"/>
          <w:color w:val="111111"/>
          <w:sz w:val="28"/>
          <w:sz w:val="28"/>
          <w:szCs w:val="28"/>
          <w:rtl w:val="true"/>
          <w:lang w:bidi="ar-SA"/>
        </w:rPr>
        <w:t>وقد سبق حرمة مخالفة الأكثرية للنص، وحرمة اتباع رأي الأكثرية قبال النص، أو فيما لا يحق لهم التصرف قبل وروده، أو كان لأجل المعارضة بعد نزول الحكم</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8924208_1051229030"/>
      <w:bookmarkStart w:id="384" w:name="_Toc143"/>
      <w:bookmarkEnd w:id="383"/>
      <w:r>
        <w:rPr>
          <w:rtl w:val="true"/>
        </w:rPr>
        <w:t xml:space="preserve">بحث عن احتمال ردعه </w:t>
      </w:r>
      <w:r>
        <w:rPr/>
        <w:t>o</w:t>
      </w:r>
      <w:r>
        <w:rPr>
          <w:rtl w:val="true"/>
        </w:rPr>
        <w:t xml:space="preserve"> </w:t>
      </w:r>
      <w:r>
        <w:rPr>
          <w:rtl w:val="true"/>
        </w:rPr>
        <w:t>عن الشورى</w:t>
      </w:r>
      <w:bookmarkEnd w:id="384"/>
    </w:p>
    <w:p>
      <w:pPr>
        <w:pStyle w:val="BookText"/>
        <w:rPr/>
      </w:pPr>
      <w:r>
        <w:rPr>
          <w:rFonts w:ascii="Amiri" w:hAnsi="Amiri" w:eastAsia="Amiri" w:cs="Amiri"/>
          <w:color w:val="111111"/>
          <w:sz w:val="28"/>
          <w:sz w:val="28"/>
          <w:szCs w:val="28"/>
          <w:rtl w:val="true"/>
          <w:lang w:bidi="ar-SA"/>
        </w:rPr>
        <w:t xml:space="preserve">ولا دليل على الردع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والردع عن المتفصل بفصل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كالشورى بعد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ردعاً عن الجنس، كما هو واضح، غاية الأمر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الردع عن الشورى بعد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 فِي الأَمْرِ</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هذا إن لم نقل بالانصراف أو بالتخصص والخروج الموضوعي لمواضع ورود النص عن دائرة الشورى المطلوبة للمولى</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وخفي علينا 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العدم محكمة، وليس هذا أصلاً مثبتاً، إذ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صحة اتباع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أثراً لهذا الأصل، بل هو أثر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 الأكثرية خارجاً، وتقريره لها وفعله على طبقها، وهذا الأصل يرفع المانع فليس مثبتاً، وذلك كما أن أصالة عدم التخصيص والتقييد والتجوّز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بعد الفحص عن قرينة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ولا تعد مثبتة، لأن الأثر أثر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العموم والإطلاق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 يرفع المانع فقط، فيترتب على المقتضي أثره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الثابت في محله أن رفع المانع ليس جزء المقتضي إذ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عدم </w:t>
      </w:r>
    </w:p>
    <w:p>
      <w:pPr>
        <w:pStyle w:val="BookText"/>
        <w:rPr/>
      </w:pP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 فاعلية الفاعل أو قابلية القابل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عدمنا الأصل، إن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كلام المستشكل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رأي الأكثرية ليثبت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لأهميته ينطبق عليه أنه مما لو كان لبان، إذ ورود تصريح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بالردع عن الشورى مع ارتكازها في أذهانهم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 المستشكل إذ هذا ملزوم أن تكون بحيث لم يمكنه الردع عنها إلاّ بعد إثبات خطأها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كونها عام الابتلاء، لا يمكن عدم وصوله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في موارد كهذه على العدم، ألا ترى أنهم يبنون على عدم وجود شرط زائد في الصلاة رغم احتمال وجوده عقلاً</w:t>
      </w:r>
      <w:r>
        <w:rPr>
          <w:rStyle w:val="FootnoteAnchor"/>
          <w:rtl w:val="true"/>
        </w:rPr>
        <w:footnoteReference w:id="365"/>
      </w:r>
      <w:r>
        <w:rPr>
          <w:rFonts w:ascii="Amiri" w:hAnsi="Amiri" w:eastAsia="Amiri" w:cs="Amiri"/>
          <w:color w:val="111111"/>
          <w:sz w:val="28"/>
          <w:sz w:val="28"/>
          <w:szCs w:val="28"/>
          <w:rtl w:val="true"/>
          <w:lang w:bidi="ar-SA"/>
        </w:rPr>
        <w:t xml:space="preserve">، إذ أن عدم ثبوت نص بعد الفحص مع أهمية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والشورى وعدمها هامة لعمومية تأثير نتائجها على كل الأفراد، ولانسحابها على كل الموضوعات المستنبطة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عقلائي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بالردع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لا يكون كاسباً ولا مكتسباً، ولا يكفي الوقوع في التهلكة باتباع مؤداها في عدم حجيتها ثبوتاً ولا إثباتاً، فإن غالب الظنون النوعية قد تؤدي للهلكة أحياناً كالظن الناشيء من قول الطبيب بأن علاج هذا المرض كذا وكذا، فلا يكون مجرد الوقوع في الخطأ رادعاً ليقال بالاكتفاء بالردع العملي، نعم قد يكون كذلك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عدم كفايته في الرادعية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أصل رادعيته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هو مرتكز للناس بشدة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كلا الأمرين السابقين فإنما نلتزم بكون الردع العملي رادعاً </w:t>
      </w:r>
      <w:bookmarkStart w:id="385" w:name="pg8204_101044"/>
    </w:p>
    <w:p>
      <w:pPr>
        <w:pStyle w:val="BookText"/>
        <w:rPr/>
      </w:pPr>
      <w:bookmarkEnd w:id="385"/>
      <w:r>
        <w:rPr>
          <w:rFonts w:ascii="Amiri" w:hAnsi="Amiri" w:eastAsia="Amiri" w:cs="Amiri"/>
          <w:color w:val="111111"/>
          <w:sz w:val="28"/>
          <w:sz w:val="28"/>
          <w:szCs w:val="28"/>
          <w:rtl w:val="true"/>
          <w:lang w:bidi="ar-SA"/>
        </w:rPr>
        <w:t xml:space="preserve">عن اتباع رأي الأكثرية في خصوص صورة معارضتها لنص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لكون المورد هو ذاك وعدم وجود جهة إطلاق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 الأكثرية لو كان لإثبات بطلانها لما مدح الله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ولما أمر نبيه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8924210_1051229030"/>
      <w:bookmarkStart w:id="387" w:name="_Toc144"/>
      <w:bookmarkEnd w:id="386"/>
      <w:r>
        <w:rPr>
          <w:rtl w:val="true"/>
        </w:rPr>
        <w:t>هل المدح على الشورى إن طابقت الواقع؟</w:t>
      </w:r>
      <w:bookmarkEnd w:id="387"/>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طابقت الواقع؟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منفي بالإطلاق</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ادعي عدم الإطلاق لعدم تمامية مقدمات الحكمة، لعدم كون المولى في مقام البيان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منقوض بكل المطلقات،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يجري فيها الإشكال بعينه، والجواب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وزان 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اتباع المجتهد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حجية رأي المجتهد مطلقاً، علم بالمطابقة أو لا،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وزانه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حجيته من باب الظن النوعي،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التقييد بهذا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طابقت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غير الممكن للمكلف عادة، وبين غير الممكن وقوعاً باستحالته من الحكيم، إذ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المطابقة للواقع في علم الله، وإما المطابقة له باعتقاد كل أو أحد أعضاء الشورى أو الخارج عنها، وإما المطابقة للواقع بنظر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فهو غير مقدور، إذ معرفة المطابقة له في علم الله غير مقدور للمكلف عادة، فيكون مطلوبية الشورى بهذا القيد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بشقوقه الثلاثة،فيلزم نقض الغرض، إذ لو اشترط في حسن الشورى ومطلوبيتها مطابقتها للواقع باعتقاد كل أعضاء الشورى لزم الحمل على الفرد النادر،أو باعتقادهم جميعاً وباعتقاد كل الخارجين عنها أيضاً لزم الحمل على ما لا تحقق له ظاهراً أبداً،اللهم إلاّ الأندر من النادر،فيلزم أن لا تكون حسنة على الإطلاق</w:t>
      </w:r>
      <w:r>
        <w:rPr>
          <w:rStyle w:val="FootnoteAnchor"/>
          <w:rtl w:val="true"/>
        </w:rPr>
        <w:footnoteReference w:id="375"/>
      </w:r>
      <w:r>
        <w:rPr>
          <w:rFonts w:ascii="IRNazanin" w:hAnsi="IRNazanin" w:eastAsia="IRNazanin"/>
          <w:color w:val="111111"/>
          <w:sz w:val="28"/>
          <w:sz w:val="28"/>
          <w:szCs w:val="28"/>
          <w:rtl w:val="true"/>
          <w:lang w:bidi="fa-IR"/>
        </w:rPr>
        <w:t>لتخالف الاعتقادات، وهذا خلف</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اشترط في حسن اتباعها مطابقتها للواقع في اعتقاد بعض دون بعض، لزم الترجيح بلا مرجح</w:t>
      </w:r>
      <w:r>
        <w:rPr>
          <w:rStyle w:val="FootnoteAnchor"/>
          <w:rtl w:val="true"/>
        </w:rPr>
        <w:footnoteReference w:id="376"/>
      </w:r>
      <w:r>
        <w:rPr>
          <w:rFonts w:ascii="Amiri" w:hAnsi="Amiri" w:eastAsia="Amiri" w:cs="Amiri"/>
          <w:color w:val="111111"/>
          <w:sz w:val="28"/>
          <w:sz w:val="28"/>
          <w:szCs w:val="28"/>
          <w:rtl w:val="true"/>
          <w:lang w:bidi="ar-SA"/>
        </w:rPr>
        <w:t xml:space="preserve">، أو بما يوجب النزاع دائماً، ولزم نقض الغرض </w:t>
      </w:r>
    </w:p>
    <w:p>
      <w:pPr>
        <w:pStyle w:val="BookText"/>
        <w:rPr/>
      </w:pPr>
      <w:r>
        <w:rPr>
          <w:rFonts w:ascii="IRNazanin" w:hAnsi="IRNazanin" w:eastAsia="IRNazanin"/>
          <w:color w:val="111111"/>
          <w:sz w:val="28"/>
          <w:sz w:val="28"/>
          <w:szCs w:val="28"/>
          <w:rtl w:val="true"/>
          <w:lang w:bidi="fa-IR"/>
        </w:rPr>
        <w:t>والتهافت</w:t>
      </w:r>
      <w:r>
        <w:rPr>
          <w:rStyle w:val="FootnoteAnchor"/>
          <w:rtl w:val="true"/>
        </w:rPr>
        <w:footnoteReference w:id="377"/>
      </w:r>
      <w:r>
        <w:rPr>
          <w:rFonts w:ascii="Amiri" w:hAnsi="Amiri" w:eastAsia="Amiri" w:cs="Amiri"/>
          <w:color w:val="111111"/>
          <w:sz w:val="28"/>
          <w:sz w:val="28"/>
          <w:szCs w:val="28"/>
          <w:rtl w:val="true"/>
          <w:lang w:bidi="ar-SA"/>
        </w:rPr>
        <w:t>، فيتعين الثالث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في موضع آخر أن حسن الشورى من باب الطريقية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الموضوعية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بذلك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من استشار</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كما فصلناه في موضع آخر فراجع، فلو لم يجب أو لم يحسن اتباعها إلاّ عند الظن الشخصي بالوفاق، أو عند عدم الظن الشخصي بالخلاف لزم تقديم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يكن علمي على الخلاف وإلاّ وقع التعارض بينه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الشورى، مع أن المستفاد من روايات الشورى كونها حجة من باب الظن النوعي وأقربيته اللواقع من الرأي الشخصي، بل والنوعي أيضاً، كما سيأتي، أي أنها مقدمة عليه عند التعارض، وهذا هو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مطلوبية الشورى باعتبار تأليف القلوب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والأقربية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تكن ممدوحة عند مخالفة اعتقاد الفرد القائد أو الرئيس لرأي أكثرية أهل الشورى، بأن تحتّم عليه الرجوع لرأيه، لزم نقض الغرض من تأليف القلوب وأغلبية الوصول للحق، وقد فصلنا هذا الكلام مع دفع الشبهات عنه في موضع آخر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باعتبار الغير لا باعتبار واجد الظن الشخصي، بل باعتباره أيضاً إن لم يكن رأيه هو الأغلب وصولاً للواقع، فيكون ترجيحاً بلا مرجح أو ترجيحاً للمرجوح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كان رأيه هو الأغلب إيصالاً للواقع لزم الإرجاع إليه والمدح على ذلك، لا على اتباع رأي الشورى، وقد ذكرنا في موضع آخر تفصيلاً أقربية رأي الشورى للواقع من رأي الفرد ولو كان هو الأعلم في الشؤون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الاستشهاد على قسمين، فقد يستشهد لبطلان الرأي نفسه، وقد يستشهد لبطلان مستنده، أي بما هو كبرى كلية كحجية خبر الواحد أو الإجماع المنقول أو الشهرة أو أكثرية الشورى، والثاني هو النافع للمدعي وعليه إثباته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التعنيف والتقريع ينقسم للقسمين أيضاً، وذلك كاستشهاد فقيه بأدلة لإبطال رأي فقيه آخر،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استشهاده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صحة خصوص هذا الرأي من ذاك الفقيه، لا على عدم حجية أصل اجتهاده له ولمقلديه، وعدم كون اجتهاده مستنداً شرعياً، فتأمل</w:t>
      </w:r>
      <w:r>
        <w:rPr>
          <w:rFonts w:eastAsia="Amiri" w:cs="Amiri" w:ascii="Amiri" w:hAnsi="Amiri"/>
          <w:color w:val="111111"/>
          <w:sz w:val="28"/>
          <w:szCs w:val="28"/>
          <w:rtl w:val="true"/>
          <w:lang w:bidi="ar-SA"/>
        </w:rPr>
        <w:t xml:space="preserve">. </w:t>
      </w:r>
      <w:bookmarkStart w:id="388" w:name="pg8204_101048"/>
    </w:p>
    <w:p>
      <w:pPr>
        <w:pStyle w:val="Heading6"/>
        <w:numPr>
          <w:ilvl w:val="5"/>
          <w:numId w:val="1"/>
        </w:numPr>
        <w:rPr/>
      </w:pPr>
      <w:bookmarkStart w:id="389" w:name="__RefHeading___Toc8924212_1051229030"/>
      <w:bookmarkStart w:id="390" w:name="_Toc145"/>
      <w:bookmarkEnd w:id="388"/>
      <w:bookmarkEnd w:id="389"/>
      <w:r>
        <w:rPr>
          <w:rtl w:val="true"/>
        </w:rPr>
        <w:t>الجواب الثاني</w:t>
      </w:r>
      <w:r>
        <w:rPr>
          <w:rtl w:val="true"/>
        </w:rPr>
        <w:t xml:space="preserve">: </w:t>
      </w:r>
      <w:r>
        <w:rPr>
          <w:rtl w:val="true"/>
        </w:rPr>
        <w:t xml:space="preserve">لا دليل على مخالفته </w:t>
      </w:r>
      <w:r>
        <w:rPr/>
        <w:t>o</w:t>
      </w:r>
      <w:r>
        <w:rPr>
          <w:rtl w:val="true"/>
        </w:rPr>
        <w:t xml:space="preserve"> </w:t>
      </w:r>
      <w:r>
        <w:rPr>
          <w:rtl w:val="true"/>
        </w:rPr>
        <w:t>للأكثرية</w:t>
      </w:r>
      <w:bookmarkEnd w:id="390"/>
    </w:p>
    <w:p>
      <w:pPr>
        <w:pStyle w:val="BookText"/>
        <w:rPr/>
      </w:pPr>
      <w:r>
        <w:rPr>
          <w:rFonts w:ascii="Amiri" w:hAnsi="Amiri" w:eastAsia="Amiri" w:cs="Amiri"/>
          <w:color w:val="111111"/>
          <w:sz w:val="28"/>
          <w:sz w:val="28"/>
          <w:szCs w:val="28"/>
          <w:rtl w:val="true"/>
          <w:lang w:bidi="ar-SA"/>
        </w:rPr>
        <w:t xml:space="preserve">سلمنا عدم قيام الدليل على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لكن لا دليل على عدم عمله بالشورى ومخالفته لرأي الأكثرية رغم انعقادها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الشؤون العامة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كاف في العدم، ولا حاجة لإحراز العدم بدليل وجودي، ثم استصحاب عدم موافقته لرأي الأكثرية محكم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الدليل على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بالشورى كاف في عدم وجوب الشورى وعدم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صحيح، إذ أن عدم الدليل على عمل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ظاهر لا يوجب الخدشة في ظهوره، فمثلاً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وجوب الإكرام متعلقاً بكل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جمع 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الدليل على إكرام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العلماء أو لبعضهم، أفهل يعد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قيام الدليل على التصرف الخارجي للرسول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صارفاً للأمر عن ظهوره في إرادة الوجوب، وللجمع المحلى عن ظهوره في إرادة العموم؟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إكرامه لأي من العلماء يعدّ قرينة على عدم إرادة الوجوب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يقال بأن قيام الدليل على عدم إكرامه لبعضهم قرينة على عدم إرادة العموم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فتأمل، وسيأتي وجهه في الجواب الرابع</w:t>
      </w:r>
      <w:r>
        <w:rPr>
          <w:rFonts w:eastAsia="Amiri" w:cs="Amiri" w:ascii="Amiri" w:hAnsi="Amiri"/>
          <w:color w:val="111111"/>
          <w:sz w:val="28"/>
          <w:szCs w:val="28"/>
          <w:rtl w:val="true"/>
          <w:lang w:bidi="ar-SA"/>
        </w:rPr>
        <w:t xml:space="preserve">. </w:t>
      </w:r>
      <w:bookmarkStart w:id="391" w:name="pg8204_101049"/>
    </w:p>
    <w:p>
      <w:pPr>
        <w:pStyle w:val="BookText"/>
        <w:rPr/>
      </w:pPr>
      <w:bookmarkEnd w:id="391"/>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عدم قيام دليل على استشارة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عمله بالشورى في الشؤون العامة، لا يصلحصارفاً للأمر الظاهر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عن ظهوره، إلا أن يتمسك بأنه مما لو كان لبان، فتأمل، وقد تطرقنا لذلك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التمسك لوجوب الشورى وحجيتها بعدم الدليل على عدم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بالشورى صح ما ذكر، لوضوح أن عدم الدليل على عدم فعل ليس دليلاً على وجوبه وحجيته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التمسك لوجوبها وحجيتها بصيغة الأمر الظاهرة في الوجوب، فيصح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الدليل على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الآية لا يصلح مانعاً من دلالتها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تمّ المقتضي ولم يحرز المانع، ثبت إرادة المعنى الحقيقي، والمانع هنا هو الدليل على عدم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وليس بمحرز، بل الاستصحاب يقتضي عدمه وبناء العقلاء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شك في المعارض بعد الفحص، نزل منزلة العدم</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8924214_1051229030"/>
      <w:bookmarkStart w:id="393" w:name="_Toc146"/>
      <w:bookmarkEnd w:id="392"/>
      <w:r>
        <w:rPr>
          <w:rtl w:val="true"/>
        </w:rPr>
        <w:t>الجواب عن استصحاب عدم أخذه برأي الأكثرية ونظائره</w:t>
      </w:r>
      <w:bookmarkEnd w:id="393"/>
    </w:p>
    <w:p>
      <w:pPr>
        <w:pStyle w:val="BookText"/>
        <w:rPr/>
      </w:pPr>
      <w:r>
        <w:rPr>
          <w:rFonts w:ascii="Amiri" w:hAnsi="Amiri" w:eastAsia="Amiri" w:cs="Amiri"/>
          <w:color w:val="111111"/>
          <w:sz w:val="28"/>
          <w:sz w:val="28"/>
          <w:szCs w:val="28"/>
          <w:rtl w:val="true"/>
          <w:lang w:bidi="ar-SA"/>
        </w:rPr>
        <w:t>وأما استصحاب عدم موافقته لرأي الأكثرية،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باستصحاب عدم مخالفته لرأي الأكثرية، لكونهما وجوديين مسبوقين بالعدم ولو الأزلي منه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نستصحب عدم أخذه برأي الأكثرية وعدم اتباعه لها، لكون </w:t>
      </w:r>
    </w:p>
    <w:p>
      <w:pPr>
        <w:pStyle w:val="BookText"/>
        <w:rPr/>
      </w:pPr>
      <w:r>
        <w:rPr>
          <w:rFonts w:ascii="Amiri" w:hAnsi="Amiri" w:eastAsia="Amiri" w:cs="Amiri"/>
          <w:color w:val="111111"/>
          <w:sz w:val="28"/>
          <w:sz w:val="28"/>
          <w:szCs w:val="28"/>
          <w:rtl w:val="true"/>
          <w:lang w:bidi="ar-SA"/>
        </w:rPr>
        <w:t xml:space="preserve">استصحابي عدم الموافقة وعدم المخالفة محكومين به، لأن الموافقة صفة الأخذ، أو إنها مستلزمة له ومنتزعة منه، والمخالفة صفة عدمه، ومع وجود الأصل الجاري في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الموصوف أو الملزوم لتقدمه رتبة على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النوبة للأصل فيالمحكوم، وهذا الأصل السببي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أخذه برأي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معارضته بأصل سببي آخر وهو أصالة عدم أخذه بالرأي المخالف للأكثرية، إنه مع وجود الدليل على وجوب فعل وهو صيغة الأمر الظاهرة في الوجوب، لا مجال لاستصحاب عدم الأخذ أو غيره، إذ من الواضح أن استصحاب عدم فعل لا يصلح مانعاً عن انعقاد الظهور، أترى أنه يصح الاستدلال على عدم وجوب صلاة الليل أو الجمعة أو السواك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بأننا حيث لا نعلم أنه قام بها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العدم فيثبت عدم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في رتبة لاحقة، وليس عقلائياً بناء الظهورات أو تمامية الدلالات للظواهر على استصحاب عدم فعل من كان لا بد من امتثاله لو تمت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جهة له، فكيف باستصحابه؟</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نستصحب عدم أخذه برأي الأكثرية من باب السالبة بانتفاء الموضوع، أي لم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الأكثرية لعدم انعقاد الأكثرية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عما سبق من عدم صلاحية أصالة عدم العمل به أو أصالة عدم وجود موضوعه في الصارفية عن الظهور، وقلنا بجريانه هنا،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على خلاف المدعى أدل، إذ ما يصلح ناقضاً لوجوب الشورى هو وجود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انعقاد رأي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ترتيب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94" w:name="pg8204_101051"/>
    </w:p>
    <w:p>
      <w:pPr>
        <w:pStyle w:val="BookText"/>
        <w:rPr/>
      </w:pPr>
      <w:bookmarkEnd w:id="394"/>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 ووجوب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لا عدم وجود الموضوع، أفهل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وجود مخبر ناقضاً لوجوبه عند وجوده؟ فلقد علل عدم أخذه برأي الأكثرية في كثير من الموارد بعدم وجود رأي لها معاكس لرأي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وجه آخر لدفع إشكال عدم عمله برأي الأكثرية، كما سيجيء مفصلاً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8924216_1051229030"/>
      <w:bookmarkStart w:id="396" w:name="_Toc147"/>
      <w:bookmarkEnd w:id="395"/>
      <w:r>
        <w:rPr>
          <w:rtl w:val="true"/>
        </w:rPr>
        <w:t>الجواب عن إشكال</w:t>
      </w:r>
      <w:r>
        <w:rPr>
          <w:rtl w:val="true"/>
        </w:rPr>
        <w:t xml:space="preserve">: </w:t>
      </w:r>
      <w:r>
        <w:rPr>
          <w:rtl w:val="true"/>
        </w:rPr>
        <w:t xml:space="preserve">لو كان </w:t>
      </w:r>
      <w:r>
        <w:rPr/>
        <w:t>o</w:t>
      </w:r>
      <w:r>
        <w:rPr>
          <w:rtl w:val="true"/>
        </w:rPr>
        <w:t xml:space="preserve"> </w:t>
      </w:r>
      <w:r>
        <w:rPr>
          <w:rtl w:val="true"/>
        </w:rPr>
        <w:t>عاملاً بالشورى لبان</w:t>
      </w:r>
      <w:bookmarkEnd w:id="396"/>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بالشورى لبان؟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المؤرخون والمفسرون موارد عديدة عمل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الأكثرية، وهي مضافاً إلى اعتبار سند بعضها، يمكن دعوى تواترها الإجمالي، ويظهر ذلك لمن راجع كتب التفسير والحديث،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عدم ثبوت حتى مورد واحد عمل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لكن عمله بها ليس مما لو كان لبان حتى يستدل بعدم البينونة والظهور على عدم الكون والوجود ببرهان الإنّ، إذ إن الاستشارة والمشورة لم تكن شيئاً غريباً ملفتاً للنظر، إذ كانت قد جرت عليها عادة كثير من القبائل، فكانت المشورة طبيعية خاصة وأن الأصحاب كانوا متواجدين باستمرار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الاستشارة محتاجة إلى مقدمات وضوابط وتشريفات، فاستشارته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وقائعه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وحروبه حيث لم ترد فيها إلاّ روايات بين مرسلة وصحيحة لا تبلغ واقعة منها عادة حد التواتر، وإن أمكن دعوى التواتر الإجمالي في أصلها وفي بعض قضاياها فقط</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المستشكل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w:t>
      </w:r>
    </w:p>
    <w:p>
      <w:pPr>
        <w:pStyle w:val="BookText"/>
        <w:rPr/>
      </w:pPr>
      <w:r>
        <w:rPr>
          <w:rFonts w:ascii="Amiri" w:hAnsi="Amiri" w:eastAsia="Amiri" w:cs="Amiri"/>
          <w:color w:val="111111"/>
          <w:sz w:val="28"/>
          <w:sz w:val="28"/>
          <w:szCs w:val="28"/>
          <w:rtl w:val="true"/>
          <w:lang w:bidi="ar-SA"/>
        </w:rPr>
        <w:t>بالشورى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التالي البينونة والظهور التواتري، أو البينونة والظهور المتداول في سائر الحوادث المهمة وغير المهمة؟</w:t>
      </w:r>
    </w:p>
    <w:p>
      <w:pPr>
        <w:pStyle w:val="BookText"/>
        <w:rPr/>
      </w:pPr>
      <w:r>
        <w:rPr>
          <w:rFonts w:ascii="Amiri" w:hAnsi="Amiri" w:eastAsia="Amiri" w:cs="Amiri"/>
          <w:color w:val="111111"/>
          <w:sz w:val="28"/>
          <w:sz w:val="28"/>
          <w:szCs w:val="28"/>
          <w:rtl w:val="true"/>
          <w:lang w:bidi="ar-SA"/>
        </w:rPr>
        <w:t>فإن قال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أنكرنا الملازمة، بدليل أكثر وقائع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الموضوعات الصرفة أو الشؤون العامة أو الأحكام حيث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بينونة تواترية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بطلان التالي، إذ البينونة المتعارفة في سائر الوقائع موجودة هنا في الموارد التي ذكرناها وبعض غيرها، ويمكن بمراجعة البحار وغيره معرفة صدق الدعوى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بحاجة إلى مزيد بحث وتحقيق وتثبت، ولعل الله تعالى يقيض من يتتبع الأمر أكثر، والله العالم المسدد</w:t>
      </w:r>
      <w:r>
        <w:rPr>
          <w:rFonts w:eastAsia="Amiri" w:cs="Amiri" w:ascii="Amiri" w:hAnsi="Amiri"/>
          <w:color w:val="111111"/>
          <w:sz w:val="28"/>
          <w:szCs w:val="28"/>
          <w:rtl w:val="true"/>
          <w:lang w:bidi="ar-SA"/>
        </w:rPr>
        <w:t xml:space="preserve">. </w:t>
      </w:r>
      <w:bookmarkStart w:id="397" w:name="pg8204_101053"/>
    </w:p>
    <w:p>
      <w:pPr>
        <w:pStyle w:val="Heading6"/>
        <w:numPr>
          <w:ilvl w:val="5"/>
          <w:numId w:val="1"/>
        </w:numPr>
        <w:rPr/>
      </w:pPr>
      <w:bookmarkStart w:id="398" w:name="__RefHeading___Toc8924218_1051229030"/>
      <w:bookmarkStart w:id="399" w:name="_Toc148"/>
      <w:bookmarkEnd w:id="397"/>
      <w:bookmarkEnd w:id="398"/>
      <w:r>
        <w:rPr>
          <w:rtl w:val="true"/>
        </w:rPr>
        <w:t>الجواب الثالث</w:t>
      </w:r>
      <w:r>
        <w:rPr>
          <w:rtl w:val="true"/>
        </w:rPr>
        <w:t>: (</w:t>
      </w:r>
      <w:r>
        <w:rPr>
          <w:rtl w:val="true"/>
        </w:rPr>
        <w:t>شاورهم</w:t>
      </w:r>
      <w:r>
        <w:rPr>
          <w:rtl w:val="true"/>
        </w:rPr>
        <w:t xml:space="preserve">) </w:t>
      </w:r>
      <w:r>
        <w:rPr>
          <w:rtl w:val="true"/>
        </w:rPr>
        <w:t>منصرف إلى غير موارد النص الإلهي</w:t>
      </w:r>
      <w:bookmarkEnd w:id="399"/>
    </w:p>
    <w:p>
      <w:pPr>
        <w:pStyle w:val="BookText"/>
        <w:rPr/>
      </w:pPr>
      <w:r>
        <w:rPr>
          <w:rFonts w:ascii="Amiri" w:hAnsi="Amiri" w:eastAsia="Amiri" w:cs="Amiri"/>
          <w:color w:val="111111"/>
          <w:sz w:val="28"/>
          <w:sz w:val="28"/>
          <w:szCs w:val="28"/>
          <w:rtl w:val="true"/>
          <w:lang w:bidi="ar-SA"/>
        </w:rPr>
        <w:t xml:space="preserve">سلمنا قيام الدليل على عدم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بالشورى أحياناً كثيرة، لكن قد يجاب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لا شورى في قبال نص الآيات القرآنية الكريمة، سواء في الأحكام أو في الموضوعات،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منصرفاً إلى غير ذلك أو مخصصاً به، وفي كثير من الأحيان كانت الآيات المباركات تنزل بأمر معين من الله في الموضوع الخارجي</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8924220_1051229030"/>
      <w:bookmarkStart w:id="401" w:name="_Toc149"/>
      <w:bookmarkEnd w:id="400"/>
      <w:r>
        <w:rPr>
          <w:rtl w:val="true"/>
        </w:rPr>
        <w:t>نماذج عديدة من ورد النص الإلهي</w:t>
      </w:r>
      <w:bookmarkEnd w:id="40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مثلاً ما ورد في تفسير النعماني، قال</w:t>
      </w:r>
      <w:r>
        <w:rPr>
          <w:rStyle w:val="FootnoteAnchor"/>
          <w:rtl w:val="true"/>
        </w:rPr>
        <w:footnoteReference w:id="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الناسخ والمنسوخ، ومنه أن الله تبارك وتعالى لما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في بدء أمره أن يدعو بالدعوة فقط، وأنزل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الْمُؤْمِنِينَ بِأَنَّ لَهُمْ مِنَ اللهِ فَضْلاً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الْكافِرِينَ وَالْمُنافِقِينَ وَدَعْ أَذاهُمْ وَتَوَكَّلْ عَلَى اللهِ وَكَفى بِاللهِ وَكِيلاً</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فبعثه الله بالدعوة فقط، وأمره أن </w:t>
      </w:r>
    </w:p>
    <w:p>
      <w:pPr>
        <w:pStyle w:val="BookText"/>
        <w:rPr/>
      </w:pPr>
      <w:r>
        <w:rPr>
          <w:rFonts w:ascii="Amiri" w:hAnsi="Amiri" w:eastAsia="Amiri" w:cs="Amiri"/>
          <w:color w:val="111111"/>
          <w:sz w:val="28"/>
          <w:sz w:val="28"/>
          <w:szCs w:val="28"/>
          <w:rtl w:val="true"/>
          <w:lang w:bidi="ar-SA"/>
        </w:rPr>
        <w:t>لايؤذيهم، فلما أرادوه بما همّوا به من تبييت أمره الله تعالى بالهجرة وفرض عليه القتال،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وَإِنَّاللهَ عَلى نَصْرِهِمْ لَقَدِيرٌ</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فلما أمر الناس بالحرب جزعوا وخافوا،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 لا أَخَّرْتَنا إِلى أَجَلٍ قَرِيبٍ</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فنسخت آية القتال آية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بدر وعرف الله تعالى حرج المسلمين أنزل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فلما قوي الإسلام وكثر المسلمون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فنسخت هذه الآية، الآية التي أذن لهم فيها أن يجنحوا، ثم أنزل الله سبحانه في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وَخُذُوهُمْ وَاحْصُرُوهُمْ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أن الله تعالى فرض القتال على الأُمة فجعل على الرجل الواحد أن يقاتل عشرة من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يَكُنْ مِنْكُمْ عِشْرُونَ صابِرُونَ يَغْلِبُوا </w:t>
      </w:r>
    </w:p>
    <w:p>
      <w:pPr>
        <w:pStyle w:val="BookText"/>
        <w:rPr/>
      </w:pPr>
      <w:r>
        <w:rPr>
          <w:rFonts w:ascii="Amiri" w:hAnsi="Amiri" w:eastAsia="Amiri" w:cs="Amiri"/>
          <w:color w:val="111111"/>
          <w:sz w:val="28"/>
          <w:sz w:val="28"/>
          <w:szCs w:val="28"/>
          <w:rtl w:val="true"/>
          <w:lang w:bidi="ar-SA"/>
        </w:rPr>
        <w:t>مِائَتَيْنِ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إلى آخر الآية، ثم نسخها سبحانه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إلى آخر الآية، فنسخ بهذه الآية ما قبلها،فصار من فرّ من المؤمنين في الحرب إن كانت عدّة المشركين أكثر من رجلين لرجل لم يكن فاراً من الزحف، وإن كانت العدة رجلين لرجل كان فاراً من الزحرف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وساق الحديث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يعني اليهود حين هادنهم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من غزوة تبوك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صاغِرُونَ</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فنسخت هذه الآية تلك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روايات عديدة في جزئيات ما ذكر في هذه الرواية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أنوار التنزيل</w:t>
      </w:r>
      <w:r>
        <w:rPr>
          <w:rStyle w:val="FootnoteAnchor"/>
          <w:rtl w:val="true"/>
        </w:rPr>
        <w:footnoteReference w:id="39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بسبب أنهم ظلموا وهم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يؤذونهم وكانوا يأتونه بين مضروب ومشجوج يتظلمون إليه،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فإني لم أؤمر بقتال، حتى هاجر، فأنزلت وهي أول آية نزلت في </w:t>
      </w:r>
    </w:p>
    <w:p>
      <w:pPr>
        <w:pStyle w:val="BookText"/>
        <w:rPr/>
      </w:pPr>
      <w:r>
        <w:rPr>
          <w:rFonts w:ascii="Amiri" w:hAnsi="Amiri" w:eastAsia="Amiri" w:cs="Amiri"/>
          <w:color w:val="111111"/>
          <w:sz w:val="28"/>
          <w:sz w:val="28"/>
          <w:szCs w:val="28"/>
          <w:rtl w:val="true"/>
          <w:lang w:bidi="ar-SA"/>
        </w:rPr>
        <w:t>القتال بعد ما نهى عنه في نيف وسبعين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بعد سبعة أشهر من الهجرة نزل جبرئيل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 وقلد في عنقه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بهذا قومك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الطبرسي في المجمع</w:t>
      </w:r>
      <w:r>
        <w:rPr>
          <w:rStyle w:val="FootnoteAnchor"/>
          <w:rtl w:val="true"/>
        </w:rPr>
        <w:footnoteReference w:id="402"/>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فِي سَبِيلِ اللهِ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لما رجع إلى مكة يوم أحُد واعد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بدر الصغرى وهي سوق يقوم في ذي القعدة، فلما بلغ الميعاد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إلى الميعاد، فتثاقلوا وكرهوا ذلك كراهة شديدة أو بعضهم، فأنزل الله عز وجل هذه الآية، فحرض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فتثاقلوا عنه ولم يخرجوا،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سبعين راكباً حتى أتى موسم بدر فكفاهم الله بأس العدو، ولم يوافهم أبو سفيان ولم يكن قتال يومئذٍ، وانصرف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معه سالمين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فعل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وَحَرِّضِ اْمُؤْمِنِينَ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القتال، أي وحثّهم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يَكُفَّ بَأْسَ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 شدة الكفار وعسى من الله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أَشَدُّ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نكاية في الأعداء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تَنْكِيلاً</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أي عقوبة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بالأمور الفاضحة،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الذهاب إلى بدر الصغرى لموعد أبي سفيان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w:t>
      </w:r>
      <w:r>
        <w:rPr>
          <w:rStyle w:val="FootnoteAnchor"/>
          <w:rtl w:val="true"/>
        </w:rPr>
        <w:footnoteReference w:id="406"/>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فِي المُنافِقِينَ</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اختلفوا فيمن نزلت فيه هذه الآية،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قدموا المدينة من مكة فأظهروا للمسلمين الإسلام ثم رجعوا إلى مكة لأنهم استوخموا المدينة، فأظهروا الشرك، ثم سافروا ببضائع المشركين إلى اليمامة فأراد المسلمون أن يغزوهم فاختلفوا،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فإنهم مؤمنون، 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مشركون، فأنزل الله فيهمالآية، عن مجاهد والحسن، وهو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 أيضاً</w:t>
      </w:r>
      <w:r>
        <w:rPr>
          <w:rStyle w:val="FootnoteAnchor"/>
          <w:rtl w:val="true"/>
        </w:rPr>
        <w:footnoteReference w:id="408"/>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أموال كفار أهل القرى وهم قريضة وبنو النضير وهما بالمدينة، وفدك وهي من المدينة على ثلاثة أميال، وخيبر وقرى عرينة وينبع، جعلها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فيها ما أراد، وأخبر أنها كلها له، فقال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قسمتها، فنزلت الآية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هذه الموارد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كان يأتي بحكم معين، فلم يتحقق موضوع الشورى إذن، حيث نجد في 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فبعثه الله بالدعوة فقط وأمره أن لا يؤذيهم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رغم أن المسلمين كانوا يتحرقون شوقاً لقتال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يأتونه بين مضروب ومشجوج يتظلمون إليه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فإني لم أؤمر بقتال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أنوار التنزيل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أرادوه بما هموا به من تبييت أمره الله بالهجرة وفرض عليه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إلى </w:t>
      </w:r>
    </w:p>
    <w:p>
      <w:pPr>
        <w:pStyle w:val="BookText"/>
        <w:rPr/>
      </w:pPr>
      <w:r>
        <w:rPr>
          <w:rFonts w:ascii="Amiri" w:hAnsi="Amiri" w:eastAsia="Amiri" w:cs="Amiri"/>
          <w:color w:val="111111"/>
          <w:sz w:val="28"/>
          <w:sz w:val="28"/>
          <w:szCs w:val="28"/>
          <w:rtl w:val="true"/>
          <w:lang w:bidi="ar-SA"/>
        </w:rPr>
        <w:t>آخر ما ورد في الروايات التي نقلناها قبل قليل وفي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موضوعها غير متحقق، إذ موضوعها ما لم يرد فيه نص من الله تعالى، ومن الواضح أن رفع المحمول لرفع الموضوع لا يثبت رفعه عند وجوده، وإلاّ لما كانت لنا حجة إطلاقاً، ولما كان لنا محمول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موارد أخرى عديدة ورد فيها النص من الله تعالى، فراجع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الصفحات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والمجلد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الصفحات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موضوع الشورى هو ما لم يرد فيه نص، مع قطع النظر عن كونه بديهياً ومن ضروريات المذهب</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مركوزاً في أذهان المسلمين، ولذا نجد في قصة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قائدي غطفان داعياً لهما إلى الصلح، سعد بن عبادة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إن كان هذا الأمر لابد لنا من العمل به لأن الله أمرك فيه بما صنعت والوحي جاءك به فافعل ما بدا لك، وإن كنت تختار أن تصنعه لنا كان لنا فيه رأي،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يأتني وحي به ولكني رأيت العرب قد رمتكم عن قوس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أكسر عنكم من شوكتهم إلى أمر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فصريح قوله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الأمر لابد لنا من العمل به لأن الله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تختار أن تصنعه لنا كان لنا فيه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لنا من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الله، وموضوع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لنا فيه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وترجيحه أحد الطرفين دون قضائه بأحدهما، إذ حينئذٍ يتحتم أيضاً إعمال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موضوع للشورى مع 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w:t>
      </w:r>
    </w:p>
    <w:p>
      <w:pPr>
        <w:pStyle w:val="BookText"/>
        <w:rPr/>
      </w:pPr>
      <w:r>
        <w:rPr>
          <w:rFonts w:ascii="Amiri" w:hAnsi="Amiri" w:eastAsia="Amiri" w:cs="Amiri"/>
          <w:color w:val="111111"/>
          <w:sz w:val="28"/>
          <w:sz w:val="28"/>
          <w:szCs w:val="28"/>
          <w:rtl w:val="true"/>
          <w:lang w:bidi="ar-SA"/>
        </w:rPr>
        <w:t>لَهُمُ الْخِيَرَةُ مِنْ أَمْرِهِمْ</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 وكذا لو أعمل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في أمر، فلا اختيار في رده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نماذج أخرى من ورود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قال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الوليد بن عقبة بن أبي معيط،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صدقات بني المصطلق، فخرجوا يتلقونه فرحاً به، وكانت بينهم عداوة في الجاهلية، فظن أنهم هموا بقتله فرجع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منعوا صدقاتهم، وكان الأمر بخلافه،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أن يغزوهم فنزلت الآية، عن ابن عباس ومجاهد وقتادة</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 فشورى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أنها لم تكن شورى الأكثرية، بل كانت شورى عدد قليل جداً من المسلمين مدعومة بالإرهاب، كما أثبت ذلك المؤرخون، على ما ذكر تفصيله في العبقات والغدير وغيرهما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باطلة لكونها في مقابل النص القاطع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يوم الغدير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ورد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w:t>
      </w:r>
      <w:bookmarkStart w:id="402" w:name="pg8204_101060"/>
    </w:p>
    <w:p>
      <w:pPr>
        <w:pStyle w:val="BookText"/>
        <w:rPr/>
      </w:pPr>
      <w:bookmarkEnd w:id="402"/>
      <w:r>
        <w:rPr>
          <w:rFonts w:ascii="Amiri" w:hAnsi="Amiri" w:eastAsia="Amiri" w:cs="Amiri"/>
          <w:color w:val="111111"/>
          <w:sz w:val="28"/>
          <w:sz w:val="28"/>
          <w:szCs w:val="28"/>
          <w:rtl w:val="true"/>
          <w:lang w:bidi="ar-SA"/>
        </w:rPr>
        <w:t>لَيْسَ لَهُ دافِعٌ</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حيث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الحرث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وأنك رسول الله، وأمرتنا بالجهاد والحج والصوم والصلاة والزكاة فقبلناها، ثم لم ترض حتى نصبت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فهذا شيء منك أو أمر من عند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لا إله إلا هو، إن هذا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فولّى النعمان بن الحرث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فرماه الله بحجر على رأسه فقتله، وأنزل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إلى غير ذلك من الموارد التي يعثر عليها المتتبع</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8924222_1051229030"/>
      <w:bookmarkStart w:id="404" w:name="_Toc150"/>
      <w:bookmarkEnd w:id="403"/>
      <w:r>
        <w:rPr>
          <w:rtl w:val="true"/>
        </w:rPr>
        <w:t>السرّ في كثرة ورود النصوص الإلهية</w:t>
      </w:r>
      <w:bookmarkEnd w:id="404"/>
    </w:p>
    <w:p>
      <w:pPr>
        <w:pStyle w:val="BookText"/>
        <w:rPr/>
      </w:pPr>
      <w:r>
        <w:rPr>
          <w:rFonts w:ascii="Amiri" w:hAnsi="Amiri" w:eastAsia="Amiri" w:cs="Amiri"/>
          <w:color w:val="111111"/>
          <w:sz w:val="28"/>
          <w:sz w:val="28"/>
          <w:szCs w:val="28"/>
          <w:rtl w:val="true"/>
          <w:lang w:bidi="ar-SA"/>
        </w:rPr>
        <w:t>والسر في كثرة ورود النصوص منه تعالى واضح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الأحكام الشرعية وأصول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إلى البيان، إذ الشريعة من الله تعالى، والمقنن هو جل وعلا، ولا يمكن إرجاعه للبشر على ما هو مبين في محله، إذ إرجاعه للبشر مع ملاحظة عدم إحاطتهم بجهات التشريع وعدم معرفتهم بالمصالحوالمفاسد الواقعية الفعلية والمستقبلية، الجسمية منها والروحية، الفردية والاجتماعية، الدنيوية والأخروية، لا بأصلها أحياناً كثيرة، ولا بتزاحماتها والأرجح منها أحياناً كثيرة أيضاً، ومع ملاحظة تحكم الأهواء فيهم والشهوات والقوة الغضبية والحقد والحسد وغيرها، يعد أكبر ظلم للمجتمع البشري، ولذا كانت سنته تعالى إرسال الرسل وسنّ الطرق والشرائع، والرسل </w:t>
      </w:r>
      <w:bookmarkStart w:id="405" w:name="pg8204_101061"/>
    </w:p>
    <w:p>
      <w:pPr>
        <w:pStyle w:val="BookText"/>
        <w:rPr/>
      </w:pPr>
      <w:bookmarkEnd w:id="405"/>
      <w:r>
        <w:rPr>
          <w:rFonts w:ascii="Amiri" w:hAnsi="Amiri" w:eastAsia="Amiri" w:cs="Amiri"/>
          <w:color w:val="111111"/>
          <w:sz w:val="28"/>
          <w:sz w:val="28"/>
          <w:szCs w:val="28"/>
          <w:rtl w:val="true"/>
          <w:lang w:bidi="ar-SA"/>
        </w:rPr>
        <w:t>هم الحجة الظاهرة إلى جانب الحجة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الموضوعات، فلكون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تأسيس دين عالمي، ولولا أوامره تعالى ونواهيه وتسديده في الشؤون العامة لكثير من الخاصة لما قام للإسلام عود، ولا ارتفع له عمود، ولذهب أدراج الرياح</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8924224_1051229030"/>
      <w:bookmarkStart w:id="407" w:name="_Toc151"/>
      <w:bookmarkEnd w:id="406"/>
      <w:r>
        <w:rPr>
          <w:rtl w:val="true"/>
        </w:rPr>
        <w:t xml:space="preserve">نماذج من تفويض الأصحاب أصواتهم للنبي </w:t>
      </w:r>
      <w:r>
        <w:rPr/>
        <w:t>o</w:t>
      </w:r>
      <w:bookmarkEnd w:id="407"/>
    </w:p>
    <w:p>
      <w:pPr>
        <w:pStyle w:val="BookText"/>
        <w:rPr/>
      </w:pPr>
      <w:r>
        <w:rPr>
          <w:rFonts w:ascii="Amiri" w:hAnsi="Amiri" w:eastAsia="Amiri" w:cs="Amiri"/>
          <w:color w:val="111111"/>
          <w:sz w:val="28"/>
          <w:sz w:val="28"/>
          <w:szCs w:val="28"/>
          <w:rtl w:val="true"/>
          <w:lang w:bidi="ar-SA"/>
        </w:rPr>
        <w:t xml:space="preserve">هذا إضافة إلى أن الأصحاب كانوا كثيراً ما يعطون أصواتهم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ويخولونه اتخاذ القرار وتعيين الأفضل، لما كانوا يعلمونه من رجاحة عقله، ورزانة رأيه، بل وعصمته وارتباطه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هنا بعض النماذج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ذكره في البحار</w:t>
      </w:r>
      <w:r>
        <w:rPr>
          <w:rStyle w:val="FootnoteAnchor"/>
          <w:rtl w:val="true"/>
        </w:rPr>
        <w:footnoteReference w:id="418"/>
      </w:r>
      <w:r>
        <w:rPr>
          <w:rFonts w:ascii="Amiri" w:hAnsi="Amiri" w:eastAsia="Amiri" w:cs="Amiri"/>
          <w:color w:val="111111"/>
          <w:sz w:val="28"/>
          <w:sz w:val="28"/>
          <w:szCs w:val="28"/>
          <w:rtl w:val="true"/>
          <w:lang w:bidi="ar-SA"/>
        </w:rPr>
        <w:t xml:space="preserve">في قصة 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العير وحرب النفير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قريش وخيلاؤها، وقد آمنا بك وصدقنا وشهدنا أنّ ما جئت به حق، والله لو أمرتنا أن نخوش جمر الغضا وشوك الهراس لخضناه معك، والله لا نقول لك ما قالت بنو إسرائيل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وَرَبُّكَ فَقاتِلا إِنَّا هاهُناقاعِدُونَ</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لأمر ربك فإنا معك مقاتلون، فجزاه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على قوله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أيها الناس، وإنما يريد الأنصار لأن أكثر الناس منهم، ولأنهم حين </w:t>
      </w:r>
    </w:p>
    <w:p>
      <w:pPr>
        <w:pStyle w:val="BookText"/>
        <w:rPr/>
      </w:pPr>
      <w:r>
        <w:rPr>
          <w:rFonts w:ascii="Amiri" w:hAnsi="Amiri" w:eastAsia="Amiri" w:cs="Amiri"/>
          <w:color w:val="111111"/>
          <w:sz w:val="28"/>
          <w:sz w:val="28"/>
          <w:szCs w:val="28"/>
          <w:rtl w:val="true"/>
          <w:lang w:bidi="ar-SA"/>
        </w:rPr>
        <w:t>بايعوه بالعقبة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براء من ذمتك حتى تصل إلى دارنا، ثم أنت في ذمتنا ونمنعك مما نمنع آباءنا ونساءنا،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يتخوف أن لا يكون الأنصار ترى عليها نصرته إلاّ على من دهمه بالمدينة من عدو، وأن ليس عليهم أن ينصروه بخارج المدينة، 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كأنك أردتنا؟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إنّا قد آمنا بك وصدقناك وشهدنا أن ما جئت به حق من عند الله، فمرنا بما شئت، وخذ من أموالنا ما شئت، وأترك منها ما شئت، والله لو أمرتنا أن نخوض هذا البحر لخضناه معك، ولعل الله أن يريك ما تقر به عينك، فسر بنا على بركة الله، ففرح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فإن الله وعدني إحدى الطائفتين ولن يخلف الله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أعلن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 بلسان أكثرية المسلمين وهم الأنصار</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والأنصار طوع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الأموال والأنفس يتصرف فيها كيف يشاء بما يشاء،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في أي أمر يأمره، وهل هناك تفويض أعلى وأرقى من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مجمع البيان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عَلى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قسمتم للمهاجرين من أموالكم ودياركم وتشاركونهم في هذه الغنيمة، وإن شئتم كانت لكم دياركم وأموالكم ولا يقسم لكم شيء من الغنيمة، ولا نشاركهم فيها،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w:t>
      </w:r>
    </w:p>
    <w:p>
      <w:pPr>
        <w:pStyle w:val="BookText"/>
        <w:rPr/>
      </w:pPr>
      <w:r>
        <w:rPr>
          <w:rFonts w:ascii="Amiri" w:hAnsi="Amiri" w:eastAsia="Amiri" w:cs="Amiri"/>
          <w:color w:val="111111"/>
          <w:sz w:val="28"/>
          <w:sz w:val="28"/>
          <w:szCs w:val="28"/>
          <w:rtl w:val="true"/>
          <w:lang w:bidi="ar-SA"/>
        </w:rPr>
        <w:t>خَصاصَةٌ</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فلقد أبدوا مطلق التفاني وغاية الإيثار وتخلوا عن حقوقهم، لأن في ذلك رضى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الامتاع للمقريزي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غنم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النضير بعث ثابت بن قيس بن شماس فدعى الأنصار كلها الأوس والخزرج، فحمد الله وأثنى عليه وذكر الأنصار وما صنعوا بالمهاجرين وإنزالهم إياهم في منازلهم وأثرتهم على أنفسهم،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 قسمت بينكم وبين المهاجرين ما أفاء عليّ من بني نضير، وكان المهاجرون على ما هم عليه من السكنى في مساكنكم وأموالكم، وإن أحببتم أعطيتهم وخرجوا من دوركم، فقال سعد بن عبادة وسعد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تقسمه للمهاجرين ويكونون في دورنا كما كانوا، ونادت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وسلمنا يا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الأنصار وأبناء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وقسم ما أفاء الله عليه على المهاجرين دون الأنصار إلاّ رجلين كانا 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الأنصاري، وأبو دجانة سماك بن خرشة الأنصاري، وأعطى سعد بن معاذ سيف ابن أبي الحقيق وكان سيفاً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يطابق مضمون سابقه مع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السيرة والكامل في التاريخ والطبري 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أبو العاص بمكة على شركه، وأقامت زينب عند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قد فّرق بينهما الإسلام، حتى إذا كان الفتح خرج أبو العاص تاجراً إلى الشام بمال له وأموال لقريش أبضعوا بها معه، وكان رجلاً مأموناً، فلمّا فرغ من تجارته وأقبل قافلاً لقيته سريّة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فأصابوا ما معه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وأعجزهم هو هارباً، فخرجت السرية بما أصابت من ماله حتى قدمت 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أبو العاص تحت الليل حتى دخل على زينب منزلها فاستجار بها فأجارته، وإنما جاء في طلب ماله الذي أصابته تلك السرية، فلما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الصبح وكبّر الناس معه صرخت زينب من صفة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أجرت أبا العاص بن الربيع،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الصبح، فلما سلّم من الصلاة أقبل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هل سمتعم 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نفس محمد بيده ما علمت بشيء مما كان حتى سمعتم، إنه يجير على الناس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فدخل على ابنته زينب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بنية أكرمي مثواه، وأحسني قراه، ولا يصلنّ إليك فإنك لا تحلين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بعث إلى تلك السرية الذين كانوا أصابوا ماله،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الرجل منا بحيث علمتم وقد أصبتم له مالاً فإن تحسنوا وتردوا عليه الذي له، فإنا نحب ذلك، وإن أبيتهم فهو فيء الله الذي أفاءه عليكم وأنتم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نرده عليه، فردوا عليه ماله ومتاعه حتى أنّ الرجل كان يأتي بالحبل ويأتي الآخر بالشنة ويأتي الآخر بالأدواة والآخر بالشظاظ حتى ردوا ماله ومتاعه بأسره من عند آخره، ولم يفقد منه شيئاً، ثم احتمل إلى مكة فلما قدمها أدّى إلى كل ذي مال من قريش ماله ممن كان بضع معه بشيء حتى إذا فرغ من ذلك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بقي لأحد منكم عندي مال لم يأخذه؟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فجزاك الله خيراً لقد وجدناك وفياً كريماً،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 لا إله إلا الله وأنّ محمداً رسول الله، والله ما منعني من الإسلام عنده إلا تخوفاً أن تظنوا أني أردت أن آكل أموالكم وأذهب بها، فإذا سلمها الله لكم وأداها إليكم فإني أشهدكم أني قد أسلمت واتبعت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سريعاً حتى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bookmarkStart w:id="408" w:name="pg8204_101065"/>
    </w:p>
    <w:p>
      <w:pPr>
        <w:pStyle w:val="BookText"/>
        <w:rPr/>
      </w:pPr>
      <w:bookmarkEnd w:id="408"/>
      <w:r>
        <w:rPr>
          <w:rFonts w:ascii="Amiri" w:hAnsi="Amiri" w:eastAsia="Amiri" w:cs="Amiri"/>
          <w:color w:val="111111"/>
          <w:sz w:val="28"/>
          <w:sz w:val="28"/>
          <w:szCs w:val="28"/>
          <w:rtl w:val="true"/>
          <w:lang w:bidi="ar-SA"/>
        </w:rPr>
        <w:t xml:space="preserve">وأيّ تفويض أقوى من هذا؟ فالمال حقهم وقد صرح بذلك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أبيتم فهو فيء الله الذي أفاءه عليكم وأنتم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لكنهم جميعاً يتنازلون عن حقهم لمجرد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تحسنوا وتردوا عليه الذي له فإنا نحب ذلك</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8924226_1051229030"/>
      <w:bookmarkStart w:id="410" w:name="_Toc152"/>
      <w:bookmarkEnd w:id="409"/>
      <w:r>
        <w:rPr>
          <w:rtl w:val="true"/>
        </w:rPr>
        <w:t xml:space="preserve">محتملات وجوه عدم عمل النبي </w:t>
      </w:r>
      <w:r>
        <w:rPr/>
        <w:t>o</w:t>
      </w:r>
      <w:r>
        <w:rPr>
          <w:rtl w:val="true"/>
        </w:rPr>
        <w:t xml:space="preserve"> </w:t>
      </w:r>
      <w:r>
        <w:rPr>
          <w:rtl w:val="true"/>
        </w:rPr>
        <w:t>بالشورى</w:t>
      </w:r>
      <w:bookmarkEnd w:id="410"/>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بالشورى في غير ما ثبت ورود نص قرآني خاص به، وفي غير ما ثبت تاريخياً إعطاء الأصحاب آراءهم له، مردد بين 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الشورى رأساً، وكون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للندب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ورود أمر خاص قرآني أو غير قرآني كالحديث القدسي في ذلك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أمره من باب إعمال الولاية في ذلك المورد، مما يخرجه من موضوع الشورى، إذ سبق أن موضوعها ما لم يرد فيه نص قرآني وشبهه، ولم ينقل الرواة ذلك أو لم يصل نقلهم إلينا، أو 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ذلك، لأجله لم يستشر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إعطاء الأصحاب أصواتهم له بقرينة مقالية أو حالية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خبر الواحد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المعلوم من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مجمل،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عملوا بأخبار وطرحوا أخباراً، فلعل وجه عملهم بما عملوا كونه متواتراً أو محفوفاً عندهم، بخلاف ما طرحوا، على ما يدعيه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الإجماع المنعقد على حجية خبر الواحد،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العمل مجمل من أجل الجهة التي وقع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الوسائل في شرح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الميرزا موسى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المرحوم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يرد على الوجهين أن جهة عمل الفقهاء بأخبار الآحاد مختلفة، لأن جماعة ومنهم الشهيد في الذكرى قد عملوا بمطلق الظن، وظاهرهم اعتبار الأخبار أيضاً من هذه الجهة، نعم ظاهر المشهور اعتبارها من باب الظنون الخاصة، ولا ريب أن إجماعهم على اعتبارها مع اختلاف جهة عملهم بها بل ومع إجمالها أيضاً لا يفيد اعتبارها من باب الظنون الخاصة كما هو المقصود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أوثق الوسائل في شرح الرسائل، للمرحوم الميرزا موسى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ثانياً فلأن ما ذكر من الاتفاق لا ينفع حتى في الخبر الذي علم اتفاق الفرقة على قبوله والعمل به، لأن الشرط في الاتفاق العملي أن يكون وجه عمل المجمعين معلوماً، أ لا ترى أنه لو اتفق جماعة يعلم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بعملهم على النظر إلى امرأة، لكن يعلم أو يحتمل أن يكون وجه نظرهم كونها زوجة لبعضهم، وأُماً لآخر، وبنتاً لثالثة، وأم زوجة لرابع، وبنت زوجة لخامس، وهكذا، فهل يجوز لغيرهم ممن لا محرمية بينها وبينه أن ينظر إليها من جهة اتفاق الجماعة الكاشف عن رضى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رأى شخص الإمام ينظر لامرأة فهل يجوز لعاقل التأسي به؟ وليس هذا كله إلا من جهة أن الفعل لا دلالة فيه على الوجه الذي يقع عليه، فلابد في الاتفاق العملي من العلم بالجهة والحيثية التي اتفق المجمعون على إيقاع الفعل من تلك الجهة والحيثية، ومرجع هذا إلى وجوب إحراز الموضوع في الحكم الشرعي المستفاد من الفعل، ففيما نحن فيه إذا علم بأن بعض المجمعين يعملون بخبر من حيث علمه بصدوره بالتواتر أو بالقرينة، وبعضهم من حيث كونه ظاناً بصدوره قاطعاً بحجية هذا الظن، فإذا لم يحصل لنا العلم بصدوره ولا العلم بحجية الظن الحاصل منه، أو علمنا بخطأ من يعمل به لأجل مطلق الظن، أو احتملنا خطأه، فلا يجوز لنا العمل بذلك الخبر تبعاً للمجمعين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نقلناه بطوله لمزيد◄ ►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المرحوم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وتوضيحه أن العمدة في دعوى خروج العدميات من محل النزاع، هو ما ادعاه صاحب الرياض من الإجماع، ولا ريب أن هذه الدعوى إنما نشأت من ملاحظة عمل العلماء بالأصول العدمية أصولاً وفروعاً، ولا ريب أن العمل من حيث كونه من قبيل الأفعال لا ظهور له في الجهة التي وقع عليها، لإجماله من هذه الجهة، كما قرر في الإجماع التقييدي،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في المقام حجية الاستصحابات العدمية بمعنى كون ثبوت العدم في الزمان الثاني مستنداً إلى ثبوته في الزمان الأول، كما هو المأخوذ في مفهوم الاستصحاب، وهذا غير ثابت من عمل العلماء، لأن غاية ما يستفاد من جهة عملهم حكمهم بثبوت الأعدام عند الشك في ثبوتها، وأما كون ذلك من جهة استصحاب العدم بالمعنى الذي عرفته أو لأجل قواعد أخرى موافقة في المؤدّى له، مثل قاعدة الشك في المانع مع احراز المقتضي حيث يحكمون بعدم المانع في مواردها، وقاعدة كون عدم الدليل دليل العدم، وقاعدة البراءة ونحوها، فلا دلالة لعملهم على تعيين أحد هذين الأمرين، فيحتمل أن يكون بناؤهم على العدم في مباحث الألفاظ مثل أصالة عدم النقل والاشتراك و أصالة عدم قرينة المجاز أو التخصيص أو التقييد أو نحو ذلك، لأجل كون عدم الدليل دليلاً ظنياً على‌العدم، والظن معتبر في مباحث الألفاظ عندهم، ويحتمل كون العمل بالظواهر ونفي قرينة المجاز والتخصيص والتقييد لأجل قاعدة إحراز المقتضي والشك في المانع، وكذا نفي الأحكام الكليّة المشكوك فيها لأجل قاعدة البراءة، وكذلك البناء على عدم النسخ لأجل ظهور الكلام في الاستمرار أو قضاء العادة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بحث الاستصحاب 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يتحقق في بعض الموارد قاعدة أخرى توجب الأخذ بمقتضى الحالة السابقة ، كقاعدة قبح التكليف من دون بيان ، أو عدم الدليل دليل العدم ، أو ظهور الدليل الدال على الحكم في استمراره أو عمومه أو إطلاقه أو نحو ذلك، و هذا لا ربط له باعتبار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بحث الاستصحاب 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ذكره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الرسائل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الاستقراء فعلى تقدير تسليم أن الشارع قد حكم في جميع موارد الشك في البقاء من جهة الرافع، لا يوجب ذلك القطع بلزوم العمل على طبق الحالة السابقة، لاحتمال أن يكون ذلك لأجل لزوم العمل على وفق المقتضي عند الشك في الرافع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حاشية الرسائل، للآخوند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التعليق على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على ذلك وجوه، الأول ظهور كلمات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الموارد وإن أمكنت المناقشة في بعضها إلا أن ذلك من ◄ ►جهة أخرى لا من جهة الكبرى الكلية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مجمل من أجل الجهة التي وقع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فليتدبر جيداً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عدم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المانع عن ظهور الأمر فيما هو ظاهر فيه</w:t>
      </w:r>
      <w:r>
        <w:rPr>
          <w:rStyle w:val="FootnoteAnchor"/>
          <w:rtl w:val="true"/>
        </w:rPr>
        <w:footnoteReference w:id="424"/>
      </w:r>
      <w:r>
        <w:rPr>
          <w:rFonts w:ascii="Amiri" w:hAnsi="Amiri" w:eastAsia="Amiri" w:cs="Amiri"/>
          <w:color w:val="111111"/>
          <w:sz w:val="28"/>
          <w:sz w:val="28"/>
          <w:szCs w:val="28"/>
          <w:rtl w:val="true"/>
          <w:lang w:bidi="ar-SA"/>
        </w:rPr>
        <w:t xml:space="preserve">، وبين غير المانع، إذ لو كان وجهه الأول كان مانعاً عن إرادة الوجوب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ولو كان وجهه الثاني أو الثالث بشقوقه لم يكن مانعاً، إذ في الثاني والثالث عدم الاستشارة لعدم تحقق موضوعها أو منصرفها،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 فيه نص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من باب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انتفاء الحكم لانتفاء الموضوع لا يعنيإذا عرفت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عدم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المانع عن ظهور الأمر فيما هو ظاهر فيه</w:t>
      </w:r>
      <w:r>
        <w:rPr>
          <w:rStyle w:val="FootnoteAnchor"/>
          <w:rtl w:val="true"/>
        </w:rPr>
        <w:footnoteReference w:id="426"/>
      </w:r>
      <w:r>
        <w:rPr>
          <w:rFonts w:ascii="Amiri" w:hAnsi="Amiri" w:eastAsia="Amiri" w:cs="Amiri"/>
          <w:color w:val="111111"/>
          <w:sz w:val="28"/>
          <w:sz w:val="28"/>
          <w:szCs w:val="28"/>
          <w:rtl w:val="true"/>
          <w:lang w:bidi="ar-SA"/>
        </w:rPr>
        <w:t xml:space="preserve">، وبين غير المانع، إذ لو كان وجهه الأول كان مانعاً عن إرادة الوجوب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ولو كان وجهه الثاني أو الثالث بشقوقه لم يكن مانعاً، إذ في الثاني والثالث عدم الاستشارة لعدم تحقق موضوعها أو منصرفها،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 فيه نص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من باب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انتفاء الحكم لانتفاء الموضوع لا يعنيانتفاءه مع وجود الموضوع، فلا يصلح مانعاً عن ظهور الأمر في الوجوب مع تحقق الموضوع، وأما الأخير فليس مانعاً أيضاً، إذ ليس معارضاً حتى يكون مانعاً، إذ لا مانعة جمع بين وجوب العمل برأي الأكثرية وبين العمل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تفويض الأكثرية الرأي إليه، بل هذا صغرى ذاك، لأنه عمل برأي الأكثرية حقيقة، غاية الأمر أن العمل برأيها الإجمالي ههنا، إذ لا رأي تفصيلي لها قبل التفويض، إذ أن رأيها هو ما يرتئيه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برأيها الثانوي مع تخليها عن رأيها الأولي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تردد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المانعية واللا مانعية، كان الأصل عدم المانعية، والمانعية موقوفة على إثبات سائر الاحتمالات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أصل حاكم وهو أصالة عدم ورود أمر إلهي خاص، وأصالة </w:t>
      </w:r>
    </w:p>
    <w:p>
      <w:pPr>
        <w:pStyle w:val="BookText"/>
        <w:rPr/>
      </w:pPr>
      <w:r>
        <w:rPr>
          <w:rFonts w:ascii="Amiri" w:hAnsi="Amiri" w:eastAsia="Amiri" w:cs="Amiri"/>
          <w:color w:val="111111"/>
          <w:sz w:val="28"/>
          <w:sz w:val="28"/>
          <w:szCs w:val="28"/>
          <w:rtl w:val="true"/>
          <w:lang w:bidi="ar-SA"/>
        </w:rPr>
        <w:t xml:space="preserve">عدم كونه من باب الولاية، وأصالة عدم إعطاء أصحابه آراءهم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هذا الأصل الحاكم معارض بمثله، وهو أصالة عدم كون عدم عمله قرينة على كون الأمر للندب، لذا تصل النوبة للأصل المحكوم السابق الذكر،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القرينية المتصل مخل بالظهور، إذ كلما كان الكلام محفوفاً أو مقروناً بحال أو مقال يصلح لأن يكون قرينة لإرادة خلاف الظاهر منه، يرتفع الظهور عنه ويصير من المجملات، وذلك مثل الإنشاء المتعقب لجمل متعددة، وكالأمر الوارد عقيب الحظر أو توهمه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ذلك، والموارد مختلفة بنظر العرف، ومما يشهد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الموارد مختلفة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الوجدان وظهور ذلك لمن تتبع فهم العرف في الموارد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المرحوم الآشتياني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الاستصحاب، حيث أورد على الاستدلال بالصحيحة الأولى لزرارة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سبق اليقين وإن لم يكن قرينة للعهد فلا إشكال في كونه صالحاً لأن يعتمد المتكلم عليه، ويريد العهد من اللام في اليقينلا الجنس، وقد تقرر في مسألة حجية الظواهر وفاقاً لشيخنا الأستاذ العلامة أن كلما كان الكلام محفوفاً أو مقروناً بحال أو مقال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ما تقرر في محله ليس قضية دائمة، بل ربما يتخلف من جهة خصوص المقام، ونحن نجد بالوجدان ظهور اللام في الجنس في خصوص المقام ولو مع ملاحظة سبق ذكر اليقين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المحتمل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ليس متصلاً، إذ موارد عدم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كانت قبل آن نزول الآية أو بعده لا معه، فمحتمل القرينية منفصل إذن، واحتمال وقوع حادثة في آن نزول الآية لم يعمل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مدفوع بالأصل، وبأنه بعيد إلى الغاية، والاتصال هو المحتاج للإحراز، لأن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سقوط الظهور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يجاب بأن الحالة العامة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عدم العمل، والآيات نزلت والحال هذه، فالقرينة المقامية حافة عامة،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الاتصال معارضة بأصالة عدم الانفصال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يتعارضان فيتساقطان، فلا محرز للاتصال الذي يترتب الأثر عليه</w:t>
      </w:r>
      <w:r>
        <w:rPr>
          <w:rFonts w:eastAsia="Amiri" w:cs="Amiri" w:ascii="Amiri" w:hAnsi="Amiri"/>
          <w:color w:val="111111"/>
          <w:sz w:val="28"/>
          <w:szCs w:val="28"/>
          <w:rtl w:val="true"/>
          <w:lang w:bidi="ar-SA"/>
        </w:rPr>
        <w:t xml:space="preserve">. </w:t>
      </w:r>
      <w:bookmarkStart w:id="411" w:name="pg8204_101071"/>
    </w:p>
    <w:p>
      <w:pPr>
        <w:pStyle w:val="Heading6"/>
        <w:numPr>
          <w:ilvl w:val="5"/>
          <w:numId w:val="1"/>
        </w:numPr>
        <w:rPr/>
      </w:pPr>
      <w:bookmarkStart w:id="412" w:name="__RefHeading___Toc8924228_1051229030"/>
      <w:bookmarkStart w:id="413" w:name="_Toc153"/>
      <w:bookmarkEnd w:id="411"/>
      <w:bookmarkEnd w:id="412"/>
      <w:r>
        <w:rPr>
          <w:rtl w:val="true"/>
        </w:rPr>
        <w:t>الجواب الرابع</w:t>
      </w:r>
      <w:r>
        <w:rPr>
          <w:rtl w:val="true"/>
        </w:rPr>
        <w:t xml:space="preserve">: </w:t>
      </w:r>
      <w:r>
        <w:rPr>
          <w:rtl w:val="true"/>
        </w:rPr>
        <w:t>وجوب الشورى مردد بين الموضوعية والطريقية</w:t>
      </w:r>
      <w:bookmarkEnd w:id="413"/>
    </w:p>
    <w:p>
      <w:pPr>
        <w:pStyle w:val="BookText"/>
        <w:rPr/>
      </w:pPr>
      <w:r>
        <w:rPr>
          <w:rFonts w:ascii="Amiri" w:hAnsi="Amiri" w:eastAsia="Amiri" w:cs="Amiri"/>
          <w:color w:val="111111"/>
          <w:sz w:val="28"/>
          <w:sz w:val="28"/>
          <w:szCs w:val="28"/>
          <w:rtl w:val="true"/>
          <w:lang w:bidi="ar-SA"/>
        </w:rPr>
        <w:t xml:space="preserve">إن وجوب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الموضوعية والطريقية، وعلى كلا التقديرين لا يكون عدم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عدم الوجوب</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8924230_1051229030"/>
      <w:bookmarkStart w:id="415" w:name="_Toc154"/>
      <w:bookmarkEnd w:id="414"/>
      <w:r>
        <w:rPr>
          <w:rtl w:val="true"/>
        </w:rPr>
        <w:t>الموضوعية وباب التزاحم</w:t>
      </w:r>
      <w:bookmarkEnd w:id="415"/>
    </w:p>
    <w:p>
      <w:pPr>
        <w:pStyle w:val="BookText"/>
        <w:rPr/>
      </w:pPr>
      <w:r>
        <w:rPr>
          <w:rFonts w:ascii="Amiri" w:hAnsi="Amiri" w:eastAsia="Amiri" w:cs="Amiri"/>
          <w:color w:val="111111"/>
          <w:sz w:val="28"/>
          <w:sz w:val="28"/>
          <w:szCs w:val="28"/>
          <w:rtl w:val="true"/>
          <w:lang w:bidi="ar-SA"/>
        </w:rPr>
        <w:t xml:space="preserve">فإن كان للموضوعية، فعدم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لعلّه لباب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الشورى إن كان من باب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يكن من باب الأقربية للواقع، بل لوجود مصلحة في نفس الشورى والاستشارة، مع قطع النظر عن الواقع والإيصال إليه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القلوب، وإظهار الاعتماد عليهم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اعتبار العدالة في باب الفتوى مثلاً مأخوذ من باب الموضوعية، إذ حتى لو علم بعدم كذب الفاسق في استنباطه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إخباره أن هذا هو ما استنبطه مستفرغاً 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تقليده، وكذا في باب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فربما يكون عدم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من باب التزاحم لا لعدم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كل واجدي الملاك مع أهمية أحد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عارضها ذو ملاك أقوى،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وتركها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عدم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بالشورى من باب دوران </w:t>
      </w:r>
      <w:bookmarkStart w:id="416" w:name="pg8204_101072"/>
    </w:p>
    <w:p>
      <w:pPr>
        <w:pStyle w:val="BookText"/>
        <w:rPr/>
      </w:pPr>
      <w:bookmarkEnd w:id="416"/>
      <w:r>
        <w:rPr>
          <w:rFonts w:ascii="Amiri" w:hAnsi="Amiri" w:eastAsia="Amiri" w:cs="Amiri"/>
          <w:color w:val="111111"/>
          <w:sz w:val="28"/>
          <w:sz w:val="28"/>
          <w:szCs w:val="28"/>
          <w:rtl w:val="true"/>
          <w:lang w:bidi="ar-SA"/>
        </w:rPr>
        <w:t xml:space="preserve">الأمر بين العمل بالشورى، وبين حفظ بيضة الإسلام كما في بعض الحروب، كما كان عفو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مكة، وعفو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البصرة مع أنهم بغاة حكمهم القتل ونظائره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وَأَرْجُلُهُمْمِنْ خِلافٍ أَوْ يُنْفَوْا مِنَ الأَرْضِ</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وأرجحية ملاك العفو ومصلحته على ملاك القتل، وكما كان أمر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بالظواهر في باب القضاء وأضرابه وعملهم بها من هذا الباب لتزاحم مصلحة الواقع بمصحلة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 للناس أسوة</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8924232_1051229030"/>
      <w:bookmarkStart w:id="418" w:name="_Toc155"/>
      <w:bookmarkEnd w:id="417"/>
      <w:r>
        <w:rPr>
          <w:rtl w:val="true"/>
        </w:rPr>
        <w:t>الطريقية والحجة الأقوى</w:t>
      </w:r>
      <w:bookmarkEnd w:id="418"/>
    </w:p>
    <w:p>
      <w:pPr>
        <w:pStyle w:val="BookText"/>
        <w:rPr/>
      </w:pPr>
      <w:r>
        <w:rPr>
          <w:rFonts w:ascii="Amiri" w:hAnsi="Amiri" w:eastAsia="Amiri" w:cs="Amiri"/>
          <w:color w:val="111111"/>
          <w:sz w:val="28"/>
          <w:sz w:val="28"/>
          <w:szCs w:val="28"/>
          <w:rtl w:val="true"/>
          <w:lang w:bidi="ar-SA"/>
        </w:rPr>
        <w:t xml:space="preserve">وإن كان للطريقية فعدم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الحجة الأقوى الأقرب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وجوبها من باب الطريقية بملاك أقربية رأي الأكثرية إلى الواقع من رأي الفرد، فكذلك لا يكون عدم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دليلاً على عدم حجيتها ووجوبها، إذ في باب الطرق الشرعية يقدم الأقوى على الأضعف، سواء كان المناط في الحجية الظن النوعي مطلقاً، أو مع عدم الظن الشخصي بالخلاف، أو كان المناط الظن الشخصي، كخبر الواحد والاستصحاب بناءً على كونه حجة لا من باب التعبد على بعض المسالك</w:t>
      </w:r>
      <w:r>
        <w:rPr>
          <w:rStyle w:val="FootnoteAnchor"/>
          <w:rtl w:val="true"/>
        </w:rPr>
        <w:footnoteReference w:id="430"/>
      </w:r>
      <w:r>
        <w:rPr>
          <w:rFonts w:ascii="Amiri" w:hAnsi="Amiri" w:eastAsia="Amiri" w:cs="Amiri"/>
          <w:color w:val="111111"/>
          <w:sz w:val="28"/>
          <w:sz w:val="28"/>
          <w:szCs w:val="28"/>
          <w:rtl w:val="true"/>
          <w:lang w:bidi="ar-SA"/>
        </w:rPr>
        <w:t xml:space="preserve">، فتأمل، وكتعارض خبرين </w:t>
      </w:r>
      <w:bookmarkStart w:id="419" w:name="pg8204_101073"/>
    </w:p>
    <w:p>
      <w:pPr>
        <w:pStyle w:val="BookText"/>
        <w:rPr/>
      </w:pPr>
      <w:bookmarkEnd w:id="419"/>
      <w:r>
        <w:rPr>
          <w:rFonts w:ascii="Amiri" w:hAnsi="Amiri" w:eastAsia="Amiri" w:cs="Amiri"/>
          <w:color w:val="111111"/>
          <w:sz w:val="28"/>
          <w:sz w:val="28"/>
          <w:szCs w:val="28"/>
          <w:rtl w:val="true"/>
          <w:lang w:bidi="ar-SA"/>
        </w:rPr>
        <w:t xml:space="preserve">لأحدهما مرجح صدوري أو جهتي أو مضموني حسب 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من الترجيح بملاك الأقربية للواقع، والتعدي عن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 أن ما يراه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للواقع مائة في المائة، والشورى غالبة المطابقة، ومن الواضح ترجح دائم المطابقة على غالبها ولزوم اتباعه دونه</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8924234_1051229030"/>
      <w:bookmarkStart w:id="421" w:name="_Toc156"/>
      <w:bookmarkEnd w:id="420"/>
      <w:r>
        <w:rPr>
          <w:rtl w:val="true"/>
        </w:rPr>
        <w:t>إشكالات وأجوبة</w:t>
      </w:r>
      <w:bookmarkEnd w:id="421"/>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فللفقيه الحق إذن بمخالفة رأي الأكثرية واتباع رأيه في الموضوعات العامة، لأنه يرى رأيه الأقرب مطابقة للواقع؟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 سيجيء مفصلاً إثبات أن رأي الشورى أقرب للواقع، وأن الظن النوعي الحاصل منها أقوى من الحاصل من استنباط المستنبط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المطابقة فلا يصح إيجاب الشورى غير دائمة المطابقة عليه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صحيحة، والإشكال وارد لو قلنا بأن وجوبها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الطريقية الصرفة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أوجبها الله عليه مع دائمة مطابقة رأيه وغالبية مطابقتها، أما لو التزمنا بوجوبها عليه من باب الموضوعية أو من باب الموضوعية والطريقية</w:t>
      </w:r>
      <w:r>
        <w:rPr>
          <w:rStyle w:val="FootnoteAnchor"/>
          <w:rtl w:val="true"/>
        </w:rPr>
        <w:footnoteReference w:id="431"/>
      </w:r>
      <w:r>
        <w:rPr>
          <w:rFonts w:ascii="Amiri" w:hAnsi="Amiri" w:eastAsia="Amiri" w:cs="Amiri"/>
          <w:color w:val="111111"/>
          <w:sz w:val="28"/>
          <w:sz w:val="28"/>
          <w:szCs w:val="28"/>
          <w:rtl w:val="true"/>
          <w:lang w:bidi="ar-SA"/>
        </w:rPr>
        <w:t xml:space="preserve">فلا، إذ ليس الملحوظ في ما ليس حجيته ووجوبه </w:t>
      </w:r>
    </w:p>
    <w:p>
      <w:pPr>
        <w:pStyle w:val="BookText"/>
        <w:rPr/>
      </w:pPr>
      <w:r>
        <w:rPr>
          <w:rFonts w:ascii="Amiri" w:hAnsi="Amiri" w:eastAsia="Amiri" w:cs="Amiri"/>
          <w:color w:val="111111"/>
          <w:sz w:val="28"/>
          <w:sz w:val="28"/>
          <w:szCs w:val="28"/>
          <w:rtl w:val="true"/>
          <w:lang w:bidi="ar-SA"/>
        </w:rPr>
        <w:t>من باب الطريقية الصرفة، الواقع إطلاقاً أو بمفرده حتى يكون الأمر باتباع غير دائم المطابقة، قبيحاً ونقضاً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وجوبها علينا هل هو من باب الطريقية، أو الموضوعية، أو من باب لحاظ الجهتين، فسيجيء إن شاء الله تعالى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أقربية إحدى الحجتين إلى الواقع مرجحة له على الآخر، فيما لو كان الآخر حجة من باب الموضوعية</w:t>
      </w:r>
      <w:r>
        <w:rPr>
          <w:rStyle w:val="FootnoteAnchor"/>
          <w:rtl w:val="true"/>
        </w:rPr>
        <w:footnoteReference w:id="432"/>
      </w:r>
      <w:r>
        <w:rPr>
          <w:rFonts w:ascii="Amiri" w:hAnsi="Amiri" w:eastAsia="Amiri" w:cs="Amiri"/>
          <w:color w:val="111111"/>
          <w:sz w:val="28"/>
          <w:sz w:val="28"/>
          <w:szCs w:val="28"/>
          <w:rtl w:val="true"/>
          <w:lang w:bidi="ar-SA"/>
        </w:rPr>
        <w:t xml:space="preserve">، ولذا تجد الفقهاء لا يرجحون في باب التعارض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لو كانوا قائلين بحجيته من باب الظن النوعي، حيث يتقوى به حينئذٍ الخبر الموافق له فيكون أقرب إلى الحق والواقع</w:t>
      </w:r>
      <w:r>
        <w:rPr>
          <w:rStyle w:val="FootnoteAnchor"/>
          <w:rtl w:val="true"/>
        </w:rPr>
        <w:footnoteReference w:id="433"/>
      </w:r>
      <w:r>
        <w:rPr>
          <w:rFonts w:ascii="Amiri" w:hAnsi="Amiri" w:eastAsia="Amiri" w:cs="Amiri"/>
          <w:color w:val="111111"/>
          <w:sz w:val="28"/>
          <w:sz w:val="28"/>
          <w:szCs w:val="28"/>
          <w:rtl w:val="true"/>
          <w:lang w:bidi="ar-SA"/>
        </w:rPr>
        <w:t>فلا مانع حينئذٍ منالترجيح به، إلا لزوم تخصيص أخبار التخيير بما إذا لم يكن هناك أصل على طبق أحدهما وهو إخراج لأكثر موارد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بناء على حجيته من باب التعبد لا تشمله الكلية المستفادة من الروايات الواردة في الترجيح من الترجيح بما يوجب نفي الريب الإضافي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حيث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بالمشهور به،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ومن ترجيح الخبر المخالف للعامة معللاً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العامة ففيه الرشاد وأن الحق فيما خالفهم</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وأن ما وافقهم فيه التقية، إلى آخر الروايات، الظاهر كل ذلك في الترجيح بمناط الأقربية</w:t>
      </w:r>
      <w:r>
        <w:rPr>
          <w:rFonts w:eastAsia="Amiri" w:cs="Amiri" w:ascii="Amiri" w:hAnsi="Amiri"/>
          <w:color w:val="111111"/>
          <w:sz w:val="28"/>
          <w:szCs w:val="28"/>
          <w:rtl w:val="true"/>
          <w:lang w:bidi="ar-SA"/>
        </w:rPr>
        <w:t xml:space="preserve">. </w:t>
      </w:r>
      <w:bookmarkStart w:id="422" w:name="pg8204_101075"/>
    </w:p>
    <w:p>
      <w:pPr>
        <w:pStyle w:val="Heading6"/>
        <w:numPr>
          <w:ilvl w:val="5"/>
          <w:numId w:val="1"/>
        </w:numPr>
        <w:rPr/>
      </w:pPr>
      <w:bookmarkStart w:id="423" w:name="__RefHeading___Toc8924236_1051229030"/>
      <w:bookmarkStart w:id="424" w:name="_Toc157"/>
      <w:bookmarkEnd w:id="422"/>
      <w:bookmarkEnd w:id="423"/>
      <w:r>
        <w:rPr>
          <w:rtl w:val="true"/>
        </w:rPr>
        <w:t>الجواب الخامس</w:t>
      </w:r>
      <w:r>
        <w:rPr>
          <w:rtl w:val="true"/>
        </w:rPr>
        <w:t xml:space="preserve">: </w:t>
      </w:r>
      <w:r>
        <w:rPr>
          <w:rtl w:val="true"/>
        </w:rPr>
        <w:t xml:space="preserve">عدم وجوب الشورى عليه </w:t>
      </w:r>
      <w:r>
        <w:rPr/>
        <w:t>o</w:t>
      </w:r>
      <w:r>
        <w:rPr>
          <w:rtl w:val="true"/>
        </w:rPr>
        <w:t xml:space="preserve"> </w:t>
      </w:r>
      <w:r>
        <w:rPr>
          <w:rtl w:val="true"/>
        </w:rPr>
        <w:t>لا ينفي وجوبها على المسلمين</w:t>
      </w:r>
      <w:bookmarkEnd w:id="424"/>
    </w:p>
    <w:p>
      <w:pPr>
        <w:pStyle w:val="BookText"/>
        <w:rPr/>
      </w:pPr>
      <w:r>
        <w:rPr>
          <w:rFonts w:ascii="Amiri" w:hAnsi="Amiri" w:eastAsia="Amiri" w:cs="Amiri"/>
          <w:color w:val="111111"/>
          <w:sz w:val="28"/>
          <w:sz w:val="28"/>
          <w:szCs w:val="28"/>
          <w:rtl w:val="true"/>
          <w:lang w:bidi="ar-SA"/>
        </w:rPr>
        <w:t xml:space="preserve">سلمنا عدم وجوب الشورى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لاينفي وجوبها على سائر المسلمين، بل لا ينفي استفادة وجوبها من نفس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 وإن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بها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يتم في ضمن أمرين</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8924238_1051229030"/>
      <w:bookmarkStart w:id="426" w:name="_Toc158"/>
      <w:bookmarkEnd w:id="425"/>
      <w:r>
        <w:rPr/>
        <w:t>1</w:t>
      </w:r>
      <w:r>
        <w:rPr>
          <w:rtl w:val="true"/>
        </w:rPr>
        <w:t xml:space="preserve">: </w:t>
      </w:r>
      <w:r>
        <w:rPr>
          <w:rtl w:val="true"/>
        </w:rPr>
        <w:t xml:space="preserve">الأصل في الأوامر القرآنية عمومها للكل وإن وردت بصيغة خطاب للنبي </w:t>
      </w:r>
      <w:r>
        <w:rPr/>
        <w:t>o</w:t>
      </w:r>
      <w:bookmarkEnd w:id="4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الأوامر والنواهي القرآنية الموجهة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المخاطب المفرد، الأصل فيها أن تكون عامة لكل المسلمين غير مختصة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ثبت من الخارج اختصاص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والدليل على ذلك ما ثبت بالإجماع وبالضرورة من اشتراك المسلمين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جميعاً إلا ما قام الدليل الخارجي على أنه من مختصات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السواك، ووجوب صلاة الليل، وصحة </w:t>
      </w:r>
    </w:p>
    <w:p>
      <w:pPr>
        <w:pStyle w:val="BookText"/>
        <w:rPr/>
      </w:pPr>
      <w:r>
        <w:rPr>
          <w:rFonts w:ascii="Amiri" w:hAnsi="Amiri" w:eastAsia="Amiri" w:cs="Amiri"/>
          <w:color w:val="111111"/>
          <w:sz w:val="28"/>
          <w:sz w:val="28"/>
          <w:szCs w:val="28"/>
          <w:rtl w:val="true"/>
          <w:lang w:bidi="ar-SA"/>
        </w:rPr>
        <w:t xml:space="preserve">هبة المؤمنة نفسها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والزيادة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فكل ما لم ينص على إخراجه من هذا العموم وكونه من المختصات، داخل في العموم، لما قرر في بحث الألفاظ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العام المخصص وإن كان بالمتصل، له ظهور في الباقي، وعلى ذلك بناء العقلاء في كل عام أو مطلق خصص أو قيد، ويتضح هذا بملاحظة أن المولى لو أمر عبده بإكرام العلماء واستثنى زيداً بقرينة متصلة أو منفصلة، فهل يصح للعبد أن يتعلل لعدم إكرامه الآخرين بعدم انعقاد ظهور للعام في الباقي، بعد ثلم ظهوره في المعنى الموضوع له؟ وكذا لو استثنى مجموعة من العلماء بل أصنافاً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إلى أن المتتبع للآيات الكريمة يجد جريان سنة الله جل وعلا في كثير من الموارد على إنزال حكم عام وقاعدة شاملة لكل المسلمين، ولكن بصيغة خطاب موجه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الخطاب يحتاج إلى طرف، وكثيراً ما يحسن في الحكمة كونطرف الخطاب أحد المأمورين وعدم توجيه الخطاب لجميعهم، وذلك إما لأفضليته، أو لشدة العناية به، أو لكونه هو الشاغل لمركز القيادة، أو لكونه هو المأمور بتبليغ الحكم للمسلمين، أو لكونه هو المصداق الأجلى أو الفعلي، أو غير ذلك من المصالح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الأمثلة من القرآن الحكيم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وَالمُنافِقِينَ وَاغْلُظْ عَلَيْهِمْ</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 فمع أن جهاد الكفار والمنافقين واجب على الجميع، وجه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وبصيغة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 وَلا تُطِعِ الْكافِرِينَ وَالمُنافِقِينَ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ما يُوحى إِلَيْكَ مِنْ رَبِّكَ</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 فهل وجوب اتباع ما يوحى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مختص به؟</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وَتَوَكَّلْ عَلَى اللهِ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الْكافِرِينَ وَالمُنافِقِينَ وَدَعْ أَذاهُمْ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الهبة مختصة به للدليل الخارجي وكذا الفيء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فمع أن وجوب القول للأزواجوالبنات ونساء المؤمنين وأمرهم بالحجاب حكم عام لكل قادر على الأمر بالمعروف، مع ذلك وجه الله تعالى الخطاب للنبي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 اللهِ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السَّماواتِ وَالأَرْضِ قُلِ اللهُ</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تُسْئَلُونَ عَمَّا أَجْرَمْنا وَلا نُسْئَلُ عَمَّا تَعْمَلُونَ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لَكُمْ مِيعادُ يَوْمٍ لا تَسْتَأْخِرُونَ عَنْهُ ساعَةً وَلا تَسْتَقْدِمُونَ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كُنْتَ فِيهِمْ فَأَقَمْتَ لَهُمُ الصَّلاةَ فَلْتَقُمْ طائِفَةٌ مِنْهُمْ مَعَكَ وَلْيَأْخُذُوا أَسْلِحَتَهُمْ فَإِذا سَجَدُوا فَلْيَكُونُوا مِنْ وَرائِكُمْ وَلْتَأْتِ طائِفَةٌ أُخْرى لَمْ يُصَلُّوا فَلْيُصَلُّوا مَعَكَ وَلْيَأْخُذُوا حِذْرَهُمْ</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إلى غير ذلك من </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على أن ورود الخطابات القرآنية بصيغة المفرد المخاطب إنما هو لإحدى العلل السابقة وأشباهها ولا إشعار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وروده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اختصاص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w:t>
      </w:r>
    </w:p>
    <w:p>
      <w:pPr>
        <w:pStyle w:val="BookText"/>
        <w:rPr/>
      </w:pPr>
      <w:r>
        <w:rPr>
          <w:rFonts w:ascii="Amiri" w:hAnsi="Amiri" w:eastAsia="Amiri" w:cs="Amiri"/>
          <w:color w:val="111111"/>
          <w:sz w:val="28"/>
          <w:sz w:val="28"/>
          <w:szCs w:val="28"/>
          <w:rtl w:val="true"/>
          <w:lang w:bidi="ar-SA"/>
        </w:rPr>
        <w:t>وَالْمُنافِقِينَ وَاغْلُظْ عَلَيْهِمْ وَمَأْواهُمْ جَهَنَّمُ وَبِئْسَ الْمَصِيرُ</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ففي الآية الرابعة توجيه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منباب أن الخطاب يحتاج لطرف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الأولى تغيير الخطاب من الجمع إلى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فَاجْنَحْ</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مع أن الحكمين عامان لكل المسلمين، إذ كما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الجنوح إلى السلم، يجب عليهم أيضاً، وقد يكون لأجل كونه هو الشاغل للمركز القيادي وأن بيده الأمر فوجه الأمر بالجنوح إلى السلم إليه لأن نسبته إلى القائد أولى، أما الإعداد للحرب فهو شأن عامة المسلمين بعد صدور القرار بالحرب أو قبله فلذا وجه الخطاب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فَأَتِمُّوا إِلَيْهِمْ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 مِنَ المُشْرِكِينَ اسْتَجارَكَ فَأَجِرْهُ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مع أن المشرك لو أجاره المسلم ليسمع كلام الله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يقال في الآية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هذا البحث ليس إثبات الصغريات وبيان النكتة في تغيير </w:t>
      </w:r>
    </w:p>
    <w:p>
      <w:pPr>
        <w:pStyle w:val="BookText"/>
        <w:rPr/>
      </w:pPr>
      <w:r>
        <w:rPr>
          <w:rFonts w:ascii="Amiri" w:hAnsi="Amiri" w:eastAsia="Amiri" w:cs="Amiri"/>
          <w:color w:val="111111"/>
          <w:sz w:val="28"/>
          <w:sz w:val="28"/>
          <w:szCs w:val="28"/>
          <w:rtl w:val="true"/>
          <w:lang w:bidi="ar-SA"/>
        </w:rPr>
        <w:t xml:space="preserve">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يناقش في بعضها وقد تكون هناك نكات أخرى أدق وأنسب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إثبات أن توجيه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لأجل اختصاصه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لو ثبت خارجاً ذلك، ولو من باب عدم تحقق الموضوع في غيره، مثلاً لو قلنا فرضاً بعدم معقولية كون اتخاذ قرار السلم بيد غير القائد العام فقط فيكون توجيه الخطاب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عدم تحقق الموضوع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نكتة خاصة مما ذكر ومن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الفقهاء لا يستفيدون من الخطابات الموجهة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به حكماً غير شاملة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البعض على حجية خبر الواحد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وَيُؤْمِنُلِلْمُؤْمِنِينَ</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حيث مدح الله عز وجل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بتصديقه للمؤمنين، بل قرنه بالتصديق بالله عز وجل، فإذا كان التصديق حسناً يكون واجباً</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وجه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مع ذلك استدل بها على حسن أن يؤمن كل شخص للمؤمنين، فإذا حسن وجب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يقبل دلالة الآية على المدعى، إلا أن ذلك كان من جهات أخرى لا من جهة اختصاص الحكم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 صفته في الآية، ولذا لم يستشكل على الاستشهاد بهذا الإشكال، كما لم يستشكل الخراساني في حاشيته على الرسائل، ولا الآشتياني، ولا صاحب الأوثق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الإشكال لو </w:t>
      </w:r>
    </w:p>
    <w:p>
      <w:pPr>
        <w:pStyle w:val="BookText"/>
        <w:rPr/>
      </w:pPr>
      <w:r>
        <w:rPr>
          <w:rFonts w:ascii="Amiri" w:hAnsi="Amiri" w:eastAsia="Amiri" w:cs="Amiri"/>
          <w:color w:val="111111"/>
          <w:sz w:val="28"/>
          <w:sz w:val="28"/>
          <w:szCs w:val="28"/>
          <w:rtl w:val="true"/>
          <w:lang w:bidi="ar-SA"/>
        </w:rPr>
        <w:t xml:space="preserve">كان صحيحاً عندهم وكانوا يرون اختصاص حكم الخطابات الموجهة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لكان أحرى بالذكر وأوجه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وتسرية الحكم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مع توجه الخطاب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ما ذكرناه وبرهنا عليه بتتبع الآيات، وإما من جهتين أخريين ذكرهما الميرزا محمد حسن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بحر الفوائد عند الحديث حول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تسرية الحكم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إما من جهة دلالة الآية على حسن التصديق بقول مطلق من غير فرق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وإما من جهة ما دل على حسن المتابعة والأسوة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والفرق بين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الموجه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بنفسه على عموم الحكم، منتهى الأمر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الثاني</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من باب تنقيح المناط أو لمناسبة الحكم والموضوع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لا بدلالة نفس اللفظ، ولا بتنقيح المناط، بل بدلالة عمومات لزوم 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bookmarkStart w:id="427" w:name="pg8204_101083"/>
    </w:p>
    <w:p>
      <w:pPr>
        <w:pStyle w:val="Heading6"/>
        <w:numPr>
          <w:ilvl w:val="5"/>
          <w:numId w:val="1"/>
        </w:numPr>
        <w:rPr/>
      </w:pPr>
      <w:bookmarkStart w:id="428" w:name="__RefHeading___Toc8924240_1051229030"/>
      <w:bookmarkStart w:id="429" w:name="_Toc159"/>
      <w:bookmarkEnd w:id="427"/>
      <w:bookmarkEnd w:id="428"/>
      <w:r>
        <w:rPr>
          <w:rtl w:val="true"/>
        </w:rPr>
        <w:t>ثمرة عمومية خطابات القرآن في المقام</w:t>
      </w:r>
      <w:bookmarkEnd w:id="429"/>
    </w:p>
    <w:p>
      <w:pPr>
        <w:pStyle w:val="BookText"/>
        <w:rPr/>
      </w:pPr>
      <w:r>
        <w:rPr>
          <w:rFonts w:ascii="Amiri" w:hAnsi="Amiri" w:eastAsia="Amiri" w:cs="Amiri"/>
          <w:color w:val="111111"/>
          <w:sz w:val="28"/>
          <w:sz w:val="28"/>
          <w:szCs w:val="28"/>
          <w:rtl w:val="true"/>
          <w:lang w:bidi="ar-SA"/>
        </w:rPr>
        <w:t>إذا ثبتت المقدمة الأولى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وإن كان الخطاب فيها موجهاً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عامة لكل قائد، بل لكل مسلم فيما أنيط به من أمر،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حكم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المحتاج للإثبات، بالضرورة والإجماع، فإن لم يثبت الاختصاص فإنه داخل تحت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وفي إطلاق الإجماع أو في معقده، بل الأمر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الحقيقة تقتضي أن يكون المخاطب بالحكم هو المختص 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الحقيقة لا تقتضي ذلك، بل تقتضي صرف ثبوت الحكم له ساكتة عن غيره، ويثبت حكم الغير بأدلة اشتراك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أصالة الحقيقة تقتضي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عن رفع اليد عنها لغلبة المجاز غلبة عظيمة عليه، إذ أثبتنا أن أغلب خطابات القرآن الكريم الموجهة بصيغة المفرد المخاطب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الحكم فيها مختصاً به، والنادر</w:t>
      </w:r>
      <w:r>
        <w:rPr>
          <w:rStyle w:val="FootnoteAnchor"/>
          <w:rtl w:val="true"/>
        </w:rPr>
        <w:footnoteReference w:id="471"/>
      </w:r>
      <w:r>
        <w:rPr>
          <w:rFonts w:ascii="Amiri" w:hAnsi="Amiri" w:eastAsia="Amiri" w:cs="Amiri"/>
          <w:color w:val="111111"/>
          <w:sz w:val="28"/>
          <w:sz w:val="28"/>
          <w:szCs w:val="28"/>
          <w:rtl w:val="true"/>
          <w:lang w:bidi="ar-SA"/>
        </w:rPr>
        <w:t xml:space="preserve">منها اختص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لم نقل بالتفكيك بين الإرادتين الجدية والاستعمالية، وأنه لا مجاز في مرحلة الاستعمال، بل القرينة العامة من الضرورة وغيرها تتصرف في الإرادة </w:t>
      </w:r>
      <w:bookmarkStart w:id="430" w:name="pg8204_101084"/>
    </w:p>
    <w:p>
      <w:pPr>
        <w:pStyle w:val="BookText"/>
        <w:rPr/>
      </w:pPr>
      <w:bookmarkEnd w:id="430"/>
      <w:r>
        <w:rPr>
          <w:rFonts w:ascii="Amiri" w:hAnsi="Amiri" w:eastAsia="Amiri" w:cs="Amiri"/>
          <w:color w:val="111111"/>
          <w:sz w:val="28"/>
          <w:sz w:val="28"/>
          <w:szCs w:val="28"/>
          <w:rtl w:val="true"/>
          <w:lang w:bidi="ar-SA"/>
        </w:rPr>
        <w:t>الجدية، فالخطاب مستعمل فيما هوالموضوع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وإن كان الخطاب فيها موجهاً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لنكتة ما من النكات السابقة الذكر، إلا أنه حكم عام شامل للجميع</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8924242_1051229030"/>
      <w:bookmarkStart w:id="432" w:name="_Toc160"/>
      <w:bookmarkEnd w:id="431"/>
      <w:r>
        <w:rPr/>
        <w:t>2</w:t>
      </w:r>
      <w:r>
        <w:rPr>
          <w:rtl w:val="true"/>
        </w:rPr>
        <w:t xml:space="preserve">: </w:t>
      </w:r>
      <w:r>
        <w:rPr>
          <w:rtl w:val="true"/>
        </w:rPr>
        <w:t>استثناء الفرد الواحد لا يخل بظهور العام</w:t>
      </w:r>
      <w:bookmarkEnd w:id="43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الثابت أصولياً أن استثناء فرد واحد لا يخل بظهور العام، فلو فرض أن الشورى أو حتى الاستشارة لم تكن واجبة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العمل الخارجي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بأي دليل آخر، فليست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وجوب الشورى عليه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التباين حتى يحمل الأمر على الاستحباب، لكون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في عدم الوجوب، والأمر ظاهراً، بل النسبة هي العموم المطلق، إذ سبق في المقدمة الأولى 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عام، فهو يساوي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لا تنافي بين العام والخاص والمطلق والمقيد، إذ هما من موارد الجمع المقبول لعدم تحقق التعارض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عنكما الخبران المتعارضان بأيهما نعمل</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والذي هو الموضوع للتساقط كأصل أولي، وللترجيح أو التخيير كأصل ثانوي، دلت عليه الروايات، فلا مانعة جمع بين عدم وجوبها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ووجوبها على كافة المسلمين، ولا يلزم من استثناء فرد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 عدم ثبوت الحكم لسائر الأفراد</w:t>
      </w:r>
      <w:r>
        <w:rPr>
          <w:rFonts w:eastAsia="Amiri" w:cs="Amiri" w:ascii="Amiri" w:hAnsi="Amiri"/>
          <w:color w:val="111111"/>
          <w:sz w:val="28"/>
          <w:szCs w:val="28"/>
          <w:rtl w:val="true"/>
          <w:lang w:bidi="ar-SA"/>
        </w:rPr>
        <w:t xml:space="preserve">. </w:t>
      </w:r>
      <w:bookmarkStart w:id="433" w:name="pg8204_101085"/>
    </w:p>
    <w:p>
      <w:pPr>
        <w:pStyle w:val="BookText"/>
        <w:rPr/>
      </w:pPr>
      <w:bookmarkEnd w:id="433"/>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دائر بين التخصيص ومجاز آخر، وكلما دار الأمر بينهما قدم التخصيص، فإن عدم وجوب الشورى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ارتكاب مجاز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إمابحمل الأمر على الندب، أو بإبقائه على ظاهره من الوجوب وتخصيصه بغير الفرد المستثنى،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هو المتعين، وذلك لوهن ظهور العام في العموم بالنسبة لظهور الأمر في الوجوب، يدل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التخصيص في العمومات أكثر بكثير من التجوز في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إضافة إلى فهم العرف المحكم فيما يلقى إليه من كلام الشارع، فمثلاً لو أمر المولى كبير عبيده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احترم الضيوف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دأب المولى إصدار حكم عام لكل العبيد ولكن بصيغة خطاب موجه إلى كبير العبيد لنكتة، فاحترم يعني احترموا، وابنِ يعني ابنوا، ثم قامت قرينة خارجية على عدم وجوب الاحترام والبناء على كبيرهم لسبب ما، أ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على الاستحباب أم يبقى على ظاهره من الوجوب وتعتبر القرينة الخارجية دليلاً على استثناء كبير العبيد من الحكم العام؟ وأترى العبيد معذورين لو تركوا احترام الضيوف وبناء المدينة، متعللين بقيام قرينة خارجية على عدم وجوب ذلك على كبير العبيد؟ فتأمل</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8924244_1051229030"/>
      <w:bookmarkStart w:id="435" w:name="_Toc161"/>
      <w:bookmarkEnd w:id="434"/>
      <w:r>
        <w:rPr>
          <w:rtl w:val="true"/>
        </w:rPr>
        <w:t>الإشكال بقبح تخصيص المورد والجواب</w:t>
      </w:r>
      <w:bookmarkEnd w:id="435"/>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المورد مستهجن، فالأمر ليس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هذا الإشكال من وجوه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تخصيص المورد، 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إخراج مصداق من مصاديق متعلق التكليف كان هو مورد نزول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p>
    <w:p>
      <w:pPr>
        <w:pStyle w:val="BookText"/>
        <w:rPr/>
      </w:pPr>
      <w:r>
        <w:rPr>
          <w:rFonts w:ascii="Amiri" w:hAnsi="Amiri" w:eastAsia="Amiri" w:cs="Amiri"/>
          <w:color w:val="111111"/>
          <w:sz w:val="28"/>
          <w:sz w:val="28"/>
          <w:szCs w:val="28"/>
          <w:rtl w:val="true"/>
          <w:lang w:bidi="ar-SA"/>
        </w:rPr>
        <w:t>بتخصيص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فرد من محمول كبرى وردت في مورد هذا الفرد، أما إخراج فرد من المخاطبين بالتكليف مع كونه طرف خطاب المولى فخارج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مورد نزول الحكم ومورد ثبوت المحمول، ولا يطلق على المخاطب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لنزول الحكم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الشورى لو نزلت في مورد خاص لم يعمل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المورد مع دلالة الآية على الوجوب، يلزم حينئذٍ تخصيصالمورد، لا ما لو دلت على الوجوب واستثني منها طرف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أنه أيضاً من تخصيص المورد، لكن نقول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مما نهى الشارع عنه حتى يكون له إطلاق أو عموم، وحتى يتمسك في المصاديق المشكوكة بالإطلاق أو بالعموم، بل هو قاعدة مستندة إلى الارتكازات العرفية وبناء العقلاء، وحينئذٍ فالقبح لا يدور مدار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دائر مدار الاستهجان العرفي، وفي حدود دائرة بناء العقلاء، وأننا عند الرجوع إلى العرف لا نجدهم يستهجنون استثناء المخاطب من حكم عام للجميع وإن كان بصيغة خطاب موجه له، إذا كان دأب المولى توجيه خطاباته العامة باسم فرد خاص، كما سبق إيضاحه قبل قليل، ولا أقل من الشك في ذلك وأنه مستهجن أم لا، ومشكوك القرينية</w:t>
      </w:r>
      <w:r>
        <w:rPr>
          <w:rStyle w:val="FootnoteAnchor"/>
          <w:rtl w:val="true"/>
        </w:rPr>
        <w:footnoteReference w:id="475"/>
      </w:r>
      <w:r>
        <w:rPr>
          <w:rFonts w:ascii="Amiri" w:hAnsi="Amiri" w:eastAsia="Amiri" w:cs="Amiri"/>
          <w:color w:val="111111"/>
          <w:sz w:val="28"/>
          <w:sz w:val="28"/>
          <w:szCs w:val="28"/>
          <w:rtl w:val="true"/>
          <w:lang w:bidi="ar-SA"/>
        </w:rPr>
        <w:t>لا يصلح صارفاً لما له ظاهر إذا كان منفصلاً، بل وحتى لو كان متصلاً على كلامٍ، وقد سبق ذلك في موضع آخر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التزم الفقهاء والأصوليون بتخصيص المورد في موارد عديدة، نذكر في الملحق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مع بعض البحوث الهامة حولها فراجع</w:t>
      </w:r>
      <w:r>
        <w:rPr>
          <w:rFonts w:eastAsia="Amiri" w:cs="Amiri" w:ascii="Amiri" w:hAnsi="Amiri"/>
          <w:color w:val="111111"/>
          <w:sz w:val="28"/>
          <w:szCs w:val="28"/>
          <w:rtl w:val="true"/>
          <w:lang w:bidi="ar-SA"/>
        </w:rPr>
        <w:t xml:space="preserve">. </w:t>
      </w:r>
      <w:bookmarkStart w:id="436" w:name="pg8204_101087"/>
    </w:p>
    <w:p>
      <w:pPr>
        <w:pStyle w:val="Heading5"/>
        <w:numPr>
          <w:ilvl w:val="4"/>
          <w:numId w:val="1"/>
        </w:numPr>
        <w:rPr/>
      </w:pPr>
      <w:bookmarkStart w:id="437" w:name="__RefHeading___Toc8924246_1051229030"/>
      <w:bookmarkStart w:id="438" w:name="_Toc162"/>
      <w:bookmarkEnd w:id="436"/>
      <w:bookmarkEnd w:id="437"/>
      <w:r>
        <w:rPr>
          <w:rtl w:val="true"/>
        </w:rPr>
        <w:t>الإشكال الثاني</w:t>
      </w:r>
      <w:r>
        <w:rPr>
          <w:rtl w:val="true"/>
        </w:rPr>
        <w:t xml:space="preserve">: </w:t>
      </w:r>
      <w:r>
        <w:rPr>
          <w:rtl w:val="true"/>
        </w:rPr>
        <w:t xml:space="preserve">النبي </w:t>
      </w:r>
      <w:r>
        <w:rPr/>
        <w:t>o</w:t>
      </w:r>
      <w:r>
        <w:rPr>
          <w:rtl w:val="true"/>
        </w:rPr>
        <w:t xml:space="preserve"> </w:t>
      </w:r>
      <w:r>
        <w:rPr>
          <w:rtl w:val="true"/>
        </w:rPr>
        <w:t>إنما يتبع الوحي لا الأكثرية</w:t>
      </w:r>
      <w:bookmarkEnd w:id="438"/>
    </w:p>
    <w:p>
      <w:pPr>
        <w:pStyle w:val="Heading6"/>
        <w:numPr>
          <w:ilvl w:val="5"/>
          <w:numId w:val="1"/>
        </w:numPr>
        <w:rPr/>
      </w:pPr>
      <w:bookmarkStart w:id="439" w:name="__RefHeading___Toc8924248_1051229030"/>
      <w:bookmarkStart w:id="440" w:name="_Toc163"/>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وربما يورد على الاستدلال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على لزوم اتباع الشورى،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يتبع الوحي لا آراء الأكثرية، فإذا لم تكن الشورى ملزمة له لم تكن ملزمة لغيره، بل إن اتباعه للأكثرية على هذا محرم، وذلك لقوله تعالى</w:t>
      </w:r>
      <w:r>
        <w:rPr>
          <w:rFonts w:eastAsia="Amiri" w:cs="Amiri" w:ascii="Amiri" w:hAnsi="Amiri"/>
          <w:color w:val="111111"/>
          <w:sz w:val="28"/>
          <w:szCs w:val="28"/>
          <w:rtl w:val="true"/>
          <w:lang w:bidi="ar-SA"/>
        </w:rPr>
        <w:t>: (</w:t>
        <w:softHyphen/>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فحكمه تابع لما أراه الله لا لما أراه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أَتَّبِعُ ما يُوحى إِلَيَّ مِنْ رَبِّي هذا بَصائِرُ مِنْ رَبِّكُمْ وَهُدىً وَرَحْمَةٌ لِقَوْمٍ يُؤْمِنُونَ</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كيف يكون للمؤمنين الخيرة من أمرهم مع قوله تعالى</w:t>
      </w:r>
      <w:r>
        <w:rPr>
          <w:rFonts w:eastAsia="Amiri" w:cs="Amiri" w:ascii="Amiri" w:hAnsi="Amiri"/>
          <w:color w:val="111111"/>
          <w:sz w:val="28"/>
          <w:szCs w:val="28"/>
          <w:rtl w:val="true"/>
          <w:lang w:bidi="ar-SA"/>
        </w:rPr>
        <w:t xml:space="preserve">: </w:t>
      </w:r>
      <w:bookmarkStart w:id="441" w:name="pg8204_101088"/>
    </w:p>
    <w:p>
      <w:pPr>
        <w:pStyle w:val="BookText"/>
        <w:rPr/>
      </w:pPr>
      <w:bookmarkEnd w:id="4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اللهِوَرَسُولِهِ</w:t>
      </w:r>
      <w:r>
        <w:rPr>
          <w:rFonts w:eastAsia="Amiri" w:cs="Amiri" w:ascii="Amiri" w:hAnsi="Amiri"/>
          <w:color w:val="111111"/>
          <w:sz w:val="28"/>
          <w:szCs w:val="28"/>
          <w:rtl w:val="true"/>
          <w:lang w:bidi="ar-SA"/>
        </w:rPr>
        <w:t>).</w:t>
      </w:r>
      <w:r>
        <w:rPr>
          <w:rStyle w:val="FootnoteAnchor"/>
          <w:rtl w:val="true"/>
        </w:rPr>
        <w:footnoteReference w:id="482"/>
      </w:r>
    </w:p>
    <w:p>
      <w:pPr>
        <w:pStyle w:val="Heading6"/>
        <w:numPr>
          <w:ilvl w:val="5"/>
          <w:numId w:val="1"/>
        </w:numPr>
        <w:rPr/>
      </w:pPr>
      <w:bookmarkStart w:id="442" w:name="__RefHeading___Toc8924250_1051229030"/>
      <w:bookmarkStart w:id="443" w:name="_Toc164"/>
      <w:bookmarkEnd w:id="442"/>
      <w:r>
        <w:rPr>
          <w:rtl w:val="true"/>
        </w:rPr>
        <w:t>الأجوبة</w:t>
      </w:r>
      <w:r>
        <w:rPr>
          <w:rtl w:val="true"/>
        </w:rPr>
        <w:t>:</w:t>
      </w:r>
      <w:bookmarkEnd w:id="44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على فرض تسليمه مختص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دون غيرها من الأدلة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إِلَى رُوَاةِ حَدِيثِنَا فَإِنَّهُمْ حُجَّتِي عَلَيْكُمْ وَ أَنَا حُجَّةُ اللَّهِ عَلَيْكُم‌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على ما فصلنا الاستدلال بها في مواضع أخرى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تفصيلاً من الجواب عن نظير هذا الإشكال، بأن تمامية هذا الإشكال في الآية موقوف على عدم كون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عاماً جيء به بلسان خاص، كما هو كثير في القرآن الكريم كما فصلناه سابقاً، ومنه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وقد استثني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الآيات السابقة استناداً إلى 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أَتَّبِعُ إِلاَّ ما </w:t>
      </w:r>
      <w:bookmarkStart w:id="444" w:name="pg8204_101089"/>
    </w:p>
    <w:p>
      <w:pPr>
        <w:pStyle w:val="BookText"/>
        <w:rPr/>
      </w:pPr>
      <w:bookmarkEnd w:id="444"/>
      <w:r>
        <w:rPr>
          <w:rFonts w:ascii="Amiri" w:hAnsi="Amiri" w:eastAsia="Amiri" w:cs="Amiri"/>
          <w:color w:val="111111"/>
          <w:sz w:val="28"/>
          <w:sz w:val="28"/>
          <w:szCs w:val="28"/>
          <w:rtl w:val="true"/>
          <w:lang w:bidi="ar-SA"/>
        </w:rPr>
        <w:t>يُوحى إِلَيَّ</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دليل على عدم اتباعه الأكثرية في الموضوعات والشؤون العامة، أما لو قلنا بأن الخطاب عام وقد استثنى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لخصوصية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علمه المطلق المحيط وعصمته وكونه متصلاً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بعدم قبح استثناء المورد، كما في قول المولى لكبير عبيده الذياعتاد أن يوجه الخطاب إليه مع كون الأمر عاماً له ولغيره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للدفاع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الأمر له ولغيره من العبيد، ثم استثناه المولى بالخصوص،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استثناؤه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الباقين، ولا صرف ظاهر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ظهوره في الوجوب كما فصلناه سابقاً، فليراجع وليتأمل</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8924252_1051229030"/>
      <w:bookmarkStart w:id="446" w:name="_Toc165"/>
      <w:bookmarkEnd w:id="445"/>
      <w:r>
        <w:rPr>
          <w:rtl w:val="true"/>
        </w:rPr>
        <w:t>إتباع الأكثرية فيما لم ينزل فيه وحي، إتباع لما يوحى إليه</w:t>
      </w:r>
      <w:bookmarkEnd w:id="44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اتباع الأكثرية في الشؤون العامة وفيما لم ينزل فيه وحي بخصوصه، اتباع لما يوحى إليه، إذ قد أوحي 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الاستدلال بهما أو بالآية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واتباعها حكم بين الناس بما أراه الله، إذ قد أراها له، واتباعها المأمور به في الآية ليس نطقاً عن الهوى، وذلك لأن ما أوحى الله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أوحى إليه بجزئيّه، وقسم أوحى إليه بكليّه، وفي كليهما فإن الاتباع اتباع للوحي،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دليل بعمومه على حلية السكر والدابوعة مثلاً،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بحليتهما قول بما أوحي إليه وإن لم </w:t>
      </w:r>
    </w:p>
    <w:p>
      <w:pPr>
        <w:pStyle w:val="BookText"/>
        <w:rPr/>
      </w:pPr>
      <w:r>
        <w:rPr>
          <w:rFonts w:ascii="Amiri" w:hAnsi="Amiri" w:eastAsia="Amiri" w:cs="Amiri"/>
          <w:color w:val="111111"/>
          <w:sz w:val="28"/>
          <w:sz w:val="28"/>
          <w:szCs w:val="28"/>
          <w:rtl w:val="true"/>
          <w:lang w:bidi="ar-SA"/>
        </w:rPr>
        <w:t>يرد في هذين الموردين وحي جزئي وخاص، وإكرامه لهذا الضعيف وإحسانه لهذا الفقير وإلقائه هذه الخطبة وأكله لهذه اللقمة اتباع لما أوحي إليه من الكلي لا الجزئي، إذ لم يرد في كل مورد جزئي وحي خاص،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اسْتَأْذَنُوكَ لِبَعْضِ شَأْنِهِمْ فَأْذَنْ لِمَنْ شِئْتَ مِنْهُمْ</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موارد الاستشارة أيضاً كذلك، فقد أمر أمراً كلياًبالاستشارة في الموضوعات العامة، فاستشارته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واتباعهم اتباع لما يوحى إليه من الكلي وليس اتباعاً للهوى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 وبعضكم ألحن بحجته من بعض، فأي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والروايات الدالة على كون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بالبينة أو بالشاهد واليمين مطلقاً كثيرة، فليراجع كتاب القضاء من الوسائل وغيره، وكذلك الروايات الدالة على كون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هو الحاكم بما هو الواقع مطلقاً، كما كان يحكم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بالبينة واليمين رغم كونها قد تكون مخالفة للواقع، بل قد يكثر فيها ذلك، ليس اتباعاً للهوى، بل هو اتباع للوحي الدال على لزوم الحكم على طبق البينة واليمين، فكما أن البينة قد تكون مخالفة للواقع ومع ذلك يلزم اتباعها، كذلك رأي الأكثرية قد يكون مخالفاً للواقع ومع ذلك يلزم اتباعه، وفي الصورتين كان الاتباع اتباعاً لكلي دل الوحي على لزوم اتباعه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كون الخيرة للمؤمنين، فإنما هو معلق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قَضَى اللهُ </w:t>
      </w:r>
    </w:p>
    <w:p>
      <w:pPr>
        <w:pStyle w:val="BookText"/>
        <w:rPr/>
      </w:pPr>
      <w:r>
        <w:rPr>
          <w:rFonts w:ascii="Amiri" w:hAnsi="Amiri" w:eastAsia="Amiri" w:cs="Amiri"/>
          <w:color w:val="111111"/>
          <w:sz w:val="28"/>
          <w:sz w:val="28"/>
          <w:szCs w:val="28"/>
          <w:rtl w:val="true"/>
          <w:lang w:bidi="ar-SA"/>
        </w:rPr>
        <w:t>وَرَسُولُه أَمْراً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فلو لم يقض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بل أرجعه إليهم وطلب رأيهم كان لهم ذلك، هذا إضافة إلى أن قضاء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كما أنه قد يكون متفرعاً على قيام البينة في الخصومات، كذلك قد يكون متفرعاً على رأي أكثرية الناس في الموضوعات، وكما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يخالف البينة ويعمل على طبق علمه، ولا يعني ذلك عدم حجيتها لولا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للتزاحم بين مصلحة الواقع ومصلحتها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له أن يخالف رأي الأكثرية ولا يعني ذلك عدم الحجية، لولا المانع وكون علمه مقدماً لو كانت مصلحة الواقع أقوى من المصلحة السلوكية وشبهها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فكما أن حكمه بالبينة حكم بما أراه الله، لكونه مأموراً بالعمل بها، وليس حكماً بما أراه الناس، كذلك لو تمت الأدلة الدالة على لزوم اتباع الأكثرية في الموضوعات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بها حكماً بما أراه الله، لكونه مأموراً بالعمل بها، وليس حكماً بما أراه الناس مبائناً لما أراه الله</w:t>
      </w:r>
      <w:r>
        <w:rPr>
          <w:rFonts w:eastAsia="Amiri" w:cs="Amiri" w:ascii="Amiri" w:hAnsi="Amiri"/>
          <w:color w:val="111111"/>
          <w:sz w:val="28"/>
          <w:szCs w:val="28"/>
          <w:rtl w:val="true"/>
          <w:lang w:bidi="ar-SA"/>
        </w:rPr>
        <w:t xml:space="preserve">. </w:t>
      </w:r>
      <w:bookmarkStart w:id="447" w:name="pg8204_101092"/>
    </w:p>
    <w:p>
      <w:pPr>
        <w:pStyle w:val="Heading6"/>
        <w:numPr>
          <w:ilvl w:val="5"/>
          <w:numId w:val="1"/>
        </w:numPr>
        <w:rPr/>
      </w:pPr>
      <w:bookmarkStart w:id="448" w:name="__RefHeading___Toc8924254_1051229030"/>
      <w:bookmarkStart w:id="449" w:name="_Toc166"/>
      <w:bookmarkEnd w:id="447"/>
      <w:bookmarkEnd w:id="448"/>
      <w:r>
        <w:rPr>
          <w:rtl w:val="true"/>
        </w:rPr>
        <w:t>الجواب عن إشكال</w:t>
      </w:r>
      <w:r>
        <w:rPr>
          <w:rtl w:val="true"/>
        </w:rPr>
        <w:t xml:space="preserve">: </w:t>
      </w:r>
      <w:r>
        <w:rPr>
          <w:rtl w:val="true"/>
        </w:rPr>
        <w:t xml:space="preserve">ما المصلحة في الارجاع للأكثرية مع وجوده </w:t>
      </w:r>
      <w:r>
        <w:rPr/>
        <w:t>o</w:t>
      </w:r>
      <w:bookmarkEnd w:id="449"/>
    </w:p>
    <w:p>
      <w:pPr>
        <w:pStyle w:val="BookText"/>
        <w:rPr/>
      </w:pPr>
      <w:r>
        <w:rPr>
          <w:rFonts w:ascii="Amiri" w:hAnsi="Amiri" w:eastAsia="Amiri" w:cs="Amiri"/>
          <w:color w:val="111111"/>
          <w:sz w:val="28"/>
          <w:sz w:val="28"/>
          <w:szCs w:val="28"/>
          <w:rtl w:val="true"/>
          <w:lang w:bidi="ar-SA"/>
        </w:rPr>
        <w:t xml:space="preserve">ومما سبق اتضح 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وما هي المصلحة في إرجاع أمر المسلمين إلى الشورى وبينهم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متواتر يقضي كل حاجة، فلماذا يكلف حامل الوحي أن يستوحي المؤمنين في الأمر، هل في أمر الرسالة وهو وحي يوحى، أم أمر المرسل إليهم ويكفيهم أمر الرسالة أوامر الأحكام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أم أمر القيادة السياسية وهو مما أراه الله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ينقض برجوع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إلى البينة في قضائه، وبإرجاع أمور المسلمين في خصوماتهم إلى البينة، رغم أن بينهم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والوحي متواتر يقضي كل حاجة، ورغم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عبر طرق أخرى، كعمود النور على ما في الروايات الشريفة، وكذا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وإرجاعه إلى سائر القواعد كاليد والسوق وغيرها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المصلحة في ضرب القانون والتأسي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وتربيتهم على ذلك، كما في مسألة تغسيل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المصلحة في تأليف قلوبهم، وما ذكرته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 والإرجاع إنما هو في الشؤون العامة لا في أصل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القيادة، وإرائة الله له قد سبق توضيح المراد منها، كما سبق عدم المنافاة بين الإرجاع وبين كون الحكم لله وكونه وحياً يوحى، إضافة إلى أنه إن كان المراد نفي الإمكان فواضح البطلان، أو نفي الوقوع فعدم المعرفة بالمصلحةغير نافٍ لوجودها والدليل قائم كما قدمناه، وليس ذلك إلاّ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المصلحة في إرجاعه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الأيمان والبينات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بالأيمان والبينات</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مع علمه بواقع الأمر، وقد أراه الله ذلك، أو مع التنزل له أن يريه</w:t>
      </w:r>
      <w:r>
        <w:rPr>
          <w:rFonts w:eastAsia="Amiri" w:cs="Amiri" w:ascii="Amiri" w:hAnsi="Amiri"/>
          <w:color w:val="111111"/>
          <w:sz w:val="28"/>
          <w:szCs w:val="28"/>
          <w:rtl w:val="true"/>
          <w:lang w:bidi="ar-SA"/>
        </w:rPr>
        <w:t xml:space="preserve">. </w:t>
      </w:r>
      <w:bookmarkStart w:id="450" w:name="pg8204_101094"/>
    </w:p>
    <w:p>
      <w:pPr>
        <w:pStyle w:val="Heading5"/>
        <w:numPr>
          <w:ilvl w:val="4"/>
          <w:numId w:val="1"/>
        </w:numPr>
        <w:rPr/>
      </w:pPr>
      <w:bookmarkStart w:id="451" w:name="__RefHeading___Toc8924256_1051229030"/>
      <w:bookmarkStart w:id="452" w:name="_Toc167"/>
      <w:bookmarkEnd w:id="450"/>
      <w:bookmarkEnd w:id="451"/>
      <w:r>
        <w:rPr>
          <w:rtl w:val="true"/>
        </w:rPr>
        <w:t>الإشكال الثالث</w:t>
      </w:r>
      <w:r>
        <w:rPr>
          <w:rtl w:val="true"/>
        </w:rPr>
        <w:t xml:space="preserve">: </w:t>
      </w:r>
      <w:r>
        <w:rPr>
          <w:rtl w:val="true"/>
        </w:rPr>
        <w:t>السيرة العملية ليست على الشورى، والإجماع على عدم الوجوب</w:t>
      </w:r>
      <w:bookmarkEnd w:id="452"/>
    </w:p>
    <w:p>
      <w:pPr>
        <w:pStyle w:val="Heading6"/>
        <w:numPr>
          <w:ilvl w:val="5"/>
          <w:numId w:val="1"/>
        </w:numPr>
        <w:rPr/>
      </w:pPr>
      <w:bookmarkStart w:id="453" w:name="__RefHeading___Toc8924258_1051229030"/>
      <w:bookmarkStart w:id="454" w:name="_Toc168"/>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وربما يعترض على الاستدلال بالآية الكريمة على وجوب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مشهور الفقهاء لم يفهموا منها الوجوب، وإلا لذكروها في ضمن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السيرة العملية للفقهاء لم تكن على الاستشارة والشورى، بل على التفرد بالرأي، يشهد لذلك حكمهم في باب الهلال، وفي التصرف في أموال القصر واليتامى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بل لم نجد مخالفاً في المسألة، بل إن الإجماع منعقد على عدم وجوبها مما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 أو دخولاً أو حدساً أو تشرفاً ، على الاختلاف في وجه 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لدعوى الإجماع هذه أن الإجماع منعقد على حجية رأي كل فقيه لمقلديه، وعدم حجية رأي فقيه آخر لمقلدي سائر الفقهاء</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8924260_1051229030"/>
      <w:bookmarkStart w:id="456" w:name="_Toc169"/>
      <w:bookmarkEnd w:id="455"/>
      <w:r>
        <w:rPr>
          <w:rtl w:val="true"/>
        </w:rPr>
        <w:t xml:space="preserve">الجواب </w:t>
      </w:r>
      <w:r>
        <w:rPr>
          <w:rtl w:val="true"/>
        </w:rPr>
        <w:t>:</w:t>
      </w:r>
      <w:bookmarkEnd w:id="456"/>
    </w:p>
    <w:p>
      <w:pPr>
        <w:pStyle w:val="BookText"/>
        <w:rPr/>
      </w:pPr>
      <w:r>
        <w:rPr>
          <w:rFonts w:ascii="Amiri" w:hAnsi="Amiri" w:eastAsia="Amiri" w:cs="Amiri"/>
          <w:color w:val="111111"/>
          <w:sz w:val="28"/>
          <w:sz w:val="28"/>
          <w:szCs w:val="28"/>
          <w:rtl w:val="true"/>
          <w:lang w:bidi="ar-SA"/>
        </w:rPr>
        <w:t xml:space="preserve">والجواب عن عدم فهم الفقهاء الوجوب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من وجوه عديدة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مشهور الفقهاء لم يفهموا منها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فهمهم </w:t>
      </w:r>
    </w:p>
    <w:p>
      <w:pPr>
        <w:pStyle w:val="BookText"/>
        <w:rPr/>
      </w:pPr>
      <w:r>
        <w:rPr>
          <w:rFonts w:ascii="Amiri" w:hAnsi="Amiri" w:eastAsia="Amiri" w:cs="Amiri"/>
          <w:color w:val="111111"/>
          <w:sz w:val="28"/>
          <w:sz w:val="28"/>
          <w:szCs w:val="28"/>
          <w:rtl w:val="true"/>
          <w:lang w:bidi="ar-SA"/>
        </w:rPr>
        <w:t>قرينة على عدم إرادة الوجوب منها،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لم يتطرقوا لهذه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لااثباتاً ولا نفياً حتى يقال إنهم لم يفهموا الوجوب منها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لذكروا وجوبها في ضمن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يفرد الفقهاء عادة للواجبات والمحرمات كتاباً حتى يستقصوا فيه كل الواجبات وكل المحرمات، فيكون عدم ذكرهم لوجوب الشورى في ضمن التعداد دليلاً على عدم استفادتهم الوجوب استناداً لمفهوم الحصر أو الإطلاق المقامي، بل إنهم يذكرون كل واجب في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 والصوم والحج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كعدم ذكرهم لاستحبابها مع التزامهم به، أو بأي حكم تكليفي من الأحكام الخمسة، حيث لا يكون عدم الذكر في أي واحد منها دليلاً على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إفرادهم كتاباً لذلك أو كونهم في كتبهم الفقهية في مقام استقصاء جميع الواجبات وجميع المحرمات،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 لا مفهوم له، فإثبات وجوب الصلاة لا ينفي وجوب عنوان آخر،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لمقام الحصر والإطلاق المقامي حينئذٍ</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الذكر</w:t>
      </w:r>
      <w:r>
        <w:rPr>
          <w:rStyle w:val="FootnoteAnchor"/>
          <w:rtl w:val="true"/>
        </w:rPr>
        <w:footnoteReference w:id="503"/>
      </w:r>
      <w:r>
        <w:rPr>
          <w:rFonts w:ascii="Amiri" w:hAnsi="Amiri" w:eastAsia="Amiri" w:cs="Amiri"/>
          <w:color w:val="111111"/>
          <w:sz w:val="28"/>
          <w:sz w:val="28"/>
          <w:szCs w:val="28"/>
          <w:rtl w:val="true"/>
          <w:lang w:bidi="ar-SA"/>
        </w:rPr>
        <w:t>لا يستلزم الحكم بالعدم</w:t>
      </w:r>
      <w:r>
        <w:rPr>
          <w:rStyle w:val="FootnoteAnchor"/>
          <w:rtl w:val="true"/>
        </w:rPr>
        <w:footnoteReference w:id="504"/>
      </w:r>
      <w:r>
        <w:rPr>
          <w:rFonts w:ascii="Amiri" w:hAnsi="Amiri" w:eastAsia="Amiri" w:cs="Amiri"/>
          <w:color w:val="111111"/>
          <w:sz w:val="28"/>
          <w:sz w:val="28"/>
          <w:szCs w:val="28"/>
          <w:rtl w:val="true"/>
          <w:lang w:bidi="ar-SA"/>
        </w:rPr>
        <w:t xml:space="preserve">، إذ إن عدم الذكر يكون </w:t>
      </w:r>
    </w:p>
    <w:p>
      <w:pPr>
        <w:pStyle w:val="BookText"/>
        <w:rPr/>
      </w:pPr>
      <w:r>
        <w:rPr>
          <w:rFonts w:ascii="Amiri" w:hAnsi="Amiri" w:eastAsia="Amiri" w:cs="Amiri"/>
          <w:color w:val="111111"/>
          <w:sz w:val="28"/>
          <w:sz w:val="28"/>
          <w:szCs w:val="28"/>
          <w:rtl w:val="true"/>
          <w:lang w:bidi="ar-SA"/>
        </w:rPr>
        <w:t>لإحدى وجوه أربع؛ إذ قد يكون لاعتقاد عدم الوجوب اجتهاداً، وقد يكون للغفلة عن المسألة، وقد يكون للعثور على قرينة تصرف الأمر عن ظاهره</w:t>
      </w:r>
      <w:r>
        <w:rPr>
          <w:rStyle w:val="FootnoteAnchor"/>
          <w:rtl w:val="true"/>
        </w:rPr>
        <w:footnoteReference w:id="505"/>
      </w:r>
      <w:r>
        <w:rPr>
          <w:rFonts w:ascii="Amiri" w:hAnsi="Amiri" w:eastAsia="Amiri" w:cs="Amiri"/>
          <w:color w:val="111111"/>
          <w:sz w:val="28"/>
          <w:sz w:val="28"/>
          <w:szCs w:val="28"/>
          <w:rtl w:val="true"/>
          <w:lang w:bidi="ar-SA"/>
        </w:rPr>
        <w:t>، وقد يكون لخروجها عن موضع الابتلاء، كماسيأتي توضيحه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عدم الذكر للوجه الثالث من هذه الوجوه الأربعة يكون دليلاً</w:t>
      </w:r>
      <w:r>
        <w:rPr>
          <w:rStyle w:val="FootnoteAnchor"/>
          <w:rtl w:val="true"/>
        </w:rPr>
        <w:footnoteReference w:id="507"/>
      </w:r>
      <w:r>
        <w:rPr>
          <w:rFonts w:ascii="IRNazanin" w:hAnsi="IRNazanin" w:eastAsia="IRNazanin"/>
          <w:color w:val="111111"/>
          <w:sz w:val="28"/>
          <w:sz w:val="28"/>
          <w:szCs w:val="28"/>
          <w:rtl w:val="true"/>
          <w:lang w:bidi="fa-IR"/>
        </w:rPr>
        <w:t>على عدم الوجوب دون سائر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حجية فتوى المجتهد على غيره إلاّ لو تعاضدت فتاوى المجتهدين بحيث بلغت حدّ الإجماع، فتأمل، لكونه مستنداً أو محتمله، وسيأتي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 الغفلة عن ذكر شيء في عداد الواجبات أو غيرها لا يدل على عدم اعتبارهم إياه واجباً أو غيره، وإلا لزم بناءً على ذلك خلوه عن الأحكام الخمسة عندهم عند عدم ذكره، وهو بيّن الفساد، بل تستحيل دلالته على ذلك، لأن عدم الاعتبار فرع الالتفات الذي لا يجتمع مع الغفلة، لكون التقابل بينهما تقابل التضاد إن قلنا بكونها وجودية، أو تقابل العدم والملكة إن قلنا بكونها 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أيضاً، إذ عدم ذكر حكم ما هو خارج عن محل الابتلاء أعم من كونه واجباً أو مكروهاً أو مستحباً أو مباحاً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عدم الذكر للوجه الثالث أيضاً لا يكون دليلاً على عدم دلالة الآية على الوجوب، إذ أن ما يصلح لصرفها عن ظاهرها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عثورهم على قرينة </w:t>
      </w:r>
      <w:bookmarkStart w:id="457" w:name="pg8204_101097"/>
    </w:p>
    <w:p>
      <w:pPr>
        <w:pStyle w:val="BookText"/>
        <w:rPr/>
      </w:pPr>
      <w:bookmarkEnd w:id="457"/>
      <w:r>
        <w:rPr>
          <w:rFonts w:ascii="Amiri" w:hAnsi="Amiri" w:eastAsia="Amiri" w:cs="Amiri"/>
          <w:color w:val="111111"/>
          <w:sz w:val="28"/>
          <w:sz w:val="28"/>
          <w:szCs w:val="28"/>
          <w:rtl w:val="true"/>
          <w:lang w:bidi="ar-SA"/>
        </w:rPr>
        <w:t xml:space="preserve">تصرف الأمر عن ظاهره، بحيث لو وصلت بأيدي سائر المجتهدين تلك القرينة لكانت حجة حتى عندهم، بأن يتم سندها ويحرز دلالتها وجهتها وعدم المعارض لها عندهم، والأصل عدم تحقق هذه القيود لكونها وجودية، بل نحن في غنى عن هذا الأصل لأن عدم إحراز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حجية تلك القرينة عندنا أيضاً وتمامية صارفيتها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عدم الحجية وعدم الصارفية، ولا يحتاج في عدم الحجية إلى إحرازها وجداناً أو تعبداً بالاستصحاب،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حدث خلط بين مرحلة الثبوت والإثبات، فالأصح القول بذلك عند التردد في كونه لأي من الوجوه لا إجرائه مع فرض كونعدم الذكر للوجه الثالث،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الأصح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إحراز معارض ما هو ظاهر في الوجوب أو غيره كاف في البناء على ذلك الظهور، فهو ككل ظاهر احتمل فيه وجود قرينة على خلافه ولم يعثر على شيء بعد الفحص، وقد سبق ذكر هذا ببيان آخر، هذا إضافة إلى أن لنا أصلاً آخر سابقاً وهو أصالة عدم وجودها، فتأمل</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8924262_1051229030"/>
      <w:bookmarkStart w:id="459" w:name="_Toc170"/>
      <w:bookmarkEnd w:id="458"/>
      <w:r>
        <w:rPr>
          <w:rtl w:val="true"/>
        </w:rPr>
        <w:t>موارد كثيرة هامة لم يتطرق لها الفقهاء بالذكر</w:t>
      </w:r>
      <w:bookmarkEnd w:id="459"/>
    </w:p>
    <w:p>
      <w:pPr>
        <w:pStyle w:val="BookText"/>
        <w:rPr/>
      </w:pPr>
      <w:r>
        <w:rPr>
          <w:rFonts w:ascii="Amiri" w:hAnsi="Amiri" w:eastAsia="Amiri" w:cs="Amiri"/>
          <w:color w:val="111111"/>
          <w:sz w:val="28"/>
          <w:sz w:val="28"/>
          <w:szCs w:val="28"/>
          <w:rtl w:val="true"/>
          <w:lang w:bidi="ar-SA"/>
        </w:rPr>
        <w:t>ولعل المتتبع يعثر على كثير من الموارد التي لم يتطرق لها أكثر الفقهاء بالذكر</w:t>
      </w:r>
      <w:r>
        <w:rPr>
          <w:rStyle w:val="FootnoteAnchor"/>
          <w:rtl w:val="true"/>
        </w:rPr>
        <w:footnoteReference w:id="508"/>
      </w:r>
      <w:r>
        <w:rPr>
          <w:rFonts w:ascii="Amiri" w:hAnsi="Amiri" w:eastAsia="Amiri" w:cs="Amiri"/>
          <w:color w:val="111111"/>
          <w:sz w:val="28"/>
          <w:sz w:val="28"/>
          <w:szCs w:val="28"/>
          <w:rtl w:val="true"/>
          <w:lang w:bidi="ar-SA"/>
        </w:rPr>
        <w:t>، مما يوجه بأحد الوجوه الأربعة المذكورة، مع خامسها المذكور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تَيْأَسُوا مِنْ رَوْحِ اللهِ إِنَّهُ لا يَيْأَسُ مِنْ رَوْحِ اللهِ </w:t>
      </w:r>
    </w:p>
    <w:p>
      <w:pPr>
        <w:pStyle w:val="BookText"/>
        <w:rPr/>
      </w:pPr>
      <w:r>
        <w:rPr>
          <w:rFonts w:ascii="Amiri" w:hAnsi="Amiri" w:eastAsia="Amiri" w:cs="Amiri"/>
          <w:color w:val="111111"/>
          <w:sz w:val="28"/>
          <w:sz w:val="28"/>
          <w:szCs w:val="28"/>
          <w:rtl w:val="true"/>
          <w:lang w:bidi="ar-SA"/>
        </w:rPr>
        <w:t>إِلاَّ الْقَوْمُ الْكافِرُونَ</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حيث لم يبحث عن أصل الحرمة وعن حدودها، فهل اليأس عن إحياء ميتة منه أم لا، انصرافاً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هجر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أو حتى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هجر المؤمن الوارد فيه روايات كثيرة، ففي 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فوق ثلاث</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حيث لم يتطرق الكثيرلحرمته أو كراهته أو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هبة الحقوق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نهر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التنازع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خاصة مع كثرة المصاديق المشكوكة وعموم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فهل هو حرام أو مكروه؟ وهل النهي مولوي أو إرشادي؟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منع الماعون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فهل منعه حرام مطلقاً أو في صورة كون البناء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الجميع محرم أو خصوص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الحرمة مطلقاً أو المراد به خصوص الواجب منه </w:t>
      </w:r>
    </w:p>
    <w:p>
      <w:pPr>
        <w:pStyle w:val="BookText"/>
        <w:rPr/>
      </w:pPr>
      <w:r>
        <w:rPr>
          <w:rFonts w:ascii="Amiri" w:hAnsi="Amiri" w:eastAsia="Amiri" w:cs="Amiri"/>
          <w:color w:val="111111"/>
          <w:sz w:val="28"/>
          <w:sz w:val="28"/>
          <w:szCs w:val="28"/>
          <w:rtl w:val="true"/>
          <w:lang w:bidi="ar-SA"/>
        </w:rPr>
        <w:t>كالزكاة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فهل هي مكروهة أو محرمة مطلقاً أو فيما استلزمت الإيذاء أو الإهانة أو الهتك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والجدال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القعود مع فاعل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 بَعْدَ الذِّكْرى مَعَ الْقَوْمِالظَّالِمِينَ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السر، ففي صحيحة زرارة،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التفريق بين الأحبة، كما في رواية ابن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تعيير المؤمن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وحدوده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للأمور الجاهلية، كالقومية والاقليمية والعرقية، ففي صحيح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أو تعصب له فقد خلع ربقة الإيمان من عنقه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العُجب، ففي صحيح الثمالي،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وثلاث مهلكات، هوى متبع، وشح مطاع، وإعجاب المرء بنفسه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السوء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فَسِيرُوا فِي الأَرْضِ</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يَسْخَرْ قَوْمٌ مِنْ قَوْمٍ</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الراد عليهم كالراد علينا</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ومعناه، وهل هو حرام مطلقاً أو في بعض الصور، أو عدم الحرمة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من الكفار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إيواء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البطانة من غير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لَمْ 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على البر والتقوى،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بين الأخوين،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والمصابرة،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وَصابِرُوا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 أهل البدع، فقد ورد في الصحيح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 لا يطعموا في الفساد في الإسلام ويحذرهم الناس</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والإعراض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موارد أخرى عديدة</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وأغلب هذه الموارد رغم أهميتها البالغة الشديدة الأكيدة لم يتطرق لها مشهور الفقهاء إلا القليل منهم أو النادر</w:t>
      </w:r>
      <w:r>
        <w:rPr>
          <w:rStyle w:val="FootnoteAnchor"/>
          <w:rtl w:val="true"/>
        </w:rPr>
        <w:footnoteReference w:id="541"/>
      </w:r>
      <w:r>
        <w:rPr>
          <w:rFonts w:ascii="Amiri" w:hAnsi="Amiri" w:eastAsia="Amiri" w:cs="Amiri"/>
          <w:color w:val="111111"/>
          <w:sz w:val="28"/>
          <w:sz w:val="28"/>
          <w:szCs w:val="28"/>
          <w:rtl w:val="true"/>
          <w:lang w:bidi="ar-SA"/>
        </w:rPr>
        <w:t>، ولا يعد ذلك دليلاً على عدم استفادتهم الوجوب أو الحرمة من الآيات والروايات الواردة مواردها، بل عدم الذكر إما للغفلة، أو لعدم كونهم في مقامالاستقصاء، أو عدم القدرة نتيجة الابتلاء بمزاحمات أخرى، أو لوضوح الأمر فيها لديهم، أو لغير ذلك كالاكتفاء بذكر كبرياتها في محالها، أو لغير ذلك، أو لمجموع ذلك في مجموع الموارد، وبعضها المذكور في علم الأخلاق لم يبحث عنه من جهة حكمه الشرعي عادة وبالاستناد إلى دليله من الآيات والروايات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يؤيد ما ذكرناه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الذكر يحتمل وجوهاً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سنذكره في الجواب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في الرسائل،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الاستصحاب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وحيث إن المختار عندنا هو الأول ذكرناه في الأصول العملية المقررة للموضوعات بوصف كونها مشكوكة الحكم، لكن ظاهر كلمات الأكثر كالشيخ والسيدين والفاضلين والشهيدين وصاحب المعالم كونه حكماً عقلياً، ولذا لا يتمسك أحد هؤلاء بخبر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تمسك بهذه الأخبار فيما وجدته والد الشيخ البهائي فيما حكي عنه في العقد الطهماسبي وتبعه صاحب الذخيرة وشارح الدروس وشاع بين من تأخر عنهم</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المتكلم في الاستصحاب من باب التعبد والأخبار بين العلماء في غاية القلة إلى زمان متأخري المتأخرين مع أن بعض هؤلاء</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صفحات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وأهملوا قاعدة البناء على اليقين السابق لعدم دلالة العقل عليه ولا النقل، بناءً على عدم التفاتهم إلى الأخبار المذكورة لقصور دلالتها عندهم، ببعض ما أشرنا إليه سابقاً، أو لغفلتهم عنها على أبعد الاحتمالات عن ساحة من هو دونهم في الفضل</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فرغم أن الأكثر على كونه حكماً عقلياً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كلمات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في الاستصحاب من باب التعبد والأخبار بين العلماء في غاية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استند والد الشيخ البهائي ثم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الأخبار على خلافالمشهور، واعتبراها دالة على المراد، ولم يكن إعراض المشهور عن الاستدلال بها قرينة نوعية على عدم حجيتها، ولا مانعاً عن استظهار فقيه آخر الحجية منها، وذلك لأسباب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w:t>
      </w:r>
      <w:bookmarkStart w:id="460" w:name="pg8204_101104"/>
    </w:p>
    <w:p>
      <w:pPr>
        <w:pStyle w:val="BookText"/>
        <w:rPr/>
      </w:pPr>
      <w:bookmarkEnd w:id="460"/>
      <w:r>
        <w:rPr>
          <w:rFonts w:ascii="Amiri" w:hAnsi="Amiri" w:eastAsia="Amiri" w:cs="Amiri"/>
          <w:color w:val="111111"/>
          <w:sz w:val="28"/>
          <w:sz w:val="28"/>
          <w:szCs w:val="28"/>
          <w:rtl w:val="true"/>
          <w:lang w:bidi="ar-SA"/>
        </w:rPr>
        <w:t xml:space="preserve">إعراضهم عنها لغفلتهم عنها، ولعدم تمامية سندها لديهم، أو لعدم تمامية دلالتها عندهم،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عدم التفاتهم إلى الأخبار المذكور لقصور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اجتهاد الفقيه حتى لو عضدته الشهرة حجة على فقيه آخر كما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آل الأمر إلى انعقاد شهرة المتأخرين على خلاف شهرة المتقدمين، كما يشهد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وشاع بين من تأخر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يشهد به تتبع آراء الفقهاء بعد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إضافة إلى أنه ليس بناء الفقهاء على اعتبار من لم يتطرق لوجوب شيء، قائلاً بالوجوب ولا قائلاً باللاوجوب، وكذا لا يعتبرون من لم يتطرق لمسألة ادعى فيها البعض أو المشهور الحرمة قائلاً بالحرمة أو عدمها</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8924264_1051229030"/>
      <w:bookmarkStart w:id="462" w:name="_Toc171"/>
      <w:bookmarkEnd w:id="461"/>
      <w:r>
        <w:rPr>
          <w:rtl w:val="true"/>
        </w:rPr>
        <w:t>ليست الشهرة ظناً معتبراً ليحتج بها</w:t>
      </w:r>
      <w:bookmarkEnd w:id="462"/>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بأن المشهور فهموا عدم الوجوب، لكن الشهرة ليست ظناً معتبراً باعتراف المشهور، فلو جعل عدم فهمهم الوجوب من الآية قرينة صارفة للظاهر عن ظهوره كان في ذلك مخالفة المشهور</w:t>
      </w:r>
      <w:r>
        <w:rPr>
          <w:rStyle w:val="FootnoteAnchor"/>
          <w:rtl w:val="true"/>
        </w:rPr>
        <w:footnoteReference w:id="545"/>
      </w:r>
      <w:r>
        <w:rPr>
          <w:rFonts w:ascii="Amiri" w:hAnsi="Amiri" w:eastAsia="Amiri" w:cs="Amiri"/>
          <w:color w:val="111111"/>
          <w:sz w:val="28"/>
          <w:sz w:val="28"/>
          <w:szCs w:val="28"/>
          <w:rtl w:val="true"/>
          <w:lang w:bidi="ar-SA"/>
        </w:rPr>
        <w:t xml:space="preserve">، فموافقة المشهور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دلالة الآية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ارتأوا ذلك مخالفة للمشهور في الواقع، فالفرار من مخالة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للوقوع في مخالفته، فلو لم يكن هذا ذا محذور لم يكن ذاك 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الفتوائية جابرة وكاسرة حسب رأي المشهور، فالضعيف المنجبر بعمل الفقهاء حجة، والصحيح المعرض عنه من قبل الأصحاب ليس </w:t>
      </w:r>
    </w:p>
    <w:p>
      <w:pPr>
        <w:pStyle w:val="BookText"/>
        <w:rPr/>
      </w:pPr>
      <w:r>
        <w:rPr>
          <w:rFonts w:ascii="Amiri" w:hAnsi="Amiri" w:eastAsia="Amiri" w:cs="Amiri"/>
          <w:color w:val="111111"/>
          <w:sz w:val="28"/>
          <w:sz w:val="28"/>
          <w:szCs w:val="28"/>
          <w:rtl w:val="true"/>
          <w:lang w:bidi="ar-SA"/>
        </w:rPr>
        <w:t>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جابرة للسند وكاسرة له لا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ربما يظهر من العلماء من التوقف في العمل بالخبر الصحيح المخالف لفتوى المشهور أو طرحه مع اعترافهم بعدم حجية الشهرة، فليس من جهة مزاحمة الشهرة لدلالة الخبر الصحيح من عموم أو إطلاق، بل من جهة مزاحمتها للخبر من حيث الصدور، بناءً على أن ما دل من الدليل على حجية الخبر الواحد من حيث السند لا يشمل المخالف للمشهور، ولذا لا يتأملون في العمل بظواهر الكتاب والسنة المتواترة إذا عارضها الشهرة، فالتأمل في الخبر المخالف للمشهور إنما هو إذا خالفت الشهرة نفس الخبر لا عمومه وإطلاقه، فلا يتأملون في عمومه إذا كانت الشهرة على التخصيص، نعم ربما يجري على لسان بعض متأخري المتأخرين من المعاصرين عدم الدليل على حجية الظواهر إذا لم تفد الظن، أو إذا حصل الظن غير المعتبر على خلافها، لكن الإنصاف أنه مخالف لطريقة أرباب اللسان والعلماء في كل زمان</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هذا لو أغمضنا النظر عن المناقشة في مستند مبنى المشهور على ما استظهره الشيخ من ادعاء أن ما دل من الدليل على حجية خبر الواحد من حيث السند لا يشمل المخالف للمشهور، إذ لا وجه لهذه الدعوى مع عموم أدلة حجية خبر الواحد لمعارض المشهور، إذ الوجه إما الانصراف أو التخصيص أو أخبار مرجحات باب التعارض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فهو بدوي</w:t>
      </w:r>
      <w:r>
        <w:rPr>
          <w:rStyle w:val="FootnoteAnchor"/>
          <w:rtl w:val="true"/>
        </w:rPr>
        <w:footnoteReference w:id="547"/>
      </w:r>
      <w:r>
        <w:rPr>
          <w:rFonts w:ascii="Amiri" w:hAnsi="Amiri" w:eastAsia="Amiri" w:cs="Amiri"/>
          <w:color w:val="111111"/>
          <w:sz w:val="28"/>
          <w:sz w:val="28"/>
          <w:szCs w:val="28"/>
          <w:rtl w:val="true"/>
          <w:lang w:bidi="ar-SA"/>
        </w:rPr>
        <w:t>، إضافة إلى أن بناء العقلاء على الحجية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أدلة حجية الخبر وأدلة 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بحسب لسانها بباب تعارضالأخبار لا تعارض خبر وشهرة، أو ظاهر آية وشهرة، والمقام منه، إضافة إلى النقض بجريان ما ذكر بالنسبة للدلالة أيضاً بادعاء أن أدلة حجية الظواهر منصرفة عما لو خالفها المشهور أو مخصصة بغير صورة 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الأمر أنه يقع التعارض بينهما لا أن المقتضي لحجية الخبر المعارض للمشهور غير موجود، إضافة إلى أن بناء العقلاء على حجية خبر الواحد الجامع للشرائط اذا عارضته الشهرة الفتوائية في كل العلوم والصناعات، نعم قد يقدمون الشهرة ولكن لا من باب عدم المقتضي لحجية خبر الواحد حينئذٍ، بل من باب ابتلائه بالمعارض الأقوى، وكذا بناؤهم على حجية الظواهر وإن خالفها فتوى المشهور، ويظهر ذلك لمن رجع إلى الخبراء في كل علم وفن، حيث يتمسكون بظواهر الألفاظ وإن فهم منها المشهور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أوثق الوسائل في شرح الرسائل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معنى لدعوى الإجماع على دلالة الألفاظ والظهورات العرفية، لجواز مخالفة هذا الإجماع بلا إشكال لمن ثبت عنده خلافه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فيما نحن فيه أن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الصدور، ظنية الدلالة، فالشهرة لا تضعف السند لقطعيته ولا الدلالة لأن محل الجبر والكسر هو السند لا غير، على المشهور</w:t>
      </w:r>
      <w:r>
        <w:rPr>
          <w:rFonts w:eastAsia="Amiri" w:cs="Amiri" w:ascii="Amiri" w:hAnsi="Amiri"/>
          <w:color w:val="111111"/>
          <w:sz w:val="28"/>
          <w:szCs w:val="28"/>
          <w:rtl w:val="true"/>
          <w:lang w:bidi="ar-SA"/>
        </w:rPr>
        <w:t xml:space="preserve">. </w:t>
      </w:r>
      <w:bookmarkStart w:id="463" w:name="pg8204_101107"/>
    </w:p>
    <w:p>
      <w:pPr>
        <w:pStyle w:val="Heading6"/>
        <w:numPr>
          <w:ilvl w:val="5"/>
          <w:numId w:val="1"/>
        </w:numPr>
        <w:rPr/>
      </w:pPr>
      <w:bookmarkStart w:id="464" w:name="__RefHeading___Toc8924266_1051229030"/>
      <w:bookmarkStart w:id="465" w:name="_Toc172"/>
      <w:bookmarkEnd w:id="463"/>
      <w:bookmarkEnd w:id="464"/>
      <w:r>
        <w:rPr>
          <w:rtl w:val="true"/>
        </w:rPr>
        <w:t>وعلى فرض اعتبارها فلا بد من ملاحظة سائر الأدلة</w:t>
      </w:r>
      <w:bookmarkEnd w:id="465"/>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الشهرة ظن خاص معتبر، لكون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هو ملاحظة الدليل الذي أقامه الفقيه أو الفقهاء، ثم البحث عن سنده ودلالته وعدمها، ومدى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ومعارضاته، ووجود مخصص أو حاكم أو وارد عليه، فلو ترجح عنده أحد الطرفين كان رأيه حجة، سواء وافق رأي الفقيه أو الفقهاء الذين أقاموا الدليل أم خالف، وذلك هو مقتضى فتح باب الاجتهاد ومقتضى حجية رأي الفقيه كما لا يخفى، إضافة إلى كونه من ضروريات الفقه، إذ من الضروري عدم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برأي فقيه آخر، أو رأي مشهور الفقهاء، وعدم وجوب قبوله أدلة الفقهاء الآخرين تعبداً، ووجوب التعبد برأي الفقيه منحصر في المقلّد، وفي صورة انسداد باب العلم والعلمي مع عدم سلوكه طريق الاجتهاد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فالشهرة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يعني كونها علة تامة لوجوب القبول، بل غاية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مقتضٍ له، فلا يصح للفقيه الاعتماد عليها دون البحث عن المعارض وعن مدى دلالتها وعن الحاكم</w:t>
      </w:r>
      <w:r>
        <w:rPr>
          <w:rStyle w:val="FootnoteAnchor"/>
          <w:rtl w:val="true"/>
        </w:rPr>
        <w:footnoteReference w:id="549"/>
      </w:r>
      <w:r>
        <w:rPr>
          <w:rFonts w:ascii="Amiri" w:hAnsi="Amiri" w:eastAsia="Amiri" w:cs="Amiri"/>
          <w:color w:val="111111"/>
          <w:sz w:val="28"/>
          <w:sz w:val="28"/>
          <w:szCs w:val="28"/>
          <w:rtl w:val="true"/>
          <w:lang w:bidi="ar-SA"/>
        </w:rPr>
        <w:t>أو الوارد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وللتوضيح نقول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حجية خبر الواحد مثلاً إنما تصنع المقتضي لوجوب القبول وللحجية لا العلة التامة، ولذا قد يسقط خبر الواحد عن الحجية عند معارضته لظاهر </w:t>
      </w:r>
    </w:p>
    <w:p>
      <w:pPr>
        <w:pStyle w:val="BookText"/>
        <w:rPr/>
      </w:pPr>
      <w:r>
        <w:rPr>
          <w:rFonts w:ascii="Amiri" w:hAnsi="Amiri" w:eastAsia="Amiri" w:cs="Amiri"/>
          <w:color w:val="111111"/>
          <w:sz w:val="28"/>
          <w:sz w:val="28"/>
          <w:szCs w:val="28"/>
          <w:rtl w:val="true"/>
          <w:lang w:bidi="ar-SA"/>
        </w:rPr>
        <w:t xml:space="preserve">الكتاب بنحو التباين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أخبار الجبر والتفويض والغلو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العموم من وجه في مادة الاجتماع، أو عند معارضته بخبر آخر له مرجح صدوري أو حتى مرجح جهتي</w:t>
      </w:r>
      <w:r>
        <w:rPr>
          <w:rStyle w:val="FootnoteAnchor"/>
          <w:rtl w:val="true"/>
        </w:rPr>
        <w:footnoteReference w:id="550"/>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الحال هذا في خبر الثقة الذي ذهب الأكثر إلى حجيته، فما هو الحال فيما ذهب الأكثر إلى عدم حجيته؟ ولأجل ذلك نجد أن العلماء في العمل بدليل مّا، اشترطوا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معارضاته، ومنعوا العمل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ذلك الظواهر أو أخبار الآحاد أو الاستصحاب مثلاً بناءً على أماريته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وهل الشهرة مستثناة من هذه القاعدة بحيث لو عثر فقيه على الشهرة الفتوائية أغناه ذلك عن البحث عن سائر الأدلة الموافقة والمخالفة، وبحيث لو عثر عليها أفتى على طبقها؟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المشهور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لا غير حجة ذاتية يستحيل تخلف الحجية عنه، فإن الحجية ذاتية للقطع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ذاتية للعلم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بذاتي باب البرهان، حيث تنتزع من حاق ذات القطع بلا ضميمة خارجية، ولو انفكت عن القطع لزم التناقض وغيره من المحاذير، على ما هو مذكور في 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فحجيته غيرية جعلية، يمكن تخلفها عنه، بل يتحتم إن ابتلى بالمعارض الأقوى، إذا توضح ذلك اتضح أن انعقاد الشهرة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كعدم وجوب الشورى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يلغى اجتهاد المجتهد، ولا يعني عدم صحة استظهار فقيه الوجوب على خلاف رأي المشهور، ولذا جرت طريقة معظم الفقهاء على عدم الاستدلال بالشهرة وجعلها مؤيدة لا غير</w:t>
      </w:r>
      <w:r>
        <w:rPr>
          <w:rStyle w:val="FootnoteAnchor"/>
          <w:rtl w:val="true"/>
        </w:rPr>
        <w:footnoteReference w:id="552"/>
      </w:r>
      <w:r>
        <w:rPr>
          <w:rFonts w:ascii="Amiri" w:hAnsi="Amiri" w:eastAsia="Amiri" w:cs="Amiri"/>
          <w:color w:val="111111"/>
          <w:sz w:val="28"/>
          <w:sz w:val="28"/>
          <w:szCs w:val="28"/>
          <w:rtl w:val="true"/>
          <w:lang w:bidi="ar-SA"/>
        </w:rPr>
        <w:t xml:space="preserve">، وعلى ردّها </w:t>
      </w:r>
      <w:bookmarkStart w:id="466" w:name="pg8204_101109"/>
    </w:p>
    <w:p>
      <w:pPr>
        <w:pStyle w:val="BookText"/>
        <w:rPr/>
      </w:pPr>
      <w:bookmarkEnd w:id="466"/>
      <w:r>
        <w:rPr>
          <w:rFonts w:ascii="Amiri" w:hAnsi="Amiri" w:eastAsia="Amiri" w:cs="Amiri"/>
          <w:color w:val="111111"/>
          <w:sz w:val="28"/>
          <w:sz w:val="28"/>
          <w:szCs w:val="28"/>
          <w:rtl w:val="true"/>
          <w:lang w:bidi="ar-SA"/>
        </w:rPr>
        <w:t>بوجدان الخلاف ومعارضة النصوص</w:t>
      </w:r>
      <w:r>
        <w:rPr>
          <w:rFonts w:eastAsia="Amiri" w:cs="Amiri" w:ascii="Amiri" w:hAnsi="Amiri"/>
          <w:color w:val="111111"/>
          <w:sz w:val="28"/>
          <w:szCs w:val="28"/>
          <w:rtl w:val="true"/>
          <w:lang w:bidi="ar-SA"/>
        </w:rPr>
        <w:t>.</w:t>
      </w:r>
      <w:r>
        <w:rPr>
          <w:rStyle w:val="FootnoteAnchor"/>
          <w:rtl w:val="true"/>
        </w:rPr>
        <w:footnoteReference w:id="553"/>
      </w:r>
    </w:p>
    <w:p>
      <w:pPr>
        <w:pStyle w:val="Heading6"/>
        <w:numPr>
          <w:ilvl w:val="5"/>
          <w:numId w:val="1"/>
        </w:numPr>
        <w:rPr/>
      </w:pPr>
      <w:bookmarkStart w:id="467" w:name="__RefHeading___Toc8924268_1051229030"/>
      <w:bookmarkStart w:id="468" w:name="_Toc173"/>
      <w:bookmarkEnd w:id="467"/>
      <w:r>
        <w:rPr>
          <w:rtl w:val="true"/>
        </w:rPr>
        <w:t>نماذج من انقلاب الشهرة</w:t>
      </w:r>
      <w:bookmarkEnd w:id="468"/>
    </w:p>
    <w:p>
      <w:pPr>
        <w:pStyle w:val="BookText"/>
        <w:rPr/>
      </w:pPr>
      <w:r>
        <w:rPr>
          <w:rFonts w:ascii="Amiri" w:hAnsi="Amiri" w:eastAsia="Amiri" w:cs="Amiri"/>
          <w:color w:val="111111"/>
          <w:sz w:val="28"/>
          <w:sz w:val="28"/>
          <w:szCs w:val="28"/>
          <w:rtl w:val="true"/>
          <w:lang w:bidi="ar-SA"/>
        </w:rPr>
        <w:t xml:space="preserve">ولأجل ذلك كله نجد على كر الأعصار قولاً مشهوراً وقولاً لغير المشهور، بل نجد المشهور في مسألة يخالفون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أو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مسألة أو مسائل أخرى، بنحو التفريق</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ولأجل ذلك كله نجد انقلاب الشهرة على الوفاق في موارد عديدة، إلى شهرة على الخلاف في الأعصار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حكمهم إلى زمان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بيع المعاطاة إنما يفيد مجرد الإباحة، خلافاً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بلزومه، وإذ وصلت النوبة للمحقق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بإفادته للملك المتزلزل واستقرت الفتوى بعده على ذلك</w:t>
      </w:r>
      <w:r>
        <w:rPr>
          <w:rStyle w:val="FootnoteAnchor"/>
          <w:rtl w:val="true"/>
        </w:rPr>
        <w:footnoteReference w:id="555"/>
      </w:r>
      <w:r>
        <w:rPr>
          <w:rFonts w:ascii="Amiri" w:hAnsi="Amiri" w:eastAsia="Amiri" w:cs="Amiri"/>
          <w:color w:val="111111"/>
          <w:sz w:val="28"/>
          <w:sz w:val="28"/>
          <w:szCs w:val="28"/>
          <w:rtl w:val="true"/>
          <w:lang w:bidi="ar-SA"/>
        </w:rPr>
        <w:t xml:space="preserve">، 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بين علمائنا عدم ثبوت الملك بالمعاطاة، بل لم نجد قائلاً به إلى زمان المحقق الثاني</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انعقاد شهرة القدماء إلى زمان والد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تنجس البئر بالملاقاة، وأن المقدر في المنزوحات هو المطهر، ولكن استقرت الشهرة </w:t>
      </w:r>
      <w:bookmarkStart w:id="469" w:name="pg8204_101110"/>
    </w:p>
    <w:p>
      <w:pPr>
        <w:pStyle w:val="BookText"/>
        <w:rPr/>
      </w:pPr>
      <w:bookmarkEnd w:id="469"/>
      <w:r>
        <w:rPr>
          <w:rFonts w:ascii="Amiri" w:hAnsi="Amiri" w:eastAsia="Amiri" w:cs="Amiri"/>
          <w:color w:val="111111"/>
          <w:sz w:val="28"/>
          <w:sz w:val="28"/>
          <w:szCs w:val="28"/>
          <w:rtl w:val="true"/>
          <w:lang w:bidi="ar-SA"/>
        </w:rPr>
        <w:t>الفتوائية بعده على عدم تنجسه بالملاقاة وأن النزح مستحب</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ومن ذلك ما سبق من انعقاد الشهرة إلى زمان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دلالة أخبار الاستصحاب على حجيته، أو على عدم الاستدلال بها، ثم انقلبت لتنعقد على اعتبارها هي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انعقادها عند القدماء على كون الاستصحاب من الأمارات ثم اعتبارها من الأصول،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أحد كبار الأساتيذ موردين آخرين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نجاسة العصير العنبي إذا غلا ولم يذهب ثلثاه، حيث كانت الشهرة على النجاسة ثم انقلبت إلى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أو أمارة، حيث كانت الشهرة في السابق على كونها أمارة</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8924270_1051229030"/>
      <w:bookmarkStart w:id="471" w:name="_Toc174"/>
      <w:bookmarkEnd w:id="470"/>
      <w:r>
        <w:rPr>
          <w:rtl w:val="true"/>
        </w:rPr>
        <w:t xml:space="preserve">الجواب عن أن سيرة الفقهاء العملية لم تكن على الشورى، بوجوه </w:t>
      </w:r>
      <w:r>
        <w:rPr>
          <w:rtl w:val="true"/>
        </w:rPr>
        <w:t>:</w:t>
      </w:r>
      <w:bookmarkEnd w:id="471"/>
    </w:p>
    <w:p>
      <w:pPr>
        <w:pStyle w:val="BookText"/>
        <w:rPr/>
      </w:pPr>
      <w:r>
        <w:rPr>
          <w:rFonts w:ascii="Amiri" w:hAnsi="Amiri" w:eastAsia="Amiri" w:cs="Amiri"/>
          <w:color w:val="111111"/>
          <w:sz w:val="28"/>
          <w:sz w:val="28"/>
          <w:szCs w:val="28"/>
          <w:rtl w:val="true"/>
          <w:lang w:bidi="ar-SA"/>
        </w:rPr>
        <w:t xml:space="preserve">وأما ما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السيرة العملية للفقهاء لم تكن على الاستشارة والشورى، بل على التفرد بالرأي، يشهد لذلك حكمهم في باب الشورى وفي التصرف في أموال القصر والتيامى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إضافة إلى جريان بعض ما ذكر سابقاً ههنا بل وغيره أيضاً</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السيرة إلا لو ثبت اتصالها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كونها حجة يجري الجواب الثالث السابق بطوله فليراجع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مدعي هذه الدعوى الإثبات، وذكر عشرة موارد أو مائة مورد لا يكفي، إذ الاستقراء الناقص ليس حجة، والحدس من عدم استشارة مجموعة من الفقهاء على كون السيرة العملية لجميعهم على عدم الاستشارة والشورى، غير صحيح، إذ الاستقراء إذا كان مستلزماً عادة للحدس بجريان الحكم في سائر الموارد يكون حجة، أما لو لم يكن مستلزماً عادة فليس بحجة وإن حدس منه الغير، نظير ما ذكره الفقهاء في حجية الإجماع من باب الحدس بقول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عدم عمل الفقهاء بالشورى كافٍ في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مفصلاً الجواب عن هذا الإشكال عند الاعتراض بأن عدم الدليل على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كافٍفي عدم الوجوب،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بموارد استشارتهم وهي كثيرة، وبموارد عملهم بالشورى مما قد يظهر للمتتبع في قصص العلماء وتواريخهم، وقلة هذه الموارد لا تدل على عدم العمل في أكثر الموارد، إذ لعل سبب القلة هو كونها من السالبة بانتفاء الموضوع، لعدم كون أمر الشؤون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كالصلح والحرب والمعاهدات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ليست بحجة إلاّ لو أحرز اتصالها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وإمضائه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لذلك حكمهم في باب الهلال و</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شهادة له على خلاف ما ندعيه وتوضيح ذلك</w:t>
      </w:r>
      <w:r>
        <w:rPr>
          <w:rFonts w:eastAsia="Amiri" w:cs="Amiri" w:ascii="Amiri" w:hAnsi="Amiri"/>
          <w:color w:val="111111"/>
          <w:sz w:val="28"/>
          <w:szCs w:val="28"/>
          <w:rtl w:val="true"/>
          <w:lang w:bidi="ar-SA"/>
        </w:rPr>
        <w:t xml:space="preserve">: </w:t>
      </w:r>
      <w:bookmarkStart w:id="472" w:name="pg8204_101112"/>
    </w:p>
    <w:p>
      <w:pPr>
        <w:pStyle w:val="Heading6"/>
        <w:numPr>
          <w:ilvl w:val="5"/>
          <w:numId w:val="1"/>
        </w:numPr>
        <w:rPr/>
      </w:pPr>
      <w:bookmarkStart w:id="473" w:name="__RefHeading___Toc8924272_1051229030"/>
      <w:bookmarkStart w:id="474" w:name="_Toc175"/>
      <w:bookmarkEnd w:id="472"/>
      <w:bookmarkEnd w:id="473"/>
      <w:r>
        <w:rPr>
          <w:rtl w:val="true"/>
        </w:rPr>
        <w:t xml:space="preserve">بحث عن الأمور الحسبية وأنها من شؤون </w:t>
      </w:r>
      <w:r>
        <w:rPr>
          <w:rtl w:val="true"/>
        </w:rPr>
        <w:t>(</w:t>
      </w:r>
      <w:r>
        <w:rPr>
          <w:rtl w:val="true"/>
        </w:rPr>
        <w:t>القضاة</w:t>
      </w:r>
      <w:r>
        <w:rPr>
          <w:rtl w:val="true"/>
        </w:rPr>
        <w:t xml:space="preserve">) </w:t>
      </w:r>
      <w:r>
        <w:rPr>
          <w:rtl w:val="true"/>
        </w:rPr>
        <w:t xml:space="preserve">دون </w:t>
      </w:r>
      <w:r>
        <w:rPr>
          <w:rtl w:val="true"/>
        </w:rPr>
        <w:t>(</w:t>
      </w:r>
      <w:r>
        <w:rPr>
          <w:rtl w:val="true"/>
        </w:rPr>
        <w:t>الولاة</w:t>
      </w:r>
      <w:r>
        <w:rPr>
          <w:rtl w:val="true"/>
        </w:rPr>
        <w:t>)</w:t>
      </w:r>
      <w:bookmarkEnd w:id="474"/>
    </w:p>
    <w:p>
      <w:pPr>
        <w:pStyle w:val="BookText"/>
        <w:rPr/>
      </w:pPr>
      <w:r>
        <w:rPr>
          <w:rFonts w:ascii="Amiri" w:hAnsi="Amiri" w:eastAsia="Amiri" w:cs="Amiri"/>
          <w:color w:val="111111"/>
          <w:sz w:val="28"/>
          <w:sz w:val="28"/>
          <w:szCs w:val="28"/>
          <w:rtl w:val="true"/>
          <w:lang w:bidi="ar-SA"/>
        </w:rPr>
        <w:t>إننا لا ندعي وجوب الشورى في أمثال الحكم بالهلال والتصرف في الأمور الحسبية بالمعنى الأخص، بل إننا ندعي وجوبها في أمثال المعاهدات الدولية والحرب والصلح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الموضوعات الصرفة التي يكون المرجع فيه أهل الخبرة، ولو رجع فيه إلى الفقيه فإنما هو من حيث إنه خبير لا من حيث إنه فقيه، كالرجوع إليه في تعيين ما هو القمار، وأي نوع يصدق عليه الخمر، ولذا نجد أنهم ذكروا أن شخصاً لو رأى هلال رمضان مثلاً وجب عليه الصوم وإن لم يثبت الهلال عند الفقيه ولم يحكم به، وكذا لو حكم الفقيه بهلال رمضان استناداً إلى شاهدين أو شهود أحرز الشخص كذبهم، لم ينفذ حكمه في حقه، بل لو حكم بهلال رمضان استناداً إلى شهود عدول مع رؤية الشخص هلال شعبان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لا ينفذ حقه، إذ الشهر لا ينقص عن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وقد رآه قبل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فتأمل، والمدعى هو وجوب الشورى في الموضوعات 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الأمور الحسبية فتفصيل القول فيه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الأمور الحسبية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السيد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الأمور التي لا ولي لها بالخصوص، كتولي الأوقاف العامة، وإدارة شؤون القصّر والغيّب بالنسبة إلى أموالهم وما يتعلق بهم، كإجراء النفقة على زوجة المجنون، والحجر على السفيه والمفلس، وإجازة تجهيز الأموات الذين لا ولي لهم وأمثال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جواز تصدي الفقيه لها، وللجواز مسلكان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المعروف الذي علم من الشارع إرادة وجوده في الخارج، ألا ترىأنه لا يعقل أن يكون الشارع معطلاً للميت الذي لا ولي له حتى ينتن، أو أن يخلي سبيل المجنون والسفيه والصغير حتى يفسدوا، فإنه خلاف الحكمة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الأمور من فروع القضاء المأذون فيه شرعاً للفقيه الجامع للشرائط، كما نرى من رجوع هذه الأمور في هذه الأزمنة وما قبلها إلى الحاكم والقضاة، بل قد ادعى إطباق التواريخ على أنه كان كذلك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القاضي المنصوب من قبلهم كان بيده هذه الأمور، كما أن الوالي كان بيده الأمور السياسية، كما سيأتي توضيحه في الأمر السادس، وعليه فحيث ثبت في الأمر الرابع جواز القضاوة للفقيه كان من فروعه جواز تصديه للأمور الحسبية، وهذا المسلك أقوى في النظر</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إذا تمهد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المسلك الثاني فالأمور الحسبية خارجة تخصصاً عن أدلة الشورى، فلها خروج موضوعي عنها، فكيف يكون جريان سيرة الفقهاء على عدم العمل بالشورى فيها دليلاً على عدم عملهم بالشورى فيها لو تحقق موضوعها؟ وهل يكون عدم محمول في موضوع دليلاً على عدمه في موضوع آخر؟</w:t>
      </w:r>
    </w:p>
    <w:p>
      <w:pPr>
        <w:pStyle w:val="BookText"/>
        <w:rPr/>
      </w:pPr>
      <w:r>
        <w:rPr>
          <w:rFonts w:ascii="Amiri" w:hAnsi="Amiri" w:eastAsia="Amiri" w:cs="Amiri"/>
          <w:color w:val="111111"/>
          <w:sz w:val="28"/>
          <w:sz w:val="28"/>
          <w:szCs w:val="28"/>
          <w:rtl w:val="true"/>
          <w:lang w:bidi="ar-SA"/>
        </w:rPr>
        <w:t>بيان الخروج التخصصي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الأمور الحسبية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في باب القضاء والقضاة، أما موضوع الشورى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العامة المرتبطة بالسياسات وتدبير المدن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الأمر والحكم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موضوع الشورى إن ثبتت، وإن لم تثبت فهو موضوع نفوذ حكم الحاكم الواحد مباشرة أو بالتوكيل إن جوزناه</w:t>
      </w:r>
      <w:r>
        <w:rPr>
          <w:rStyle w:val="FootnoteAnchor"/>
          <w:rtl w:val="true"/>
        </w:rPr>
        <w:footnoteReference w:id="561"/>
      </w:r>
      <w:r>
        <w:rPr>
          <w:rFonts w:ascii="Amiri" w:hAnsi="Amiri" w:eastAsia="Amiri" w:cs="Amiri"/>
          <w:color w:val="111111"/>
          <w:sz w:val="28"/>
          <w:sz w:val="28"/>
          <w:szCs w:val="28"/>
          <w:rtl w:val="true"/>
          <w:lang w:bidi="ar-SA"/>
        </w:rPr>
        <w:t>، وما كان الأمر فيه إلى القضاة لا الولاة فليس بموضوع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للقضاة شؤوناً تختص بهم، وللولاة شؤوناً كذلك، وعلى ذلك جرت كافة الدول في كل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والمدعى وجوب الشورى فيما يرتبط بالولاة،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الشؤون العامة المرتبطة بسياسة المدن أو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فيمايرتبط بالقضاة، فلا يكون عدم عملهم بالشورى فيما يرتبط بالقضاة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كالأمور الحسبية على 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عدم وجوبها فيما يرتبط بالولاة، ولا على عدم عملهم بها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تعريف المشهور للقضاء، قال الشيخ محمد حسن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الحكم شرعاً لمن له أهلية الفتوى بجزئيات القوانين الشرعية على أشخاص معينين من البرية بإثبات الحقوق واستيفائها للمستحق، كما في المسالك والتنقيح وكشف اللثام وغيرها، بل في الأول منها نسبة تعريفه بذلك إليهم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وقال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ولاية حكم خاص، أو حكم خاص في واقعة مخصوصة على شخص مخصوص بإثبات ما يوجب عقوبة دنيوية شرعاً أو حق من حقوق الناس بعد التنازع فيه أو بنفي واحد منهما</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فرقه وبينونته موضوعاً عن موضوع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يرتبط </w:t>
      </w:r>
    </w:p>
    <w:p>
      <w:pPr>
        <w:pStyle w:val="BookText"/>
        <w:rPr/>
      </w:pPr>
      <w:r>
        <w:rPr>
          <w:rFonts w:ascii="Amiri" w:hAnsi="Amiri" w:eastAsia="Amiri" w:cs="Amiri"/>
          <w:color w:val="111111"/>
          <w:sz w:val="28"/>
          <w:sz w:val="28"/>
          <w:szCs w:val="28"/>
          <w:rtl w:val="true"/>
          <w:lang w:bidi="ar-SA"/>
        </w:rPr>
        <w:t>بالولايات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القضاء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الحكم شرعاً بجزئيات القوانين الشرعية على أشخاص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منصب الحكومة مما يرتبط بالوالي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ترتبط بالشؤون العامة كالجهاد والمعاهدات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ترتبط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جزئيات القوانين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على هند بأنها زوجة خالد، وبأن هذه الدار ملك لزيد، ولا شك في ظهور، ولا أقل من انصراف جزئيات القوانين الشرعية إلى غير الشؤون العامة، كما هو الظاهر، كما أنها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وتؤثر على أو تلزم عامة المكلفين أو أكثرهم أو جماعة كبيرة منهم</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وليست كالقضاء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أشخاص معينين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فالإنفاق على زوجة زيد المجنون وتجهيز الميت الفلاني ولاية على أشخاص معينين في قضايا جزئية شخصية مما يرتبط بالقضاء، أما إصدار الحكم بالجهاد أو الأمر بقطع العلاقات السياسية والاقتصادية مع دولة أو عقدالتحالف معها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يرتبط بالولاة، ويتضح الأمر أكثر بملاحظة تعريف المستند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القضاء في الأمور الحسبية توجد</w:t>
      </w:r>
      <w:r>
        <w:rPr>
          <w:rStyle w:val="FootnoteAnchor"/>
          <w:rtl w:val="true"/>
        </w:rPr>
        <w:footnoteReference w:id="565"/>
      </w:r>
      <w:r>
        <w:rPr>
          <w:rFonts w:ascii="Amiri" w:hAnsi="Amiri" w:eastAsia="Amiri" w:cs="Amiri"/>
          <w:color w:val="111111"/>
          <w:sz w:val="28"/>
          <w:sz w:val="28"/>
          <w:szCs w:val="28"/>
          <w:rtl w:val="true"/>
          <w:lang w:bidi="ar-SA"/>
        </w:rPr>
        <w:t>ثلاثة أمور، بناء على هذا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بلزوم الإنفاق والتجهيز والحجر على المفلس أو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الموضوع الجزئي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زيداً مجنون، وفلاناً ميت لا متكفل له، وفلاناً مفلس أو 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الحكم على الموضوع الجزئي عند تشخيصه، والتصدي لذلك، والأخيران مرتبطان بالقاضي بناءً على كون الأمور الحسبية من شؤونه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الولاية فتوجد الأمور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بالحرب والجهاد إن كانت فيه مصلحة الإسلام والمسلمين، وبالصلح إن كانت في الصلح المصلحة، وكذا في المعاهدات الدولية وسائر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الموضوع الكلي</w:t>
      </w:r>
      <w:r>
        <w:rPr>
          <w:rStyle w:val="FootnoteAnchor"/>
          <w:rtl w:val="true"/>
        </w:rPr>
        <w:footnoteReference w:id="566"/>
      </w:r>
      <w:r>
        <w:rPr>
          <w:rFonts w:ascii="Amiri" w:hAnsi="Amiri" w:eastAsia="Amiri" w:cs="Amiri"/>
          <w:color w:val="111111"/>
          <w:sz w:val="28"/>
          <w:sz w:val="28"/>
          <w:szCs w:val="28"/>
          <w:rtl w:val="true"/>
          <w:lang w:bidi="ar-SA"/>
        </w:rPr>
        <w:t xml:space="preserve">، وأن الظروف ظروف حرب فالجهاد، أو ظروف سلم فالصلح، وأن الوضع الحالي 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 أو 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المعاهدات الدولية، وكذا في السياسة الداخلية العامة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الأدلة العرضية، وأما الأدلة الطولية فكذا أيضاً، فهلتفرض المكوس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البضائع المستوردة لجريان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أم لا، لعدم دخولها تحت عنوان ثانوي، وذلك تبعاً لتشخيصه أن استيرادها دون ضرائب يحطم الصناعة الوطنية أم لا، وإذا كان يحطم فهل هناك طرق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فرض المكوس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للحيلولة دون التحطيم أم 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مجنون وفلاناً ميت لا متكفل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جزئي شخصي، أما أن الظروف ظروف حرب أو ظروف صلح أو أن الاستيراد دون </w:t>
      </w:r>
    </w:p>
    <w:p>
      <w:pPr>
        <w:pStyle w:val="BookText"/>
        <w:rPr/>
      </w:pPr>
      <w:r>
        <w:rPr>
          <w:rFonts w:ascii="Amiri" w:hAnsi="Amiri" w:eastAsia="Amiri" w:cs="Amiri"/>
          <w:color w:val="111111"/>
          <w:sz w:val="28"/>
          <w:sz w:val="28"/>
          <w:szCs w:val="28"/>
          <w:rtl w:val="true"/>
          <w:lang w:bidi="ar-SA"/>
        </w:rPr>
        <w:t>ضريبة يحطم الاقتصاد، فموضوع كلي 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حكم عام، أي إصدار أمر عام عند تشخيص الموضوع الكلي، فعند تشخيص أن الظروف ظروف حرب يصدر الوالي الحكم بالجهاد، وهذا الأمر يتعلق بعموم المكلفين، عكس الأمر بالحجر على المفلس مثلاً مما يتعلق بأفراد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كله اتضحت البينونة التامة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في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الجهاد عند تربص العدو غير المندفع إلاّ بذلك على عامة المكلفين، ووجوب التسليم عند ثبوت كون الدار ملكاً للغير على من بيده الدار، هذا كله على تعريف المشهور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التعريف الآخر للقضاء الذي ارتضاه غير المشهور، وهو ما نقله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شريعة على الحكم والمصالح العامة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أولى من الأولى، ضرورة أعمية مورده من خصوص إثبات الحقوق كالحكم بالهلال ونحوه وعموم المصالح</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انصراف عموم المصالح إلى غير ما يرتبط بالوالي، وإلاّ لكان التعريف غير طارد،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وإن كان يتعلق حكم القاضي فيه بنوع المكلفين، إلا أن الفرق بينهما هو أن ما تعلق بنوع المكلفين مما يرتبط بتدبير المدن وسياسة العباد على الوجه العام مرتبط بالوالي، وما يتعلق بنوعهم مما يرتبط بالشرعيات كالهلال وشبهها، أو بتدبير المدن على الوجه الخاص مرتبط بالقاضي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إضافة إلى الجواب السابق من أن الهلال من الموضوعات الصرفة، وعدم تعين الرجوع إلى القاضي أو الفقيه فيه، وأنه يكفي فيه الرؤية أو شهادة </w:t>
      </w:r>
    </w:p>
    <w:p>
      <w:pPr>
        <w:pStyle w:val="BookText"/>
        <w:rPr/>
      </w:pPr>
      <w:r>
        <w:rPr>
          <w:rFonts w:ascii="Amiri" w:hAnsi="Amiri" w:eastAsia="Amiri" w:cs="Amiri"/>
          <w:color w:val="111111"/>
          <w:sz w:val="28"/>
          <w:sz w:val="28"/>
          <w:szCs w:val="28"/>
          <w:rtl w:val="true"/>
          <w:lang w:bidi="ar-SA"/>
        </w:rPr>
        <w:t xml:space="preserve">شاهدين عند الشخص أو الشياع، إلى جانب كفاية حكم القاضي أو الفقيه، فلو ثبت عنده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بالرؤية أو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وإن لم يثبت للفقيه، ولو ثبت عند الفقيه وأحرز هو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بكذب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يتبعه، نعم لو ثبت عند الفقيه ولم يثبت عنده شيء وجب عليه العمل بقوله، كعمل كل شخص بقول خبير لم يثبت عنده خلاف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الفرق بينهما أيضاً باعتبار الغاية، إذ غاية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مفتاح الكرامة</w:t>
      </w:r>
      <w:r>
        <w:rPr>
          <w:rStyle w:val="FootnoteAnchor"/>
          <w:rtl w:val="true"/>
        </w:rPr>
        <w:footnoteReference w:id="572"/>
      </w:r>
      <w:r>
        <w:rPr>
          <w:rFonts w:ascii="Amiri" w:hAnsi="Amiri" w:eastAsia="Amiri" w:cs="Amiri"/>
          <w:color w:val="111111"/>
          <w:sz w:val="28"/>
          <w:sz w:val="28"/>
          <w:szCs w:val="28"/>
          <w:rtl w:val="true"/>
          <w:lang w:bidi="ar-SA"/>
        </w:rPr>
        <w:t>، أما غاية الولاية والوالي بما هو وال فليس ذلك، وإن كان ذلك جزء الغاية البعيدة له، إذ بنصبه للقاضي يهدف قطع المنازعات، إلاّ أن المقصود أولاً وبالذات من الحاكم والوالي ليس هو قطع المنازعات الشخصية أو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الواضحات عند العرف، وأن لكل منهما مجالاً وعملاً محدداً، ووجود بعض المصاديق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والمرددة بين كونها للقاضي أو الوالي لا يضر بتمايزهما ثبوتاً أو اثباتاً ولو في الجملة، فلو فرض ثبوت حكم أو سلبه عن ذلك المردد لا يكون دليلاً على جريانه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أيضاً، إذ أن الجزئي لا يكون كاسباً ولا مكتسباً، سواء كان الجزئي حقيقياً أو إضافياً، فإن ثبوتحكم للأخص لا يكون دليلاً على ثبوته للأعم، ومحمول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كالمتعجب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يكون محمولاً على الأعم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لو تحقق الأعم في ضمنه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حكم أو سلبه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محمول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لنوع مندرج تحت جنس لا يدل على ثبوته لنوع آخر وإن اندرج تحت نفس الجنس، وهو </w:t>
      </w:r>
    </w:p>
    <w:p>
      <w:pPr>
        <w:pStyle w:val="BookText"/>
        <w:rPr/>
      </w:pPr>
      <w:r>
        <w:rPr>
          <w:rFonts w:ascii="Amiri" w:hAnsi="Amiri" w:eastAsia="Amiri" w:cs="Amiri"/>
          <w:color w:val="111111"/>
          <w:sz w:val="28"/>
          <w:sz w:val="28"/>
          <w:szCs w:val="28"/>
          <w:rtl w:val="true"/>
          <w:lang w:bidi="ar-SA"/>
        </w:rPr>
        <w:t>واضح بل هو من البديهيات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باندراج الأمور الحسبية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باندراج الشؤون العامة المرتبطة بالسياسات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كالحرب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والمعاهدات الدولية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 أيضاً</w:t>
      </w:r>
      <w:r>
        <w:rPr>
          <w:rStyle w:val="FootnoteAnchor"/>
          <w:rtl w:val="true"/>
        </w:rPr>
        <w:footnoteReference w:id="573"/>
      </w:r>
      <w:r>
        <w:rPr>
          <w:rFonts w:ascii="Amiri" w:hAnsi="Amiri" w:eastAsia="Amiri" w:cs="Amiri"/>
          <w:color w:val="111111"/>
          <w:sz w:val="28"/>
          <w:sz w:val="28"/>
          <w:szCs w:val="28"/>
          <w:rtl w:val="true"/>
          <w:lang w:bidi="ar-SA"/>
        </w:rPr>
        <w:t xml:space="preserve">، فهما نوعان مندرجان تحت جنس واحد، أو لا أقل من أنهما صنفا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الجهاد والمعاهدات الدولية وما أشبهها أمر، وإجراء نفقة زوجة المجنون والمفلس وإجازة تجهيز الأموات وما أشبه أمر آخر بالصنف أو بالنوع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محمول</w:t>
      </w:r>
      <w:r>
        <w:rPr>
          <w:rStyle w:val="FootnoteAnchor"/>
          <w:rtl w:val="true"/>
        </w:rPr>
        <w:footnoteReference w:id="574"/>
      </w:r>
      <w:r>
        <w:rPr>
          <w:rFonts w:ascii="Amiri" w:hAnsi="Amiri" w:eastAsia="Amiri" w:cs="Amiri"/>
          <w:color w:val="111111"/>
          <w:sz w:val="28"/>
          <w:sz w:val="28"/>
          <w:szCs w:val="28"/>
          <w:rtl w:val="true"/>
          <w:lang w:bidi="ar-SA"/>
        </w:rPr>
        <w:t xml:space="preserve">أحد الجزئيين الإضافيين دالاً بثبوته له على ثبوته للجزئي الإضافي الآخر؟ </w:t>
      </w:r>
      <w:bookmarkStart w:id="475" w:name="pg8204_101120"/>
    </w:p>
    <w:p>
      <w:pPr>
        <w:pStyle w:val="Heading6"/>
        <w:numPr>
          <w:ilvl w:val="5"/>
          <w:numId w:val="1"/>
        </w:numPr>
        <w:rPr/>
      </w:pPr>
      <w:bookmarkStart w:id="476" w:name="__RefHeading___Toc8924274_1051229030"/>
      <w:bookmarkStart w:id="477" w:name="_Toc176"/>
      <w:bookmarkEnd w:id="475"/>
      <w:bookmarkEnd w:id="476"/>
      <w:r>
        <w:rPr>
          <w:rtl w:val="true"/>
        </w:rPr>
        <w:t>أدلة عدم وجوب الشورى في الأمور الحسبية</w:t>
      </w:r>
      <w:bookmarkEnd w:id="477"/>
    </w:p>
    <w:p>
      <w:pPr>
        <w:pStyle w:val="BookText"/>
        <w:rPr/>
      </w:pPr>
      <w:r>
        <w:rPr>
          <w:rFonts w:ascii="Amiri" w:hAnsi="Amiri" w:eastAsia="Amiri" w:cs="Amiri"/>
          <w:color w:val="111111"/>
          <w:sz w:val="28"/>
          <w:sz w:val="28"/>
          <w:szCs w:val="28"/>
          <w:rtl w:val="true"/>
          <w:lang w:bidi="ar-SA"/>
        </w:rPr>
        <w:t>وأما وجه عدم قولنا بوجوب الشورى في الأمور الحسبية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أدلة الشورى عنها، أترى أن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شاملة لاستشارته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ولاستشارة سائر الحكام المنصوبين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إجراء النفقة على زوجة المجنون؟ والحجر على السفيه والمفلس؟ وإجازة تجهيز الأموات الذين لا ولي لهم؟ وما أشبه ذلك، وهل يستفيد العرف من هذه الآية أن على الحاكم أن يشاور المسلمين في تلك الجزئيات؟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الاستدلال بها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يفهم العرف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جُنَّ فيرجع في نفقة زوجته إلى رواية أحاديثهم؟ وأية سنخية بين كونه راوياً للحديث وكونه ولياً على نفقة زوجة المجنون وشبهه أو مرجعاً فيه؟ فكيف بما لو قلنا باستفادة الرجوع إلى مجموع رواة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شورى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الرواية، فهل يفهم العرف الرجوع إلى مجموع أو أكثر أو شورى أو حتى رواة الحديث في هذه المسألة وأشباهها؟ فتأمل، خاصة لو قلنا بأن هذه الأمور واجب كفائي على عامة عدول المؤمنين، وأن الفقيه أحد مصاديق من يجب عليه القيام بها، فيجوز تصديه لها، لا أن يتعين التصدي لها وينحصر فيه، كما التزم به العديد من الأعاظم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سائر أدلة الشورى التي ذكرناها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الحسبية العسر والحرج لو لم تستلزم تعطل أكثر المصالح، ذلك أن استشارة أي فقيهلكل الفقهاء</w:t>
      </w:r>
      <w:r>
        <w:rPr>
          <w:rStyle w:val="FootnoteAnchor"/>
          <w:rtl w:val="true"/>
        </w:rPr>
        <w:footnoteReference w:id="577"/>
      </w:r>
      <w:r>
        <w:rPr>
          <w:rFonts w:ascii="Amiri" w:hAnsi="Amiri" w:eastAsia="Amiri" w:cs="Amiri"/>
          <w:color w:val="111111"/>
          <w:sz w:val="28"/>
          <w:sz w:val="28"/>
          <w:szCs w:val="28"/>
          <w:rtl w:val="true"/>
          <w:lang w:bidi="ar-SA"/>
        </w:rPr>
        <w:t xml:space="preserve">أو لأكثرهم أو حتى لمجموعة منهم في دفن كل ميت وإجراء نفقة زوجة كل غائب أو مجنون أو مسجون والحجر على كل مفلس أو سفيه مستلزم بلا شك للعسر والحرج على الفقيه وعلى سائر الفقهاء، والحرج مرفوع بحديث الرفع، سواء قلنا إن مفاده نفي الحكم بلسان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مفاده نفي الحكم الناشئ من قبله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على كلا الرأيين تجري هنا قاعدة نفي الحرج، بل وعلى سائر الأقوال</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 لم نقل بأنه مستلزم لتعطل أكثر هذه الأحكام، إضافة إلى أنه</w:t>
      </w:r>
      <w:r>
        <w:rPr>
          <w:rStyle w:val="FootnoteAnchor"/>
          <w:rtl w:val="true"/>
        </w:rPr>
        <w:footnoteReference w:id="579"/>
      </w:r>
      <w:r>
        <w:rPr>
          <w:rFonts w:ascii="Amiri" w:hAnsi="Amiri" w:eastAsia="Amiri" w:cs="Amiri"/>
          <w:color w:val="111111"/>
          <w:sz w:val="28"/>
          <w:sz w:val="28"/>
          <w:szCs w:val="28"/>
          <w:rtl w:val="true"/>
          <w:lang w:bidi="ar-SA"/>
        </w:rPr>
        <w:t>قد يعد عملاً غير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استشارة الفقيه سائر الفقهاء في الأمور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كالحرب والصلح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مستلزماً للعسر والحرج لقلتها، ولا يعد عملاً غير عقلائي، بل سيأتي إثبات أن العقل يقتضيه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القول بعدم وجوب الشورى في الأمور الحسبية، لاستقرار سيرة الفقهاء على عدم الشورى فيها، أو لظهور أدلتها في ذلك، فلو سلم وجود هذه السيرة وحجيتها فلا بأس بالتزام التخصيص في أدلة الشورى، وأنها قد خرج منها أمثال الهلال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478" w:name="pg8204_101122"/>
    </w:p>
    <w:p>
      <w:pPr>
        <w:pStyle w:val="Heading6"/>
        <w:numPr>
          <w:ilvl w:val="5"/>
          <w:numId w:val="1"/>
        </w:numPr>
        <w:rPr/>
      </w:pPr>
      <w:bookmarkStart w:id="479" w:name="__RefHeading___Toc8924276_1051229030"/>
      <w:bookmarkStart w:id="480" w:name="_Toc177"/>
      <w:bookmarkEnd w:id="478"/>
      <w:bookmarkEnd w:id="479"/>
      <w:r>
        <w:rPr>
          <w:rtl w:val="true"/>
        </w:rPr>
        <w:t>عدم عمل الفقهاء بالشورى أعم من الالتزام بعدم الوجوب</w:t>
      </w:r>
      <w:bookmarkEnd w:id="480"/>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استقرار سيرة الفقهاء على عدم العمل بالشورى،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عملهم بها لا يكون دليلاً على التزامهم بعدم وجوبها، إذ كان عدم عملهم بها غالباً من باب السالبة بانتفاء الموضوع، ومن الواضح أن عدم الحكم بثبوت محمول لعدم موضوعه لا يستلزم إطلاقاً عدم الحكم بثبوته عند وجود موضوعه، وكذا عدم العمل بمحمول لعدم تحقق موضوعه لا يدل إطلاقاً على عدم الالتزام بعدم وجوب هذا المحمول عند وجود موضوعه، أرأيت لو أن فقيهاً لم يعمل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تزوجه، أيكون عدم عمله وعدم إنفاقه لعدم زوجته دليلاً على التزامه بعدم وجوب الإنفاق عند تحقق الموضوع؟ وذلك 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مما لا شك فيه أن كثيراً من الفقهاء لا يلتزم بوجوبها حتى في الشؤون العامة، لكن الكلام حول إثبات أن أكثر الفقهاء على ذلك، هذا بيان الكبرى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بيان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عملهم بالشورى كان غالباً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المعاهدات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الداخلية العامة للدولة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المعارضة والقضاء عليها أو استمالتها أو اتباع سياسة اللاعنف معها، وفرض الضرائب، والتأميم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تحت تصرف الفقهاء، وكان اتخاذ القرار فيها خارجاً عن مقدورهم، لأن الدولة كانت بيد غيرهم، فعدم استشارة الفقهاء على طول التاريخ في الشؤون العامة على فرض تسليم ذلك، إنما كان دائماً أو غالباً لعدم تحقق الموضوع، نعم لو كانت الدولة طوال التاريخ بأيدي الفقهاء ثم انفرد كل فقيه برأيه في الشؤون العامة ولم يعمل </w:t>
      </w:r>
      <w:bookmarkStart w:id="481" w:name="pg8204_101123"/>
    </w:p>
    <w:p>
      <w:pPr>
        <w:pStyle w:val="BookText"/>
        <w:rPr/>
      </w:pPr>
      <w:bookmarkEnd w:id="481"/>
      <w:r>
        <w:rPr>
          <w:rFonts w:ascii="Amiri" w:hAnsi="Amiri" w:eastAsia="Amiri" w:cs="Amiri"/>
          <w:color w:val="111111"/>
          <w:sz w:val="28"/>
          <w:sz w:val="28"/>
          <w:szCs w:val="28"/>
          <w:rtl w:val="true"/>
          <w:lang w:bidi="ar-SA"/>
        </w:rPr>
        <w:t>بالشورى، كان هذا دليلاً على التزامهم بعدم وجوبها، ولصحت دعوى استقرار طريقتهم على عدم الاستشارة مع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مجموعة من الفقهاء ولم يستشيروا، كالمجلسيين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الحكم بأيديهم ليحولوه إلى حكومة شوروية، بل كانوا يعيشون في دول ملوكية كان أحدهم وزيراً فيها، والآخر مشيراً لا غير، فلم يكن الأمر بيدهم ولم يكن بمقدورهم ذلك، ليكون عدم عملهم بالشورى دليلاً على عدم التزامهم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التزام هؤلاء بعدم وجوب الشورى، لكن المدعى هو انعقاد سيرة الفقهاء على عدم الوجوب، وأين هذا من التزام عدد من الفقهاء بعدمه؟ وهل يكون التزام عدة فقهاء بحكم صارفاً للظاهر عن ظهوره؟ هذا كله إضافة إلى ما فصلناه من عدم الحجية لعملهم، فليراجع</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8924278_1051229030"/>
      <w:bookmarkStart w:id="483" w:name="_Toc178"/>
      <w:bookmarkEnd w:id="482"/>
      <w:r>
        <w:rPr>
          <w:rtl w:val="true"/>
        </w:rPr>
        <w:t>الجواب عن دعوى الإجماع على عدم وجوبها</w:t>
      </w:r>
      <w:bookmarkEnd w:id="483"/>
    </w:p>
    <w:p>
      <w:pPr>
        <w:pStyle w:val="BookText"/>
        <w:rPr/>
      </w:pPr>
      <w:r>
        <w:rPr>
          <w:rFonts w:ascii="Amiri" w:hAnsi="Amiri" w:eastAsia="Amiri" w:cs="Amiri"/>
          <w:color w:val="111111"/>
          <w:sz w:val="28"/>
          <w:sz w:val="28"/>
          <w:szCs w:val="28"/>
          <w:rtl w:val="true"/>
          <w:lang w:bidi="ar-SA"/>
        </w:rPr>
        <w:t>وأما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الإجماع منعقد على عدم وجوبها، مما يكشف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أو دخولاً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ذكر في رد ما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الفقهاء لم يفهموا منها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العملية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يجري أكثر ما ذكر هناك ههنا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إجماع في الشؤون العامة على عدم وجوب الاستشارة فيها أو الشورى، لبداهة عدم تعرض الأكثر لهذه المسألة أصلاً، فكيف يدعى إجماعهم على العدم؟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وإن كان محصلاً فليس بحجة ههنا، لأنه محتمل الاستناد، بل معلوم الاستناد، والإجماع المحتمل الاستناد ليس بحجة، فكيف بمعلومه على المبنى المشهور، بيان ذلك أنه مستند أو محتمل الاستناد للأدلة الدالة على وجوب التقليد، حيث استظهروا منها أن كل مقلد عليه أن يرجع إلى مجتهد واحد</w:t>
      </w:r>
      <w:r>
        <w:rPr>
          <w:rStyle w:val="FootnoteAnchor"/>
          <w:rtl w:val="true"/>
        </w:rPr>
        <w:footnoteReference w:id="580"/>
      </w:r>
      <w:r>
        <w:rPr>
          <w:rFonts w:ascii="Amiri" w:hAnsi="Amiri" w:eastAsia="Amiri" w:cs="Amiri"/>
          <w:color w:val="111111"/>
          <w:sz w:val="28"/>
          <w:sz w:val="28"/>
          <w:szCs w:val="28"/>
          <w:rtl w:val="true"/>
          <w:lang w:bidi="ar-SA"/>
        </w:rPr>
        <w:t xml:space="preserve">، وأنه لا يحق له الرجوعإلى رأي الغير وإن كان هو أكثرية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يعبر عنه بالمشهور أحياناً، والأشهر أحياناً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وأدلتهم</w:t>
      </w:r>
      <w:r>
        <w:rPr>
          <w:rStyle w:val="FootnoteAnchor"/>
          <w:rtl w:val="true"/>
        </w:rPr>
        <w:footnoteReference w:id="581"/>
      </w:r>
      <w:r>
        <w:rPr>
          <w:rFonts w:ascii="Amiri" w:hAnsi="Amiri" w:eastAsia="Amiri" w:cs="Amiri"/>
          <w:color w:val="111111"/>
          <w:sz w:val="28"/>
          <w:sz w:val="28"/>
          <w:szCs w:val="28"/>
          <w:rtl w:val="true"/>
          <w:lang w:bidi="ar-SA"/>
        </w:rPr>
        <w:t>على وجوب التقليد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والإجماع، وأنه من ضروريات الدين، والكتاب كآية النفر والذكر والنبأ وغيرها، والروايات كما دل عليه الإرجاع لآحاد الأصحاب والثقات والعلماء والتوقيع الوارد وغيرها، وسيأتي بإذن الله تعالى التكلم حول هذه الأدلة مفصلاً، وأنه هل لها دلالة على حرمة أو مرجوحية تقليد أكثرية الفقهاء في كل الوقائع أم لا؟</w:t>
      </w:r>
    </w:p>
    <w:p>
      <w:pPr>
        <w:pStyle w:val="BookText"/>
        <w:rPr/>
      </w:pPr>
      <w:r>
        <w:rPr>
          <w:rFonts w:ascii="Amiri" w:hAnsi="Amiri" w:eastAsia="Amiri" w:cs="Amiri"/>
          <w:color w:val="111111"/>
          <w:sz w:val="28"/>
          <w:sz w:val="28"/>
          <w:szCs w:val="28"/>
          <w:rtl w:val="true"/>
          <w:lang w:bidi="ar-SA"/>
        </w:rPr>
        <w:t>وكذلك مستند أو محتمل الاستناد إلى الأدلة الدالة على وجوب تقليد الأعلم، ومنها الإجماع المنقول، وبناء العقلاء، والأخبار كمقبولة ابن حنظلة وداوود بن الحصين، وقاعدة الدوران بين التعيين والتخيير، وسيأتي بإذن الله تعالى التطرق لها والبحث عن صحتها، ثم مدى دلالتها على تقدير صحتها وسلامتها، وكذلك مستند أو محتمل الاستناد لأدلة عدم جواز التبعيض في التقليد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إضافة إلى جريان ما ذكره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قال في حاشية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وهن دعوى الإجماع في مثل هذه المسألة التي لها </w:t>
      </w:r>
    </w:p>
    <w:p>
      <w:pPr>
        <w:pStyle w:val="BookText"/>
        <w:rPr/>
      </w:pPr>
      <w:r>
        <w:rPr>
          <w:rFonts w:ascii="Amiri" w:hAnsi="Amiri" w:eastAsia="Amiri" w:cs="Amiri"/>
          <w:color w:val="111111"/>
          <w:sz w:val="28"/>
          <w:sz w:val="28"/>
          <w:szCs w:val="28"/>
          <w:rtl w:val="true"/>
          <w:lang w:bidi="ar-SA"/>
        </w:rPr>
        <w:t xml:space="preserve">مدارك مختلفة، إذ معه لا يكشف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مع وقوع الخلاف حسبما تقدم منه الاعتراف</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كله ينفي دعوى الحرمة</w:t>
      </w:r>
      <w:r>
        <w:rPr>
          <w:rStyle w:val="FootnoteAnchor"/>
          <w:rtl w:val="true"/>
        </w:rPr>
        <w:footnoteReference w:id="583"/>
      </w:r>
      <w:r>
        <w:rPr>
          <w:rFonts w:ascii="Amiri" w:hAnsi="Amiri" w:eastAsia="Amiri" w:cs="Amiri"/>
          <w:color w:val="111111"/>
          <w:sz w:val="28"/>
          <w:sz w:val="28"/>
          <w:szCs w:val="28"/>
          <w:rtl w:val="true"/>
          <w:lang w:bidi="ar-SA"/>
        </w:rPr>
        <w:t>، وكان البحث عن الوجوب،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لدعوى الإجماع هذه أن الإجماع منعقد على حجية رأي كل فقيه على مقلديه وعدم حجية رأي فقيه آخر على مقلدي سائر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وإن انعقدعلى الشق الأول، إلاّ أن ما يضرنا على تقدير قطع النظر عن الجوابين السابقين وغيرهما، هو انعقاد الإجماع على الشق الثاني</w:t>
      </w:r>
      <w:r>
        <w:rPr>
          <w:rStyle w:val="FootnoteAnchor"/>
          <w:rtl w:val="true"/>
        </w:rPr>
        <w:footnoteReference w:id="584"/>
      </w:r>
      <w:r>
        <w:rPr>
          <w:rFonts w:ascii="Amiri" w:hAnsi="Amiri" w:eastAsia="Amiri" w:cs="Amiri"/>
          <w:color w:val="111111"/>
          <w:sz w:val="28"/>
          <w:sz w:val="28"/>
          <w:szCs w:val="28"/>
          <w:rtl w:val="true"/>
          <w:lang w:bidi="ar-SA"/>
        </w:rPr>
        <w:t>، إذ لو قلنا بحجية</w:t>
      </w:r>
      <w:r>
        <w:rPr>
          <w:rStyle w:val="FootnoteAnchor"/>
          <w:rtl w:val="true"/>
        </w:rPr>
        <w:footnoteReference w:id="585"/>
      </w:r>
      <w:r>
        <w:rPr>
          <w:rFonts w:ascii="Amiri" w:hAnsi="Amiri" w:eastAsia="Amiri" w:cs="Amiri"/>
          <w:color w:val="111111"/>
          <w:sz w:val="28"/>
          <w:sz w:val="28"/>
          <w:szCs w:val="28"/>
          <w:rtl w:val="true"/>
          <w:lang w:bidi="ar-SA"/>
        </w:rPr>
        <w:t xml:space="preserve">رأي كل فقيه على مقلديه فكما لا يستلزم عدم حجية رأي فقيه آخر لمقلدي الأول كذا لا يستلزم عدم حجية مجموعة 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مقلدي الفقيه الأول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لو قلنا بالحجية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قلنا بحجية رأي كل فقيه على مقلديه بنحو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حجية رأيه دون سائر الفقهاء على مقلديه، فهذا هو الشق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منعقد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رأي فقيه آخر لمقلدي الفقيه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إضافة إلى المناقشة في الكبرى المناقشة في الصغرى أيضاً، وأن لا إجماع على عدم الحجية، وتفصيله سيأتي عند التطرق لأدلة جواز الشورى على تقدير عدم القول بوجوبها، وجواز رجوع مقلد فقيه إلى رأي الشورى وإن خالفه رأي مقلَّده، لعدم دلالة أي واحد من أدلة التقليد على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وسيأتي ذلك بعونه تعالى، وإثبات جواز التبعيض في التقليد وجواز العدول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أن الإجماع</w:t>
      </w:r>
      <w:r>
        <w:rPr>
          <w:rStyle w:val="FootnoteAnchor"/>
          <w:rtl w:val="true"/>
        </w:rPr>
        <w:footnoteReference w:id="586"/>
      </w:r>
      <w:r>
        <w:rPr>
          <w:rFonts w:ascii="Amiri" w:hAnsi="Amiri" w:eastAsia="Amiri" w:cs="Amiri"/>
          <w:color w:val="111111"/>
          <w:sz w:val="28"/>
          <w:sz w:val="28"/>
          <w:szCs w:val="28"/>
          <w:rtl w:val="true"/>
          <w:lang w:bidi="ar-SA"/>
        </w:rPr>
        <w:t>على تقدير تسليمه وتسليم حجيته دليل لبي يقتصر فيه على القدر المتقين، وهو ما لو لم تعارض فتوى المقلد فتوى أكثرية الفقهاء، إلا أن يثبت له معقد لفظي، فتأمل</w:t>
      </w:r>
      <w:r>
        <w:rPr>
          <w:rFonts w:eastAsia="Amiri" w:cs="Amiri" w:ascii="Amiri" w:hAnsi="Amiri"/>
          <w:color w:val="111111"/>
          <w:sz w:val="28"/>
          <w:szCs w:val="28"/>
          <w:rtl w:val="true"/>
          <w:lang w:bidi="ar-SA"/>
        </w:rPr>
        <w:t xml:space="preserve">. </w:t>
      </w:r>
      <w:bookmarkStart w:id="484" w:name="pg8204_101127"/>
    </w:p>
    <w:p>
      <w:pPr>
        <w:pStyle w:val="Heading5"/>
        <w:numPr>
          <w:ilvl w:val="4"/>
          <w:numId w:val="1"/>
        </w:numPr>
        <w:rPr/>
      </w:pPr>
      <w:bookmarkStart w:id="485" w:name="__RefHeading___Toc8924280_1051229030"/>
      <w:bookmarkStart w:id="486" w:name="_Toc179"/>
      <w:bookmarkEnd w:id="484"/>
      <w:bookmarkEnd w:id="485"/>
      <w:r>
        <w:rPr>
          <w:rtl w:val="true"/>
        </w:rPr>
        <w:t>الإشكال الرابع</w:t>
      </w:r>
      <w:r>
        <w:rPr>
          <w:rtl w:val="true"/>
        </w:rPr>
        <w:t>: (</w:t>
      </w:r>
      <w:r>
        <w:rPr>
          <w:rtl w:val="true"/>
        </w:rPr>
        <w:t>شاورهم</w:t>
      </w:r>
      <w:r>
        <w:rPr>
          <w:rtl w:val="true"/>
        </w:rPr>
        <w:t xml:space="preserve">) </w:t>
      </w:r>
      <w:r>
        <w:rPr>
          <w:rtl w:val="true"/>
        </w:rPr>
        <w:t>وردت في سياق المستحبات فالمشورة مستحبة</w:t>
      </w:r>
      <w:bookmarkEnd w:id="486"/>
    </w:p>
    <w:p>
      <w:pPr>
        <w:pStyle w:val="Heading6"/>
        <w:numPr>
          <w:ilvl w:val="5"/>
          <w:numId w:val="1"/>
        </w:numPr>
        <w:rPr/>
      </w:pPr>
      <w:bookmarkStart w:id="487" w:name="__RefHeading___Toc8924282_1051229030"/>
      <w:bookmarkStart w:id="488" w:name="_Toc180"/>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ومما قد يعترض به على دلالة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وردت في سياق المستحبات، فيكون السياق قرينة مقامية على صرف الظاهر عن ظهوره</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8924284_1051229030"/>
      <w:bookmarkStart w:id="490" w:name="_Toc181"/>
      <w:bookmarkEnd w:id="489"/>
      <w:r>
        <w:rPr>
          <w:rtl w:val="true"/>
        </w:rPr>
        <w:t>الجواب</w:t>
      </w:r>
      <w:r>
        <w:rPr>
          <w:rtl w:val="true"/>
        </w:rPr>
        <w:t>:</w:t>
      </w:r>
      <w:bookmarkEnd w:id="490"/>
    </w:p>
    <w:p>
      <w:pPr>
        <w:pStyle w:val="Heading6"/>
        <w:numPr>
          <w:ilvl w:val="5"/>
          <w:numId w:val="1"/>
        </w:numPr>
        <w:rPr/>
      </w:pPr>
      <w:bookmarkStart w:id="491" w:name="__RefHeading___Toc8924286_1051229030"/>
      <w:bookmarkStart w:id="492" w:name="_Toc182"/>
      <w:bookmarkEnd w:id="491"/>
      <w:r>
        <w:rPr/>
        <w:t>1</w:t>
      </w:r>
      <w:r>
        <w:rPr>
          <w:rtl w:val="true"/>
        </w:rPr>
        <w:t xml:space="preserve">: </w:t>
      </w:r>
      <w:r>
        <w:rPr>
          <w:rtl w:val="true"/>
        </w:rPr>
        <w:t>ليس السياق سياق المستحبات</w:t>
      </w:r>
      <w:bookmarkEnd w:id="49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كونها في سياق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بلا دليل، إذ ما هو المثبت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للاستحباب، بل الدليل على عدمه، لكون الأمر ظاهراً في الوجوب لا يرفع اليد عنه إلا بالدليل، فما هو الصارف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ظهوره؟ حتى يكونا مستحبين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المستحبات؟ وهل الاستحسان يصلح صارفاً للظواهر؟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شَاوِرْهُمْ في الأَمْرِ</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أمر من الله تعالى لنبيه أن يشاور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 ما جاء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لان لكم رسولنا برحمة منا ولذلك أمرناه أن يعفو عنكم ويستغفر لكمويشاوركم في الأمر، وأن يتوكل علينا إذا 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يعفو عنهم فلا يرتب على فعالهم أثر المعصية وأن يستغفر فيسأل الله أن يغفر لهم</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وفي روح المعاني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أولاً بالعفو عنهم فيما يتعلق بخاصة نفسه، فإذا انتهوا إلى هذا المقام أمر أن يستغفر لهم ما بينهم وبين الله تعالى، لتنزاح عنهم التبعتان فلما صاروا إلى هنا أمر بأن يشاورهم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بالتوكل على الله والانقطاع إليه</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وأما ما ذكره في مجمع البيان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الآية ترغيب للمؤمنين في العفو عن المسيء وحثهم على الاستغفار لمن يذنب منهم، وعلى مشاورة بعضهم بعضاً فيما يعرض لهم من الأمور، ونهيهم عن الفظاظة في القول والغلظة والجفاء في الفعل، ودعاهم إلى التوكل عليه وتفويض الأمر إليه</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حيث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وَشاوِرْهُمْ</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للندب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لها في استفادته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إذ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يستخدمها في الواجبات بلا عناية، مثلاً قوله بعد 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 ظاهر المراد، وتضمنت الآية الترغيب في طاعة الله التي يستحق بها النصرة، والتحذير من معصية الله التي يستحق بها الخذلان، مع إيجاب التوكل عليه الذي يؤمن معه أن </w:t>
      </w:r>
    </w:p>
    <w:p>
      <w:pPr>
        <w:pStyle w:val="BookText"/>
        <w:rPr/>
      </w:pPr>
      <w:r>
        <w:rPr>
          <w:rFonts w:ascii="Amiri" w:hAnsi="Amiri" w:eastAsia="Amiri" w:cs="Amiri"/>
          <w:color w:val="111111"/>
          <w:sz w:val="28"/>
          <w:sz w:val="28"/>
          <w:szCs w:val="28"/>
          <w:rtl w:val="true"/>
          <w:lang w:bidi="ar-SA"/>
        </w:rPr>
        <w:t>يكلهم إلى أنفسهم فيهلكوا</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 فقد 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بطاعة الله، إضافة إلى أنه 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نفسها ظاهرة في الجامع بين الوجوب والندب، ولا ظهور لها في أحد النوعين،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لجعله الترغيب مقابلاً للنهي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الآية ترغيب للمؤمنين في العفو عن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ونهيهم عن الفظاظة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فبقرينة المقابلة يعرف أن المراد بالترغيب ما يقابل النهي وهو الأمر والوجوب، ولاستفادته الحرمة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مع كون اللين مقابل الفظاظة وتفرع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وكون مقابل مناط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الانفضاض من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مناطاً للتحريض على اللين المتفرع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ولنفرض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الندب، لكن الواضح أن الظاهر القرآني</w:t>
      </w:r>
      <w:r>
        <w:rPr>
          <w:rStyle w:val="FootnoteAnchor"/>
          <w:rtl w:val="true"/>
        </w:rPr>
        <w:footnoteReference w:id="597"/>
      </w:r>
      <w:r>
        <w:rPr>
          <w:rFonts w:ascii="Amiri" w:hAnsi="Amiri" w:eastAsia="Amiri" w:cs="Amiri"/>
          <w:color w:val="111111"/>
          <w:sz w:val="28"/>
          <w:sz w:val="28"/>
          <w:szCs w:val="28"/>
          <w:rtl w:val="true"/>
          <w:lang w:bidi="ar-SA"/>
        </w:rPr>
        <w:t>لو تعارض مع ظاهر آخر قدّم عليه، فكيف إذ كان الظاهر الآخر غير حجة</w:t>
      </w:r>
      <w:r>
        <w:rPr>
          <w:rStyle w:val="FootnoteAnchor"/>
          <w:rtl w:val="true"/>
        </w:rPr>
        <w:footnoteReference w:id="598"/>
      </w:r>
      <w:r>
        <w:rPr>
          <w:rFonts w:ascii="Amiri" w:hAnsi="Amiri" w:eastAsia="Amiri" w:cs="Amiri"/>
          <w:color w:val="111111"/>
          <w:sz w:val="28"/>
          <w:sz w:val="28"/>
          <w:szCs w:val="28"/>
          <w:rtl w:val="true"/>
          <w:lang w:bidi="ar-SA"/>
        </w:rPr>
        <w:t xml:space="preserve">، كما فيما نحن فيه، إذ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إلى اجتهاده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الحجة على مجتهد آخر، بل من الواضح أن الظاهر القرآني لو تعارض مع صريح كلام مجتهد لا يسقط الظاهر عن ظهوره، ولا يكون كلامه قرينة صارفة أبداً، كما هو أوضح من أن يبيّن</w:t>
      </w:r>
      <w:r>
        <w:rPr>
          <w:rFonts w:eastAsia="Amiri" w:cs="Amiri" w:ascii="Amiri" w:hAnsi="Amiri"/>
          <w:color w:val="111111"/>
          <w:sz w:val="28"/>
          <w:szCs w:val="28"/>
          <w:rtl w:val="true"/>
          <w:lang w:bidi="ar-SA"/>
        </w:rPr>
        <w:t xml:space="preserve">. </w:t>
      </w:r>
      <w:bookmarkStart w:id="493" w:name="pg8204_101130"/>
    </w:p>
    <w:p>
      <w:pPr>
        <w:pStyle w:val="Heading6"/>
        <w:numPr>
          <w:ilvl w:val="5"/>
          <w:numId w:val="1"/>
        </w:numPr>
        <w:rPr/>
      </w:pPr>
      <w:bookmarkStart w:id="494" w:name="__RefHeading___Toc8924288_1051229030"/>
      <w:bookmarkStart w:id="495" w:name="_Toc183"/>
      <w:bookmarkEnd w:id="493"/>
      <w:bookmarkEnd w:id="494"/>
      <w:r>
        <w:rPr/>
        <w:t>2</w:t>
      </w:r>
      <w:r>
        <w:rPr>
          <w:rtl w:val="true"/>
        </w:rPr>
        <w:t xml:space="preserve">: </w:t>
      </w:r>
      <w:r>
        <w:rPr>
          <w:rtl w:val="true"/>
        </w:rPr>
        <w:t>والسياق لا يصلح صارفاً للظواهر عن ظهورها</w:t>
      </w:r>
      <w:bookmarkEnd w:id="495"/>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المستحبات،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السياق قرينة صالحة لصرف صيغة الأمر عن ظهورها، إذ أن الظهور السياقي لايزاحم الظهور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محمد حسن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التكليم على دلالة آية النفر على حجية خبر الواحد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ظهور السياق على تقدير تسليمه ليس من الظهورات اللفظية حتى يزاحم ظهور اللفظ، فضلاً عن أن يصير متقدماً عليه وقرينة صارفة له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ولذا نجد أن سيرة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التمسك بالظهور اللفظي، حيث إنهم كانوا يحملون الأمر بشيء معين على ظهوره رغم وقوعه في سياق أوامر أخرى دلّ الدليل الخارجي على كونها للندب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هذا أكثر عند ملاحظة الروايات الشريفة قبل تقطيعها، حيث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وأزكى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الواجبات والمستحبات في سياق واحد وبصيغة الأمر، وكان الفقهاء يحملون ما دلت قرينة خارجية حالية أو مقالية على أنه للندب، على الندب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يتضح أكثر عند معرفة أن قدامى الفقهاء 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يجعلون فهم الأصحاب الندب من أمر أو أوامرَ واقعةٍ في سياق أوامر عديدة أخرى، قرينة على أن ظاهرها غير مراد وأنها للندب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هو مقتضى القاعدة على مسلك المشهور، حيث إنهم ذهبوا لكون </w:t>
      </w:r>
    </w:p>
    <w:p>
      <w:pPr>
        <w:pStyle w:val="BookText"/>
        <w:rPr/>
      </w:pPr>
      <w:r>
        <w:rPr>
          <w:rFonts w:ascii="Amiri" w:hAnsi="Amiri" w:eastAsia="Amiri" w:cs="Amiri"/>
          <w:color w:val="111111"/>
          <w:sz w:val="28"/>
          <w:sz w:val="28"/>
          <w:szCs w:val="28"/>
          <w:rtl w:val="true"/>
          <w:lang w:bidi="ar-SA"/>
        </w:rPr>
        <w:t xml:space="preserve">الأمر حقيقة في الوجوب مجازاً في الندب، مع ضميمة 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الأحيان المستحبات في سياق الواجبات، وقد وردت في القرآن الكريم آيات عديدة على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مِنْهُ وَأَقِيمُوا الصَّلاةَ وَآتُوا الزَّكاةَ وَأَقْرِضُوا اللهَ قَرْضاً حَسَناً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 وَآتُوهُنَّ أُجُورَهُنَّ بِالْمَعْرُوفِ</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مع أن النكاح بإذن أهلهن مستحب واعطائهن أجورهن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حسب أكثر المفسرين من أن المراد من الصدقة، الصدقة المفروضة</w:t>
      </w:r>
      <w:r>
        <w:rPr>
          <w:rStyle w:val="FootnoteAnchor"/>
          <w:rtl w:val="true"/>
        </w:rPr>
        <w:footnoteReference w:id="604"/>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w:t>
      </w:r>
    </w:p>
    <w:p>
      <w:pPr>
        <w:pStyle w:val="BookText"/>
        <w:rPr/>
      </w:pPr>
      <w:r>
        <w:rPr>
          <w:rFonts w:ascii="Amiri" w:hAnsi="Amiri" w:eastAsia="Amiri" w:cs="Amiri"/>
          <w:color w:val="111111"/>
          <w:sz w:val="28"/>
          <w:sz w:val="28"/>
          <w:szCs w:val="28"/>
          <w:rtl w:val="true"/>
          <w:lang w:bidi="ar-SA"/>
        </w:rPr>
        <w:t>وَابْنِ السَّبِيلِ وَما مَلَكَتْ أَيْمانُكُمْ</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مع أن ردّها واجب والتحية بالأحسن مستحب، هذا على بعض التفاسير في معنى الآية الكريمة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الصَّلاةَ فَاذْكُرُوا اللهَ قِياماً وَقُعُوداً وَعَلى جُنُوبِكُمْ فَإِذَا اطْمَأْنَنْتُمْ فَأَقِيمُوا الصَّلاةَ</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مع أن إقامة الصلاة واجبة وذكر الله قياماً وقعوداً وعلى الجنب مستحب، هذا حسب التفسير المعروف للآية الكريمة</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وَاذْكُرْنَ ما </w:t>
      </w:r>
    </w:p>
    <w:p>
      <w:pPr>
        <w:pStyle w:val="BookText"/>
        <w:rPr/>
      </w:pPr>
      <w:r>
        <w:rPr>
          <w:rFonts w:ascii="Amiri" w:hAnsi="Amiri" w:eastAsia="Amiri" w:cs="Amiri"/>
          <w:color w:val="111111"/>
          <w:sz w:val="28"/>
          <w:sz w:val="28"/>
          <w:szCs w:val="28"/>
          <w:rtl w:val="true"/>
          <w:lang w:bidi="ar-SA"/>
        </w:rPr>
        <w:t>يُتْلى فِي بُيُوتِكُنَّ مِنْ آياتِ اللهِ وَالْحِكْمَةِ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حسب بعض التفاسير</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أَقِمِ الصَّلاةَ وَأْمُرْ بِالمَعْرُوفِ وَانْهَ عَنِ المُنْكَرِ وَاصْبِرْ عَلى ما أَصابَكَ إِنَّ ذلِكَ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لِلنَّاسِ وَلا تَمْشِ فِي الأَرْضِ مَرَحاً إِنَّ 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فِي مَشْيِكَ وَاغْضُضْ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وإن كان الاستدلال ببعض هذه الآيات الكريمة على المدعى لا يخلو عن تأمل،فتأمل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آيات أخرى يعثر عليها المتتبع دالة على المقصود</w:t>
      </w:r>
      <w:r>
        <w:rPr>
          <w:rFonts w:eastAsia="Amiri" w:cs="Amiri" w:ascii="Amiri" w:hAnsi="Amiri"/>
          <w:color w:val="111111"/>
          <w:sz w:val="28"/>
          <w:szCs w:val="28"/>
          <w:rtl w:val="true"/>
          <w:lang w:bidi="ar-SA"/>
        </w:rPr>
        <w:t xml:space="preserve">. </w:t>
      </w:r>
      <w:bookmarkStart w:id="496" w:name="pg8204_101134"/>
    </w:p>
    <w:p>
      <w:pPr>
        <w:pStyle w:val="Heading5"/>
        <w:numPr>
          <w:ilvl w:val="4"/>
          <w:numId w:val="1"/>
        </w:numPr>
        <w:rPr/>
      </w:pPr>
      <w:bookmarkStart w:id="497" w:name="__RefHeading___Toc8924290_1051229030"/>
      <w:bookmarkStart w:id="498" w:name="_Toc184"/>
      <w:bookmarkEnd w:id="496"/>
      <w:bookmarkEnd w:id="497"/>
      <w:r>
        <w:rPr>
          <w:rtl w:val="true"/>
        </w:rPr>
        <w:t>الإشكال الخامس</w:t>
      </w:r>
      <w:r>
        <w:rPr>
          <w:rtl w:val="true"/>
        </w:rPr>
        <w:t xml:space="preserve">: </w:t>
      </w:r>
      <w:r>
        <w:rPr>
          <w:rtl w:val="true"/>
        </w:rPr>
        <w:t xml:space="preserve">المراد ب </w:t>
      </w:r>
      <w:r>
        <w:rPr>
          <w:rtl w:val="true"/>
        </w:rPr>
        <w:t>(</w:t>
      </w:r>
      <w:r>
        <w:rPr>
          <w:rtl w:val="true"/>
        </w:rPr>
        <w:t>الأمر</w:t>
      </w:r>
      <w:r>
        <w:rPr>
          <w:rtl w:val="true"/>
        </w:rPr>
        <w:t xml:space="preserve">) </w:t>
      </w:r>
      <w:r>
        <w:rPr>
          <w:rtl w:val="true"/>
        </w:rPr>
        <w:t>أمر الحرب</w:t>
      </w:r>
      <w:bookmarkEnd w:id="498"/>
    </w:p>
    <w:p>
      <w:pPr>
        <w:pStyle w:val="Heading6"/>
        <w:numPr>
          <w:ilvl w:val="5"/>
          <w:numId w:val="1"/>
        </w:numPr>
        <w:rPr/>
      </w:pPr>
      <w:bookmarkStart w:id="499" w:name="__RefHeading___Toc8924292_1051229030"/>
      <w:bookmarkStart w:id="500" w:name="_Toc185"/>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وربما يعترض على الاستدلال بالآية الكريمة على وجوب الشورى في الشؤون العامة بأن الأمر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هو الحرب، أخرجه ابن أبي حاتم من طريق ابن سيرين عن عبيدة وهو المناسب للمقام</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الحرب</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فالآية الكريمة وردت في مورد الحرب والجهاد بعد وقعة أحُد، فيكون المورد قرينة على أن الواجب هو المشاورة في أمر الحرب فقط، لا في سائر الشؤون العامة، فالألف واللام إنما هي للعهد الحضوري أو الذهني، أي الشبيه به</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8924294_1051229030"/>
      <w:bookmarkStart w:id="502" w:name="_Toc186"/>
      <w:bookmarkEnd w:id="501"/>
      <w:r>
        <w:rPr>
          <w:rtl w:val="true"/>
        </w:rPr>
        <w:t>الجواب</w:t>
      </w:r>
      <w:r>
        <w:rPr>
          <w:rtl w:val="true"/>
        </w:rPr>
        <w:t>:</w:t>
      </w:r>
      <w:bookmarkEnd w:id="502"/>
    </w:p>
    <w:p>
      <w:pPr>
        <w:pStyle w:val="Heading6"/>
        <w:numPr>
          <w:ilvl w:val="5"/>
          <w:numId w:val="1"/>
        </w:numPr>
        <w:rPr/>
      </w:pPr>
      <w:bookmarkStart w:id="503" w:name="__RefHeading___Toc8924296_1051229030"/>
      <w:bookmarkStart w:id="504" w:name="_Toc187"/>
      <w:bookmarkEnd w:id="503"/>
      <w:r>
        <w:rPr/>
        <w:t>1</w:t>
      </w:r>
      <w:r>
        <w:rPr>
          <w:rtl w:val="true"/>
        </w:rPr>
        <w:t xml:space="preserve">: </w:t>
      </w:r>
      <w:r>
        <w:rPr>
          <w:rtl w:val="true"/>
        </w:rPr>
        <w:t>الأصل في اللام انها للجنس</w:t>
      </w:r>
      <w:bookmarkEnd w:id="50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اللام أنها للجنس دون العهد، كما سنفصل الكلام عنه، ولنبدأ بذكر بعض كلمات المفسرين حيث ذكروا معنى آخر أعم، إما بنحو الترديد بينه وبين الأخص، أو بنحو التعيين، ولنذكر بعض عباراتهم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فيالأَمْرِ</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أي استخرج آراءهم وأعلم ما عندهم، واختلفوا في فائدة مشاورته إياهم مع استغنائه بالوحي عن تعرف صواب الرأي من العباد على أقوال</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 فلم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آرائهم في شؤون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المطلب كما لا يخفى، إذ أن الأقوال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بالمشورة في شؤون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أمر من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يشاور أصحابه،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شاورت الرجل مشاورة وشواراً، وما يكون عن ذلك اسمه المشورة</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فلم يقيد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يشاور أصحابه في أمر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استظهر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الميزان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يعفو عنهم فلا يرتب على فعالهم أثر المعصية، وأن يستغفر فيسأل الله أن يغفر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تعالى فاعله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وإن كان مطلقاً لا يختص بالمورد غير أنه لا يشمل موارد الحدود الشرعية وما يناظرها وإلاّ لغى التشريع، على أن تعقيبه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لا يخلو عن الإشعار بأن هذين الأمرين إنما هما في ظرف الولاية وتدبير الأمور العامة مما يجري فيه المشاورة معهم</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ماهذا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أي في أمر الحرب، إذ الكلام فيه أو فيما يصح أن يشاور فيه، استظهاراً برأيهم وتطييباً لنفوسهم وتمهيداً لسنة المشاورة للأمة</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قال في 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أي في الحرب، أخرجه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 وفي أمثاله مما تجري فيه المشاورة عادة وإليه ذهب جماعة</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وقال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يعني في أمر الحرب ونحوه مما لا ينزل عليك فيه وحي تستظهر برأيهم، ولما فيه من تطييب نفوسهم والرفع من أقدارهم، وعن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أنه ما به إليه حاجة ولكنه أراد أن يستن به من بعده</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العام الذي هو سياسة الأمة في الحرب والسلم والخوف والأمن وغير ذلك من مصالحهم الدنيوية أي دم على المشاورة وواظب عليها كما فعلت قبل الحرب في هذه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أخطأوا الرأي فيها فإن الخير كل الخير في تربيتهم على المشاورة بالعمل دون العمل برأي الرئيس</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في تفسير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فيالأَمْرِ</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أمر الحرب وفي كل ما يصح أن يشاور فيه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وحقائق التأول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أي في أمر الحرب ونحوه مما لم ينزل عليك فيه وحي</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كلام ابن أثير في تفسيره أنه يرى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اختصاصه بالحرب فليراجع</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إذن لم يستفد مشهور المفسرين بل كلهم إلا ابن عباس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بالحرب على نحو التعيين، بل ذكروه إما مردداً بينه وبين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من روح المعاني وأنوار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ذكروا الأعم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من الكشاف والمنار والميزان ومدارك التنزيل وتفسير ابن كثير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من مجمع البيان والتبيان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إرادة الأعم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بعضهم من وجه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التخصيص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المناسب للمقام، إذ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الجواب عنه</w:t>
      </w:r>
      <w:r>
        <w:rPr>
          <w:rFonts w:eastAsia="Amiri" w:cs="Amiri" w:ascii="Amiri" w:hAnsi="Amiri"/>
          <w:color w:val="111111"/>
          <w:sz w:val="28"/>
          <w:szCs w:val="28"/>
          <w:rtl w:val="true"/>
          <w:lang w:bidi="ar-SA"/>
        </w:rPr>
        <w:t xml:space="preserve">. </w:t>
      </w:r>
      <w:bookmarkStart w:id="505" w:name="pg8204_101138"/>
    </w:p>
    <w:p>
      <w:pPr>
        <w:pStyle w:val="Heading6"/>
        <w:numPr>
          <w:ilvl w:val="5"/>
          <w:numId w:val="1"/>
        </w:numPr>
        <w:rPr/>
      </w:pPr>
      <w:bookmarkStart w:id="506" w:name="__RefHeading___Toc8924298_1051229030"/>
      <w:bookmarkStart w:id="507" w:name="_Toc188"/>
      <w:bookmarkEnd w:id="505"/>
      <w:bookmarkEnd w:id="506"/>
      <w:r>
        <w:rPr>
          <w:rtl w:val="true"/>
        </w:rPr>
        <w:t>المشهور</w:t>
      </w:r>
      <w:r>
        <w:rPr>
          <w:rtl w:val="true"/>
        </w:rPr>
        <w:t xml:space="preserve">: </w:t>
      </w:r>
      <w:r>
        <w:rPr>
          <w:rtl w:val="true"/>
        </w:rPr>
        <w:t>كلما ترددت اللام بين العهد والجنس، كانت للجنس</w:t>
      </w:r>
      <w:bookmarkEnd w:id="507"/>
    </w:p>
    <w:p>
      <w:pPr>
        <w:pStyle w:val="BookText"/>
        <w:rPr/>
      </w:pPr>
      <w:r>
        <w:rPr>
          <w:rFonts w:ascii="Amiri" w:hAnsi="Amiri" w:eastAsia="Amiri" w:cs="Amiri"/>
          <w:color w:val="111111"/>
          <w:sz w:val="28"/>
          <w:sz w:val="28"/>
          <w:szCs w:val="28"/>
          <w:rtl w:val="true"/>
          <w:lang w:bidi="ar-SA"/>
        </w:rPr>
        <w:t xml:space="preserve">ولو لم يحصل من مجموع ذلك الاطمينان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أعم، وأنه لا وجه لتخصيصه بالحرب،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في ما لو تردد المفرد المحلى بأل بين كونه للعهد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استفاده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استفاده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الأصل، والأصل في اللام أنها للجنس والمحتاج للقرينة هو العهد كما ذكره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عند الاستدلال بالصحيحة الأولى لزرارة على الاستصحاب</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وكما بنى عليه المرحوم الشيخ الأنصاري وتلميذه المرحوم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المرحوم الآشتياني في بحث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ظاهر اللام إذا لم تكن هناك قرينة الإشارة إلى الجنس سواء كان بالوضع أو بغيره فمقتضاها كون اللام في اليقين للجنس لا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إنما يكون ظاهراً في الجنس حيث لم يكن هناك عهد وهو موجود في المقام من حيث سبق ذكر يقين الوضوء مع كونه منكراً، فلا معنى للقول بظهورها في الجنس</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وأجاب الأستاذ العلامة عن الإيرادين، أما عن الأول فبان ما قرع سمعك من أن اللام ظاهر في الجنس حيث لا عهد ليس معناه مجرد سبق ذكر ما يصلح للإشارة إليه، بل ما إذا كان هناك قرينة على العهد بحيث يفهم عرفاً، لا يقال ذكر علماء البيان وغيرهم أن المذكور سابقاً إذا كان منكراً </w:t>
      </w:r>
    </w:p>
    <w:p>
      <w:pPr>
        <w:pStyle w:val="BookText"/>
        <w:rPr/>
      </w:pPr>
      <w:r>
        <w:rPr>
          <w:rFonts w:ascii="Amiri" w:hAnsi="Amiri" w:eastAsia="Amiri" w:cs="Amiri"/>
          <w:color w:val="111111"/>
          <w:sz w:val="28"/>
          <w:sz w:val="28"/>
          <w:szCs w:val="28"/>
          <w:rtl w:val="true"/>
          <w:lang w:bidi="ar-SA"/>
        </w:rPr>
        <w:t>يفهم منه عرفاً العهد،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فِرْعَونُ الرَّسُولَ</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المسبوق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وجعلوا هذا هو الميزان لتعيين اللام فيما تردد أمره بين العهد والجنس</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حيث ظهر منه التزام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اللام ظاهرة في الجنس مطلقاً حتى لو سبق ذكر ما يصلح للإشارة إليه</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يجعلها صالحة لإرادة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تكون للعهد في صورة واحدة فقط هي ما إذا كان هناك قرينة على العهد بحيث يفهم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منه التزام عموم علماء أهل البيان بل وغيرهم أيضاً بأن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تردد أمره بين العهد والجنس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للعهد إذا سبقها منكر يفهم منه عرفاً العهد</w:t>
      </w:r>
      <w:r>
        <w:rPr>
          <w:rStyle w:val="FootnoteAnchor"/>
          <w:rtl w:val="true"/>
        </w:rPr>
        <w:footnoteReference w:id="641"/>
      </w:r>
      <w:r>
        <w:rPr>
          <w:rFonts w:ascii="Amiri" w:hAnsi="Amiri" w:eastAsia="Amiri" w:cs="Amiri"/>
          <w:color w:val="111111"/>
          <w:sz w:val="28"/>
          <w:sz w:val="28"/>
          <w:szCs w:val="28"/>
          <w:rtl w:val="true"/>
          <w:lang w:bidi="ar-SA"/>
        </w:rPr>
        <w:t xml:space="preserve">، 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عدم سبق منكر فتكون للجنس على ما قاله علماء البيان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التزام علماء البيان بأنها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 في محله من بحث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النظر فيما التزم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الألفاظ من أن اللام للتزيين</w:t>
      </w:r>
      <w:r>
        <w:rPr>
          <w:rStyle w:val="FootnoteAnchor"/>
          <w:rtl w:val="true"/>
        </w:rPr>
        <w:footnoteReference w:id="643"/>
      </w:r>
      <w:r>
        <w:rPr>
          <w:rFonts w:ascii="Amiri" w:hAnsi="Amiri" w:eastAsia="Amiri" w:cs="Amiri"/>
          <w:color w:val="111111"/>
          <w:sz w:val="28"/>
          <w:sz w:val="28"/>
          <w:szCs w:val="28"/>
          <w:rtl w:val="true"/>
          <w:lang w:bidi="ar-SA"/>
        </w:rPr>
        <w:t xml:space="preserve">، ويعلم أن ما التزمه في بحث الاستصحاب من أن </w:t>
      </w:r>
    </w:p>
    <w:p>
      <w:pPr>
        <w:pStyle w:val="BookText"/>
        <w:rPr/>
      </w:pPr>
      <w:r>
        <w:rPr>
          <w:rFonts w:ascii="Amiri" w:hAnsi="Amiri" w:eastAsia="Amiri" w:cs="Amiri"/>
          <w:color w:val="111111"/>
          <w:sz w:val="28"/>
          <w:sz w:val="28"/>
          <w:szCs w:val="28"/>
          <w:rtl w:val="true"/>
          <w:lang w:bidi="ar-SA"/>
        </w:rPr>
        <w:t>اللام ظاهرة في الجنس هو الذي ينبغي أن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واللام وإن كان ظاهراً فيالجنس إلا أن سبق يقين الوضوء ربما يوهن الظهور المذكور</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حمل كثير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الجنس وعمموها لكل المصاديق، في موارد أضعف مما نحن فيه بكثير،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مسبوقة بمنكر أو معرَّف مذكور من قبل حيث يكون احتمال العهد الذكري قوياً إن لم يكن متعيناً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بعضها في الملحق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bookmarkStart w:id="508" w:name="pg8204_101141"/>
    </w:p>
    <w:p>
      <w:pPr>
        <w:pStyle w:val="Heading6"/>
        <w:numPr>
          <w:ilvl w:val="5"/>
          <w:numId w:val="1"/>
        </w:numPr>
        <w:rPr/>
      </w:pPr>
      <w:bookmarkStart w:id="509" w:name="__RefHeading___Toc8924300_1051229030"/>
      <w:bookmarkStart w:id="510" w:name="_Toc189"/>
      <w:bookmarkEnd w:id="508"/>
      <w:bookmarkEnd w:id="509"/>
      <w:r>
        <w:rPr>
          <w:rtl w:val="true"/>
        </w:rPr>
        <w:t xml:space="preserve">الجواب عن أن القدر المتيقن من </w:t>
      </w:r>
      <w:r>
        <w:rPr>
          <w:rtl w:val="true"/>
        </w:rPr>
        <w:t>(</w:t>
      </w:r>
      <w:r>
        <w:rPr>
          <w:rtl w:val="true"/>
        </w:rPr>
        <w:t>الأمر</w:t>
      </w:r>
      <w:r>
        <w:rPr>
          <w:rtl w:val="true"/>
        </w:rPr>
        <w:t xml:space="preserve">) </w:t>
      </w:r>
      <w:r>
        <w:rPr>
          <w:rtl w:val="true"/>
        </w:rPr>
        <w:t>هو أمر الحرب</w:t>
      </w:r>
      <w:bookmarkEnd w:id="510"/>
    </w:p>
    <w:p>
      <w:pPr>
        <w:pStyle w:val="BookText"/>
        <w:rPr/>
      </w:pPr>
      <w:r>
        <w:rPr>
          <w:rFonts w:ascii="Amiri" w:hAnsi="Amiri" w:eastAsia="Amiri" w:cs="Amiri"/>
          <w:color w:val="111111"/>
          <w:sz w:val="28"/>
          <w:sz w:val="28"/>
          <w:szCs w:val="28"/>
          <w:rtl w:val="true"/>
          <w:lang w:bidi="ar-SA"/>
        </w:rPr>
        <w:t xml:space="preserve">ومن ذلك كله ظهر اندفاع الإيراد على الاستدلال بالآية الكريمة على وجوب الشورى في كافة الشؤون العامة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محلى بأل وهو لا يفيد العموم، فما تدل عليه الآية أمر مهمل قدره المتيقن هو شؤون الحرب، أو لا نلتزم حتى بذلك أيضاً</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8924302_1051229030"/>
      <w:bookmarkStart w:id="512" w:name="_Toc190"/>
      <w:bookmarkEnd w:id="511"/>
      <w:r>
        <w:rPr>
          <w:rtl w:val="true"/>
        </w:rPr>
        <w:t>بحث عن أن المطلق كالعام في الدلالة على الشمول</w:t>
      </w:r>
      <w:bookmarkEnd w:id="512"/>
    </w:p>
    <w:p>
      <w:pPr>
        <w:pStyle w:val="BookText"/>
        <w:rPr/>
      </w:pPr>
      <w:r>
        <w:rPr>
          <w:rFonts w:ascii="Amiri" w:hAnsi="Amiri" w:eastAsia="Amiri" w:cs="Amiri"/>
          <w:color w:val="111111"/>
          <w:sz w:val="28"/>
          <w:sz w:val="28"/>
          <w:szCs w:val="28"/>
          <w:rtl w:val="true"/>
          <w:lang w:bidi="ar-SA"/>
        </w:rPr>
        <w:t xml:space="preserve">إذ يرد على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كل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كالعام في إفادة العموم، فيما لو لم يكن هناك عهد، ولو كان عهد فالعام كالمطلق أيضاً في الدلالة على تلك الأفراد المعهودة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كانوا معهودين ذكراً أو ذهناً أو حضوراً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ذلك العرف، ألا ترى أن الشارع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استفادوا منه وجوب الوفاء بكل العقود إلا ما خرج بالدليل، إما لعدم عدّ الشارع إياه عقداً كنكاح الشغار وبيع المسلم الخمر والخنزير</w:t>
      </w:r>
      <w:r>
        <w:rPr>
          <w:rStyle w:val="FootnoteAnchor"/>
          <w:rtl w:val="true"/>
        </w:rPr>
        <w:footnoteReference w:id="646"/>
      </w:r>
      <w:r>
        <w:rPr>
          <w:rFonts w:ascii="Amiri" w:hAnsi="Amiri" w:eastAsia="Amiri" w:cs="Amiri"/>
          <w:color w:val="111111"/>
          <w:sz w:val="28"/>
          <w:sz w:val="28"/>
          <w:szCs w:val="28"/>
          <w:rtl w:val="true"/>
          <w:lang w:bidi="ar-SA"/>
        </w:rPr>
        <w:t>، أو لاعتباره عقداً جائزاً كالمعاطاة على بعض الأقوال، والهبة لغير ذي الرحم قبل التلف أو التصرف حسب ما هو مفصل في محله؟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نجد أن العرف يستفيد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العموم، مع أن المفرد المضاف أضعف في الدلالة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ما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لفظة كل ونحوه أقوى دلالة على العموم من النكرة في سياق النفي، وهي أقوى دلالة عليه من الجمع المحلى، وهو أقوى دلالة عليه من الجمع المضاف، وهو أقوى دلالة عليه من المفرد المحلى، وهو أقوى دلالة عليه من المفرد المضاف</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يجد العرف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 فرقاً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الشمول والعموم،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الأول بالوضع والثاني بالعقل</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بين الآيتين الكريمتين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عَلى صَلَواتِهِمْ يُحافِظُونَ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بين الآيتين الكريمتين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 هل يجد العرف فرقاً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الدلالة على العموم قوةً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صلاة وصلوات والمال وأموالكم؟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 وفي الآية </w:t>
      </w:r>
    </w:p>
    <w:p>
      <w:pPr>
        <w:pStyle w:val="BookText"/>
        <w:rPr/>
      </w:pP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هل دلالة اجلدوا الزاني والزانية مأة جلدة على العموم أضعف؟</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الْبَيْعَ</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هل لو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العرف منه عمومية أقوى؟</w:t>
      </w:r>
    </w:p>
    <w:p>
      <w:pPr>
        <w:pStyle w:val="BookText"/>
        <w:rPr/>
      </w:pPr>
      <w:r>
        <w:rPr>
          <w:rFonts w:ascii="Amiri" w:hAnsi="Amiri" w:eastAsia="Amiri" w:cs="Amiri"/>
          <w:color w:val="111111"/>
          <w:sz w:val="28"/>
          <w:sz w:val="28"/>
          <w:szCs w:val="28"/>
          <w:rtl w:val="true"/>
          <w:lang w:bidi="ar-SA"/>
        </w:rPr>
        <w:t>أو لو قال تعالى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 بِاللهِ وَرَسُولِهِ وَتُجاهِدُونَ فِي سَبِيلِ اللهِ بِأَمْوالِكُمْ وَأَنْفُسِكُمْ</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تجاهدون في سبيل الله بمالكم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أضعف من جهة العموم؟</w:t>
      </w:r>
    </w:p>
    <w:p>
      <w:pPr>
        <w:pStyle w:val="BookText"/>
        <w:rPr/>
      </w:pPr>
      <w:r>
        <w:rPr>
          <w:rFonts w:ascii="Amiri" w:hAnsi="Amiri" w:eastAsia="Amiri" w:cs="Amiri"/>
          <w:color w:val="111111"/>
          <w:sz w:val="28"/>
          <w:sz w:val="28"/>
          <w:szCs w:val="28"/>
          <w:rtl w:val="true"/>
          <w:lang w:bidi="ar-SA"/>
        </w:rPr>
        <w:t xml:space="preserve">وكذا هل يرى العرف فرقاً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تجاوز عن المسيء وعن المسيئين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الدلالة على العموم؟ أو أكرم المحسن وأكرم المحسنين؟ ولو قيل بكون صيغة الجمع في بعض الموارد السابقة كان بلحاظ عموم المسند إليه، كان ذلك على المدعى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تمامية ما ذُكر سواء أوجدت مناسبات الحكم والموضوع في الموردين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نجد أن العديد من الفقهاء استفادوا العموم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كما استفادوا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ذلك بمراجعة حواشي المكاسب، ومنها حاشية المرحوم الأصفهاني</w:t>
      </w:r>
      <w:r>
        <w:rPr>
          <w:rStyle w:val="FootnoteAnchor"/>
          <w:rtl w:val="true"/>
        </w:rPr>
        <w:footnoteReference w:id="661"/>
      </w:r>
      <w:r>
        <w:rPr>
          <w:rFonts w:ascii="Amiri" w:hAnsi="Amiri" w:eastAsia="Amiri" w:cs="Amiri"/>
          <w:color w:val="111111"/>
          <w:sz w:val="28"/>
          <w:sz w:val="28"/>
          <w:szCs w:val="28"/>
          <w:rtl w:val="true"/>
          <w:lang w:bidi="ar-SA"/>
        </w:rPr>
        <w:t>، فتأمل، وكذا حاشية الميرزا علي الإيرواني</w:t>
      </w:r>
      <w:r>
        <w:rPr>
          <w:rStyle w:val="FootnoteAnchor"/>
          <w:rtl w:val="true"/>
        </w:rPr>
        <w:footnoteReference w:id="662"/>
      </w:r>
      <w:r>
        <w:rPr>
          <w:rFonts w:ascii="Amiri" w:hAnsi="Amiri" w:eastAsia="Amiri" w:cs="Amiri"/>
          <w:color w:val="111111"/>
          <w:sz w:val="28"/>
          <w:sz w:val="28"/>
          <w:szCs w:val="28"/>
          <w:rtl w:val="true"/>
          <w:lang w:bidi="ar-SA"/>
        </w:rPr>
        <w:t xml:space="preserve">وغيرهما، </w:t>
      </w:r>
    </w:p>
    <w:p>
      <w:pPr>
        <w:pStyle w:val="BookText"/>
        <w:rPr/>
      </w:pPr>
      <w:r>
        <w:rPr>
          <w:rFonts w:ascii="Amiri" w:hAnsi="Amiri" w:eastAsia="Amiri" w:cs="Amiri"/>
          <w:color w:val="111111"/>
          <w:sz w:val="28"/>
          <w:sz w:val="28"/>
          <w:szCs w:val="28"/>
          <w:rtl w:val="true"/>
          <w:lang w:bidi="ar-SA"/>
        </w:rPr>
        <w:t xml:space="preserve">وبمراجعة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عند التحدث عن هذه الآية الشريفة،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كما للآية إطلاق أفرادي، كذلك لها إطلاق أحوالي من جهة الاحتياج إلى الصيغة أو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 وعند التحدث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التجارة</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وعند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الناسمسلطون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نجد أن العرف عند تعارض العام والمطلق لا يرى تقديم العام على المطلق فيما لو تعارضا بالعموم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كل ما قاله بعض الأصوليين في تعارض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أترى العرف يعطي مادة الاجتماع في الأولين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 الصرفي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 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بعكس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الاستدلالات العقلية</w:t>
      </w:r>
      <w:r>
        <w:rPr>
          <w:rStyle w:val="FootnoteAnchor"/>
          <w:rtl w:val="true"/>
        </w:rPr>
        <w:footnoteReference w:id="666"/>
      </w:r>
      <w:r>
        <w:rPr>
          <w:rFonts w:ascii="Amiri" w:hAnsi="Amiri" w:eastAsia="Amiri" w:cs="Amiri"/>
          <w:color w:val="111111"/>
          <w:sz w:val="28"/>
          <w:sz w:val="28"/>
          <w:szCs w:val="28"/>
          <w:rtl w:val="true"/>
          <w:lang w:bidi="ar-SA"/>
        </w:rPr>
        <w:t xml:space="preserve">والبراهين النظرية لا تجدي في الظهورات، ولعل إلى ما ذكرنا يشير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الكفاية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العام المعارض للمطلق متصلاً به أمكن تقديمه على المطلق، لصلاحية كونه قرينة على التقييد، فتأمل</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ما قيل في ترجيح ظهور العموم على الإطلاق وتقديم التقييد على التخصيص فيما دار الأمر بينهما، من كون ظهور العام في العموم تنجيزياً بخلاف ظهور المطلق في الإطلاق، فإنه معلق على عدم البيان، والعام يصلح بياناً فتقديم العام حينئذٍ </w:t>
      </w:r>
    </w:p>
    <w:p>
      <w:pPr>
        <w:pStyle w:val="BookText"/>
        <w:rPr/>
      </w:pPr>
      <w:r>
        <w:rPr>
          <w:rFonts w:ascii="Amiri" w:hAnsi="Amiri" w:eastAsia="Amiri" w:cs="Amiri"/>
          <w:color w:val="111111"/>
          <w:sz w:val="28"/>
          <w:sz w:val="28"/>
          <w:szCs w:val="28"/>
          <w:rtl w:val="true"/>
          <w:lang w:bidi="ar-SA"/>
        </w:rPr>
        <w:t>لعدم تمامية مقتضى الإطلاق معه، بخلاف العكس، فإنه موجب لتخصيصه بلا وجه، إلا على وجه دائر، ومن أن التقييد أغلب من التخصيص،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البيان الذي هو جزء المقتضي في مقدمات الحكمة إنما هو عدم البيان في مقام التخاطب لا إلى الأبد وأغلبية التقييد مع كثرة التخصيص بمثابة قد قيل ما من عام إلاّ وقد خص غير مفيد</w:t>
      </w:r>
      <w:r>
        <w:rPr>
          <w:rStyle w:val="FootnoteAnchor"/>
          <w:rtl w:val="true"/>
        </w:rPr>
        <w:footnoteReference w:id="668"/>
      </w:r>
      <w:r>
        <w:rPr>
          <w:rFonts w:ascii="Amiri" w:hAnsi="Amiri" w:eastAsia="Amiri" w:cs="Amiri"/>
          <w:color w:val="111111"/>
          <w:sz w:val="28"/>
          <w:sz w:val="28"/>
          <w:szCs w:val="28"/>
          <w:rtl w:val="true"/>
          <w:lang w:bidi="ar-SA"/>
        </w:rPr>
        <w:t>ولابدفي كل قضية من ملاحظة خصوصياتها الموجبة لأظهرية أحدهما من الآخر فتدبر</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 ومزيد التحقيق في ذلك في الملحق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 ذلك اتضح أن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محلى بأل وهو لا يفيد العموم فما تدل عليه الآية أمر مهمل فنقول إن قدره المتيقن هو شؤون الحرب أو لا نلتزم حتى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وارد حتى على مسلك سلطان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إذ المطلق على هذا المبنى يفيد العموم بسبب جريان مقدمات الحكمة</w:t>
      </w:r>
      <w:r>
        <w:rPr>
          <w:rStyle w:val="FootnoteAnchor"/>
          <w:rtl w:val="true"/>
        </w:rPr>
        <w:footnoteReference w:id="670"/>
      </w:r>
      <w:r>
        <w:rPr>
          <w:rFonts w:ascii="Amiri" w:hAnsi="Amiri" w:eastAsia="Amiri" w:cs="Amiri"/>
          <w:color w:val="111111"/>
          <w:sz w:val="28"/>
          <w:sz w:val="28"/>
          <w:szCs w:val="28"/>
          <w:rtl w:val="true"/>
          <w:lang w:bidi="ar-SA"/>
        </w:rPr>
        <w:t>، وقد أثبتنا أن دلالته على العموم ليست بأضعف من دلالة العام عليه بنظر العرف، وتطرقنا لنقد أدلة من ادعى ذلك، فليراجع</w:t>
      </w:r>
      <w:r>
        <w:rPr>
          <w:rFonts w:eastAsia="Amiri" w:cs="Amiri" w:ascii="Amiri" w:hAnsi="Amiri"/>
          <w:color w:val="111111"/>
          <w:sz w:val="28"/>
          <w:szCs w:val="28"/>
          <w:rtl w:val="true"/>
          <w:lang w:bidi="ar-SA"/>
        </w:rPr>
        <w:t xml:space="preserve">. </w:t>
      </w:r>
      <w:bookmarkStart w:id="513" w:name="pg8204_101146"/>
    </w:p>
    <w:p>
      <w:pPr>
        <w:pStyle w:val="Heading6"/>
        <w:numPr>
          <w:ilvl w:val="5"/>
          <w:numId w:val="1"/>
        </w:numPr>
        <w:rPr/>
      </w:pPr>
      <w:bookmarkStart w:id="514" w:name="__RefHeading___Toc8924304_1051229030"/>
      <w:bookmarkStart w:id="515" w:name="_Toc191"/>
      <w:bookmarkEnd w:id="513"/>
      <w:bookmarkEnd w:id="514"/>
      <w:r>
        <w:rPr>
          <w:rtl w:val="true"/>
        </w:rPr>
        <w:t xml:space="preserve">الجواب عن إشكال عدم جريان مقدمات الحكمة في </w:t>
      </w:r>
      <w:r>
        <w:rPr>
          <w:rtl w:val="true"/>
        </w:rPr>
        <w:t>(</w:t>
      </w:r>
      <w:r>
        <w:rPr>
          <w:rtl w:val="true"/>
        </w:rPr>
        <w:t>الأمر</w:t>
      </w:r>
      <w:r>
        <w:rPr>
          <w:rtl w:val="true"/>
        </w:rPr>
        <w:t>)</w:t>
      </w:r>
      <w:bookmarkEnd w:id="515"/>
    </w:p>
    <w:p>
      <w:pPr>
        <w:pStyle w:val="BookText"/>
        <w:rPr/>
      </w:pPr>
      <w:r>
        <w:rPr>
          <w:rFonts w:ascii="Amiri" w:hAnsi="Amiri" w:eastAsia="Amiri" w:cs="Amiri"/>
          <w:color w:val="111111"/>
          <w:sz w:val="28"/>
          <w:sz w:val="28"/>
          <w:szCs w:val="28"/>
          <w:rtl w:val="true"/>
          <w:lang w:bidi="ar-SA"/>
        </w:rPr>
        <w:t>وأما الخدشة في جريان مقدمات الحكمة هنا</w:t>
      </w:r>
      <w:r>
        <w:rPr>
          <w:rStyle w:val="FootnoteAnchor"/>
          <w:rtl w:val="true"/>
        </w:rPr>
        <w:footnoteReference w:id="671"/>
      </w:r>
      <w:r>
        <w:rPr>
          <w:rFonts w:ascii="Amiri" w:hAnsi="Amiri" w:eastAsia="Amiri" w:cs="Amiri"/>
          <w:color w:val="111111"/>
          <w:sz w:val="28"/>
          <w:sz w:val="28"/>
          <w:szCs w:val="28"/>
          <w:rtl w:val="true"/>
          <w:lang w:bidi="ar-SA"/>
        </w:rPr>
        <w:t>إذاً ما هو المثبت لكون المولى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بكل الموارد الأخرى حيث تمسك الفقهاء بالمطلقات في أشباه هذا المورد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الْبَيْعَ</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حيث يتمسك بإطلاقه على نفي شرط أو جزء زائد شك فيه، فتأمل</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جميع العمومات حيث يتمسك بإطلاقها الأحوالي والأزماني،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التزم العديد من الأصوليين بأنه عند الشك في الإطلاق إذا كان ناشئاً </w:t>
      </w:r>
    </w:p>
    <w:p>
      <w:pPr>
        <w:pStyle w:val="BookText"/>
        <w:rPr/>
      </w:pPr>
      <w:r>
        <w:rPr>
          <w:rFonts w:ascii="Amiri" w:hAnsi="Amiri" w:eastAsia="Amiri" w:cs="Amiri"/>
          <w:color w:val="111111"/>
          <w:sz w:val="28"/>
          <w:sz w:val="28"/>
          <w:szCs w:val="28"/>
          <w:rtl w:val="true"/>
          <w:lang w:bidi="ar-SA"/>
        </w:rPr>
        <w:t>من الشك في أن المتكلم في مقام أصل التشريع، أو أنه في مقام بيان تمام مراده، فاللازم التمسك بالإطلاق، لقيام سيرة العقلاءعلى ذلك وقد أمضاها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شك في السعة والضيق كان مقتضى القاعدة إرادة الأوسع، استناداً إلى وجود أصل عام يقضي بكون الشارع المقدس في كل مورد استخدم فيه مطلقاً فإنه في مقام البيان وضرب القاعدة والقانون، والخروج منه بقدر ما ثبت فيه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بما ذكره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شيء، وهو أنه لا يبعد أن يكون الأصل فيما إذا شك في كون المتكلم في مقام بيان تمام المراد هو كونه بصدد بيانه، وذلك لما جرت عليه سيرة أهل المحاورات من التمسك بالإطلاقات فيما إذا لم يكن هناك ما يوجب صرف وجهها إلى جهة خاصة، ولذا ترى أن المشهور لا يزالون يتمسكون بها مع عدم إحراز كون مطلقها بصدد البيان، وبعد كونه لأجل ذهابهم إلى أنها موضوعة للشياع والسريان، وإن كان ربما نسب ذلك إليهم ولعل وجه النسبة ملاحظة أنه لا وجه للتمسك بها بدون الإحراز والغفلة عن وجهه فتأمل جيداً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الكلام أن يكون في مقام البيان مطلقاً إلاّ إذا دلت قرينة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جواباً عن الإشكال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الإطلاقات والعمومات الدالة على الرجوع إلى العلماء والسؤال عنهم ليست في مقام البيان من هذه الجهة</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 لا قدر متيقن في مقام التخاطب في الآية الكريمة، والمراد به أن يكون بعض أفراد الطبيعة بحيث يعلم المخاطب تفصيلاً كونه مراداً إما </w:t>
      </w:r>
    </w:p>
    <w:p>
      <w:pPr>
        <w:pStyle w:val="BookText"/>
        <w:rPr/>
      </w:pPr>
      <w:r>
        <w:rPr>
          <w:rFonts w:ascii="Amiri" w:hAnsi="Amiri" w:eastAsia="Amiri" w:cs="Amiri"/>
          <w:color w:val="111111"/>
          <w:sz w:val="28"/>
          <w:sz w:val="28"/>
          <w:szCs w:val="28"/>
          <w:rtl w:val="true"/>
          <w:lang w:bidi="ar-SA"/>
        </w:rPr>
        <w:t>بخصوصه وإما في ضمن الجميع، مع كون تيقنه لذلك بنفس إلقاء الخطاب لا بشيء آخر من التدبر والتفكر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قدر متيقن في مقام التخاطب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الحكمة وإشتراط تحقق الإطلاق به، وإلا بأن قلنا بأن وجود القدر المتيقن لا يضر بانعقاد الإطلاق والتمسك به، وقلنا بالاكتفاء بإثبات كونه في مقام البيان، إذ أن معناه كونه في مقام بيان ما تعلقت به إرادته حقيقة المتوقف على نصب قرينة على المراد إن أراد قسماً خاصاً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المعظم والسطان</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تيقن إرادة بعض الأفراد وإن كان نابعاً من الكلام الملقى إلى المخاطب، وتيقن إجزائها في مقام الامتثال قرينةً على التقييد وانحصار متعلق الأمر أو النهي به، وإلاّ لما جاز التمسك بالمطلقات في غير موارد ورودها، لكونها من أظهر مصاديق وجود القدر المتيقن</w:t>
      </w:r>
      <w:r>
        <w:rPr>
          <w:rStyle w:val="FootnoteAnchor"/>
          <w:rtl w:val="true"/>
        </w:rPr>
        <w:footnoteReference w:id="683"/>
      </w:r>
      <w:r>
        <w:rPr>
          <w:rFonts w:ascii="Amiri" w:hAnsi="Amiri" w:eastAsia="Amiri" w:cs="Amiri"/>
          <w:color w:val="111111"/>
          <w:sz w:val="28"/>
          <w:sz w:val="28"/>
          <w:szCs w:val="28"/>
          <w:rtl w:val="true"/>
          <w:lang w:bidi="ar-SA"/>
        </w:rPr>
        <w:t>، فالأمر أوضح كما لا يخفى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ولتكميل الفائدة نذكر هنا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الظهور في المطلق كسائر الظهورات بين مشتركين أو مجازين أو أحدهما لا يحتاج إلا إلى عدم القرينة على الخلاف، أما قولهم باحتياجه إلى مقدمات الحكمة من كون المولى في مقام البيان وعدم نصب القرينة وعدم القدر المتيقن في مقام التخاطب، فيرد عليه بالإضافة إلى أن الثالث من مصاديق الثاني، وأنه لا شأن لليقين في مباحث الظهورات، عدم الاحتياج إلى الأول فيه، خاصة </w:t>
      </w:r>
      <w:bookmarkStart w:id="516" w:name="pg8204_101149"/>
    </w:p>
    <w:p>
      <w:pPr>
        <w:pStyle w:val="BookText"/>
        <w:rPr/>
      </w:pPr>
      <w:bookmarkEnd w:id="516"/>
      <w:r>
        <w:rPr>
          <w:rFonts w:ascii="Amiri" w:hAnsi="Amiri" w:eastAsia="Amiri" w:cs="Amiri"/>
          <w:color w:val="111111"/>
          <w:sz w:val="28"/>
          <w:sz w:val="28"/>
          <w:szCs w:val="28"/>
          <w:rtl w:val="true"/>
          <w:lang w:bidi="ar-SA"/>
        </w:rPr>
        <w:t>بعد كون ظاهر كلام الحكيم كافياً في وجوب العمل به</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ولا يخفى أن الكلام حول مقدمات الحكمة والتعرض لكل الأقوال ونقدها مبنى وبناءً خارج عن هذا البحث، ولذا اكتفينا بهذا القدر، والله الموفق المستعان</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8924306_1051229030"/>
      <w:bookmarkStart w:id="518" w:name="_Toc192"/>
      <w:bookmarkEnd w:id="517"/>
      <w:r>
        <w:rPr/>
        <w:t>2</w:t>
      </w:r>
      <w:r>
        <w:rPr>
          <w:rtl w:val="true"/>
        </w:rPr>
        <w:t xml:space="preserve">: </w:t>
      </w:r>
      <w:r>
        <w:rPr>
          <w:rtl w:val="true"/>
        </w:rPr>
        <w:t>خصوصية المورد لا تخصص الوارد</w:t>
      </w:r>
      <w:bookmarkEnd w:id="518"/>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بناء الأصوليين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المورد لا تخصص الوارد، وعليه بناء العقلاء أيضاً، ألا ترى أن طبيباً لو رأى مريضاً يأكل حامضاً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النهي عن مطلق الحامض لا خصوص الرمان الحامض رغم كونه هو المورد؟</w:t>
      </w:r>
    </w:p>
    <w:p>
      <w:pPr>
        <w:pStyle w:val="BookText"/>
        <w:rPr/>
      </w:pPr>
      <w:r>
        <w:rPr>
          <w:rFonts w:ascii="Amiri" w:hAnsi="Amiri" w:eastAsia="Amiri" w:cs="Amiri"/>
          <w:color w:val="111111"/>
          <w:sz w:val="28"/>
          <w:sz w:val="28"/>
          <w:szCs w:val="28"/>
          <w:rtl w:val="true"/>
          <w:lang w:bidi="ar-SA"/>
        </w:rPr>
        <w:t xml:space="preserve">فورود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في مورد الحرب لا يخصص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ذلك يعلم عدم صحة مستند من تمسك لاحتمال إرادة خصوص الحرب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المناسب للمقام</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الكلام فيه</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فإذا علمنا مستند الذين ادعوا تخصيصها بالحرب، حيث صرحوا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المناسب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عدم صحته، لم يبق للتعويل على هذا الاحتمال وجه</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8924308_1051229030"/>
      <w:bookmarkStart w:id="520" w:name="_Toc193"/>
      <w:bookmarkEnd w:id="519"/>
      <w:r>
        <w:rPr/>
        <w:t>3</w:t>
      </w:r>
      <w:r>
        <w:rPr>
          <w:rtl w:val="true"/>
        </w:rPr>
        <w:t xml:space="preserve">: </w:t>
      </w:r>
      <w:r>
        <w:rPr>
          <w:rtl w:val="true"/>
        </w:rPr>
        <w:t>سياق الآية شاهد بعدم الاختصاص بالحرب</w:t>
      </w:r>
      <w:bookmarkEnd w:id="52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سياق الآية الكريمة شاهد بعدم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بيان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 حيث فرع سبحانه وتعالى 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فمشاورته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رحمة من الله أوجبت لينه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المتفرع عليه 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الطباطبائي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لان لكم رسولنا برحمة منا ولذلك أمرناه أن يعفو عنكم ويستغفر لكم ويشاوركم في الأمر وأن يتوكل علينا إذا عزم</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متفرع على كلام آخر يدل عليه السياق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حالهم ما تراه من التشبه بالذين كفروا والتحسر على قتلاهم فبرحمة منّا لنت لهم وإلاّ لانفضوا من حولك، والله أعلم</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وفي 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والباء 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أي لنت برحمة من الله، فالباء سببية وقال،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ما قبله</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ومن الواضح أن استشارته في كل الشؤون العامة متفرع على لينه المتفرع على رحمة الله تعالى، وليست الاستشارة في شؤون الحرب فقط متفرعة على اللين المتفرع على الرحمة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كُنْتَ فَظًّا غَلِيظَ الْقَلْبِ لاَنْفَضُّوا مِنْ </w:t>
      </w:r>
    </w:p>
    <w:p>
      <w:pPr>
        <w:pStyle w:val="BookText"/>
        <w:rPr/>
      </w:pPr>
      <w:r>
        <w:rPr>
          <w:rFonts w:ascii="Amiri" w:hAnsi="Amiri" w:eastAsia="Amiri" w:cs="Amiri"/>
          <w:color w:val="111111"/>
          <w:sz w:val="28"/>
          <w:sz w:val="28"/>
          <w:szCs w:val="28"/>
          <w:rtl w:val="true"/>
          <w:lang w:bidi="ar-SA"/>
        </w:rPr>
        <w:t>حَوْلِكَ</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الوارد في مقام بيان سبب كون لينه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الله، إذ لولا لينه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لانفضوا من حوله مما يؤدي إلى ضعف شوكة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وشوكة المؤمنين الخلّص وشوكة الدين، ومما يؤدي إلى هلاكهم لانفضاضهم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يقتضي استشارتهم في كل الأمور العامة التي من شأنهم استشارتهم فيها</w:t>
      </w:r>
      <w:r>
        <w:rPr>
          <w:rStyle w:val="FootnoteAnchor"/>
          <w:rtl w:val="true"/>
        </w:rPr>
        <w:footnoteReference w:id="694"/>
      </w:r>
      <w:r>
        <w:rPr>
          <w:rFonts w:ascii="Amiri" w:hAnsi="Amiri" w:eastAsia="Amiri" w:cs="Amiri"/>
          <w:color w:val="111111"/>
          <w:sz w:val="28"/>
          <w:sz w:val="28"/>
          <w:szCs w:val="28"/>
          <w:rtl w:val="true"/>
          <w:lang w:bidi="ar-SA"/>
        </w:rPr>
        <w:t xml:space="preserve">لا خصوص أمر الحرب، إذ كيف يكوناستشارتهم في أمر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الشؤون العامة؟</w:t>
      </w:r>
    </w:p>
    <w:p>
      <w:pPr>
        <w:pStyle w:val="BookText"/>
        <w:rPr/>
      </w:pPr>
      <w:r>
        <w:rPr>
          <w:rFonts w:ascii="Amiri" w:hAnsi="Amiri" w:eastAsia="Amiri" w:cs="Amiri"/>
          <w:color w:val="111111"/>
          <w:sz w:val="28"/>
          <w:sz w:val="28"/>
          <w:szCs w:val="28"/>
          <w:rtl w:val="true"/>
          <w:lang w:bidi="ar-SA"/>
        </w:rPr>
        <w:t xml:space="preserve">ويؤيد ما ذكرناه من أن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الاستشارة في كل الشؤون العامة لا في شؤون الحرب فقط، ما ذكره الخازن في تفسيره وغيره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سادات العرب كانوا إذا لم يشاوروا في الأمور شق ذلك عليهم</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إضافة إلى أن ما وقع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الذي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ليس مختصاً بأمر الحرب، إذ العفو عنهم والاستغفار لهم عام يشمل كل شيء، إلا ما ثبت من الخارج استثناؤه كموارد الحدود الشرعية وشبهها</w:t>
      </w:r>
      <w:r>
        <w:rPr>
          <w:rStyle w:val="FootnoteAnchor"/>
          <w:rtl w:val="true"/>
        </w:rPr>
        <w:footnoteReference w:id="697"/>
      </w:r>
      <w:r>
        <w:rPr>
          <w:rFonts w:ascii="Amiri" w:hAnsi="Amiri" w:eastAsia="Amiri" w:cs="Amiri"/>
          <w:color w:val="111111"/>
          <w:sz w:val="28"/>
          <w:sz w:val="28"/>
          <w:szCs w:val="28"/>
          <w:rtl w:val="true"/>
          <w:lang w:bidi="ar-SA"/>
        </w:rPr>
        <w:t xml:space="preserve">، رغم أن الآية وردت بأجمعها في ظرف الحرب لا خصوص 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فيكون ذلك قرينة عرفية على عدم اختصاص </w:t>
      </w:r>
      <w:bookmarkStart w:id="521" w:name="pg8204_101152"/>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عموم العفو والاستغفار، القاعدة المقررة في محلها،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المتعلق يفيد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حذف في الآية الكريمة متعلق العفو والاستغفار ولم يقل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في المسألة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نجد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العموم وجعل احتمال التخصيص معنوناً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بينك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لَهُمْ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بينهم وبيني،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فاعف عنهم فرارهم من أحُد واستغفر لهم منذلك الذنب</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 ولو استفاد خصوص العفو عن الفرار في أحُد لجعله هو التفسير للآية وجعل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8924310_1051229030"/>
      <w:bookmarkStart w:id="523" w:name="_Toc194"/>
      <w:bookmarkEnd w:id="522"/>
      <w:r>
        <w:rPr/>
        <w:t>4</w:t>
      </w:r>
      <w:r>
        <w:rPr>
          <w:rtl w:val="true"/>
        </w:rPr>
        <w:t xml:space="preserve">: </w:t>
      </w:r>
      <w:r>
        <w:rPr>
          <w:rtl w:val="true"/>
        </w:rPr>
        <w:t>تتميم الاستدلال بعدم القول بالفصل وتنقيح المناط</w:t>
      </w:r>
      <w:bookmarkEnd w:id="523"/>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فلا تدل الآية إلاّ على وجوب الاستشارة في الحرب، لكن يمكن تتميم المطلب وإثبات وجوب الاستشارة في كل الشؤون العامة بأمرين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ذلك أن من لم يوجب الاستشارة لم يوجبها مطلقاً، ومن أوجبها أوجبها مطلقاً</w:t>
      </w:r>
      <w:r>
        <w:rPr>
          <w:rStyle w:val="FootnoteAnchor"/>
          <w:rtl w:val="true"/>
        </w:rPr>
        <w:footnoteReference w:id="701"/>
      </w:r>
      <w:r>
        <w:rPr>
          <w:rFonts w:ascii="Amiri" w:hAnsi="Amiri" w:eastAsia="Amiri" w:cs="Amiri"/>
          <w:color w:val="111111"/>
          <w:sz w:val="28"/>
          <w:sz w:val="28"/>
          <w:szCs w:val="28"/>
          <w:rtl w:val="true"/>
          <w:lang w:bidi="ar-SA"/>
        </w:rPr>
        <w:t xml:space="preserve">، فلا قائل بالفصل بين وجوب الاستشارة في الحرب وبين غيرها من الشؤون العامة، وعدم القول بالفصل حجة ودليل على </w:t>
      </w:r>
    </w:p>
    <w:p>
      <w:pPr>
        <w:pStyle w:val="BookText"/>
        <w:rPr/>
      </w:pPr>
      <w:r>
        <w:rPr>
          <w:rFonts w:ascii="Amiri" w:hAnsi="Amiri" w:eastAsia="Amiri" w:cs="Amiri"/>
          <w:color w:val="111111"/>
          <w:sz w:val="28"/>
          <w:sz w:val="28"/>
          <w:szCs w:val="28"/>
          <w:rtl w:val="true"/>
          <w:lang w:bidi="ar-SA"/>
        </w:rPr>
        <w:t>مسلك العديد من الفقهاء، وسيأتي ذلك عند الجواب عن شبهة أخرى تورد على الآية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إذ أن المناط الموجود في الحرب المسبب لوجوب الشورى، موجود بعينه في سائر الشؤون العامة، خاصة مع ارتباطه بالدماء، لكنه لا يكون حجة إلاّ لو كان مناطاً قطعياً، وسيأتي بإذن الله الكلام عن ذلك</w:t>
      </w:r>
      <w:r>
        <w:rPr>
          <w:rFonts w:eastAsia="Amiri" w:cs="Amiri" w:ascii="Amiri" w:hAnsi="Amiri"/>
          <w:color w:val="111111"/>
          <w:sz w:val="28"/>
          <w:szCs w:val="28"/>
          <w:rtl w:val="true"/>
          <w:lang w:bidi="ar-SA"/>
        </w:rPr>
        <w:t xml:space="preserve">. </w:t>
      </w:r>
      <w:bookmarkStart w:id="524" w:name="pg8204_101154"/>
    </w:p>
    <w:p>
      <w:pPr>
        <w:pStyle w:val="Heading5"/>
        <w:numPr>
          <w:ilvl w:val="4"/>
          <w:numId w:val="1"/>
        </w:numPr>
        <w:rPr/>
      </w:pPr>
      <w:bookmarkStart w:id="525" w:name="__RefHeading___Toc8924312_1051229030"/>
      <w:bookmarkStart w:id="526" w:name="_Toc195"/>
      <w:bookmarkEnd w:id="524"/>
      <w:bookmarkEnd w:id="525"/>
      <w:r>
        <w:rPr>
          <w:rtl w:val="true"/>
        </w:rPr>
        <w:t>الإشكال السادس</w:t>
      </w:r>
      <w:r>
        <w:rPr>
          <w:rtl w:val="true"/>
        </w:rPr>
        <w:t>: (</w:t>
      </w:r>
      <w:r>
        <w:rPr>
          <w:rtl w:val="true"/>
        </w:rPr>
        <w:t>عزمت</w:t>
      </w:r>
      <w:r>
        <w:rPr>
          <w:rtl w:val="true"/>
        </w:rPr>
        <w:t xml:space="preserve">) </w:t>
      </w:r>
      <w:r>
        <w:rPr>
          <w:rtl w:val="true"/>
        </w:rPr>
        <w:t>أي على ما أدى إليه رأيك</w:t>
      </w:r>
      <w:bookmarkEnd w:id="526"/>
    </w:p>
    <w:p>
      <w:pPr>
        <w:pStyle w:val="Heading6"/>
        <w:numPr>
          <w:ilvl w:val="5"/>
          <w:numId w:val="1"/>
        </w:numPr>
        <w:rPr/>
      </w:pPr>
      <w:bookmarkStart w:id="527" w:name="__RefHeading___Toc8924314_1051229030"/>
      <w:bookmarkStart w:id="528" w:name="_Toc196"/>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وربما يعترض على الاستدلال بالآية الكريمة على وجوب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الآية الكريمة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 حيث لم يقل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العزم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رأي الشورى غير ملزم، وأن القرار النهائي ليس بيد الشورى بل في 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مطلق القائد بناءً على التعميم</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8924316_1051229030"/>
      <w:bookmarkStart w:id="530" w:name="_Toc197"/>
      <w:bookmarkEnd w:id="529"/>
      <w:r>
        <w:rPr>
          <w:rtl w:val="true"/>
        </w:rPr>
        <w:t>والجواب</w:t>
      </w:r>
      <w:r>
        <w:rPr>
          <w:rtl w:val="true"/>
        </w:rPr>
        <w:t>:</w:t>
      </w:r>
      <w:bookmarkEnd w:id="530"/>
    </w:p>
    <w:p>
      <w:pPr>
        <w:pStyle w:val="Heading6"/>
        <w:numPr>
          <w:ilvl w:val="5"/>
          <w:numId w:val="1"/>
        </w:numPr>
        <w:rPr/>
      </w:pPr>
      <w:bookmarkStart w:id="531" w:name="__RefHeading___Toc8924318_1051229030"/>
      <w:bookmarkStart w:id="532" w:name="_Toc198"/>
      <w:bookmarkEnd w:id="531"/>
      <w:r>
        <w:rPr/>
        <w:t>1</w:t>
      </w:r>
      <w:r>
        <w:rPr>
          <w:rtl w:val="true"/>
        </w:rPr>
        <w:t xml:space="preserve">: </w:t>
      </w:r>
      <w:r>
        <w:rPr>
          <w:rtl w:val="true"/>
        </w:rPr>
        <w:t>عموم الخطابات</w:t>
      </w:r>
      <w:bookmarkEnd w:id="53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مفصلاً بيان أن الخطابات القرآنية الموجهة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الثابت بالدليل الخاص اختصاصه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تشمله وغيره، فهي حكم عام بصيغة خطاب خاص، وشمولها لغيره إما من باب كون خطاب المفرد وإرادة الجمع مجازاً غالباً على الحقيقة في الاستعمالات القرآنية، إن لم نقل بالوضع التعييني</w:t>
      </w:r>
      <w:r>
        <w:rPr>
          <w:rStyle w:val="FootnoteAnchor"/>
          <w:rtl w:val="true"/>
        </w:rPr>
        <w:footnoteReference w:id="703"/>
      </w:r>
      <w:r>
        <w:rPr>
          <w:rFonts w:ascii="Amiri" w:hAnsi="Amiri" w:eastAsia="Amiri" w:cs="Amiri"/>
          <w:color w:val="111111"/>
          <w:sz w:val="28"/>
          <w:sz w:val="28"/>
          <w:szCs w:val="28"/>
          <w:rtl w:val="true"/>
          <w:lang w:bidi="ar-SA"/>
        </w:rPr>
        <w:t xml:space="preserve">أو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w:t>
      </w:r>
    </w:p>
    <w:p>
      <w:pPr>
        <w:pStyle w:val="BookText"/>
        <w:rPr/>
      </w:pPr>
      <w:r>
        <w:rPr>
          <w:rFonts w:ascii="Amiri" w:hAnsi="Amiri" w:eastAsia="Amiri" w:cs="Amiri"/>
          <w:color w:val="111111"/>
          <w:sz w:val="28"/>
          <w:sz w:val="28"/>
          <w:szCs w:val="28"/>
          <w:rtl w:val="true"/>
          <w:lang w:bidi="ar-SA"/>
        </w:rPr>
        <w:t>فِي رَسُولِ اللهِ أُسْوَةٌ حَسَنَةٌ</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أو من باب تنقيح المناط،فليتأمل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 ما قاله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الآية أيضاً ترغيب للمؤمنين في العفو عن المسيء، وحثّهم على الاستغفار لمن يذنب منهم، وعلى مشاورة بعضهم بعضاً فيما يعرض لهم من الأمور، ونهيههم عن الفظاظة في القول والجفاء في الفعل، ودعائهم إلى التوكل عليه وتفويض الأمر إليه</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 فمع أن الخطاب كله موجه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 استغفر، شاور،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أيضاً ترغيب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 إنما سيق ليكون إمضاءً لسيرته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كذلك كان يفعل، وقد شاورهم في أمر القتال قبيل يوم أحُد</w:t>
      </w:r>
      <w:r>
        <w:rPr>
          <w:rFonts w:eastAsia="Amiri" w:cs="Amiri" w:ascii="Amiri" w:hAnsi="Amiri"/>
          <w:color w:val="111111"/>
          <w:sz w:val="28"/>
          <w:szCs w:val="28"/>
          <w:rtl w:val="true"/>
          <w:lang w:bidi="ar-SA"/>
        </w:rPr>
        <w:t>).</w:t>
      </w:r>
      <w:r>
        <w:rPr>
          <w:rStyle w:val="FootnoteAnchor"/>
          <w:rtl w:val="true"/>
        </w:rPr>
        <w:footnoteReference w:id="70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الاستشارة وجبت علينا،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 إذن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هو معناه، 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 أترى التوكل على الله مختصاً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جميع المسلمين التوكل عليه تعالى؟</w:t>
      </w:r>
      <w:r>
        <w:rPr>
          <w:rStyle w:val="FootnoteAnchor"/>
          <w:rtl w:val="true"/>
        </w:rPr>
        <w:footnoteReference w:id="710"/>
      </w:r>
      <w:r>
        <w:rPr>
          <w:rFonts w:ascii="Amiri" w:hAnsi="Amiri" w:eastAsia="Amiri" w:cs="Amiri"/>
          <w:color w:val="111111"/>
          <w:sz w:val="28"/>
          <w:sz w:val="28"/>
          <w:szCs w:val="28"/>
          <w:rtl w:val="true"/>
          <w:lang w:bidi="ar-SA"/>
        </w:rPr>
        <w:t xml:space="preserve">فلو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عَزَمْتَ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لزم التفكيك في السياق الواحد، وهو خلاف الظاهر وخلاف بناء العقلاء في كيفية تلقي الكلام الواحد</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وقد سبق بيان سبب توجه العام بصيغة خطاب للمفرد، وههنا السبب إما لصرف أن الخطاب يحتاج لطرف، أو لأن توجيه الخطاب للقائد أولى وأنسب،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عمومية الحكم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الاستشارة في الأمر كان على قادة الجيوش أو الأمم ممن هو أدنى منه منزلة أن يستشيروا في الأمر بالأولوية، وسيأتي تفصيل ذلك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فمع توجه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المفرد مع عمومية الحكم لكل القادة فمن الطبيعي أن يكون الأنسب نسبة العزيمة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هناك عناية في توجيه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عمومية الحكم، فمقتضى نفس العناية أن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تخفى وجوه التأمل في هذا الجواب، فتدبر</w:t>
      </w:r>
      <w:r>
        <w:rPr>
          <w:rFonts w:eastAsia="Amiri" w:cs="Amiri" w:ascii="Amiri" w:hAnsi="Amiri"/>
          <w:color w:val="111111"/>
          <w:sz w:val="28"/>
          <w:szCs w:val="28"/>
          <w:rtl w:val="true"/>
          <w:lang w:bidi="ar-SA"/>
        </w:rPr>
        <w:t xml:space="preserve">. </w:t>
      </w:r>
      <w:bookmarkStart w:id="533" w:name="pg8204_101157"/>
    </w:p>
    <w:p>
      <w:pPr>
        <w:pStyle w:val="Heading6"/>
        <w:numPr>
          <w:ilvl w:val="5"/>
          <w:numId w:val="1"/>
        </w:numPr>
        <w:rPr/>
      </w:pPr>
      <w:bookmarkStart w:id="534" w:name="__RefHeading___Toc8924320_1051229030"/>
      <w:bookmarkStart w:id="535" w:name="_Toc199"/>
      <w:bookmarkEnd w:id="533"/>
      <w:bookmarkEnd w:id="534"/>
      <w:r>
        <w:rPr/>
        <w:t>2</w:t>
      </w:r>
      <w:r>
        <w:rPr>
          <w:rtl w:val="true"/>
        </w:rPr>
        <w:t xml:space="preserve">: </w:t>
      </w:r>
      <w:r>
        <w:rPr>
          <w:rtl w:val="true"/>
        </w:rPr>
        <w:t xml:space="preserve">متعلق </w:t>
      </w:r>
      <w:r>
        <w:rPr>
          <w:rtl w:val="true"/>
        </w:rPr>
        <w:t>(</w:t>
      </w:r>
      <w:r>
        <w:rPr>
          <w:rtl w:val="true"/>
        </w:rPr>
        <w:t>عزمت</w:t>
      </w:r>
      <w:r>
        <w:rPr>
          <w:rtl w:val="true"/>
        </w:rPr>
        <w:t xml:space="preserve">) </w:t>
      </w:r>
      <w:r>
        <w:rPr>
          <w:rtl w:val="true"/>
        </w:rPr>
        <w:t>محذوف وهو</w:t>
      </w:r>
      <w:r>
        <w:rPr>
          <w:rtl w:val="true"/>
        </w:rPr>
        <w:t>: (</w:t>
      </w:r>
      <w:r>
        <w:rPr>
          <w:rtl w:val="true"/>
        </w:rPr>
        <w:t>على العمل برأي الأكثرية</w:t>
      </w:r>
      <w:r>
        <w:rPr>
          <w:rtl w:val="true"/>
        </w:rPr>
        <w:t>)</w:t>
      </w:r>
      <w:bookmarkEnd w:id="535"/>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بلا تعميم لها يجعلها منزلة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ذلك أيضاً على عدم ملزمية رأي الشورى وعدم كون القرار النهائي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المتعلق حيث كان محذوفاً في الآية الشريفة، فالإشكال يتم لو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ووطنت نفسك في إمضاء أمرك على ما هو أصلح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البيضاوي في تفسيره</w:t>
      </w:r>
      <w:r>
        <w:rPr>
          <w:rStyle w:val="FootnoteAnchor"/>
          <w:rtl w:val="true"/>
        </w:rPr>
        <w:footnoteReference w:id="712"/>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على تنفيذ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على تنفيذ رأي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أخرى على تنفيذ ما أدت إليه الاستشارة</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فلا يتم الإشكال، بل يتقوى المدعى من وجوب الشورى ولزوم الأخذ برأيها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يدعى أن الظاهر هو المعنى الثاني، إذ هذا هو ما يفهمه العرف فتأمل، إضافة إلى قرينية فاء التفريع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بدعوى أن ظاهرها تفريع عزيمته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الاستشارة، ولو كان المراد هو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على تنفيذ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معنى 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ربط بين الجملتين، بل كان لمجرد الترتيب الزمني، </w:t>
      </w:r>
    </w:p>
    <w:p>
      <w:pPr>
        <w:pStyle w:val="BookText"/>
        <w:rPr/>
      </w:pPr>
      <w:r>
        <w:rPr>
          <w:rFonts w:ascii="Amiri" w:hAnsi="Amiri" w:eastAsia="Amiri" w:cs="Amiri"/>
          <w:color w:val="111111"/>
          <w:sz w:val="28"/>
          <w:sz w:val="28"/>
          <w:szCs w:val="28"/>
          <w:rtl w:val="true"/>
          <w:lang w:bidi="ar-SA"/>
        </w:rPr>
        <w:t>ولذا قال في 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عقدتقلبك على الفعل وإمضائه بعد المشاورة كما تؤذن به الفاء</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المعنى الثاني بأن يقال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تنفيذ رأيك المخالف للشورى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أقدم على تنفيذه متوكلاً على الله ولا تخف مخالفتهم،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قرينية له، إذ ينسجم مع المعنى الأول أيضاً بأن يكون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تنفيذ رأي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أقدم على تنفيذه متوكلاً على الله ولا تخف مخالفة من عارض رأي الأكثرية، بل قد يكون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تردد في تنفيذ رأي الأكثرية لأنها مخالفة لرأيك، وإن رأيتها على خطأ مما قد يوجب الضرر</w:t>
      </w:r>
      <w:r>
        <w:rPr>
          <w:rStyle w:val="FootnoteAnchor"/>
          <w:rtl w:val="true"/>
        </w:rPr>
        <w:footnoteReference w:id="716"/>
      </w:r>
      <w:r>
        <w:rPr>
          <w:rFonts w:ascii="Amiri" w:hAnsi="Amiri" w:eastAsia="Amiri" w:cs="Amiri"/>
          <w:color w:val="111111"/>
          <w:sz w:val="28"/>
          <w:sz w:val="28"/>
          <w:szCs w:val="28"/>
          <w:rtl w:val="true"/>
          <w:lang w:bidi="ar-SA"/>
        </w:rPr>
        <w:t xml:space="preserve">على حسب 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فأقدم متوكلاً على الله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 البعض الآية بنحو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العزم على الفعل وإن كان بعد الفكر وإحكام الرأي والمشاورة وأخذ الأهبة فذلك كله لا يكفي للنجاح إلا بمعونة الله وتوفيقه، لأن الموانع الخارجية له والعوائق دونه لا يحيط بها إلا الله تعالى، فلابد للمؤمن من الإتكال عليه والاعتماد على حوله وقوته</w:t>
      </w:r>
      <w:r>
        <w:rPr>
          <w:rFonts w:eastAsia="Amiri" w:cs="Amiri" w:ascii="Amiri" w:hAnsi="Amiri"/>
          <w:color w:val="111111"/>
          <w:sz w:val="28"/>
          <w:szCs w:val="28"/>
          <w:rtl w:val="true"/>
          <w:lang w:bidi="ar-SA"/>
        </w:rPr>
        <w:t>).</w:t>
      </w:r>
      <w:r>
        <w:rPr>
          <w:rStyle w:val="FootnoteAnchor"/>
          <w:rtl w:val="true"/>
        </w:rPr>
        <w:footnoteReference w:id="717"/>
      </w:r>
      <w:bookmarkStart w:id="536" w:name="pg8204_101159"/>
    </w:p>
    <w:p>
      <w:pPr>
        <w:pStyle w:val="Heading6"/>
        <w:numPr>
          <w:ilvl w:val="5"/>
          <w:numId w:val="1"/>
        </w:numPr>
        <w:rPr/>
      </w:pPr>
      <w:bookmarkStart w:id="537" w:name="__RefHeading___Toc8924322_1051229030"/>
      <w:bookmarkStart w:id="538" w:name="_Toc200"/>
      <w:bookmarkEnd w:id="536"/>
      <w:bookmarkEnd w:id="537"/>
      <w:r>
        <w:rPr/>
        <w:t>3</w:t>
      </w:r>
      <w:r>
        <w:rPr>
          <w:rtl w:val="true"/>
        </w:rPr>
        <w:t xml:space="preserve">: </w:t>
      </w:r>
      <w:r>
        <w:rPr>
          <w:rtl w:val="true"/>
        </w:rPr>
        <w:t>أو هو مردد، والأصل عدم إفادة المانع</w:t>
      </w:r>
      <w:bookmarkEnd w:id="538"/>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ظهور الآية في المعنى الثاني،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معناها يتردد حينئذٍ بين المعنى الأول والمعنى الثاني</w:t>
      </w:r>
      <w:r>
        <w:rPr>
          <w:rStyle w:val="FootnoteAnchor"/>
          <w:rtl w:val="true"/>
        </w:rPr>
        <w:footnoteReference w:id="718"/>
      </w:r>
      <w:r>
        <w:rPr>
          <w:rFonts w:ascii="Amiri" w:hAnsi="Amiri" w:eastAsia="Amiri" w:cs="Amiri"/>
          <w:color w:val="111111"/>
          <w:sz w:val="28"/>
          <w:sz w:val="28"/>
          <w:szCs w:val="28"/>
          <w:rtl w:val="true"/>
          <w:lang w:bidi="ar-SA"/>
        </w:rPr>
        <w:t>ومعنى ثالث ذكره الخازن في تفسيره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المشاورة</w:t>
      </w:r>
      <w:r>
        <w:rPr>
          <w:rStyle w:val="FootnoteAnchor"/>
          <w:rtl w:val="true"/>
        </w:rPr>
        <w:footnoteReference w:id="719"/>
      </w:r>
      <w:r>
        <w:rPr>
          <w:rFonts w:ascii="Amiri" w:hAnsi="Amiri" w:eastAsia="Amiri" w:cs="Amiri"/>
          <w:color w:val="111111"/>
          <w:sz w:val="28"/>
          <w:sz w:val="28"/>
          <w:szCs w:val="28"/>
          <w:rtl w:val="true"/>
          <w:lang w:bidi="ar-SA"/>
        </w:rPr>
        <w:t xml:space="preserve">، فإذا تردد بين هذه المعاني الثلاثة تردد بين ما يفيد عدم ملزمية رأي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لا يفيد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تردد الشيء بين إفادة معنى وعدمه كان الأصل عدم إفادته ذلك المعنى،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الدوران هنا ليس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الإفادة وعدمها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حتى يكون الأمر دائراً بين الوجود والعدم فيكون الأصل العدم، بل الإفادة واللا إفادة محكومتان بأصل سببي، حيث يدور الأمر بين كون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الشورى،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المشاورة</w:t>
      </w:r>
      <w:r>
        <w:rPr>
          <w:rStyle w:val="FootnoteAnchor"/>
          <w:rtl w:val="true"/>
        </w:rPr>
        <w:footnoteReference w:id="721"/>
      </w:r>
      <w:r>
        <w:rPr>
          <w:rFonts w:ascii="Amiri" w:hAnsi="Amiri" w:eastAsia="Amiri" w:cs="Amiri"/>
          <w:color w:val="111111"/>
          <w:sz w:val="28"/>
          <w:sz w:val="28"/>
          <w:szCs w:val="28"/>
          <w:rtl w:val="true"/>
          <w:lang w:bidi="ar-SA"/>
        </w:rPr>
        <w:t>، وهذه المعاني الثلاثة كلها وجودية فتتساقط الأصول فيها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إلى إحراز عدم الإفادة حتى نحتاج للأصل بل يكفينا </w:t>
      </w:r>
    </w:p>
    <w:p>
      <w:pPr>
        <w:pStyle w:val="BookText"/>
        <w:rPr/>
      </w:pPr>
      <w:r>
        <w:rPr>
          <w:rFonts w:ascii="Amiri" w:hAnsi="Amiri" w:eastAsia="Amiri" w:cs="Amiri"/>
          <w:color w:val="111111"/>
          <w:sz w:val="28"/>
          <w:sz w:val="28"/>
          <w:szCs w:val="28"/>
          <w:rtl w:val="true"/>
          <w:lang w:bidi="ar-SA"/>
        </w:rPr>
        <w:t>عدم إحراز الإفادة</w:t>
      </w:r>
      <w:r>
        <w:rPr>
          <w:rStyle w:val="FootnoteAnchor"/>
          <w:rtl w:val="true"/>
        </w:rPr>
        <w:footnoteReference w:id="7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ملزميةرأي الشورى المتوقفة على تمامية المعنى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بمجرد عدم ثبوت الإفادة لعدم ثبوت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لتردد الآية بين المعاني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الاستدلال موقوف على إحراز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 الاستدلال على حجية رأي الشورى ولزوم تنفيذ رأيها إذا تمّ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وحدها، سواء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دلت أم لا، كان 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 عن حجية الظاهر، إلا أن يتمسك بسراية إجمال المتصل، وسيأتي الكلام عن ذلك إن شاء الله تعالى عند التطرق للفرق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التدبر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يوضح دفع الإشكال، قال في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على الأمر يعزم عزماً ومعزماً وعُزماً وعَزيماً وعزيمةً وعزمةً واعتزمه واعتزم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فعله</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 إذن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فإذا أردت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دلالة بل أي إشعار في هذا المعنى على ما ذكره المستشكل من أن الشورى غير ملزمة وأن عزمت يعني على تنفيذ رأيك؟</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فإذا عقدت قلبك على الفعل وإمضائه</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539" w:name="pg8204_101161"/>
    </w:p>
    <w:p>
      <w:pPr>
        <w:pStyle w:val="BookText"/>
        <w:rPr/>
      </w:pPr>
      <w:bookmarkEnd w:id="539"/>
      <w:r>
        <w:rPr>
          <w:rFonts w:ascii="Amiri" w:hAnsi="Amiri" w:eastAsia="Amiri" w:cs="Amiri"/>
          <w:color w:val="111111"/>
          <w:sz w:val="28"/>
          <w:sz w:val="28"/>
          <w:szCs w:val="28"/>
          <w:rtl w:val="true"/>
          <w:lang w:bidi="ar-SA"/>
        </w:rPr>
        <w:t>وقال في 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إذا عقدت قلبك على الفعل وإمضائه بعد المشاورة، كما تؤذن به الفاء</w:t>
      </w:r>
      <w:r>
        <w:rPr>
          <w:rFonts w:eastAsia="Amiri" w:cs="Amiri" w:ascii="Amiri" w:hAnsi="Amiri"/>
          <w:color w:val="111111"/>
          <w:sz w:val="28"/>
          <w:szCs w:val="28"/>
          <w:rtl w:val="true"/>
          <w:lang w:bidi="ar-SA"/>
        </w:rPr>
        <w:t>).</w:t>
      </w:r>
      <w:r>
        <w:rPr>
          <w:rStyle w:val="FootnoteAnchor"/>
          <w:rtl w:val="true"/>
        </w:rPr>
        <w:footnoteReference w:id="726"/>
      </w:r>
    </w:p>
    <w:p>
      <w:pPr>
        <w:pStyle w:val="Heading6"/>
        <w:numPr>
          <w:ilvl w:val="5"/>
          <w:numId w:val="1"/>
        </w:numPr>
        <w:rPr/>
      </w:pPr>
      <w:bookmarkStart w:id="540" w:name="__RefHeading___Toc8924324_1051229030"/>
      <w:bookmarkStart w:id="541" w:name="_Toc201"/>
      <w:bookmarkEnd w:id="540"/>
      <w:r>
        <w:rPr/>
        <w:t>4</w:t>
      </w:r>
      <w:r>
        <w:rPr>
          <w:rtl w:val="true"/>
        </w:rPr>
        <w:t xml:space="preserve">: </w:t>
      </w:r>
      <w:r>
        <w:rPr>
          <w:rtl w:val="true"/>
        </w:rPr>
        <w:t xml:space="preserve">المخرج على فرض ظهور </w:t>
      </w:r>
      <w:r>
        <w:rPr>
          <w:rtl w:val="true"/>
        </w:rPr>
        <w:t>(</w:t>
      </w:r>
      <w:r>
        <w:rPr>
          <w:rtl w:val="true"/>
        </w:rPr>
        <w:t>عزمت</w:t>
      </w:r>
      <w:r>
        <w:rPr>
          <w:rtl w:val="true"/>
        </w:rPr>
        <w:t xml:space="preserve">) </w:t>
      </w:r>
      <w:r>
        <w:rPr>
          <w:rtl w:val="true"/>
        </w:rPr>
        <w:t>في العزم على تنفيذ رأيه</w:t>
      </w:r>
      <w:bookmarkEnd w:id="541"/>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ظهور الآية في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تنفيذ رأيك</w:t>
      </w:r>
      <w:r>
        <w:rPr>
          <w:rStyle w:val="FootnoteAnchor"/>
          <w:rtl w:val="true"/>
        </w:rPr>
        <w:footnoteReference w:id="727"/>
      </w:r>
      <w:r>
        <w:rPr>
          <w:rFonts w:ascii="Amiri" w:hAnsi="Amiri" w:eastAsia="Amiri" w:cs="Amiri"/>
          <w:color w:val="111111"/>
          <w:sz w:val="28"/>
          <w:sz w:val="28"/>
          <w:szCs w:val="28"/>
          <w:rtl w:val="true"/>
          <w:lang w:bidi="ar-SA"/>
        </w:rPr>
        <w:t>، لكن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يخلو من أن نقول بأن الشورى غير الاستشارة لغةً، أو نقول باتحاد المعنى لغةً وأن الفرق بينهما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الشورى ما كان القرار فيه للأكثرية، أو ما التزم فيه بقرار الأكثرية، والاستشارة مجرد استعلام المستشار دون ملزمية ما أشار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اصطلاحي، فإن قلنا بالأول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الاستشارة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دلت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على وجوب الاستشارة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الالتزام بمقتضاها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لنا فإذا دلت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وجوبها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عمومية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علينا العمل بمقتضاها والالتزام برأي الأكثرية لها، لعدم القول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وجوب الاستشارة ووجوب الالتزام بمؤداها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تفصيل ذلك بإذن الله تعالى،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لنا أيضاً كما شملتنا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للدليل الخارجي وهو عدم القول بالفصل، فتأمل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الاستشارة لها نفس معنى الشورى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القرار فيه للأكثرية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نفس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نصاً أو أظهر، قرينة </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softHyphen/>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المعنى الثاني السابق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تنفيذ رأي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فيتقوى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أولى من العكس فتأمل،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يدور الأمر حينئذٍ بين التخصيص والمجاز، والأول مقدم حسب ما التزم به معظمالأصوليين، وذلك لأنه يدور الأمر بين 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المعنى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الشورى أي استعلام الآراء مع الالتزام برأي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إبقائه على ظاهره وإبقاء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في كونه خطاباً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الكل الشورى بكلا شقيها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الشق الثاني، فإن له العزم على خلاف مقتضاها دوننا، إذ لا يشملنا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وقد سبق أن تخصيص المورد لا بأس به، فتأمل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فليس نافياً إلا لوجوب الاتباع دون وجوب الاستشارة، إلا بناءً على الاتحاد فيقع التهافت بين الفقرتين، وهو من مبعداته كما لا يخفى</w:t>
      </w:r>
      <w:r>
        <w:rPr>
          <w:rFonts w:eastAsia="Amiri" w:cs="Amiri" w:ascii="Amiri" w:hAnsi="Amiri"/>
          <w:color w:val="111111"/>
          <w:sz w:val="28"/>
          <w:szCs w:val="28"/>
          <w:rtl w:val="true"/>
          <w:lang w:bidi="ar-SA"/>
        </w:rPr>
        <w:t xml:space="preserve">. </w:t>
      </w:r>
      <w:bookmarkStart w:id="542" w:name="pg8204_101163"/>
    </w:p>
    <w:p>
      <w:pPr>
        <w:pStyle w:val="Heading5"/>
        <w:numPr>
          <w:ilvl w:val="4"/>
          <w:numId w:val="1"/>
        </w:numPr>
        <w:rPr/>
      </w:pPr>
      <w:bookmarkStart w:id="543" w:name="__RefHeading___Toc8924326_1051229030"/>
      <w:bookmarkStart w:id="544" w:name="_Toc202"/>
      <w:bookmarkEnd w:id="542"/>
      <w:bookmarkEnd w:id="543"/>
      <w:r>
        <w:rPr>
          <w:rtl w:val="true"/>
        </w:rPr>
        <w:t xml:space="preserve">الملحق </w:t>
      </w:r>
      <w:r>
        <w:rPr>
          <w:rtl w:val="true"/>
        </w:rPr>
        <w:t>(</w:t>
      </w:r>
      <w:r>
        <w:rPr/>
        <w:t>4</w:t>
      </w:r>
      <w:r>
        <w:rPr>
          <w:rtl w:val="true"/>
        </w:rPr>
        <w:t>)</w:t>
      </w:r>
      <w:bookmarkEnd w:id="544"/>
    </w:p>
    <w:p>
      <w:pPr>
        <w:pStyle w:val="BookText"/>
        <w:rPr/>
      </w:pPr>
      <w:r>
        <w:rPr>
          <w:rFonts w:ascii="Amiri" w:hAnsi="Amiri" w:eastAsia="Amiri" w:cs="Amiri"/>
          <w:color w:val="111111"/>
          <w:sz w:val="28"/>
          <w:sz w:val="28"/>
          <w:szCs w:val="28"/>
          <w:rtl w:val="true"/>
          <w:lang w:bidi="ar-SA"/>
        </w:rPr>
        <w:t>موارد التزم فيها الفقهاء بتخصيص المورد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Style w:val="FootnoteAnchor"/>
          <w:rtl w:val="true"/>
        </w:rPr>
        <w:footnoteReference w:id="729"/>
      </w:r>
      <w:r>
        <w:rPr>
          <w:rFonts w:ascii="Amiri" w:hAnsi="Amiri" w:eastAsia="Amiri" w:cs="Amiri"/>
          <w:color w:val="111111"/>
          <w:sz w:val="28"/>
          <w:sz w:val="28"/>
          <w:szCs w:val="28"/>
          <w:rtl w:val="true"/>
          <w:lang w:bidi="ar-SA"/>
        </w:rPr>
        <w:t>عند الاستدلال بصحيحة زرارة الثالثة على حجية الاستصحاب</w:t>
      </w:r>
      <w:r>
        <w:rPr>
          <w:rStyle w:val="FootnoteAnchor"/>
          <w:rtl w:val="true"/>
        </w:rPr>
        <w:footnoteReference w:id="730"/>
      </w:r>
      <w:r>
        <w:rPr>
          <w:rFonts w:ascii="Amiri" w:hAnsi="Amiri" w:eastAsia="Amiri" w:cs="Amiri"/>
          <w:color w:val="111111"/>
          <w:sz w:val="28"/>
          <w:sz w:val="28"/>
          <w:szCs w:val="28"/>
          <w:rtl w:val="true"/>
          <w:lang w:bidi="ar-SA"/>
        </w:rPr>
        <w:t xml:space="preserve">، حيث دار الأمر بين توجيه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البناء على الأكثر وإتيان ركعة واحدة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بنى على الأقل، أو على الأكثر دون ركعة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على الاستصحاب، وبين جعلها دالة على الاستصحاب فيكون المعنى في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تنقض اليقين بعدم الرابعة بالشك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التزم بالثاني، وأجاب عن إشكال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للمذهب في المورد، حيث إن مقتضى المذهب عند الشك بين 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الأكثر وإتيان ركعة مفصولة،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للاستصحاب، إذ مقتضاه عدم إتيان الرابعة والإتيان بركعة موصولة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نلتزم بدلالتها على الاستصحاب وحرمة نقض اليقين بالشك ونخرج المورد</w:t>
      </w:r>
      <w:r>
        <w:rPr>
          <w:rStyle w:val="FootnoteAnchor"/>
          <w:rtl w:val="true"/>
        </w:rPr>
        <w:footnoteReference w:id="731"/>
      </w:r>
      <w:r>
        <w:rPr>
          <w:rFonts w:ascii="Amiri" w:hAnsi="Amiri" w:eastAsia="Amiri" w:cs="Amiri"/>
          <w:color w:val="111111"/>
          <w:sz w:val="28"/>
          <w:sz w:val="28"/>
          <w:szCs w:val="28"/>
          <w:rtl w:val="true"/>
          <w:lang w:bidi="ar-SA"/>
        </w:rPr>
        <w:t xml:space="preserve">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قام الدليل الخارجي على وجوب إتيانها مفصولة، فتقيد به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نص عبارته</w:t>
      </w:r>
      <w:r>
        <w:rPr>
          <w:rStyle w:val="FootnoteAnchor"/>
          <w:rtl w:val="true"/>
        </w:rPr>
        <w:footnoteReference w:id="7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إشكال مخالفة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للمذهب في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الاحتياط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بإتمام الصلاة وإتيان ركعة مفصولة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يأبى عن إرادة اليقين بعدم الركعة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أصل الإتيان بها باقتضائه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باقتضاء اليقين بالعدم أي 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إتيانها مفصولة ينافي إطلاق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موصولة، إذ الإتيان بها مفصولة نقض لليقين بعدم الرابعة بالشك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قام الدليل على التقييد في الشك في الرابعة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نقيد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هذا المورد للدليل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المشكوكة لابد أن يؤتى بها مفصولة، فافهم</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فقد التزم بدلالة الرواية على الاستصحاب مع لزوم تخصيص المورد</w:t>
      </w:r>
      <w:r>
        <w:rPr>
          <w:rStyle w:val="FootnoteAnchor"/>
          <w:rtl w:val="true"/>
        </w:rPr>
        <w:footnoteReference w:id="734"/>
      </w:r>
      <w:r>
        <w:rPr>
          <w:rFonts w:ascii="Amiri" w:hAnsi="Amiri" w:eastAsia="Amiri" w:cs="Amiri"/>
          <w:color w:val="111111"/>
          <w:sz w:val="28"/>
          <w:sz w:val="28"/>
          <w:szCs w:val="28"/>
          <w:rtl w:val="true"/>
          <w:lang w:bidi="ar-SA"/>
        </w:rPr>
        <w:t xml:space="preserve">بالدليل الخارجي، حيث لا يعمل في موارد الشك في الصلاة بالاستصحاب، بل يعمل بعكسه، وستتضح هذه النكتة أكثر عند التطرق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قليل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لاستدلال المشهور على نفوذ حكم الحاكم بالهلال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إلتزام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المورد عند الاستدلال على الاستصحاب بصحيحة زرارة الثالثة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يدر في ثلاث هو أو في أربع قام فأضاف إليها أخرى ولا شيء عليه ولا ينقض اليقين بالشك ولا يدخل الشك في اليقين ولا يخلط أحدهما بالآخر ولكنه ينقض الشك باليقين ويتم على اليقين فيبنى عليه ولا يعتد بالشك في حال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التزم </w:t>
      </w:r>
    </w:p>
    <w:p>
      <w:pPr>
        <w:pStyle w:val="BookText"/>
        <w:rPr/>
      </w:pPr>
      <w:r>
        <w:rPr>
          <w:rFonts w:ascii="Amiri" w:hAnsi="Amiri" w:eastAsia="Amiri" w:cs="Amiri"/>
          <w:color w:val="111111"/>
          <w:sz w:val="28"/>
          <w:sz w:val="28"/>
          <w:szCs w:val="28"/>
          <w:rtl w:val="true"/>
          <w:lang w:bidi="ar-SA"/>
        </w:rPr>
        <w:t xml:space="preserve">بصحة أن يقال بإعمال أصالة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صدور الخبر لبيان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على حجية الاستصحاب وبالتزام التقية في تطبيق الكبرى على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يدر في ثلاث هو أو في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ممحض في تطبيق القاعدة التي استشهد بها لحكم المورد لا في أصل كبرى حرمة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فلا قصور في الأخذ بما تقتضيه الصحيحةمن الظهور في الاستصحاب الموجب للزوم البناء على الأقل، غاية الأمر من جهة مخالفته للمذهب يصار إلى التقية في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المورد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7"/>
      </w:r>
      <w:r>
        <w:rPr>
          <w:rFonts w:ascii="Amiri" w:hAnsi="Amiri" w:eastAsia="Amiri" w:cs="Amiri"/>
          <w:color w:val="111111"/>
          <w:sz w:val="28"/>
          <w:sz w:val="28"/>
          <w:szCs w:val="28"/>
          <w:rtl w:val="true"/>
          <w:lang w:bidi="ar-SA"/>
        </w:rPr>
        <w:t xml:space="preserve">، فلم يكن عنده مانع من الالتزام بكون المورد خارجاً عن حكم الكبرى ومحمولها، اللازم من القول بصدور الكبرى لبيان قاعدة الاستصحاب، مع أن الأمر كان دائراً بين حمل الكبرى على التقية فلا تدل على حجية الاستصحاب بلا محذور، وبين إعمال أصالة الجهة فيها لتدل على حجيته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 الكبرى على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مع لزوم تخصيص المورد</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تراجع عن هذا الوجه أخيراً والتزم بوجه آخر قال في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حمل الرواية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لمحذور آخر وهو اختلال ركن الاستصحاب أعني الشك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المشهور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الحاكم بالهلال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المورد</w:t>
      </w:r>
      <w:r>
        <w:rPr>
          <w:rStyle w:val="FootnoteAnchor"/>
          <w:rtl w:val="true"/>
        </w:rPr>
        <w:footnoteReference w:id="739"/>
      </w:r>
      <w:r>
        <w:rPr>
          <w:rFonts w:ascii="Amiri" w:hAnsi="Amiri" w:eastAsia="Amiri" w:cs="Amiri"/>
          <w:color w:val="111111"/>
          <w:sz w:val="28"/>
          <w:sz w:val="28"/>
          <w:szCs w:val="28"/>
          <w:rtl w:val="true"/>
          <w:lang w:bidi="ar-SA"/>
        </w:rPr>
        <w:t xml:space="preserve">، حيث استدلوا بقول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سأله الخليفة </w:t>
      </w:r>
    </w:p>
    <w:p>
      <w:pPr>
        <w:pStyle w:val="BookText"/>
        <w:rPr/>
      </w:pPr>
      <w:r>
        <w:rPr>
          <w:rFonts w:ascii="Amiri" w:hAnsi="Amiri" w:eastAsia="Amiri" w:cs="Amiri"/>
          <w:color w:val="111111"/>
          <w:sz w:val="28"/>
          <w:sz w:val="28"/>
          <w:szCs w:val="28"/>
          <w:rtl w:val="true"/>
          <w:lang w:bidi="ar-SA"/>
        </w:rPr>
        <w:t xml:space="preserve">العباسي المنصور عن عيد الفطر حيث قد شهد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برؤية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إن صام صمنا معه، وإن أفطر أفطرنا معه</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 استدلوا به على اعتبار حكم الحاكم في الهلال حيث التزموا بكون الكبرى صادرة لبيان الحكم الواقعي وكون المورد خارجاً منها 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التزموا بالتقية في تطبيق الكبرى على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المورد كان مورد حكم المنصور بأنه عيد حتى اضطر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للإفطار ذلك اليوم مع علمه بأنه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للمشهور مناص من الالتزام بتخصيص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الكبرى قطعية من حيث جهة الصدور لصح ذلك، ومن الواضح عدم قطعيتها وإمكان حملها على التقية، بل لقد كان الأمر دائراً بين حمل الكبرى على التقية بلا محذور، وبين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مع استلزامه لتخصيص المورد، فترجيحهم للثاني على الأول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بتلك المثابة من القبح والاستهجان في كل مورد، بل ليس مستهجناً على الإطلاق في الارتكاز العرفي في بعض الموارد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وحالاً من أن بناء العقلاء ومرتكز العرف ليس على قبح تخصيص المورد مطلقاً، وأنهم يلتزمون بأصالة الظهور وإن لزم منه خروج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لو لم يكن لها محمل إلا التقية حملوها عليها، أما لو كان لها محمل آخر بأن احتملوا فيها الإشارة إلى أمر واقعي لم يحملوها على التقية، بل حملوها على بيانه، وجعلوا التقية في التطبيق، فمثلاً في قول الأحنف بن قيس عندما أمره معاوية أن يلعن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وأجبره على ذلك فصعد المنبر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معاوية أن ألعن علياً ألا فالعنوه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العقلاء الملتفتين إلى معتقد الأحنف يرجعون الضمير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ويحملوه على التقية، أم أنهم يرجعونه إلى معاوية ويحملون تطبيقه على المورد على التقية؟ ولذا تراهم يعدون هذه الكلمة من ذلك الصحابي دليلاً على ذكائه، ولذا التفت معاوية إلى النكتة، ولو كانت التقية في الكبرى فأية دلالة في ذاك على الذكاء؟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احتمل العقلاء غير التقية في الكبرى، كما هو كذلك إذ يحتمل صدوره لبيان الحكم الواقعي وتكون التقية في التطبيق، ألا تراهم يعدون ذلك من الذكاء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واقعياً ولكن بلسان 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العادل مع أن العبارة قابلة للانطباق على الإمام الجائر وهو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فلِمَ لَمْ يقل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كانتالتقية في أصل الكبرى لم يكن فرق بين العبارتين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مع أن العقلاء يجدون الفرق بيّناً، حيث يجدون الأولى من الذكاء والثانية من القصور، وما ذاك الاّ لأن للعبارة الأولى منفذاً للحكيم إلى بيان أمر معتقد به دون الثانية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الكبرى ههنا لو حملت على التقية لزمت اللغوية فيما دل على وجوب تصديق العادل، إذ وجوب التصديق إنما هو للتعبد بالأثر</w:t>
      </w:r>
      <w:r>
        <w:rPr>
          <w:rStyle w:val="FootnoteAnchor"/>
          <w:rtl w:val="true"/>
        </w:rPr>
        <w:footnoteReference w:id="741"/>
      </w:r>
      <w:r>
        <w:rPr>
          <w:rFonts w:ascii="IRNazanin" w:hAnsi="IRNazanin" w:eastAsia="IRNazanin"/>
          <w:color w:val="111111"/>
          <w:sz w:val="28"/>
          <w:sz w:val="28"/>
          <w:szCs w:val="28"/>
          <w:rtl w:val="true"/>
          <w:lang w:bidi="fa-IR"/>
        </w:rPr>
        <w:t xml:space="preserve">، ومع </w:t>
      </w:r>
    </w:p>
    <w:p>
      <w:pPr>
        <w:pStyle w:val="BookText"/>
        <w:rPr/>
      </w:pPr>
      <w:r>
        <w:rPr>
          <w:rFonts w:ascii="Amiri" w:hAnsi="Amiri" w:eastAsia="Amiri" w:cs="Amiri"/>
          <w:color w:val="111111"/>
          <w:sz w:val="28"/>
          <w:sz w:val="28"/>
          <w:szCs w:val="28"/>
          <w:rtl w:val="true"/>
          <w:lang w:bidi="ar-SA"/>
        </w:rPr>
        <w:t>حملها على التقية لا أثر له، إذ لا حكم، لذا اضطر المشهور لحملها على بيان الحكم الواقعي المستلزم لتخصيص المورد، وهذا لا يجري في الآية، إذ حملها على الاستحباب لا يلزم منه محذور اللغوية أو شبهه حتى نضطر لحملها على الوجوب المستلزم لتخصيص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المبنى وأن وجوب التصديق إنما هو للتعبد بالأثر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عرفاً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الجمل الإنشائية المتعلق بفعل المكلف بالفعل</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مدلولها غير المتعلق بفعله فعلاً، كالأوامر المشروطة بشرط لم يتحقق للمكلف،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فيما لم يتحقق موضوع التكليف في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واجبة النفقة لمن لم يتزوج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فيما تحقق المقتضي مع شروطه إلا أنه لم يفقد المانع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مدلول الجمل الخبرية غير المتعلق بفعل المكلف، سواء كان له أثر قلبي أم لا، كمطلق الأخبار التاريخية، مثل أنرباعية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في أحُد، وأن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كعمرو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جيش معاوية،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كعمار وأويس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أفهل ترى أن وجوب تصديق خبر العادل منحصر في القسم الأول، فلو أخبر عادل كزرارة بالقسم الثاني لم يجب على فاقد الشرط والموضوع وواجد المانع تصديق وجود هكذا إنشاء وهكذا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إن استطعت، وتجب النفقة على الزوجة، ويحرم شرب الخمر لمن وجده ومنعه مانع عن شربه، ويحرم النكاح بمن ارتضعت معه عشر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 لأن وجوب تصديق العادل إنما هو للتعبد بالأثر والأثر مختص بالقسم الأول؟، </w:t>
      </w:r>
    </w:p>
    <w:p>
      <w:pPr>
        <w:pStyle w:val="BookText"/>
        <w:rPr/>
      </w:pPr>
      <w:r>
        <w:rPr>
          <w:rFonts w:ascii="Amiri" w:hAnsi="Amiri" w:eastAsia="Amiri" w:cs="Amiri"/>
          <w:color w:val="111111"/>
          <w:sz w:val="28"/>
          <w:sz w:val="28"/>
          <w:szCs w:val="28"/>
          <w:rtl w:val="true"/>
          <w:lang w:bidi="ar-SA"/>
        </w:rPr>
        <w:t xml:space="preserve">ولو أخبر عادل بالقسم الثالث أهل ترى أنه لا يجب عقد القلب عليه والاعتقاد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كالاعتقاد بانحراف عمرو بن العاص وباستقامة عمار، وبغض الأول قلباً وحب الثاني كذلك؟</w:t>
      </w:r>
      <w:r>
        <w:rPr>
          <w:rStyle w:val="FootnoteAnchor"/>
          <w:rtl w:val="true"/>
        </w:rPr>
        <w:footnoteReference w:id="744"/>
      </w:r>
      <w:r>
        <w:rPr>
          <w:rFonts w:ascii="Amiri" w:hAnsi="Amiri" w:eastAsia="Amiri" w:cs="Amiri"/>
          <w:color w:val="111111"/>
          <w:sz w:val="28"/>
          <w:sz w:val="28"/>
          <w:szCs w:val="28"/>
          <w:rtl w:val="true"/>
          <w:lang w:bidi="ar-SA"/>
        </w:rPr>
        <w:t xml:space="preserve">، وكذلك هل يلتزم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 نص صحيح السند فرضاً بكسر رباعيته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 رأسه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الاعتماد على هذا الخبر، لأن أدلة حجية الخبر لا تشمل ما لا يتعلق بفعل المكلف؟</w:t>
      </w:r>
    </w:p>
    <w:p>
      <w:pPr>
        <w:pStyle w:val="BookText"/>
        <w:rPr/>
      </w:pPr>
      <w:r>
        <w:rPr>
          <w:rFonts w:ascii="Amiri" w:hAnsi="Amiri" w:eastAsia="Amiri" w:cs="Amiri"/>
          <w:color w:val="111111"/>
          <w:sz w:val="28"/>
          <w:sz w:val="28"/>
          <w:szCs w:val="28"/>
          <w:rtl w:val="true"/>
          <w:lang w:bidi="ar-SA"/>
        </w:rPr>
        <w:t xml:space="preserve">من ذلك يعرف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الأثر العملي والقلبي وصرف التصديق، فلو حملنا الكبرى على التقية،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الإمام</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 دخلت في القسم الأخير، فلم تلزم اللغوية، إذ نتعبد بصدور الخبر كتعبدنا بكل ما تضمن خبراً لا إنشاءً، ونلتزم به ككل مطلب تاريخي يتعلق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 عن اختصاص الأثر بغير القسم الثالث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والمنصور،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حتى لو حملت كبراه على التقية فإنه مما له أثر متعلقبفعل المكلف، إذ لو ثبتت تقيته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الخبر وأشباهه الذي تشمله أدلة حجية الخبر لو كان ذا أثر، ثبت جواز الإفطار في رمضان عند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الإفطار عند التقية مما لا ريب فيه مع قطع النظر عن هذا الخبر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إذ كون أثر الخبر مما لا ريب فيه لا يسبب عدم حجيته وعدم شمول أدلة التعبد بخبر الواحد له، أرأيت أن خبر الواحد القائم على </w:t>
      </w:r>
    </w:p>
    <w:p>
      <w:pPr>
        <w:pStyle w:val="BookText"/>
        <w:rPr/>
      </w:pPr>
      <w:r>
        <w:rPr>
          <w:rFonts w:ascii="Amiri" w:hAnsi="Amiri" w:eastAsia="Amiri" w:cs="Amiri"/>
          <w:color w:val="111111"/>
          <w:sz w:val="28"/>
          <w:sz w:val="28"/>
          <w:szCs w:val="28"/>
          <w:rtl w:val="true"/>
          <w:lang w:bidi="ar-SA"/>
        </w:rPr>
        <w:t>وجوب الصلاة، ليس بحجة لأن وجوبها قطعي، وأن خبر الواحد القائم على وجوب الشهادة والقائم على حجيتها ليس بحجة لأن القرآن صرح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وأن خبر الواحد في موارد بناء العقلاء المسلم ليس بحجة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نقل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إن صام صمنا معه وأن أفطر أفطرنا معه</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إلى الآخرين، ناسباً ذلك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حجية خبر الواحد لما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عبارة الشارع حتى يضرنا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القسم الثالث، والروايات والآيات الدالة على حجية خبر العادل شاملة لكل خبر، وكذا بناء العقلاء ليس مخصوصاً بالقسم الأول، نعم في القسم الأول بناؤهم على التصديق به والعمل على طبقه، وفي القسم الثاني والثالث على التصديق دون العمل به، في الثاني من باب عدم تحقق الشرط أوالموضوع، وفي الثالث لأنه لا ربط له بالعمل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اتضح عدم تمامية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إلغاء لأحدهما في الحقيقة ولذا لو تعين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الحمل على التقية ليس إلغاءً، لأن لها أثراً عملياً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الإفطار وجواز النقل مسنداً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سلمنا لكن الأثر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بوقوع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لوجود بناء العقلاء في هذه </w:t>
      </w:r>
    </w:p>
    <w:p>
      <w:pPr>
        <w:pStyle w:val="BookText"/>
        <w:rPr/>
      </w:pPr>
      <w:r>
        <w:rPr>
          <w:rFonts w:ascii="Amiri" w:hAnsi="Amiri" w:eastAsia="Amiri" w:cs="Amiri"/>
          <w:color w:val="111111"/>
          <w:sz w:val="28"/>
          <w:sz w:val="28"/>
          <w:szCs w:val="28"/>
          <w:rtl w:val="true"/>
          <w:lang w:bidi="ar-SA"/>
        </w:rPr>
        <w:t>الصورة أيضاً، ولعدم مخصص لعمومات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إضافة إلى عدم لزوم اللغوية فيما دلّ على وجوب تصديق العادل، إذ غاية الأمر الإلتزام بعدم شمول تلك الأدلة له، لاستلزام الشمول اللغوية ولا يلزم منه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لم يرتض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كثير بتخصيص المورد حيث استدلوا باستشهاد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بطلان الحلف بالطلاق والعتاق والصدقة بما يملك بحديث الرفع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هذا المورد عين الكلام في المورد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المشهور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بعض الأصوليين على حجية خبر الواحد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حيث مدح الله عز وجل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بتصديقه للمؤمنين، بل قرنه بالتصديق بالله جل ذكره، فإذا كان التصديق حسناً يكون واجباً</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ارتباط استدلالهم بالآية بما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دعوى التزام الفقهاء تخصيص المورد في موارد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استدلوا بها على حجية خبر الواحد وتصديقه فيما يقوله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إخباره من حيث إنه لفظ دال على معنى يحتمل مطابقته للواقع وعدمها على كونهمطابقاً للواقع</w:t>
      </w:r>
      <w:r>
        <w:rPr>
          <w:rStyle w:val="FootnoteAnchor"/>
          <w:rtl w:val="true"/>
        </w:rPr>
        <w:footnoteReference w:id="753"/>
      </w:r>
      <w:r>
        <w:rPr>
          <w:rFonts w:ascii="Amiri" w:hAnsi="Amiri" w:eastAsia="Amiri" w:cs="Amiri"/>
          <w:color w:val="111111"/>
          <w:sz w:val="28"/>
          <w:sz w:val="28"/>
          <w:szCs w:val="28"/>
          <w:rtl w:val="true"/>
          <w:lang w:bidi="ar-SA"/>
        </w:rPr>
        <w:t>مع ترتيب آثار الواقع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المورد خارج من هذا المعنى قطعاً، إذ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المنافق الذي كان ينم عليه عندما أخبره بعدم نميمته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قسيم لهذا المعنى تماماً، إذ إن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إخبار ذلك المنافق على كونه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مستحيل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يستلزم تكذيب الله تعالى في إخباره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بنمامية ذلك المنافق عليه، وأما ترتيب آثار الواقع عليه فهو غير واقع ومستلزم لتال فاسد سيأتي ذكره، وذلك المعنى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القبول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توضيح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شَهِدَ عِنْدَكَ خَمْسُونَ 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لَكَ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 وَكَذِّبْهُمْ</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أظهر القبول</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 الثاني</w:t>
      </w:r>
      <w:r>
        <w:rPr>
          <w:rStyle w:val="FootnoteAnchor"/>
          <w:rtl w:val="true"/>
        </w:rPr>
        <w:footnoteReference w:id="756"/>
      </w:r>
      <w:r>
        <w:rPr>
          <w:rFonts w:ascii="Amiri" w:hAnsi="Amiri" w:eastAsia="Amiri" w:cs="Amiri"/>
          <w:color w:val="111111"/>
          <w:sz w:val="28"/>
          <w:sz w:val="28"/>
          <w:szCs w:val="28"/>
          <w:rtl w:val="true"/>
          <w:lang w:bidi="ar-SA"/>
        </w:rPr>
        <w:t xml:space="preserve">من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ترتب أثر مطابقة قولهم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 دخل في باب البينة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الترجيح بلا مرجح، بل ترجيح المرجوح لو كان كلاهما بالمعنى الأول أو بالمعنى الثاني ففي كلا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 والمتهم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إظهار القبول ولا يصح الحمل على كونه مطابقاً للواقع بترتب الأثر إلا لو حصل له العلم من أحدهما أو دخل في عنوان آخر كما هو واضح،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تصديقه بمعنى عقد القلب على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معارضته بالخمسين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لو حصل الاطمئنان بقوله، كما لا يصح تصديقه بمعنى ترتيب الآثار من جهة ويصح من جهة أخرى،فباعتبار أثر لزوم تعزيرهم مثلاً لا </w:t>
      </w:r>
    </w:p>
    <w:p>
      <w:pPr>
        <w:pStyle w:val="BookText"/>
        <w:rPr/>
      </w:pPr>
      <w:r>
        <w:rPr>
          <w:rFonts w:ascii="Amiri" w:hAnsi="Amiri" w:eastAsia="Amiri" w:cs="Amiri"/>
          <w:color w:val="111111"/>
          <w:sz w:val="28"/>
          <w:sz w:val="28"/>
          <w:szCs w:val="28"/>
          <w:rtl w:val="true"/>
          <w:lang w:bidi="ar-SA"/>
        </w:rPr>
        <w:t xml:space="preserve">يصح تصديقه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 لكونهم قد اتهموه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وباعتبار</w:t>
      </w:r>
      <w:r>
        <w:rPr>
          <w:rStyle w:val="FootnoteAnchor"/>
          <w:rtl w:val="true"/>
        </w:rPr>
        <w:footnoteReference w:id="757"/>
      </w:r>
      <w:r>
        <w:rPr>
          <w:rFonts w:ascii="Amiri" w:hAnsi="Amiri" w:eastAsia="Amiri" w:cs="Amiri"/>
          <w:color w:val="111111"/>
          <w:sz w:val="28"/>
          <w:sz w:val="28"/>
          <w:szCs w:val="28"/>
          <w:rtl w:val="true"/>
          <w:lang w:bidi="ar-SA"/>
        </w:rPr>
        <w:t xml:space="preserve">أثر عدم سبّه لله أو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فرض ما لو ادعت القسامة أن قوله كان سب الله أو المعصوم فرضاً أو إيذاء مؤمن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تصديقه فلا يقتل أو يعزر، وكذا باعتبار أثر بقاء عدالته وشبهها، إلاّ لو حصل الاطمئنان من كلامهم كما لا يخفى، وينبغي تصديقه بمعنى إظهار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فيهم فيصح تصديقهم بمعنى عقد القلب على ما ادعوه، وكذا بمعنى أثر عدم تعزيرهم دون أثر 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بمعنى إظهار القبول منهم، وكذا لا يصح بلحاظ أثر العدالة،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تخصيص المورد في المقام كان بلحاظ بعض الآثار لا كلها،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النقاش في صحة وجواز عقد القلب على الباطل وعدم عقده على الحق، ويمكن الالتزام بالتفصيل بين الأصول وغيرها، أو الالتزام بالتفصيل بين الأصول والأحكام وما يستلزم عدم عقد القلب فيه تكذيب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 ذلك، وتفصيل هذا البحث يذكر في محله إن شاء الله تعالى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الاستدلال بالأدلة السمعية الدالة على جواز التقليد بالمعنى الأعم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 أَوَلَوْ كانَ آباؤُهُمْ لا يَعْلَمُونَ شَيْئاً وَلا يَهْتَدُونَ</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xml:space="preserve">، وجه الاستدلال بهذه الآية أن الله سبحانه ذمّ متبعي الآباء لأنهم لا يعلمون شيئاً ولا يهتدون، فتدل بالمفهوم على أن الشخص إذا كان يعلم شيئاً ويهتدي جاز تقليده ومن المعلوم أن الفقهاء يعلمون الأحكام </w:t>
      </w:r>
    </w:p>
    <w:p>
      <w:pPr>
        <w:pStyle w:val="BookText"/>
        <w:rPr/>
      </w:pPr>
      <w:r>
        <w:rPr>
          <w:rFonts w:ascii="Amiri" w:hAnsi="Amiri" w:eastAsia="Amiri" w:cs="Amiri"/>
          <w:color w:val="111111"/>
          <w:sz w:val="28"/>
          <w:sz w:val="28"/>
          <w:szCs w:val="28"/>
          <w:rtl w:val="true"/>
          <w:lang w:bidi="ar-SA"/>
        </w:rPr>
        <w:t>ويهتدون إليها فيجوز تقليدهم، ومثل هذه الآية في الدلالة الآية الرابعة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آباءَناأَوَلَوْ كانَ آباؤُهُمْ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وأما الإشكال في الآيتين بأنهما في أصول الدين ولا يجوز التقليد في أصول الدين فغير تام، إذ إطلاقها كاف للاستدلال وإن كان خرج من الإطلاق أصول الدين</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ربط هذا الكلام بما نحن فيه يتضح بتمهيد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يبنى ويصب على ما يبنى ويصب عليه المنطوق، والتعاكس بينهما بالسلب والإيجاب لا غير، ففي المفهوم يتحفظ على الموضوع والمحمول والشروط والجهات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لكن بإدخال حرف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المنطوق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سالباً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المفهوم،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في الدار الفلانية العلماء العدول إن جاؤوك يوم الخميس حاملين معهم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في الدار الفلانية العلماء العدول إن لم يجيؤوك يوم الخميس حاملين معهم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مفهوم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في الدار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في الدار الفلانية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الفساق</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قاموا</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حاملين معهم قلماً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بين مفهوم لقب ووصف أو شرط في غير محل المنطوق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اتضح ذلك يتضح أن مورد المنطوق هو مورد المفهوم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إطلاقها كاف للاستدلال وإن كان خرج من الإطلاق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بالمفهوم على جواز التقليد مع خروج المورد منه وهو أصول الدين، فتدبر، إذ حتى لو لم يقبل هذا المبنى فإن المستدل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تشمل أصول الدين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خرج من الإطلاق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عند الاستدلال بالصحيحة الثانية لزرارة في باب الاستصحاب، حيث التزم بخروج المورد، فراجع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المتتبع المتأمل يجد مواضع كثيرة التزموا فيها بخروج المورد، والله المستعان</w:t>
      </w:r>
      <w:r>
        <w:rPr>
          <w:rFonts w:eastAsia="Amiri" w:cs="Amiri" w:ascii="Amiri" w:hAnsi="Amiri"/>
          <w:color w:val="111111"/>
          <w:sz w:val="28"/>
          <w:szCs w:val="28"/>
          <w:rtl w:val="true"/>
          <w:lang w:bidi="ar-SA"/>
        </w:rPr>
        <w:t xml:space="preserve">. </w:t>
      </w:r>
      <w:bookmarkStart w:id="545" w:name="pg8204_101176"/>
    </w:p>
    <w:p>
      <w:pPr>
        <w:pStyle w:val="Heading5"/>
        <w:numPr>
          <w:ilvl w:val="4"/>
          <w:numId w:val="1"/>
        </w:numPr>
        <w:rPr/>
      </w:pPr>
      <w:bookmarkStart w:id="546" w:name="__RefHeading___Toc8924328_1051229030"/>
      <w:bookmarkStart w:id="547" w:name="_Toc203"/>
      <w:bookmarkEnd w:id="545"/>
      <w:bookmarkEnd w:id="546"/>
      <w:r>
        <w:rPr>
          <w:rtl w:val="true"/>
        </w:rPr>
        <w:t xml:space="preserve">الملحق </w:t>
      </w:r>
      <w:r>
        <w:rPr>
          <w:rtl w:val="true"/>
        </w:rPr>
        <w:t>(</w:t>
      </w:r>
      <w:r>
        <w:rPr/>
        <w:t>5</w:t>
      </w:r>
      <w:r>
        <w:rPr>
          <w:rtl w:val="true"/>
        </w:rPr>
        <w:t>)</w:t>
      </w:r>
      <w:bookmarkEnd w:id="547"/>
    </w:p>
    <w:p>
      <w:pPr>
        <w:pStyle w:val="BookText"/>
        <w:rPr/>
      </w:pPr>
      <w:r>
        <w:rPr>
          <w:rFonts w:ascii="Amiri" w:hAnsi="Amiri" w:eastAsia="Amiri" w:cs="Amiri"/>
          <w:color w:val="111111"/>
          <w:sz w:val="28"/>
          <w:sz w:val="28"/>
          <w:szCs w:val="28"/>
          <w:rtl w:val="true"/>
          <w:lang w:bidi="ar-SA"/>
        </w:rPr>
        <w:t>موارد حَمَلَ الفقهاءُ اللامَ فيها على الجنس</w:t>
      </w:r>
    </w:p>
    <w:p>
      <w:pPr>
        <w:pStyle w:val="BookText"/>
        <w:rPr/>
      </w:pPr>
      <w:r>
        <w:rPr>
          <w:rFonts w:ascii="Amiri" w:hAnsi="Amiri" w:eastAsia="Amiri" w:cs="Amiri"/>
          <w:color w:val="111111"/>
          <w:sz w:val="28"/>
          <w:sz w:val="28"/>
          <w:szCs w:val="28"/>
          <w:rtl w:val="true"/>
          <w:lang w:bidi="ar-SA"/>
        </w:rPr>
        <w:t>رغم وجود ما يصلح مقرّباً لكونها للعهد</w:t>
      </w:r>
    </w:p>
    <w:p>
      <w:pPr>
        <w:pStyle w:val="BookText"/>
        <w:rPr/>
      </w:pPr>
      <w:r>
        <w:rPr>
          <w:rFonts w:ascii="Amiri" w:hAnsi="Amiri" w:eastAsia="Amiri" w:cs="Amiri"/>
          <w:color w:val="111111"/>
          <w:sz w:val="28"/>
          <w:sz w:val="28"/>
          <w:szCs w:val="28"/>
          <w:rtl w:val="true"/>
          <w:lang w:bidi="ar-SA"/>
        </w:rPr>
        <w:t>فمنها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 حَتَّى يَجِي‌ءَ مِنْ ذَلِكَ أَمْرٌ بَيِّنٌ، وَإِلاّ فَإِنَّهُ عَلَى يَقِينٍ مِنْ وُضُوئِهِ وَلا يَنْقُضُ الْيَقِينَ أَبَداً بِالشَّكِّ، وَلَكِنْ يَنْقُضُهُ بِيَقِينٍ آخَرَ</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 فمع سبق يقين الوضوء استفاد الفقهاء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سبق يقين الوضوء ربما يوهن الظهور المذكور بحيث لو فرض إرادة خصوص يقين الوضوء لم يكن بعيداً عن اللفظ 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الكلام مع ذلك لا يخلو من ظهور</w:t>
      </w:r>
      <w:r>
        <w:rPr>
          <w:rFonts w:eastAsia="Amiri" w:cs="Amiri" w:ascii="Amiri" w:hAnsi="Amiri"/>
          <w:color w:val="111111"/>
          <w:sz w:val="28"/>
          <w:szCs w:val="28"/>
          <w:rtl w:val="true"/>
          <w:lang w:bidi="ar-SA"/>
        </w:rPr>
        <w:t>).</w:t>
      </w:r>
      <w:r>
        <w:rPr>
          <w:rStyle w:val="FootnoteAnchor"/>
          <w:rtl w:val="true"/>
        </w:rPr>
        <w:footnoteReference w:id="76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 موجب لاحتماله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احتمال اختصاص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والشك في باب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احتمال 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إشارة إلى اليقين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أنه للجنس كما هو الأصل فيه وسبق، فإنه على يقين إلخ، لا يكون قرينة </w:t>
      </w:r>
    </w:p>
    <w:p>
      <w:pPr>
        <w:pStyle w:val="BookText"/>
        <w:rPr/>
      </w:pPr>
      <w:r>
        <w:rPr>
          <w:rFonts w:ascii="Amiri" w:hAnsi="Amiri" w:eastAsia="Amiri" w:cs="Amiri"/>
          <w:color w:val="111111"/>
          <w:sz w:val="28"/>
          <w:sz w:val="28"/>
          <w:szCs w:val="28"/>
          <w:rtl w:val="true"/>
          <w:lang w:bidi="ar-SA"/>
        </w:rPr>
        <w:t>عليه مع كمال الملائمة مع الجنس أيضاً، فافهم</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والكلام فيها كالكلام في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الصغرى أو ما هو بمنزلتها ليس المراد به يقين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إنه مبني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 أن يكون متعلقاً بالظرف ويكون المعنى فإنه على يقين من طرف وضوئه</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 حتى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يقين خاص وهو اليقين الوضوئي،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مسبوقاً بمنكر خاص حتى يستدل به على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اللام اعترت جنساً مع سبق منكر خاص</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 خلاف الظاهر وخلاف المنساق إلى الأذهان العرفية، ومجرد عدم البعد غير كاف، وكون اليقين وأشباهه متعدياً بالباء لا يوجب تقدير محذوف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متخصص بشيء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مسبوقاً بما هو أخص منه</w:t>
      </w:r>
      <w:r>
        <w:rPr>
          <w:rStyle w:val="FootnoteAnchor"/>
          <w:rtl w:val="true"/>
        </w:rPr>
        <w:footnoteReference w:id="770"/>
      </w:r>
      <w:r>
        <w:rPr>
          <w:rFonts w:ascii="Amiri" w:hAnsi="Amiri" w:eastAsia="Amiri" w:cs="Amiri"/>
          <w:color w:val="111111"/>
          <w:sz w:val="28"/>
          <w:sz w:val="28"/>
          <w:szCs w:val="28"/>
          <w:rtl w:val="true"/>
          <w:lang w:bidi="ar-SA"/>
        </w:rPr>
        <w:t>، لأنه يتعدى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خاصة في أمثال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مما جرى شيئاً كثيراً، هذا هو القدر المتيقن منه، تيقنت من صدق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يَقِنَ الأمر يَقْناً ويَقَناً وأيقنه وأيقن به وتيقنه واستيقنه </w:t>
      </w:r>
    </w:p>
    <w:p>
      <w:pPr>
        <w:pStyle w:val="BookText"/>
        <w:rPr/>
      </w:pPr>
      <w:r>
        <w:rPr>
          <w:rFonts w:ascii="Amiri" w:hAnsi="Amiri" w:eastAsia="Amiri" w:cs="Amiri"/>
          <w:color w:val="111111"/>
          <w:sz w:val="28"/>
          <w:sz w:val="28"/>
          <w:szCs w:val="28"/>
          <w:rtl w:val="true"/>
          <w:lang w:bidi="ar-SA"/>
        </w:rPr>
        <w:t>واستيقن به وتيقنت بالأمر واستيقنت به، كله بمعنى واحد، وأنا على يقين منه</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تعدي اليقين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وفي كل مورد مما كان اليقين مسبباً عنه، 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أيقنت أو تيقنت بالله تعالى من النظر إلى نظام الخلقة أو من النظر إلى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متعلق بالله ناشئ من النظر، وفيما نحن فيه كذلك أيضاً، إذ اليقين متعلق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ناشئاً من اليقين بالوضوء،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كنت على يقين من وضوئك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الوضوء،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العرف والارتكاز يؤيدان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لا بمتعلق محذوف، خاصة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توجد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وشبهها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فشككت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بمحذوف صفة 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بتعلقه بيقين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عرفاً، إذ يرون كونه متعلقاً أو صفة ليقين، ولأن الضمير يعود إلى أقرب شيء إليه، إلا أن يقال التقدير خلاف الأصل،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أن الأصل في الحال والوصف والتمييز وأشباهها أن تكون جهات تقييدية لا لبيان المورد، فذلك الاحتمال مخالف للأصل، فتأمل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ولنكتف بهذا القدر، إذ أن خوض غمار الإشكالات والأقوال في هذه المسألة وتحقيقها ليس هنا محل ذكره</w:t>
      </w:r>
      <w:r>
        <w:rPr>
          <w:rFonts w:eastAsia="Amiri" w:cs="Amiri" w:ascii="Amiri" w:hAnsi="Amiri"/>
          <w:color w:val="111111"/>
          <w:sz w:val="28"/>
          <w:szCs w:val="28"/>
          <w:rtl w:val="true"/>
          <w:lang w:bidi="ar-SA"/>
        </w:rPr>
        <w:t xml:space="preserve">. </w:t>
      </w:r>
      <w:bookmarkStart w:id="548" w:name="pg8204_101179"/>
    </w:p>
    <w:p>
      <w:pPr>
        <w:pStyle w:val="Heading5"/>
        <w:numPr>
          <w:ilvl w:val="4"/>
          <w:numId w:val="1"/>
        </w:numPr>
        <w:rPr/>
      </w:pPr>
      <w:bookmarkStart w:id="549" w:name="__RefHeading___Toc8924330_1051229030"/>
      <w:bookmarkStart w:id="550" w:name="_Toc204"/>
      <w:bookmarkEnd w:id="548"/>
      <w:bookmarkEnd w:id="549"/>
      <w:r>
        <w:rPr>
          <w:rtl w:val="true"/>
        </w:rPr>
        <w:t xml:space="preserve">الملحق </w:t>
      </w:r>
      <w:r>
        <w:rPr>
          <w:rtl w:val="true"/>
        </w:rPr>
        <w:t>(</w:t>
      </w:r>
      <w:r>
        <w:rPr/>
        <w:t>6</w:t>
      </w:r>
      <w:r>
        <w:rPr>
          <w:rtl w:val="true"/>
        </w:rPr>
        <w:t>)</w:t>
      </w:r>
      <w:bookmarkEnd w:id="550"/>
    </w:p>
    <w:p>
      <w:pPr>
        <w:pStyle w:val="BookText"/>
        <w:rPr/>
      </w:pPr>
      <w:r>
        <w:rPr>
          <w:rFonts w:ascii="IRNazanin" w:hAnsi="IRNazanin" w:eastAsia="IRNazanin"/>
          <w:color w:val="111111"/>
          <w:sz w:val="28"/>
          <w:sz w:val="28"/>
          <w:szCs w:val="28"/>
          <w:rtl w:val="true"/>
          <w:lang w:bidi="fa-IR"/>
        </w:rPr>
        <w:t>بحث عن تعارض المطلق والعام</w:t>
      </w:r>
    </w:p>
    <w:p>
      <w:pPr>
        <w:pStyle w:val="BookText"/>
        <w:rPr/>
      </w:pPr>
      <w:r>
        <w:rPr>
          <w:rFonts w:ascii="Amiri" w:hAnsi="Amiri" w:eastAsia="Amiri" w:cs="Amiri"/>
          <w:color w:val="111111"/>
          <w:sz w:val="28"/>
          <w:sz w:val="28"/>
          <w:szCs w:val="28"/>
          <w:rtl w:val="true"/>
          <w:lang w:bidi="ar-SA"/>
        </w:rPr>
        <w:t xml:space="preserve">أما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تعارض الإطلاق والعموم، فيتعارض تقييد المطلق وتخصيص العام، ولا إشكال في ترجيح التقييد، على ما حققه سلطان العلماء من كونه حقيقة، لأن الحكم بالإطلاق من حيث عدم البيان، والعام بيان، فعدم البيان للتقييد جزء من مقتضى الإطلاق، والبيان للتخصيص مانع عن اقتضاء العام للعموم، فإذا رفعنا المانع عن العموم بالأصل والمفروض وجود المقتضي له ثبت بيان التقييد وارتفع المقتضي للإطلاق، فإن العمل بالتعليقي موقوف على طرح التنجيزي لتوقف موضوعه على عدمه، فلو كان طرح التنجيزي متوقفاً على العمل بالتعليقي ومسبباً عنه لزم الدور، بل هو يتوقف على حجة أخرى راجحة عليه، فالمطلق دليل تعليقي والعام دليل تنجيزي، وأما على القول بكونه مجازاً فالمعروف في وجه تقديم التقييد كونه أغلب من التخصيص، وفيه تأمل</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فربما يورد عليه بايرادات عديدة، لابد قبل ذكرها من تمهيد مقدمة توضيحية وهي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سلطان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المطلق موضوع للماهية المهملة، فظهوره في الإطلاق ليس مستنداً إلى الوضع، بل إلى مقدمات الحكمة وعدم بيان القيد فيما كان المقام مقام البيان، ولازم هذا القول أن يكون استعمال </w:t>
      </w:r>
    </w:p>
    <w:p>
      <w:pPr>
        <w:pStyle w:val="BookText"/>
        <w:rPr/>
      </w:pPr>
      <w:r>
        <w:rPr>
          <w:rFonts w:ascii="Amiri" w:hAnsi="Amiri" w:eastAsia="Amiri" w:cs="Amiri"/>
          <w:color w:val="111111"/>
          <w:sz w:val="28"/>
          <w:sz w:val="28"/>
          <w:szCs w:val="28"/>
          <w:rtl w:val="true"/>
          <w:lang w:bidi="ar-SA"/>
        </w:rPr>
        <w:t>المطلق في المقيد حقيقة، لأنه لم يستعمل في غير الموضوع له، إذ لم يكن موضوعاً للمدلول بشرط الإطلاق والإرسال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المعظم</w:t>
      </w:r>
      <w:r>
        <w:rPr>
          <w:rStyle w:val="FootnoteAnchor"/>
          <w:rtl w:val="true"/>
        </w:rPr>
        <w:footnoteReference w:id="773"/>
      </w:r>
      <w:r>
        <w:rPr>
          <w:rFonts w:ascii="Amiri" w:hAnsi="Amiri" w:eastAsia="Amiri" w:cs="Amiri"/>
          <w:color w:val="111111"/>
          <w:sz w:val="28"/>
          <w:sz w:val="28"/>
          <w:szCs w:val="28"/>
          <w:rtl w:val="true"/>
          <w:lang w:bidi="ar-SA"/>
        </w:rPr>
        <w:t>فذهبوا إلى كون الإطلاق والانتشار والإرسال جزءً من مدلوله، حيث إن اللفظ يدل عليه بالدلالة الوضعية اللفظية، فهو موضوع للماهية بشرط الإرسال، ولذا التزموا بكون التقييد مجازاً كالتخصيص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تمهدت هذه المقدمة فنقول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مسلك المعظم فدعوى أقوائية العام من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 لتقديم التقييد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تامة، إذ العرف لا يرى ذلك والموارد مختلفة كما سبق بيانه</w:t>
      </w:r>
      <w:r>
        <w:rPr>
          <w:rStyle w:val="FootnoteAnchor"/>
          <w:rtl w:val="true"/>
        </w:rPr>
        <w:footnoteReference w:id="774"/>
      </w:r>
      <w:r>
        <w:rPr>
          <w:rFonts w:ascii="Amiri" w:hAnsi="Amiri" w:eastAsia="Amiri" w:cs="Amiri"/>
          <w:color w:val="111111"/>
          <w:sz w:val="28"/>
          <w:sz w:val="28"/>
          <w:szCs w:val="28"/>
          <w:rtl w:val="true"/>
          <w:lang w:bidi="ar-SA"/>
        </w:rPr>
        <w:t xml:space="preserve">، والدليل المذكور له غير تام على ما أشار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وجهه في الهامش المذكور قبل قليل على كلام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مع انطباق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التقييد بالمقيدات المنفصلة أغلب من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نحن فيه، حيث إن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غير مقترنة بمعارض متصل، إذ ما يمكن أن يفرض </w:t>
      </w:r>
    </w:p>
    <w:p>
      <w:pPr>
        <w:pStyle w:val="BookText"/>
        <w:rPr/>
      </w:pPr>
      <w:r>
        <w:rPr>
          <w:rFonts w:ascii="Amiri" w:hAnsi="Amiri" w:eastAsia="Amiri" w:cs="Amiri"/>
          <w:color w:val="111111"/>
          <w:sz w:val="28"/>
          <w:sz w:val="28"/>
          <w:szCs w:val="28"/>
          <w:rtl w:val="true"/>
          <w:lang w:bidi="ar-SA"/>
        </w:rPr>
        <w:t xml:space="preserve">معارضاً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كعمومات وإطلاقات أدلة التقليد، وكذا عموما وإطلاقات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النقاش في مبنى المشهور باحتمال الاشتراك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بلتعينه كما هو ظاهر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بأن الاشتراك خلاف الأصل، وبالنقض بالجمع المحلى بأل، إذ يستعمل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الستة كثيراً، وعلى مدعي الفرق الإثبات، وبأن المتبادر إلى أذهان العرف العموم والإرسال فما عداه مجاز، وقد سبق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باستلزام ذلك المجاز في أكثر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القول بعدم استلزام ذلك المجاز، وذلك إذا كان المراد الاستعمالي منه هو المطلق، وكان التقييد في مرحلة الإرادة الجدية دون الاستعمالية، كما أشار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المحاضرات</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ولا فرق في ذلك بين كون القرينة متصلة أو منفصلة، إذ مع كونها متصلة لو كانت الإرادة الاستعمالية مطابقة للجدية لزم المجاز، دون ما لو لم يتطابقا، بأن أراد في استعماله المطلق وكان القيد للإرادة الجدية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ظهر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فلابد من التفصيل بين القرينة المتصلة والقرينة المنفصلة، فإن الأولى تستلزم المجاز لا محالة، حيث إن الإطلاق والسريان لا يجتمع مع التقييد والتضييق، وأما الثانية فلا تستلزم ذلك</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إذ عدم اجتماعها إنما هو فيما إذا كانا في مقام واحد لا في مقامين، بأن كان أحدهما في مقام الإرادة الاستعمالية والآخر في مقام الجدية، هذا كله في مقام الثبوت كما هو ظاهر كلامه أيضاً، فليراجع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إضافة إلى أنه يرد عليه التناقض بين كلاميه</w:t>
      </w:r>
      <w:r>
        <w:rPr>
          <w:rStyle w:val="FootnoteAnchor"/>
          <w:rtl w:val="true"/>
        </w:rPr>
        <w:footnoteReference w:id="779"/>
      </w:r>
      <w:r>
        <w:rPr>
          <w:rFonts w:ascii="Amiri" w:hAnsi="Amiri" w:eastAsia="Amiri" w:cs="Amiri"/>
          <w:color w:val="111111"/>
          <w:sz w:val="28"/>
          <w:sz w:val="28"/>
          <w:szCs w:val="28"/>
          <w:rtl w:val="true"/>
          <w:lang w:bidi="ar-SA"/>
        </w:rPr>
        <w:t>، اللهم إلا أن يكون كلامه السابق</w:t>
      </w:r>
      <w:r>
        <w:rPr>
          <w:rStyle w:val="FootnoteAnchor"/>
          <w:rtl w:val="true"/>
        </w:rPr>
        <w:footnoteReference w:id="780"/>
      </w:r>
      <w:r>
        <w:rPr>
          <w:rFonts w:ascii="Amiri" w:hAnsi="Amiri" w:eastAsia="Amiri" w:cs="Amiri"/>
          <w:color w:val="111111"/>
          <w:sz w:val="28"/>
          <w:sz w:val="28"/>
          <w:szCs w:val="28"/>
          <w:rtl w:val="true"/>
          <w:lang w:bidi="ar-SA"/>
        </w:rPr>
        <w:t>محمولاً على اللاحق ومقيداً به، وعدم كونه في مقام البيان التام هناك،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استلزام ذلك المجاز في أكثر المطلقات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به كما في العام تماماً، إذ لا أقل من تقييده بالقيود العامة،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أن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محلى بأل وهو لا يفيد العموم فما تدل عليه الآية أمر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وارد على مسلك المشهور، من كون الإطلاق والانتشار جزء من مدلول المطلق فالمدلول ليس مهملاً، ولو شك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يحرز بأصالة الحقيقة،لكون التقييد مجازاً حسب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سلطان العلماء ومن تبعه فكذلك أيضاً، إذ يرد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تقديم التقييد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العلية التامة لكل من العام والمطلق موقوفة على الأصل، إما لإثبات المقتضي أو لرفع المانع، ضرورة أن الوضع ليس علة تامة للظهور وكشف المراد الجدي، فكما أن الإطلاق يتوقف على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التقييد ولو بالأصل، كذلك العموم</w:t>
      </w:r>
      <w:r>
        <w:rPr>
          <w:rStyle w:val="FootnoteAnchor"/>
          <w:rtl w:val="true"/>
        </w:rPr>
        <w:footnoteReference w:id="781"/>
      </w:r>
      <w:r>
        <w:rPr>
          <w:rFonts w:ascii="Amiri" w:hAnsi="Amiri" w:eastAsia="Amiri" w:cs="Amiri"/>
          <w:color w:val="111111"/>
          <w:sz w:val="28"/>
          <w:sz w:val="28"/>
          <w:szCs w:val="28"/>
          <w:rtl w:val="true"/>
          <w:lang w:bidi="ar-SA"/>
        </w:rPr>
        <w:t xml:space="preserve">يتوقف على نفي المخصص ولو بالأصل، فكلا الظهورين تعليقي، فكما أن رفع المانع عن العموم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وجود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إرادة العموم، كذلك إجراء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وجود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يسبب تمامية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إرادة الإطلاق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بالعموم في الفرض لا يتوقف على رفع الإطلاق، حيث إنه لا مقتضي لوجوده حتى يستند في رفعه إلى العموم، فلا 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المقتضي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شمول العام لتلك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هو مادة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المتكلم لها</w:t>
      </w:r>
      <w:r>
        <w:rPr>
          <w:rStyle w:val="FootnoteAnchor"/>
          <w:rtl w:val="true"/>
        </w:rPr>
        <w:footnoteReference w:id="782"/>
      </w:r>
      <w:r>
        <w:rPr>
          <w:rFonts w:ascii="Amiri" w:hAnsi="Amiri" w:eastAsia="Amiri" w:cs="Amiri"/>
          <w:color w:val="111111"/>
          <w:sz w:val="28"/>
          <w:sz w:val="28"/>
          <w:szCs w:val="28"/>
          <w:rtl w:val="true"/>
          <w:lang w:bidi="ar-SA"/>
        </w:rPr>
        <w:t>، وشمولهلها موقوف على عدم المقتضي للإطلاق</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التمسك بالعموم في الفرض لا يتوقف على رفع الإطلاق، حيث إنه لا مقتضي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توقفه عليه، إذ عدم المقتضي للإطلاق فرع إثبات إرادة العموم المتوقف عليه، فليتدبر جيداً، وبعبارة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العموم موقوفة على عدم إرادة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باستحالة الدور لإثبات كون التوقف من أحد الطرفين فقط غير صحيح، إلا لو كان الطرفان واقعين، والتوقف لأحدهما على الآخر ثابتاً مع لحاظ النسبة بينهما، وتوقف الآخر على الأول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ذاته، وإلا فبالنظر إلى توقف الأول عليه مقطوع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علية المعلول لعلته والمخلوق لخالقه، أما إثبات توقف أحدهما على الآخر بالخصوص دون العكس بأن في العكس لزوم الدور فهذا هو المتوقف على ذاك فقط فمصادرة، وفيما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ومطلق متعارضان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العمل بالمطلق على طرح العام ليس أولى من العكس، كما أوضحناه قبل قليل، فليس توقفه عليه ثابتاً حتى مع لحاظ النسبة بينهما واحتمال العكس، وعكسه وبالنظر إلى ذاته مشكوكاً، فكلاهما بالنظر إلى ذاتهما على حد سواء في التوقف، فكيف يلاحظ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ليكون </w:t>
      </w:r>
    </w:p>
    <w:p>
      <w:pPr>
        <w:pStyle w:val="BookText"/>
        <w:rPr/>
      </w:pPr>
      <w:r>
        <w:rPr>
          <w:rFonts w:ascii="Amiri" w:hAnsi="Amiri" w:eastAsia="Amiri" w:cs="Amiri"/>
          <w:color w:val="111111"/>
          <w:sz w:val="28"/>
          <w:sz w:val="28"/>
          <w:szCs w:val="28"/>
          <w:rtl w:val="true"/>
          <w:lang w:bidi="ar-SA"/>
        </w:rPr>
        <w:t>العكس مستلزماً للدور، فلا يتوقف ذاك على هذا، مع أن لنا أن نعكس الأمر بأن نلاحظ توقف ذاك على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مستلزم للدور فلا عكس فالمطلق مقدم؟</w:t>
      </w:r>
    </w:p>
    <w:p>
      <w:pPr>
        <w:pStyle w:val="BookText"/>
        <w:rPr/>
      </w:pPr>
      <w:r>
        <w:rPr>
          <w:rFonts w:ascii="Amiri" w:hAnsi="Amiri" w:eastAsia="Amiri" w:cs="Amiri"/>
          <w:color w:val="111111"/>
          <w:sz w:val="28"/>
          <w:sz w:val="28"/>
          <w:szCs w:val="28"/>
          <w:rtl w:val="true"/>
          <w:lang w:bidi="ar-SA"/>
        </w:rPr>
        <w:t xml:space="preserve">ومما سبق ظهر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الحكم بالإطلاق من حيث عدم البيان والعام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كون العام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وإن كان موضوعاً للعموم إلا أنه ليس علة تامة لكشف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كونه كاشفاً عن المراد الجدي، وكونه كاشفاً عنه موقوف على عدم بيانية المطلق له، وعدم كون الإطلاق مراداً جدياًله من المطلق، فكل منهما ما لم يكشف عن المراد الجدي ليس بياناً للآخر، وكشفه موقوف على عدم شمول الآخر لمادة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بالمتعارضين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كانا مطلقين تعارضا بالعموم من وجه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لحاظ النسبة بينهما، لجريان نفس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إذ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بهذا المطلق موقوف على طرح الآخر، لتوقف موضوعه على عدمه، فلو كان طرح الثاني متوقفاً على العمل بالأول ومسبباً عنه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الاستدلال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دوري، إذ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تقدم العام على المطلق باستلزام الدور لو تقدم المطلق على العام، مع أن استلزام الدور في تقدم المطلق على العام موقوف على تقدم العام على المطلق، إذ لو لم يتقدم عليه لما كان في العكس وحده استلزام الدور، فتأمل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 ما سبق يعلم أن الحق أن لا أقوائية للعام على المطلق، بل قد يكون كذلك وقد يتساويان، والعرف هو المرجع</w:t>
      </w:r>
      <w:r>
        <w:rPr>
          <w:rFonts w:eastAsia="Amiri" w:cs="Amiri" w:ascii="Amiri" w:hAnsi="Amiri"/>
          <w:color w:val="111111"/>
          <w:sz w:val="28"/>
          <w:szCs w:val="28"/>
          <w:rtl w:val="true"/>
          <w:lang w:bidi="ar-SA"/>
        </w:rPr>
        <w:t xml:space="preserve">. </w:t>
      </w:r>
      <w:bookmarkStart w:id="551" w:name="pg8204_101185"/>
    </w:p>
    <w:p>
      <w:pPr>
        <w:pStyle w:val="Heading3"/>
        <w:numPr>
          <w:ilvl w:val="2"/>
          <w:numId w:val="1"/>
        </w:numPr>
        <w:rPr/>
      </w:pPr>
      <w:bookmarkStart w:id="552" w:name="__RefHeading___Toc8924332_1051229030"/>
      <w:bookmarkStart w:id="553" w:name="_Toc205"/>
      <w:bookmarkEnd w:id="551"/>
      <w:bookmarkEnd w:id="552"/>
      <w:r>
        <w:rPr>
          <w:rtl w:val="true"/>
        </w:rPr>
        <w:t>القسم الثالث</w:t>
      </w:r>
      <w:r>
        <w:rPr>
          <w:rtl w:val="true"/>
        </w:rPr>
        <w:t xml:space="preserve">: </w:t>
      </w:r>
      <w:r>
        <w:rPr>
          <w:rtl w:val="true"/>
        </w:rPr>
        <w:t>الاستدلال بالروايات الشريفة</w:t>
      </w:r>
      <w:bookmarkEnd w:id="553"/>
    </w:p>
    <w:p>
      <w:pPr>
        <w:pStyle w:val="Heading4"/>
        <w:numPr>
          <w:ilvl w:val="3"/>
          <w:numId w:val="1"/>
        </w:numPr>
        <w:rPr/>
      </w:pPr>
      <w:bookmarkStart w:id="554" w:name="__RefHeading___Toc8924334_1051229030"/>
      <w:bookmarkStart w:id="555" w:name="_Toc206"/>
      <w:bookmarkEnd w:id="554"/>
      <w:r>
        <w:rPr>
          <w:rtl w:val="true"/>
        </w:rPr>
        <w:t>الفصل الأول</w:t>
      </w:r>
      <w:r>
        <w:rPr>
          <w:rtl w:val="true"/>
        </w:rPr>
        <w:t xml:space="preserve">: </w:t>
      </w:r>
      <w:r>
        <w:rPr>
          <w:rtl w:val="true"/>
        </w:rPr>
        <w:t>في الاستدلال بالتوقيع الشريف</w:t>
      </w:r>
      <w:bookmarkEnd w:id="555"/>
    </w:p>
    <w:p>
      <w:pPr>
        <w:pStyle w:val="Heading5"/>
        <w:numPr>
          <w:ilvl w:val="4"/>
          <w:numId w:val="1"/>
        </w:numPr>
        <w:rPr/>
      </w:pPr>
      <w:bookmarkStart w:id="556" w:name="__RefHeading___Toc8924336_1051229030"/>
      <w:bookmarkStart w:id="557" w:name="_Toc207"/>
      <w:bookmarkEnd w:id="556"/>
      <w:r>
        <w:rPr>
          <w:rtl w:val="true"/>
        </w:rPr>
        <w:t>اشارة</w:t>
      </w:r>
      <w:bookmarkEnd w:id="55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8204_101187"/>
      <w:bookmarkStart w:id="559" w:name="pg8204_101187"/>
      <w:bookmarkEnd w:id="559"/>
    </w:p>
    <w:p>
      <w:pPr>
        <w:pStyle w:val="Heading5"/>
        <w:numPr>
          <w:ilvl w:val="4"/>
          <w:numId w:val="1"/>
        </w:numPr>
        <w:rPr/>
      </w:pPr>
      <w:bookmarkStart w:id="560" w:name="pg8204_101187"/>
      <w:bookmarkStart w:id="561" w:name="__RefHeading___Toc8924338_1051229030"/>
      <w:bookmarkStart w:id="562" w:name="_Toc208"/>
      <w:bookmarkEnd w:id="560"/>
      <w:bookmarkEnd w:id="561"/>
      <w:r>
        <w:rPr>
          <w:rtl w:val="true"/>
        </w:rPr>
        <w:t>التوقيع الشريف</w:t>
      </w:r>
      <w:bookmarkEnd w:id="562"/>
    </w:p>
    <w:p>
      <w:pPr>
        <w:pStyle w:val="Heading6"/>
        <w:numPr>
          <w:ilvl w:val="5"/>
          <w:numId w:val="1"/>
        </w:numPr>
        <w:rPr/>
      </w:pPr>
      <w:bookmarkStart w:id="563" w:name="__RefHeading___Toc8924340_1051229030"/>
      <w:bookmarkStart w:id="564" w:name="_Toc209"/>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ويمكن أن يستدل على أن القيادة والولاية فيما يتعلق بالشؤون العامة، هي لشورى الفقهاء وليست للفقيه الواحد، بالتوقيع الشريف الآتي، إذا تمّ استظهار دلالته على أن للفقيه الولاية</w:t>
      </w:r>
      <w:r>
        <w:rPr>
          <w:rStyle w:val="FootnoteAnchor"/>
          <w:rtl w:val="true"/>
        </w:rPr>
        <w:footnoteReference w:id="784"/>
      </w:r>
      <w:r>
        <w:rPr>
          <w:rFonts w:ascii="Amiri" w:hAnsi="Amiri" w:eastAsia="Amiri" w:cs="Amiri"/>
          <w:color w:val="111111"/>
          <w:sz w:val="28"/>
          <w:sz w:val="28"/>
          <w:szCs w:val="28"/>
          <w:rtl w:val="true"/>
          <w:lang w:bidi="ar-SA"/>
        </w:rPr>
        <w:t>، أو قلنا بأن الفقيه هو القدر المتيقن من الولاية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8924342_1051229030"/>
      <w:bookmarkStart w:id="566" w:name="_Toc210"/>
      <w:bookmarkEnd w:id="565"/>
      <w:r>
        <w:rPr>
          <w:rtl w:val="true"/>
        </w:rPr>
        <w:t xml:space="preserve">الاستدلال ب </w:t>
      </w:r>
      <w:r>
        <w:rPr>
          <w:rtl w:val="true"/>
        </w:rPr>
        <w:t>(</w:t>
      </w:r>
      <w:r>
        <w:rPr>
          <w:rtl w:val="true"/>
        </w:rPr>
        <w:t>أما الحوادث الواقعة فارجعوا فيها إلى رواة حديثنا</w:t>
      </w:r>
      <w:r>
        <w:rPr>
          <w:rtl w:val="true"/>
        </w:rPr>
        <w:t>...)</w:t>
      </w:r>
      <w:bookmarkEnd w:id="566"/>
    </w:p>
    <w:p>
      <w:pPr>
        <w:pStyle w:val="BookText"/>
        <w:rPr/>
      </w:pPr>
      <w:r>
        <w:rPr>
          <w:rFonts w:ascii="Amiri" w:hAnsi="Amiri" w:eastAsia="Amiri" w:cs="Amiri"/>
          <w:color w:val="111111"/>
          <w:sz w:val="28"/>
          <w:sz w:val="28"/>
          <w:szCs w:val="28"/>
          <w:rtl w:val="true"/>
          <w:lang w:bidi="ar-SA"/>
        </w:rPr>
        <w:t>ما رواه أحمد بن علي بن أبي طالب الطبرسي، في كتاب الاحتجاج، عن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 لي كتاباً قد سألت عن مسائل أشكلت عليّ، فورد التوقيع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محمد بن عصام الكليني، عن محمد بن يعقوب الكليني، عن إسحاق بن يعقوب في باب ذكر </w:t>
      </w:r>
      <w:bookmarkStart w:id="567" w:name="pg8204_101188"/>
    </w:p>
    <w:p>
      <w:pPr>
        <w:pStyle w:val="BookText"/>
        <w:rPr/>
      </w:pPr>
      <w:bookmarkEnd w:id="567"/>
      <w:r>
        <w:rPr>
          <w:rFonts w:ascii="Amiri" w:hAnsi="Amiri" w:eastAsia="Amiri" w:cs="Amiri"/>
          <w:color w:val="111111"/>
          <w:sz w:val="28"/>
          <w:sz w:val="28"/>
          <w:szCs w:val="28"/>
          <w:rtl w:val="true"/>
          <w:lang w:bidi="ar-SA"/>
        </w:rPr>
        <w:t xml:space="preserve">التوقيعات الواردة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الغيبة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عن جعفر بنمحمد بن قولويه، وأبي غالب الزراري وغيرهما، عن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8" w:name="__RefHeading___Toc8924344_1051229030"/>
      <w:bookmarkStart w:id="569" w:name="_Toc211"/>
      <w:bookmarkEnd w:id="568"/>
      <w:r>
        <w:rPr>
          <w:rtl w:val="true"/>
        </w:rPr>
        <w:t xml:space="preserve">بحث عن سند الرواية </w:t>
      </w:r>
      <w:r>
        <w:rPr>
          <w:rtl w:val="true"/>
        </w:rPr>
        <w:t>:</w:t>
      </w:r>
      <w:bookmarkEnd w:id="569"/>
    </w:p>
    <w:p>
      <w:pPr>
        <w:pStyle w:val="BookText"/>
        <w:rPr/>
      </w:pPr>
      <w:r>
        <w:rPr>
          <w:rFonts w:ascii="Amiri" w:hAnsi="Amiri" w:eastAsia="Amiri" w:cs="Amiri"/>
          <w:color w:val="111111"/>
          <w:sz w:val="28"/>
          <w:sz w:val="28"/>
          <w:szCs w:val="28"/>
          <w:rtl w:val="true"/>
          <w:lang w:bidi="ar-SA"/>
        </w:rPr>
        <w:t>وقد وثق المامغاني إسحاق بن يعقوب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ويستفاد من 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جلالة الرجل وعلو رتبته وكونه هو الراوي غير ضائر بعد تسالم المشايخ على نقله</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وقال في نتائج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كالصحيح</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وفي 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لي بعض كبار الفقهاء تعليلاً كان يراه كافياً لتوثيق إسحاق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كلامه تنقيحاً لما ذكره المامغاني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مع إضافة منّا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إسناد إسحاق بن يعقوب هذه الرواية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تتضمنه من توثيق للبعض وتضعيف لبعض آخر، حيث سأل عن عمه جعفر وعن العمري ومحمد بن علي بن مهزيار الأهوازي ومحمد بن شاذان وأبي الخطاب وأصحابه، وحيث كانت المرحلة مرحلة الفصل بين الطالح والصالح، وحيث كثر مدّعو الارتباط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الفرز بين من يرتبط به ممن لا يرتبط، لكون المرحلة مصيرية ولكونها </w:t>
      </w:r>
    </w:p>
    <w:p>
      <w:pPr>
        <w:pStyle w:val="BookText"/>
        <w:rPr/>
      </w:pPr>
      <w:r>
        <w:rPr>
          <w:rFonts w:ascii="Amiri" w:hAnsi="Amiri" w:eastAsia="Amiri" w:cs="Amiri"/>
          <w:color w:val="111111"/>
          <w:sz w:val="28"/>
          <w:sz w:val="28"/>
          <w:szCs w:val="28"/>
          <w:rtl w:val="true"/>
          <w:lang w:bidi="ar-SA"/>
        </w:rPr>
        <w:t xml:space="preserve">منعطفاً خطيراً، وبما تضمنته الرواية من تعيين المرجع في الحوادث الواقعة بضابطة كلية مع احتمال وجود قيود خاصة أخرى في المرجع، وبما تضمنته من توثيق عرفي لإسحاق بن يعقوب،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أرشدك الله وثبتك ووقاكمن أمر المنكرين لي من أهل بيتنا وبني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يا إسحاق بن يعقوب وعلى من اتبع الهدى</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حيث تعتبر هذه العبارة توثيقاً عرفاً، إضافة إلى ظهور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عطفاً للعام على الخاص، وظهور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على الحق،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وضوح أن الرواية لو كانت كذباً لأنكرها عليه وكلاء الإمام وشيعته، ولما نقلها الكليني وأضرابه عنه، أو لشككوا في الرواية على الأقل، ألا ترى أن شخصاً لو ادعى رسالة من مرجع تقليد كبير جداً تتضمن مسائل حياتية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بمن أسندها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سكت أصحاب المرجع عنه بل نقل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 دون الكليني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عنه لمتعدد من الناس، ثم نقلها أتباع المرجع من الفقهاء وغيرهم على امتداد الأزمان، ألا يوجب ذلك عرفاً الاطمينان بالصدور، كل ذلك يدل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بعض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مما يتضمنه علو رتبة الرجل فتدبره،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ولا يضر كونه هو الراوي بعد اعتناء المشايخ به ورواية جماعة المشايخ 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من مؤيدات جلالة إسحاق بن يعقوب رواية الكليني عنه، وأمره أشهر من أن يذكر، ورواية سعد بن عبد الله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كمال الدين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بن عبد الله، عن إسحاق بن يعقوب ص</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 بن أبي خلف الأشعري القمي أبو القاسم شيخ هذه الطائفة وفقيهها ووجهها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عبد </w:t>
      </w:r>
    </w:p>
    <w:p>
      <w:pPr>
        <w:pStyle w:val="BookText"/>
        <w:rPr/>
      </w:pPr>
      <w:r>
        <w:rPr>
          <w:rFonts w:ascii="Amiri" w:hAnsi="Amiri" w:eastAsia="Amiri" w:cs="Amiri"/>
          <w:color w:val="111111"/>
          <w:sz w:val="28"/>
          <w:sz w:val="28"/>
          <w:szCs w:val="28"/>
          <w:rtl w:val="true"/>
          <w:lang w:bidi="ar-SA"/>
        </w:rPr>
        <w:t>الله القمي جليل القدر، واسع الأخبار، كثير التصانيف، ثقة</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أما الطبرسي والكليني فأمرهما أشهر من أن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محمد بن محمد بن عصام</w:t>
      </w:r>
      <w:r>
        <w:rPr>
          <w:rStyle w:val="FootnoteAnchor"/>
          <w:rtl w:val="true"/>
        </w:rPr>
        <w:footnoteReference w:id="793"/>
      </w:r>
      <w:r>
        <w:rPr>
          <w:rFonts w:ascii="Amiri" w:hAnsi="Amiri" w:eastAsia="Amiri" w:cs="Amiri"/>
          <w:color w:val="111111"/>
          <w:sz w:val="28"/>
          <w:sz w:val="28"/>
          <w:szCs w:val="28"/>
          <w:rtl w:val="true"/>
          <w:lang w:bidi="ar-SA"/>
        </w:rPr>
        <w:t xml:space="preserve">الكليني فهو من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ترضىعليه في المشيخة في طريقه إلى محمد بن يعقوب الكليني</w:t>
      </w:r>
      <w:r>
        <w:rPr>
          <w:rStyle w:val="FootnoteAnchor"/>
          <w:rtl w:val="true"/>
        </w:rPr>
        <w:footnoteReference w:id="794"/>
      </w:r>
      <w:r>
        <w:rPr>
          <w:rFonts w:ascii="Amiri" w:hAnsi="Amiri" w:eastAsia="Amiri" w:cs="Amiri"/>
          <w:color w:val="111111"/>
          <w:sz w:val="28"/>
          <w:sz w:val="28"/>
          <w:szCs w:val="28"/>
          <w:rtl w:val="true"/>
          <w:lang w:bidi="ar-SA"/>
        </w:rPr>
        <w:t>، وهو طريق الصدوق إلى الكليني أيضاً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إضافة إلى أن هذه الرواية مجبورة بما يقرب من الشهرة الروائية ويشترك معها في المناط، عند من يراها جابرة، لروايتها في الاحتجاج للطبرسي، وكمال الدين للصدوق، وفي كتاب الغيبة للشيخ بسند صحيح، كما رواها الراوندي في الخرائج، ومن المتأخرين العلامة المجلسي في البحار، والحر العاملي في الوسائل، والشيخ في المكاسب متلقياً إياها بالقبول، وآخرون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مجبورة بالشهرة الفتوائية، إذ عليها الفتوى والعمل ظاهراً،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المسألة لا تخلو عن إشكال وإن كان الحكم به مشهورياً</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الزنجاني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الأصحاب الاعتماد على هذا التوقيع وعليه العمل</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بهذه الرواية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الرجوع إلى الفقيه في الأمور المذكورة فيدل عليه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p>
    <w:p>
      <w:pPr>
        <w:pStyle w:val="BookText"/>
        <w:rPr/>
      </w:pPr>
      <w:r>
        <w:rPr>
          <w:rFonts w:ascii="Amiri" w:hAnsi="Amiri" w:eastAsia="Amiri" w:cs="Amiri"/>
          <w:color w:val="111111"/>
          <w:sz w:val="28"/>
          <w:sz w:val="28"/>
          <w:szCs w:val="28"/>
          <w:rtl w:val="true"/>
          <w:lang w:bidi="ar-SA"/>
        </w:rPr>
        <w:t>المروي في إكمال الدين وكتاب الغيبة واحتجاج الطبرسي الوارد في جواب مسائل إسحاق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جعل هذا التوقيع دليلاً لا مؤيداً، ثمّ إنه لاحظ النسبة بين هذا التوقيع وبين العمومات الظاهرة في إذن الشارع في كل معروف لكل أحد، وقدمه عليها حكومة،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النسبة بينهما وإن كانت عموماً من وجه إلاّ أن الظاهر حكومة هذا التوقيع عليها وكونها بمنزلة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تسليم التنزل عن ذلك فالمرجع بعد تعارض العمومين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كون الحكومة والتعارض فرعيالحجية</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ولعل استدلاله به لما ذكرناه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معظم محشي المكاسب سكتوا عن المناقشة في الرواية سنداً،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يعضد مضمونها برواية أحمد بن إسحاق، وعبد العزيز بن المهتدي، وعلي بن المسيب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 بن علي بن يقطين، وبمقبولة عمر بن حظلة، وبسائر الروايات الواردة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أوثق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رواه الكشي في رجاله بسند عال صحيح</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الوجوه وإن كانت لا تخلو عن بعض المناقشات، لكن في مجموعها الكفاية، إذ إنها تورث الاطمئنان النوعي بالصدور</w:t>
      </w:r>
      <w:r>
        <w:rPr>
          <w:rFonts w:eastAsia="Amiri" w:cs="Amiri" w:ascii="Amiri" w:hAnsi="Amiri"/>
          <w:color w:val="111111"/>
          <w:sz w:val="28"/>
          <w:szCs w:val="28"/>
          <w:rtl w:val="true"/>
          <w:lang w:bidi="ar-SA"/>
        </w:rPr>
        <w:t xml:space="preserve">. </w:t>
      </w:r>
      <w:bookmarkStart w:id="570" w:name="pg8204_101192"/>
    </w:p>
    <w:p>
      <w:pPr>
        <w:pStyle w:val="Heading5"/>
        <w:numPr>
          <w:ilvl w:val="4"/>
          <w:numId w:val="1"/>
        </w:numPr>
        <w:rPr/>
      </w:pPr>
      <w:bookmarkStart w:id="571" w:name="__RefHeading___Toc8924346_1051229030"/>
      <w:bookmarkStart w:id="572" w:name="_Toc212"/>
      <w:bookmarkEnd w:id="570"/>
      <w:bookmarkEnd w:id="571"/>
      <w:r>
        <w:rPr>
          <w:rtl w:val="true"/>
        </w:rPr>
        <w:t>فقه الحديث</w:t>
      </w:r>
      <w:bookmarkEnd w:id="572"/>
    </w:p>
    <w:p>
      <w:pPr>
        <w:pStyle w:val="Heading6"/>
        <w:numPr>
          <w:ilvl w:val="5"/>
          <w:numId w:val="1"/>
        </w:numPr>
        <w:rPr/>
      </w:pPr>
      <w:bookmarkStart w:id="573" w:name="__RefHeading___Toc8924348_1051229030"/>
      <w:bookmarkStart w:id="574" w:name="_Toc213"/>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ولنبدأ الآن بفقه الحديث، مما يرتبط بما نحن بصدده</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8924350_1051229030"/>
      <w:bookmarkStart w:id="576" w:name="_Toc214"/>
      <w:bookmarkEnd w:id="575"/>
      <w:r>
        <w:rPr>
          <w:rtl w:val="true"/>
        </w:rPr>
        <w:t>أ</w:t>
      </w:r>
      <w:r>
        <w:rPr>
          <w:rtl w:val="true"/>
        </w:rPr>
        <w:t>: (</w:t>
      </w:r>
      <w:r>
        <w:rPr>
          <w:rtl w:val="true"/>
        </w:rPr>
        <w:t>الحوادث</w:t>
      </w:r>
      <w:r>
        <w:rPr>
          <w:rtl w:val="true"/>
        </w:rPr>
        <w:t>)</w:t>
      </w:r>
      <w:bookmarkEnd w:id="576"/>
    </w:p>
    <w:p>
      <w:pPr>
        <w:pStyle w:val="Heading6"/>
        <w:numPr>
          <w:ilvl w:val="5"/>
          <w:numId w:val="1"/>
        </w:numPr>
        <w:rPr/>
      </w:pPr>
      <w:bookmarkStart w:id="577" w:name="__RefHeading___Toc8924352_1051229030"/>
      <w:bookmarkStart w:id="578" w:name="_Toc215"/>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 xml:space="preserve">جمع محلى وهو مفيد للعموم، كما 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بها ما يرتبط بالشرع منها، 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الحادثة من حيث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بقرينة الحكم والموضوع حيث يضيق المحمول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فيها إلى رواة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الموضوع،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الطبيب في ما يلم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يضيق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جزء المحمول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ما يلم بك، فيخصصه بالجانب الطبي، فالرواة هم المرجع في الحادثة من بُعدها الشرعي، لا أنهم المرجع في مسائل الطب والهندسة مثلاً، من حيث هي مسائل طبية أو هندسية، فهم المرجع في المسألة الطبية من بُعدها الشرعي ومن حيث اشتمالها عليه، فيكون ذلك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إبقاء الحوادث على إطلاقها الأحوالي، واعتبار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من القرينة المقامية راجعاً إلى محذوف مضاف للحوادث، وربما يأتي في تفصيل الحديث عن ذلك إن شاء الله تعالى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حادثة، مصدرها الحدوث، وهو كون شيء لم يكن، </w:t>
      </w:r>
      <w:bookmarkStart w:id="579" w:name="pg8204_101193"/>
    </w:p>
    <w:p>
      <w:pPr>
        <w:pStyle w:val="BookText"/>
        <w:rPr/>
      </w:pPr>
      <w:bookmarkEnd w:id="579"/>
      <w:r>
        <w:rPr>
          <w:rFonts w:ascii="Amiri" w:hAnsi="Amiri" w:eastAsia="Amiri" w:cs="Amiri"/>
          <w:color w:val="111111"/>
          <w:sz w:val="28"/>
          <w:sz w:val="28"/>
          <w:szCs w:val="28"/>
          <w:rtl w:val="true"/>
          <w:lang w:bidi="ar-SA"/>
        </w:rPr>
        <w:t>وحدث أمر أي وقع، والحديث الجديد من الأشياء</w:t>
      </w:r>
      <w:r>
        <w:rPr>
          <w:rStyle w:val="FootnoteAnchor"/>
          <w:rtl w:val="true"/>
        </w:rPr>
        <w:footnoteReference w:id="800"/>
      </w:r>
      <w:r>
        <w:rPr>
          <w:rFonts w:ascii="Amiri" w:hAnsi="Amiri" w:eastAsia="Amiri" w:cs="Amiri"/>
          <w:color w:val="111111"/>
          <w:sz w:val="28"/>
          <w:sz w:val="28"/>
          <w:szCs w:val="28"/>
          <w:rtl w:val="true"/>
          <w:lang w:bidi="ar-SA"/>
        </w:rPr>
        <w:t xml:space="preserve">، وإذا تم الأخير يخرج أمثال حكم الشك بين الثالثة والرابعة والتزوج بالغائب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لوسلم فليس لعدم كونها حادثة واقعة، بل لمعلومية الحكم</w:t>
      </w:r>
      <w:r>
        <w:rPr>
          <w:rStyle w:val="FootnoteAnchor"/>
          <w:rtl w:val="true"/>
        </w:rPr>
        <w:footnoteReference w:id="801"/>
      </w:r>
      <w:r>
        <w:rPr>
          <w:rFonts w:ascii="Amiri" w:hAnsi="Amiri" w:eastAsia="Amiri" w:cs="Amiri"/>
          <w:color w:val="111111"/>
          <w:sz w:val="28"/>
          <w:sz w:val="28"/>
          <w:szCs w:val="28"/>
          <w:rtl w:val="true"/>
          <w:lang w:bidi="ar-SA"/>
        </w:rPr>
        <w:t>، فلو جهل شخص الحكم وحدثت له في هذه الحادثة 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شيء لم يكن، بل هو جديد له وإن لم يكن جديداً في كلّيه الطبيعي</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8924354_1051229030"/>
      <w:bookmarkStart w:id="581" w:name="_Toc216"/>
      <w:bookmarkEnd w:id="580"/>
      <w:r>
        <w:rPr>
          <w:rtl w:val="true"/>
        </w:rPr>
        <w:t>الإشكال بانصرافها للموضوعات الجديدة الحدوث أو خروج غيرها موضوعياً</w:t>
      </w:r>
      <w:bookmarkEnd w:id="58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إلى الموضوعات الجديدة الحدوث،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الموضوعي لغيرها، حيث إن موضوعات الأحكام هي الكليات الطبيعية لا الجزئيات الخارجية، فما كان كلّيه الطبيعي حادثاً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كالبنوك، والتأمين، والسفر بالطائرة وشبهها، في القصر والإتمام وتصويت النساء في 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موضوع هذه الرواية، أما ما كان كليه الطبيعي ذا مصاديق 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كالشكيات، والغائب عنها زوجها، ونجاسة ملاقي أطراف الشبهة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الحكم سابقاً على كليه وابتلى الشخص بجزئية حدثت له، فلا تشمله هذه الرواية، للخروج الموضوعي، لكون الموضوع في هذه الرواية على ذاك المبنى هو الكلي الطبيعي للحوادث الواقعة، وليس هذا الكلي حادثاً، إذ حدوثه يكون بحدوث أول فرد</w:t>
      </w:r>
      <w:r>
        <w:rPr>
          <w:rFonts w:eastAsia="Amiri" w:cs="Amiri" w:ascii="Amiri" w:hAnsi="Amiri"/>
          <w:color w:val="111111"/>
          <w:sz w:val="28"/>
          <w:szCs w:val="28"/>
          <w:rtl w:val="true"/>
          <w:lang w:bidi="ar-SA"/>
        </w:rPr>
        <w:t xml:space="preserve">. </w:t>
      </w:r>
      <w:bookmarkStart w:id="582" w:name="pg8204_101194"/>
    </w:p>
    <w:p>
      <w:pPr>
        <w:pStyle w:val="BookText"/>
        <w:rPr/>
      </w:pPr>
      <w:bookmarkEnd w:id="582"/>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أصله، لا ما حدث فرد من أفراده، إضافة إلى ما في وقوع هذا الجواب جواباً عن مسائل أشكلت على إسحاق بن يعقوب، وليس ما ورد الحكم على كليه وابتلى الشخص بجزئيه من المسائل المشكلة حتى يسألها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تلك المسائل</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8924356_1051229030"/>
      <w:bookmarkStart w:id="584" w:name="_Toc217"/>
      <w:bookmarkEnd w:id="583"/>
      <w:r>
        <w:rPr>
          <w:rtl w:val="true"/>
        </w:rPr>
        <w:t>الأجوبة</w:t>
      </w:r>
      <w:r>
        <w:rPr>
          <w:rtl w:val="true"/>
        </w:rPr>
        <w:t>:</w:t>
      </w:r>
      <w:bookmarkEnd w:id="584"/>
    </w:p>
    <w:p>
      <w:pPr>
        <w:pStyle w:val="Heading6"/>
        <w:numPr>
          <w:ilvl w:val="5"/>
          <w:numId w:val="1"/>
        </w:numPr>
        <w:rPr/>
      </w:pPr>
      <w:bookmarkStart w:id="585" w:name="__RefHeading___Toc8924358_1051229030"/>
      <w:bookmarkStart w:id="586" w:name="_Toc218"/>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الموضوع هو الكلي الطبيعي أو الفرد والجزئي لا يرتبط بهذا التفريق فيما نحن فيه، إذ ذاك النزاع يعود إلى أن متعلق التكليف هو الفرد بخصوصياته، بمعنى أن الوجوب مثلاً منبسط على الجامع وعلى الخصوصيات، أو متعلق بالجامع الموجود في الأفراد، بمعنى أنه هو المطلوب، والمشخصات لوازمه ومقارناته، وهذا تابع لتحقق الغرض بأي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القول بالكلي الطبيعي لا يستلزم القول بعدم تعلق الحكم بالفرد وعدم اتصافه به، بل يستلزم تعلقه بالفرد من حيث الجامع لا من هذا الحيث وحيث الخصوصيات معاً، فالفرد بوجوده السعي متعلق التكليف لا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دعوى الخروج الموضوعي، وتبقى دعوى الانصراف لكن عهدتها على مدعيها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تطبيق ذلك على ما نحن فيه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مسلك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للتكليف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حادثة واقعة، لا بما هي مشتملة على مشخصات ولوازم فردية وجودية لكل حادثة،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امرأة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بلوازمها الوجودية كالحيز والزمان، فلو فرض انفكاكها عنها كان التكليف باقياً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كون متعلق التكاليف الكلي الطبيعي دليلاً على أن المراد من الحوادث ما حدث أصله</w:t>
      </w:r>
      <w:r>
        <w:rPr>
          <w:rStyle w:val="FootnoteAnchor"/>
          <w:rtl w:val="true"/>
        </w:rPr>
        <w:footnoteReference w:id="802"/>
      </w:r>
      <w:r>
        <w:rPr>
          <w:rFonts w:ascii="Amiri" w:hAnsi="Amiri" w:eastAsia="Amiri" w:cs="Amiri"/>
          <w:color w:val="111111"/>
          <w:sz w:val="28"/>
          <w:sz w:val="28"/>
          <w:szCs w:val="28"/>
          <w:rtl w:val="true"/>
          <w:lang w:bidi="ar-SA"/>
        </w:rPr>
        <w:t>، كما ليس كون متعلقها الفرد دليلاً على أن المراد منها ما حدث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التفريق بلا فارق وبلا دليل، وأنه تخصيص بلا مخصص، فينبغي القول بأن المراد إما ما كان أصله حادثاً أو ما كان مصداقه حادثاً،فتأمل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يستلزم خروج كافة ما يحدث للفرد أو للمجتمع أو للدولة مما كانت له مصاديق سابقة ورد الحكم على كليّها، كالحرب والصلح مع دولة معينة والمعاهدات الدولية وأن زيداً مبتدع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كالشلمغاني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الخطاب محمد بن أبي زينب الأجدع الذي ادعى النيابة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فخرج التوقيع بلعنه</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وأن هذه النظرية بدعة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كنظرية فرويد في خلقة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الولاية المطلقة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مطابقة لأصول الإسلام أم لا، إلى غير ذلك مما يندرج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 وَلا هُدًى وَلا كِتَابٍ مُنِيرٍ</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w:t>
      </w:r>
      <w:bookmarkStart w:id="587" w:name="pg8204_101196"/>
    </w:p>
    <w:p>
      <w:pPr>
        <w:pStyle w:val="BookText"/>
        <w:rPr/>
      </w:pPr>
      <w:bookmarkEnd w:id="587"/>
      <w:r>
        <w:rPr>
          <w:rFonts w:ascii="Amiri" w:hAnsi="Amiri" w:eastAsia="Amiri" w:cs="Amiri"/>
          <w:color w:val="111111"/>
          <w:sz w:val="28"/>
          <w:sz w:val="28"/>
          <w:szCs w:val="28"/>
          <w:rtl w:val="true"/>
          <w:lang w:bidi="ar-SA"/>
        </w:rPr>
        <w:t>بِالْعُرْفِ وَأَعْرِضْ عَنِ الْجاهِلِينَ</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إلخ، على تأمل في اندراج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كون أمثال هذه الأمور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بل من أوضح مصاديقها مما لا ينبغي الارتياب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بأن المتبادر عرفاً من الحوادث الأفراد لا الأصل، فكما يطلق على أول فرد تحدث بحدوثه الطبيعة حادث، كذلك يطلق على ثاني فرد حادث، والأصح القول بالشمول للاثنين لكونه جمعاً محلى ولا مخصص</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8924360_1051229030"/>
      <w:bookmarkStart w:id="589" w:name="_Toc219"/>
      <w:bookmarkEnd w:id="588"/>
      <w:r>
        <w:rPr>
          <w:rtl w:val="true"/>
        </w:rPr>
        <w:t>شمول الرواية للحادث أصله أو فرده و</w:t>
      </w:r>
      <w:r>
        <w:rPr>
          <w:rtl w:val="true"/>
        </w:rPr>
        <w:t>...</w:t>
      </w:r>
      <w:bookmarkEnd w:id="589"/>
    </w:p>
    <w:p>
      <w:pPr>
        <w:pStyle w:val="BookText"/>
        <w:rPr/>
      </w:pPr>
      <w:r>
        <w:rPr>
          <w:rFonts w:ascii="Amiri" w:hAnsi="Amiri" w:eastAsia="Amiri" w:cs="Amiri"/>
          <w:color w:val="111111"/>
          <w:sz w:val="28"/>
          <w:sz w:val="28"/>
          <w:szCs w:val="28"/>
          <w:rtl w:val="true"/>
          <w:lang w:bidi="ar-SA"/>
        </w:rPr>
        <w:t>وبما ذكر يتضح أن الرواية تشمل أموراً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أصله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فرده حادثاً مع الجهل بحكم كليه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كالشاك بين الثلاث والأربع، والمصلي تماماً موضع القصر وبالعكس</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فرده حادثاً مع جهل كونه صغرى أية كبرى، بأن كانت الكبريات معلومة، وكان الشك في تطبيق الكبرى على الصغرى</w:t>
      </w:r>
      <w:r>
        <w:rPr>
          <w:rStyle w:val="FootnoteAnchor"/>
          <w:rtl w:val="true"/>
        </w:rPr>
        <w:footnoteReference w:id="810"/>
      </w:r>
      <w:r>
        <w:rPr>
          <w:rFonts w:ascii="Amiri" w:hAnsi="Amiri" w:eastAsia="Amiri" w:cs="Amiri"/>
          <w:color w:val="111111"/>
          <w:sz w:val="28"/>
          <w:sz w:val="28"/>
          <w:szCs w:val="28"/>
          <w:rtl w:val="true"/>
          <w:lang w:bidi="ar-SA"/>
        </w:rPr>
        <w:t>، كما لو حدثت حرب وأمكن الصلح وجهل كونها صغرى 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 xml:space="preserve">، أو </w:t>
      </w:r>
    </w:p>
    <w:p>
      <w:pPr>
        <w:pStyle w:val="BookText"/>
        <w:rPr/>
      </w:pP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 وكما لو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بأسلوبه العصري وجهل كونه مندرجاً تحت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عَنْهُمْ إِصْرَهُمْ</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 فهو حرام وتعدِّ على الغير، أو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بأقسامه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الدولة والأمة والتجار، مع تغليب الأولين، أو تحت 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 التضخم</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 وقد فصل الحديث عن هذه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أوليات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تردد في شمول الرواية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للانصراف أو احتماله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للتردد في شمولها للأول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لمكان عمومها ما حدث للفرد وما حدث للنوع، ومثال ما حدث للنوع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المعاهدات الدولية والحرب، وما حدث للفرد كتوكيله شخصاً في أمر ومعاهدته مع شخص، كما تشمل ما يتطلب الرجوع إلى راوٍ واحد على سبيل البدل، وما يتطلب الرجوع إلى مجموعة منهم أو إلى جميعهم، لتوقف معرفة الحكم أو القدرة على تنفيذه أحياناً على الرجوع لمجموعة منهم أو إلى جميعهم، وسنفصل هذا فيما سيأتي بإذنه تعالى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 في الذيل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السؤال لكي يعيّن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المرجع العام في كل الأمور،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راوي الحديث، وكونها مسائل أشكلت عليه، لا يستلزم كون كل بنودها الثلاثة</w:t>
      </w:r>
      <w:r>
        <w:rPr>
          <w:rStyle w:val="FootnoteAnchor"/>
          <w:rtl w:val="true"/>
        </w:rPr>
        <w:footnoteReference w:id="816"/>
      </w: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w:t>
      </w:r>
      <w:bookmarkStart w:id="590" w:name="pg8204_101198"/>
    </w:p>
    <w:p>
      <w:pPr>
        <w:pStyle w:val="Heading6"/>
        <w:numPr>
          <w:ilvl w:val="5"/>
          <w:numId w:val="1"/>
        </w:numPr>
        <w:rPr/>
      </w:pPr>
      <w:bookmarkStart w:id="591" w:name="__RefHeading___Toc8924362_1051229030"/>
      <w:bookmarkStart w:id="592" w:name="_Toc220"/>
      <w:bookmarkEnd w:id="590"/>
      <w:bookmarkEnd w:id="591"/>
      <w:r>
        <w:rPr>
          <w:rtl w:val="true"/>
        </w:rPr>
        <w:t xml:space="preserve">الإشكال على إفادة </w:t>
      </w:r>
      <w:r>
        <w:rPr>
          <w:rtl w:val="true"/>
        </w:rPr>
        <w:t>(</w:t>
      </w:r>
      <w:r>
        <w:rPr>
          <w:rtl w:val="true"/>
        </w:rPr>
        <w:t>الحوادث</w:t>
      </w:r>
      <w:r>
        <w:rPr>
          <w:rtl w:val="true"/>
        </w:rPr>
        <w:t xml:space="preserve">) </w:t>
      </w:r>
      <w:r>
        <w:rPr>
          <w:rtl w:val="true"/>
        </w:rPr>
        <w:t>للعموم، باحتمال عهديتها</w:t>
      </w:r>
      <w:bookmarkEnd w:id="592"/>
    </w:p>
    <w:p>
      <w:pPr>
        <w:pStyle w:val="BookText"/>
        <w:rPr/>
      </w:pPr>
      <w:r>
        <w:rPr>
          <w:rFonts w:ascii="Amiri" w:hAnsi="Amiri" w:eastAsia="Amiri" w:cs="Amiri"/>
          <w:color w:val="111111"/>
          <w:sz w:val="28"/>
          <w:sz w:val="28"/>
          <w:szCs w:val="28"/>
          <w:rtl w:val="true"/>
          <w:lang w:bidi="ar-SA"/>
        </w:rPr>
        <w:t xml:space="preserve">وأما الإشكال على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الجمع المحلى باللام إنما يفيد العموم حيث لا عهد، ولم يعلم أن المسؤول عنه أي شيء عبّر عنه بالحوادث الواقعة، فكيف يؤخذ فيها بالعموم، ويحتمل إرادة الفروع المتحددة كما يحتمل إرادة الحوادث التي هي علائم الظهور وأنها ما هي</w:t>
      </w:r>
      <w:r>
        <w:rPr>
          <w:rFonts w:eastAsia="Amiri" w:cs="Amiri" w:ascii="Amiri" w:hAnsi="Amiri"/>
          <w:color w:val="111111"/>
          <w:sz w:val="28"/>
          <w:szCs w:val="28"/>
          <w:rtl w:val="true"/>
          <w:lang w:bidi="ar-SA"/>
        </w:rPr>
        <w:t>).</w:t>
      </w:r>
      <w:r>
        <w:rPr>
          <w:rStyle w:val="FootnoteAnchor"/>
          <w:rtl w:val="true"/>
        </w:rPr>
        <w:footnoteReference w:id="817"/>
      </w:r>
    </w:p>
    <w:p>
      <w:pPr>
        <w:pStyle w:val="Heading6"/>
        <w:numPr>
          <w:ilvl w:val="5"/>
          <w:numId w:val="1"/>
        </w:numPr>
        <w:rPr/>
      </w:pPr>
      <w:bookmarkStart w:id="593" w:name="__RefHeading___Toc8924364_1051229030"/>
      <w:bookmarkStart w:id="594" w:name="_Toc221"/>
      <w:bookmarkEnd w:id="593"/>
      <w:r>
        <w:rPr>
          <w:rtl w:val="true"/>
        </w:rPr>
        <w:t>الأجوبة</w:t>
      </w:r>
      <w:r>
        <w:rPr>
          <w:rtl w:val="true"/>
        </w:rPr>
        <w:t>:</w:t>
      </w:r>
      <w:bookmarkEnd w:id="594"/>
    </w:p>
    <w:p>
      <w:pPr>
        <w:pStyle w:val="Heading6"/>
        <w:numPr>
          <w:ilvl w:val="5"/>
          <w:numId w:val="1"/>
        </w:numPr>
        <w:rPr/>
      </w:pPr>
      <w:bookmarkStart w:id="595" w:name="__RefHeading___Toc8924366_1051229030"/>
      <w:bookmarkStart w:id="596" w:name="_Toc222"/>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8924368_1051229030"/>
      <w:bookmarkStart w:id="598" w:name="_Toc223"/>
      <w:bookmarkEnd w:id="597"/>
      <w:r>
        <w:rPr>
          <w:rtl w:val="true"/>
        </w:rPr>
        <w:t xml:space="preserve">لا يناسب العهد، التعليل ب </w:t>
      </w:r>
      <w:r>
        <w:rPr>
          <w:rtl w:val="true"/>
        </w:rPr>
        <w:t>(</w:t>
      </w:r>
      <w:r>
        <w:rPr>
          <w:rtl w:val="true"/>
        </w:rPr>
        <w:t>فإنهم حجتي عليكم</w:t>
      </w:r>
      <w:r>
        <w:rPr>
          <w:rtl w:val="true"/>
        </w:rPr>
        <w:t>)</w:t>
      </w:r>
      <w:bookmarkEnd w:id="59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احتمال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علائم الظهور، وأنها ما هي، فمدفوع بأن ذلك لا يناسب التعليل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مناسبة بين تحديد علائم الظهور وبين احتجاج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إذ الحجة ما يحتج به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مطلق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عبده أو غيره، فبأي شيء من علائم الظهور يحتج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خاصة إذا كان معنى الحجية المنجزية والمعذرية، فذكر علائم الظهور منجز أو معذر لأي شيء؟</w:t>
      </w:r>
      <w:r>
        <w:rPr>
          <w:rStyle w:val="FootnoteAnchor"/>
          <w:rtl w:val="true"/>
        </w:rPr>
        <w:footnoteReference w:id="818"/>
      </w:r>
      <w:r>
        <w:rPr>
          <w:rFonts w:ascii="Amiri" w:hAnsi="Amiri" w:eastAsia="Amiri" w:cs="Amiri"/>
          <w:color w:val="111111"/>
          <w:sz w:val="28"/>
          <w:sz w:val="28"/>
          <w:szCs w:val="28"/>
          <w:rtl w:val="true"/>
          <w:lang w:bidi="ar-SA"/>
        </w:rPr>
        <w:t>خاصة مع إضافة الحجة لياء المتكلم وإسنادها إليه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الحجية أعم من دائرة الإنشاء، إذا لم يرد بها المنجزية أو </w:t>
      </w:r>
    </w:p>
    <w:p>
      <w:pPr>
        <w:pStyle w:val="BookText"/>
        <w:rPr/>
      </w:pPr>
      <w:r>
        <w:rPr>
          <w:rFonts w:ascii="Amiri" w:hAnsi="Amiri" w:eastAsia="Amiri" w:cs="Amiri"/>
          <w:color w:val="111111"/>
          <w:sz w:val="28"/>
          <w:sz w:val="28"/>
          <w:szCs w:val="28"/>
          <w:rtl w:val="true"/>
          <w:lang w:bidi="ar-SA"/>
        </w:rPr>
        <w:t xml:space="preserve">لزوم الاتباع، فإنشاء المولى حجة في ثبوت التكليف واستحقاق العقاب على المخالفة، وإخباره حجة في ثبوت المخبر به، وليست الحجة أخص من الدليل، بل إما مساوية أو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الأعمية بناءً على الفرق اصطلاحاً بين الأصل والدليل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 بها الكاشف، وليست الحجية صفة علائم الظهور في الرواية، بل الحجة صفة رواة الحديث وكلامهم،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كذا علامة للظهور حجة ودليل فيثبت المؤدى بكلامهم، وسيأتي تفصيل الكلام حول معنى ومدى سعة مدلول كلمة الحجية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الأنسب بالحجة بل منصرفها الحجة على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أحكام الموضوعات العامة أو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أنه لا مقتضي لعدم الإجابة على السؤال على علائم الظهور بالإرجاع إلى رواة الحديث، بل المقتضي للإجابة موجود، ولذا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على ذلك كلما سئل، أو يتطرق لذلك حتى دون سؤال، فراجع رسالته الأولى إلى المفيد</w:t>
      </w:r>
      <w:r>
        <w:rPr>
          <w:rStyle w:val="FootnoteAnchor"/>
          <w:rtl w:val="true"/>
        </w:rPr>
        <w:footnoteReference w:id="819"/>
      </w:r>
      <w:r>
        <w:rPr>
          <w:rFonts w:ascii="Amiri" w:hAnsi="Amiri" w:eastAsia="Amiri" w:cs="Amiri"/>
          <w:color w:val="111111"/>
          <w:sz w:val="28"/>
          <w:sz w:val="28"/>
          <w:szCs w:val="28"/>
          <w:rtl w:val="true"/>
          <w:lang w:bidi="ar-SA"/>
        </w:rPr>
        <w:t>، ورسالته الثانية له</w:t>
      </w:r>
      <w:r>
        <w:rPr>
          <w:rStyle w:val="FootnoteAnchor"/>
          <w:rtl w:val="true"/>
        </w:rPr>
        <w:footnoteReference w:id="820"/>
      </w:r>
      <w:r>
        <w:rPr>
          <w:rFonts w:ascii="Amiri" w:hAnsi="Amiri" w:eastAsia="Amiri" w:cs="Amiri"/>
          <w:color w:val="111111"/>
          <w:sz w:val="28"/>
          <w:sz w:val="28"/>
          <w:szCs w:val="28"/>
          <w:rtl w:val="true"/>
          <w:lang w:bidi="ar-SA"/>
        </w:rPr>
        <w:t>، وذكره علامات عديدة لابن المهزيار</w:t>
      </w:r>
      <w:r>
        <w:rPr>
          <w:rStyle w:val="FootnoteAnchor"/>
          <w:rtl w:val="true"/>
        </w:rPr>
        <w:footnoteReference w:id="821"/>
      </w:r>
      <w:r>
        <w:rPr>
          <w:rFonts w:ascii="IRNazanin" w:hAnsi="IRNazanin" w:eastAsia="IRNazanin"/>
          <w:color w:val="111111"/>
          <w:sz w:val="28"/>
          <w:sz w:val="28"/>
          <w:szCs w:val="28"/>
          <w:rtl w:val="true"/>
          <w:lang w:bidi="fa-IR"/>
        </w:rPr>
        <w:t>،وموارد أخرى</w:t>
      </w:r>
      <w:r>
        <w:rPr>
          <w:rFonts w:eastAsia="IRNazanin" w:cs="IRNazanin"/>
          <w:color w:val="111111"/>
          <w:sz w:val="28"/>
          <w:szCs w:val="28"/>
          <w:rtl w:val="true"/>
          <w:lang w:bidi="fa-IR"/>
        </w:rPr>
        <w:t>.</w:t>
      </w:r>
      <w:r>
        <w:rPr>
          <w:rStyle w:val="FootnoteAnchor"/>
          <w:rtl w:val="true"/>
        </w:rPr>
        <w:footnoteReference w:id="82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بُعد هذا الاحتمال من مساق الكلام ومن لحن الحديث، خاصة مع فصل هذه القطعة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ظهور الفرج فإنه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 من زعم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استبعاد التعبير عن علائم الظهور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فإنها علائم على الحوادث الواقعة وليست بها، فتأمل، ولعل مجموع ما ذكر يفيد الاطمئنان بأنه ليس المراد من الحوادث الواقعة </w:t>
      </w:r>
      <w:bookmarkStart w:id="599" w:name="pg8204_101200"/>
    </w:p>
    <w:p>
      <w:pPr>
        <w:pStyle w:val="BookText"/>
        <w:rPr/>
      </w:pPr>
      <w:bookmarkEnd w:id="599"/>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احتمال إرادة الفروع المتجددة فلو سلم، فإنه لا ينفي مرجعية الفقهاء في الأمور العامة، إذ لا نحتاج في إثبات المدعي إلى إثبات ولاية الفقيه، بل يكفي وجوب الرجوع والاستفتاء في كل موضوع حادث وفرع متجدد إلى الفقيه، ووجوب الالتزام بالفتوى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لا يخفى، والأولى الجواب بأن الأنسب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يحدث من أمر وما ينوب من خطب، وليس الفرع الفقهي المتجدد</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8924370_1051229030"/>
      <w:bookmarkStart w:id="601" w:name="_Toc224"/>
      <w:bookmarkEnd w:id="600"/>
      <w:r>
        <w:rPr>
          <w:rtl w:val="true"/>
        </w:rPr>
        <w:t>خصوصية السؤال لا تخل بعمومية العلة</w:t>
      </w:r>
      <w:bookmarkEnd w:id="60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السؤال خاصاً لا يضر بعموم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كما هو الأصل فيها؛ وذلك لمكان التعليل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تعليل، والعلة معممة ومخصصة، فلا تختص الحجية بهذا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في الأوثق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عموم العلة يقتضي كونهم حجة مطلقاً، سواء كان ذلك في الفتوى أم القضاء أم الرواية، فتثبت لهم بذلك الولاية في الأمور العامة سيما منصب القضاء والإفتاء</w:t>
      </w:r>
      <w:r>
        <w:rPr>
          <w:rFonts w:eastAsia="Amiri" w:cs="Amiri" w:ascii="Amiri" w:hAnsi="Amiri"/>
          <w:color w:val="111111"/>
          <w:sz w:val="28"/>
          <w:szCs w:val="28"/>
          <w:rtl w:val="true"/>
          <w:lang w:bidi="ar-SA"/>
        </w:rPr>
        <w:t>).</w:t>
      </w:r>
      <w:r>
        <w:rPr>
          <w:rStyle w:val="FootnoteAnchor"/>
          <w:rtl w:val="true"/>
        </w:rPr>
        <w:footnoteReference w:id="82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ومقتضى فطرة الأنام أن الفقيه الجامع للشرائط بمنزلة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اختص به المعصوم، وذلك يقتضي سعة الولاية إلا ما خرج بالدليل، كما يقتضيها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حجتي </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 في كتاب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أدلة حكومته خصوصاً رواية النصب التي وردت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 وروحي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يصيره من أولي الأمر الذين أوجب الله علينا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وقال في المحاكمة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 فلو كانت الحجية مقيدة بالفتوى والقضاء لكان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فيستكشف من ذلك حجية قول الفقيه في جميع شؤون الرعية التي يحتاجون فيها إلى الرئيس والزعيم، فالرواية لا قصور فيها للدلالة على ولاية الفقيه في الجهات العامة، بل نقول بنص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تسبق الشبهة في الأذهان من بعض الأكابر لكان المتبادر عن الرواية ما قلناه ولفهم ذلك كل من نظر فيها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يوضح ذلك أن العبد لو سأل مولاه عند مرض ابنه بالسل والبرص ووجع العين جميعاً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أراجع الطبيب الفلاني لعلاج هذه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الأمراض الحادثة لابني راجع فيها هذا الطبيب، فإنه خبير أو فإن معلوماته واسعة أو فإنه مدقق متثبت</w:t>
      </w:r>
      <w:r>
        <w:rPr>
          <w:rStyle w:val="FootnoteAnchor"/>
          <w:rtl w:val="true"/>
        </w:rPr>
        <w:footnoteReference w:id="828"/>
      </w:r>
      <w:r>
        <w:rPr>
          <w:rFonts w:ascii="Amiri" w:hAnsi="Amiri" w:eastAsia="Amiri" w:cs="Amiri"/>
          <w:color w:val="111111"/>
          <w:sz w:val="28"/>
          <w:sz w:val="28"/>
          <w:szCs w:val="28"/>
          <w:rtl w:val="true"/>
          <w:lang w:bidi="ar-SA"/>
        </w:rPr>
        <w:t>أو فإنه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وجوب أو جواز الرجوع مختصاً بهذه الأمراض،أم ترى أن التعليل يقتضي وجوب أو جواز الرجوع إليه مطلقاً، حتى لو كانت اللام للعهد الذكري قطعاً، وذلك لمكان </w:t>
      </w:r>
    </w:p>
    <w:p>
      <w:pPr>
        <w:pStyle w:val="BookText"/>
        <w:rPr/>
      </w:pPr>
      <w:r>
        <w:rPr>
          <w:rFonts w:ascii="Amiri" w:hAnsi="Amiri" w:eastAsia="Amiri" w:cs="Amiri"/>
          <w:color w:val="111111"/>
          <w:sz w:val="28"/>
          <w:sz w:val="28"/>
          <w:szCs w:val="28"/>
          <w:rtl w:val="true"/>
          <w:lang w:bidi="ar-SA"/>
        </w:rPr>
        <w:t xml:space="preserve">عموم التعليل؟ وذلك رغم احتمال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حجة في خصوص هذه الأمراض المعهودة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العقلاء يتمسكون بالإطلاق ههنا، وإلا لما أمكن التمسك بتعليل في غير مورد المعلل له أبداً،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علماء هذا البلد لأنهم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التمسك بعموم التعليل لوجوب إكرام العدول من علماء سائر البلدان، لاحتمال إرادة خصوص عدول البلد المعتضد بسبق خصوص هؤلاء،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والأوضح من هذا ما لو قال بعد سؤال سائل عن إخبار معين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حجتي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الأفراد والأنواع، والمقام من الأنواع</w:t>
      </w:r>
      <w:r>
        <w:rPr>
          <w:rStyle w:val="FootnoteAnchor"/>
          <w:rtl w:val="true"/>
        </w:rPr>
        <w:footnoteReference w:id="829"/>
      </w:r>
      <w:r>
        <w:rPr>
          <w:rFonts w:ascii="Amiri" w:hAnsi="Amiri" w:eastAsia="Amiri" w:cs="Amiri"/>
          <w:color w:val="111111"/>
          <w:sz w:val="28"/>
          <w:sz w:val="28"/>
          <w:szCs w:val="28"/>
          <w:rtl w:val="true"/>
          <w:lang w:bidi="ar-SA"/>
        </w:rPr>
        <w:t>، فلا عموم، وبين ما احتمل فيه عقلائياً مدخلية خصوص المورد وغيره، خاصة مع لحاظ أن الغالب في علل الشارع انها حِكَم،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ومما يؤكد عمومية التعليل وكون راوي الحديث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مطلقاً،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حجة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 حيث يستفاد منه أن وزان حجية الفقيه علينا وزان حجية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حسب كتاب الغيبة، أو وزان حجية الفقيه على العوام وزان حجية الإمام عليه السلام عليه، حسب كمال الدين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ويعتضد هذا المضمون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الراد عليهم كالرادعلينا، </w:t>
      </w:r>
    </w:p>
    <w:p>
      <w:pPr>
        <w:pStyle w:val="BookText"/>
        <w:rPr/>
      </w:pPr>
      <w:r>
        <w:rPr>
          <w:rFonts w:ascii="Amiri" w:hAnsi="Amiri" w:eastAsia="Amiri" w:cs="Amiri"/>
          <w:color w:val="111111"/>
          <w:sz w:val="28"/>
          <w:sz w:val="28"/>
          <w:szCs w:val="28"/>
          <w:rtl w:val="true"/>
          <w:lang w:bidi="ar-SA"/>
        </w:rPr>
        <w:t>والراد علينا الراد على الله</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الأوثق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ويؤكده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حجة الله عليهم</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لأن المنساق منه التنظير في كون الرواة بمنزلته في كل ما يرجع فيه إليه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ولعل استفادة العرف عمومية الحجية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مع ملاحظة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إنكاره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يقوى ما ذكرناه أنه يستشم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الملاك والسبب في كونهم المرجع وكونهم حجته علينا، بل قد يقال بدلالته على ذلك عرفاً، ألا ترى أن المولى لو قال لعبده وقد سأله عن حكم مسائل قانونية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القانونية ارجع فيها إلى العارف بالقانون، فإنه حجتي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يستفاد من ذلك حجية قول العارف بالقانون مطلقاً في كافة المسائل القانونية؟ وهكذا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المرجع في كافة ما يرتبط بجهة كونه راوياً للحديث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تم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مرجعية راوي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لصرف كونه راوياً للحديث، ومن حيث روايته له مجردة عن الاستنباط والاجتهاد، لوضوح أنه من هذا الحيث لا يمكن أن يكون المرجع في الحوادث الواقعة، ولا يمكنه معرفة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بدون معرفة الناسخ والمنسوخ والحاكم والمحكوم والوارد والمورود عليه والعام والخاص والمطلق والمقيد والمزاحم والمعارض وكافة المرجحات السندية والدلالية والمضمونية لا يمكنه تمييز الحديث الصحيح من السقيم، أو الراجح من الأرجح، أو تمييز المراد بالإرادة الجدية من </w:t>
      </w:r>
    </w:p>
    <w:p>
      <w:pPr>
        <w:pStyle w:val="BookText"/>
        <w:rPr/>
      </w:pPr>
      <w:r>
        <w:rPr>
          <w:rFonts w:ascii="Amiri" w:hAnsi="Amiri" w:eastAsia="Amiri" w:cs="Amiri"/>
          <w:color w:val="111111"/>
          <w:sz w:val="28"/>
          <w:sz w:val="28"/>
          <w:szCs w:val="28"/>
          <w:rtl w:val="true"/>
          <w:lang w:bidi="ar-SA"/>
        </w:rPr>
        <w:t>المراد بصرف الإرادة الاستعمالية، كما لايمكنه معرفة أن الصغرى مندرجة تحت أية كبرى، إلى سائر الجهات،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عن أحاديث البدع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أيدي الناس حقاً وباطلاً، وصدقاً وكذباً، وناسخاً ومنسوخاً، وعاماً وخاصاً، ومحكماً ومتشابهاً، وحفظاً ووهماً، ولقد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راوي الحديث بما هو مجتهد هو المرجع، ولذا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همّة السفهاء الرواية، وهمة العلماء الدراية</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تحزنهم الدراية والجهال تحزنهم الرواية</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أَفْقَهُ النَّاسِ إِذَا عَرَفْتُمْ مَعَانِيَ كَلَامِنَا</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ولا فرق في ذلك بين البند الأول والثالث الآنف الذكر وغيرهما، أي بين ما كان أصل الفرع حادثاً متجدداً، وبين ما كان فرده حادثاً وجهل حكمه أو شك في إندراجه تحت أية كبرى، أو علم حكمه وشك في وجود مزاحم أو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أن جهة مرجعيته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السؤال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راوي الحديث من حيث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متحققة في كل تلك الموارد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يمكن الاستدلال على عمومه بأن حذف المتعلق يفيد العموم، ومتعلق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إذ لم يذكر أنه حجتي في الفروع المتجددة، أو في علائم الظهور، أو غيرهما، وسبق مورد خاص لا يصلح لتقييد عموم التعليل ولا لتحديد المتعلق، وكما كان حذف المتعلق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حجة الله عليهم أو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للعموم، كذلك هو مفيد له فيما قرن به وجرى مجراه وسيق بسياقه، فتأمل</w:t>
      </w:r>
      <w:r>
        <w:rPr>
          <w:rFonts w:eastAsia="Amiri" w:cs="Amiri" w:ascii="Amiri" w:hAnsi="Amiri"/>
          <w:color w:val="111111"/>
          <w:sz w:val="28"/>
          <w:szCs w:val="28"/>
          <w:rtl w:val="true"/>
          <w:lang w:bidi="ar-SA"/>
        </w:rPr>
        <w:t xml:space="preserve">. </w:t>
      </w:r>
      <w:bookmarkStart w:id="602" w:name="pg8204_101205"/>
    </w:p>
    <w:p>
      <w:pPr>
        <w:pStyle w:val="Heading6"/>
        <w:numPr>
          <w:ilvl w:val="5"/>
          <w:numId w:val="1"/>
        </w:numPr>
        <w:rPr/>
      </w:pPr>
      <w:bookmarkStart w:id="603" w:name="__RefHeading___Toc8924372_1051229030"/>
      <w:bookmarkStart w:id="604" w:name="_Toc225"/>
      <w:bookmarkEnd w:id="602"/>
      <w:bookmarkEnd w:id="603"/>
      <w:r>
        <w:rPr>
          <w:rtl w:val="true"/>
        </w:rPr>
        <w:t>سبق ما يصلح لإرادة العهد، غير مخل بأصالة العموم والجنس</w:t>
      </w:r>
      <w:bookmarkEnd w:id="604"/>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بكون الأصل في الألف واللام الجنس والعموم كما لا يبعد</w:t>
      </w:r>
      <w:r>
        <w:rPr>
          <w:rStyle w:val="FootnoteAnchor"/>
          <w:rtl w:val="true"/>
        </w:rPr>
        <w:footnoteReference w:id="841"/>
      </w:r>
      <w:r>
        <w:rPr>
          <w:rFonts w:ascii="Amiri" w:hAnsi="Amiri" w:eastAsia="Amiri" w:cs="Amiri"/>
          <w:color w:val="111111"/>
          <w:sz w:val="28"/>
          <w:sz w:val="28"/>
          <w:szCs w:val="28"/>
          <w:rtl w:val="true"/>
          <w:lang w:bidi="ar-SA"/>
        </w:rPr>
        <w:t xml:space="preserve">، وكما هو المتبادر عرفاً بلا قرينة، وشك في وجود أمر سابق خاص،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عهدياً ذكرياً بلحاظه فلا تفيد العموم، فالجمع باق على مقتضى الأصل،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لا للعهد، خاصة إذا قلنا بكون سبق ذكر أمر أعم من كون اللاحق للعهد الذكري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 ولا ينقض اليقين أبداً بالشك</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كما فصلناه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فيما لو كان السابق مذكوراً في كلام شخص كالسائل، واللاحق المحلى بأل مذكوراً في كلام آخر كالمجيب، إذ ليس بالنادر عدول المجيب عن خصوص أسئلته إلى ضرب قاعدة كلية، بل قد يكون متعارفاً،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محتمل القرينية المتصل مسقط للكلام عن الظهور، فتأمل</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8924374_1051229030"/>
      <w:bookmarkStart w:id="606" w:name="_Toc226"/>
      <w:bookmarkEnd w:id="605"/>
      <w:r>
        <w:rPr>
          <w:rtl w:val="true"/>
        </w:rPr>
        <w:t>القرائن المقامية وبداهة عدم السؤال عن المرجعية في المسائل الشرعية</w:t>
      </w:r>
      <w:bookmarkEnd w:id="60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عمومية الحوادث وعدم تخصيصها بالمسائل الشرعية،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وجوب الرجوع في المسائل الشرعية إلى العلماء الذي هو من بديهيات الإسلام من السلف إلى الخلف، مما لم يكن يخفى على مثل </w:t>
      </w:r>
    </w:p>
    <w:p>
      <w:pPr>
        <w:pStyle w:val="BookText"/>
        <w:rPr/>
      </w:pPr>
      <w:r>
        <w:rPr>
          <w:rFonts w:ascii="Amiri" w:hAnsi="Amiri" w:eastAsia="Amiri" w:cs="Amiri"/>
          <w:color w:val="111111"/>
          <w:sz w:val="28"/>
          <w:sz w:val="28"/>
          <w:szCs w:val="28"/>
          <w:rtl w:val="true"/>
          <w:lang w:bidi="ar-SA"/>
        </w:rPr>
        <w:t xml:space="preserve">إسحاق بن يعقوب حتى يكتبه في عداد مسائل أشكلت عليه، بخلاف وجوب الرجوع في المصالح العامة إلى رأي واحد ونظره، فإنه يحتمل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وكله في غيبته إلى شخص أو أشخاص من ثقاته في ذلك الزمن</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ونضيف إلى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 قيوداً جديدة في المرجع في المصالح العامة لأهميتها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والثالث منها مدفوع بوقوع مثل ذلك عمن هو أجل من إسحاق بن يعقوب بمراتب، فهذا أحمد بن إسحاق المعدود من الوكلاء والسفراء والأبواب، فقد سأل أبا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 وأضاف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ولذا صدر السؤال عن ذلك من جماعة كعبد العزيز بن المهتدي،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فِي كُلِّ وَقْتٍ فَعَمَّنْ آخُذُ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وكعلي بن المسيب الهمداني</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للفرق بأن مرجعية شخص معين أمر مجهول، ولعل الأظهر أن السؤال كان عن ذلك،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أحد الوكلاء المعروفين للرجوع إليه أو ترجيحه على غيره كان هو المسؤول عنه</w:t>
      </w:r>
      <w:r>
        <w:rPr>
          <w:rStyle w:val="FootnoteAnchor"/>
          <w:rtl w:val="true"/>
        </w:rPr>
        <w:footnoteReference w:id="847"/>
      </w:r>
      <w:r>
        <w:rPr>
          <w:rFonts w:ascii="Amiri" w:hAnsi="Amiri" w:eastAsia="Amiri" w:cs="Amiri"/>
          <w:color w:val="111111"/>
          <w:sz w:val="28"/>
          <w:sz w:val="28"/>
          <w:szCs w:val="28"/>
          <w:rtl w:val="true"/>
          <w:lang w:bidi="ar-SA"/>
        </w:rPr>
        <w:t xml:space="preserve">، ولا شك في حسن السؤال عنه، </w:t>
      </w:r>
    </w:p>
    <w:p>
      <w:pPr>
        <w:pStyle w:val="BookText"/>
        <w:rPr/>
      </w:pPr>
      <w:r>
        <w:rPr>
          <w:rFonts w:ascii="Amiri" w:hAnsi="Amiri" w:eastAsia="Amiri" w:cs="Amiri"/>
          <w:color w:val="111111"/>
          <w:sz w:val="28"/>
          <w:sz w:val="28"/>
          <w:szCs w:val="28"/>
          <w:rtl w:val="true"/>
          <w:lang w:bidi="ar-SA"/>
        </w:rPr>
        <w:t xml:space="preserve">إذ قد يكون جاهلاً بالراجح منهم، بل حتى لو كان يرى رجحان أحدهم فلا شك في حسن السؤال إذ قد يكون الراجح في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لمعرفتهبالخفايا</w:t>
      </w:r>
      <w:r>
        <w:rPr>
          <w:rStyle w:val="FootnoteAnchor"/>
          <w:rtl w:val="true"/>
        </w:rPr>
        <w:footnoteReference w:id="848"/>
      </w:r>
      <w:r>
        <w:rPr>
          <w:rFonts w:ascii="Amiri" w:hAnsi="Amiri" w:eastAsia="Amiri" w:cs="Amiri"/>
          <w:color w:val="111111"/>
          <w:sz w:val="28"/>
          <w:sz w:val="28"/>
          <w:szCs w:val="28"/>
          <w:rtl w:val="true"/>
          <w:lang w:bidi="ar-SA"/>
        </w:rPr>
        <w:t xml:space="preserve">، وقد يكون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لتطمئن قلوب الآخرين، وقد يكون للتعريف بشخصية المرجع إليه من باب تساؤل العارف ليسمع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الوجوه مصحح للسؤال عن شخص المرجع، ولو من أجلاء القدر، ولو من مثل أحمد بن إسحاق، بل مصححية بعضها كاف لبطلان توحيد المسألتين،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 بوقوع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هذا من السؤال عن المسائل الشرعية، بناءً على إرادتها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كون المرجع فيها هو راوي الحديث من بديهيات الإسلام؟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كون السؤال في التوقيع أيضاً عن مرجعية شخص خاص في المسائل الشرعية مدفوع بعدم وجود مجال له مع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خاصاً كان هو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الشيعة، ومع إرسال إسحاق رسالته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عبره، عكس السؤال من الإمام الهادي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السابقتين، إذ لم يكن لهما نائب خاص يعرفه الأعلام بالمرجعية المطلقة، فتأمل</w:t>
      </w:r>
      <w:r>
        <w:rPr>
          <w:rFonts w:eastAsia="Amiri" w:cs="Amiri" w:ascii="Amiri" w:hAnsi="Amiri"/>
          <w:color w:val="111111"/>
          <w:sz w:val="28"/>
          <w:szCs w:val="28"/>
          <w:rtl w:val="true"/>
          <w:lang w:bidi="ar-SA"/>
        </w:rPr>
        <w:t xml:space="preserve">. </w:t>
      </w:r>
      <w:bookmarkStart w:id="607" w:name="pg8204_101208"/>
    </w:p>
    <w:p>
      <w:pPr>
        <w:pStyle w:val="Heading6"/>
        <w:numPr>
          <w:ilvl w:val="5"/>
          <w:numId w:val="1"/>
        </w:numPr>
        <w:rPr/>
      </w:pPr>
      <w:bookmarkStart w:id="608" w:name="__RefHeading___Toc8924376_1051229030"/>
      <w:bookmarkStart w:id="609" w:name="_Toc227"/>
      <w:bookmarkEnd w:id="607"/>
      <w:bookmarkEnd w:id="608"/>
      <w:r>
        <w:rPr>
          <w:rtl w:val="true"/>
        </w:rPr>
        <w:t>مناقشات مع المحققين الأصفهاني والشهيدي</w:t>
      </w:r>
      <w:bookmarkEnd w:id="609"/>
    </w:p>
    <w:p>
      <w:pPr>
        <w:pStyle w:val="BookText"/>
        <w:rPr/>
      </w:pPr>
      <w:r>
        <w:rPr>
          <w:rFonts w:ascii="Amiri" w:hAnsi="Amiri" w:eastAsia="Amiri" w:cs="Amiri"/>
          <w:color w:val="111111"/>
          <w:sz w:val="28"/>
          <w:sz w:val="28"/>
          <w:szCs w:val="28"/>
          <w:rtl w:val="true"/>
          <w:lang w:bidi="ar-SA"/>
        </w:rPr>
        <w:t xml:space="preserve">وأما ما ذكره الكمباني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بمثل هذا ونحوه صار وجوب الرجوع إلى الرواة الثقات من بديهيات الإسلام</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بديهياً في زمان السؤال، وهو زمان الغيبة، بل الظاهر أنه كان بديهياً حتى في زمن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بكونه بديهياً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خفاؤه على أحمد بن إسحاق حتى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أعامل</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يعلل صحة السؤال عن أمر بديهي بأن هذا الأمر كان غير بديهي ثم صار ببركة رواية أحمد بن إسحاق وأشباهها من الروايات التي كان أكثرها قبل زمان السؤال بديهياً مع سبقها وسبق معلولها عليه؟</w:t>
      </w:r>
    </w:p>
    <w:p>
      <w:pPr>
        <w:pStyle w:val="BookText"/>
        <w:rPr/>
      </w:pPr>
      <w:r>
        <w:rPr>
          <w:rFonts w:ascii="Amiri" w:hAnsi="Amiri" w:eastAsia="Amiri" w:cs="Amiri"/>
          <w:color w:val="111111"/>
          <w:sz w:val="28"/>
          <w:sz w:val="28"/>
          <w:szCs w:val="28"/>
          <w:rtl w:val="true"/>
          <w:lang w:bidi="ar-SA"/>
        </w:rPr>
        <w:t>وأما ما ذكره الشهيدي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من المحتمل قوياً أن يكون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على الحوادث التي سأل إسحاق عن حكمها، فإفادته للعموم تتبع إرادة العموم منه في السؤال، وهي غير معلومة، إذ ليست عبارة السؤال بأيدينا فلعلها مختصة ببعض الحوادث، بأن كان السؤال عن حوادث مخصوصة قد تعرض لها في السؤال</w:t>
      </w:r>
      <w:r>
        <w:rPr>
          <w:rFonts w:eastAsia="Amiri" w:cs="Amiri" w:ascii="Amiri" w:hAnsi="Amiri"/>
          <w:color w:val="111111"/>
          <w:sz w:val="28"/>
          <w:szCs w:val="28"/>
          <w:rtl w:val="true"/>
          <w:lang w:bidi="ar-SA"/>
        </w:rPr>
        <w:t>).</w:t>
      </w:r>
      <w:r>
        <w:rPr>
          <w:rStyle w:val="FootnoteAnchor"/>
          <w:rtl w:val="true"/>
        </w:rPr>
        <w:footnoteReference w:id="85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سبق من عموم التعليل وغيره، أن من المستبعد سؤاله عن حوادث مخصوصة واختصاص الجواب بمرجعية رواة الحديث بها، </w:t>
      </w:r>
    </w:p>
    <w:p>
      <w:pPr>
        <w:pStyle w:val="BookText"/>
        <w:rPr/>
      </w:pPr>
      <w:r>
        <w:rPr>
          <w:rFonts w:ascii="Amiri" w:hAnsi="Amiri" w:eastAsia="Amiri" w:cs="Amiri"/>
          <w:color w:val="111111"/>
          <w:sz w:val="28"/>
          <w:sz w:val="28"/>
          <w:szCs w:val="28"/>
          <w:rtl w:val="true"/>
          <w:lang w:bidi="ar-SA"/>
        </w:rPr>
        <w:t xml:space="preserve">كيف وقد 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عام وأرجعه إلى رواة الحديث،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تطرق قبل هذه الفقرة وبعدها للإجابة عن كل سؤال سؤال طرحه إسحاق، سواءكانت أسئلة شخصية كالسؤال عن العمري وابن مهزيار وابن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عن الصلحاء منهم كالعمري وابن نعيم، أو الطلحاء كالأجدع، أو شرعية كالخمس والفقاع، أو عقائدية كظهور الفرج وقول من زعم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وعلة الغيبة، ولم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في شيء من ذلك إلى آخرين،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هنا إلى ضابط عنواني عام، فيما يفهمه العرف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في سائر أجوبته على المسائل بمختلف أنواعها في سائر الرسائل، بل أجاب عن كل واحدة واحدة بالخصوص، فراجع مسائل الأسدي والحميري</w:t>
      </w:r>
      <w:r>
        <w:rPr>
          <w:rStyle w:val="FootnoteAnchor"/>
          <w:rtl w:val="true"/>
        </w:rPr>
        <w:footnoteReference w:id="852"/>
      </w:r>
      <w:r>
        <w:rPr>
          <w:rFonts w:ascii="Amiri" w:hAnsi="Amiri" w:eastAsia="Amiri" w:cs="Amiri"/>
          <w:color w:val="111111"/>
          <w:sz w:val="28"/>
          <w:sz w:val="28"/>
          <w:szCs w:val="28"/>
          <w:rtl w:val="true"/>
          <w:lang w:bidi="ar-SA"/>
        </w:rPr>
        <w:t>وغيرهما</w:t>
      </w:r>
      <w:r>
        <w:rPr>
          <w:rStyle w:val="FootnoteAnchor"/>
          <w:rtl w:val="true"/>
        </w:rPr>
        <w:footnoteReference w:id="853"/>
      </w:r>
      <w:r>
        <w:rPr>
          <w:rFonts w:ascii="IRNazanin" w:hAnsi="IRNazanin" w:eastAsia="IRNazanin"/>
          <w:color w:val="111111"/>
          <w:sz w:val="28"/>
          <w:sz w:val="28"/>
          <w:szCs w:val="28"/>
          <w:rtl w:val="true"/>
          <w:lang w:bidi="fa-IR"/>
        </w:rPr>
        <w:t>، فتأمل</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فإن المرجح أنه سأل عن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ككبرى كلية، وعن المرجع العام فيها لا عن صغرياتها،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ذكر عدة حوادث معينة سائلاً عن حكمها بالخصوص فأرجعه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بخصوصها إلى رواة الحديث، على أن السؤال لو كان عن حوادث خاصة والمرجع فيها فالظاهر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عن الإجابة عليها بخصوصها إلى إعطاء الضابطة الكلية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يستظهر منه أن السؤال كان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نرجع في الحوادث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والتأمل فيه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كون السؤال عن المرجع في الحوادث الواقعة ككبرى كلية، لا عن وقائع خاصة أو عن علائم الظهور مثلاً، مثيلات هذه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أحمد بن إسحاق، حيث سأل أبا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أعامل وعمن آخذ وقول من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فأسمع له وأطع فإنه الثقة المأمون</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وحدة المضمون</w:t>
      </w:r>
      <w:r>
        <w:rPr>
          <w:rStyle w:val="FootnoteAnchor"/>
          <w:rtl w:val="true"/>
        </w:rPr>
        <w:footnoteReference w:id="856"/>
      </w:r>
      <w:r>
        <w:rPr>
          <w:rFonts w:ascii="Amiri" w:hAnsi="Amiri" w:eastAsia="Amiri" w:cs="Amiri"/>
          <w:color w:val="111111"/>
          <w:sz w:val="28"/>
          <w:sz w:val="28"/>
          <w:szCs w:val="28"/>
          <w:rtl w:val="true"/>
          <w:lang w:bidi="ar-SA"/>
        </w:rPr>
        <w:t xml:space="preserve">يكشف وحدة المسئول عنه، وحيث إن سؤاله كان شخصياً هنا وحيث لم تكن غيبة أرجعه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خاص، وحيث كانت الغيبة وحيث يستظهر أن السؤال كان نوعياً، أي إلى من نرجع في الحوادث الواقعة كما سبق وكما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بإرجاعهم إلى مطلق رواة الحديث</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للشؤون العامة، بعدُ لا يزال بحاجة إلى مزيد من التأمل والتفكر، والله العالم</w:t>
      </w:r>
      <w:r>
        <w:rPr>
          <w:rFonts w:eastAsia="Amiri" w:cs="Amiri" w:ascii="Amiri" w:hAnsi="Amiri"/>
          <w:color w:val="111111"/>
          <w:sz w:val="28"/>
          <w:szCs w:val="28"/>
          <w:rtl w:val="true"/>
          <w:lang w:bidi="ar-SA"/>
        </w:rPr>
        <w:t xml:space="preserve">. </w:t>
      </w:r>
      <w:bookmarkStart w:id="610" w:name="pg8204_101211"/>
    </w:p>
    <w:p>
      <w:pPr>
        <w:pStyle w:val="Heading6"/>
        <w:numPr>
          <w:ilvl w:val="5"/>
          <w:numId w:val="1"/>
        </w:numPr>
        <w:rPr/>
      </w:pPr>
      <w:bookmarkStart w:id="611" w:name="__RefHeading___Toc8924378_1051229030"/>
      <w:bookmarkStart w:id="612" w:name="_Toc228"/>
      <w:bookmarkEnd w:id="610"/>
      <w:bookmarkEnd w:id="611"/>
      <w:r>
        <w:rPr>
          <w:rtl w:val="true"/>
        </w:rPr>
        <w:t>ب</w:t>
      </w:r>
      <w:r>
        <w:rPr>
          <w:rtl w:val="true"/>
        </w:rPr>
        <w:t>: (</w:t>
      </w:r>
      <w:r>
        <w:rPr>
          <w:rtl w:val="true"/>
        </w:rPr>
        <w:t>الواقعة</w:t>
      </w:r>
      <w:r>
        <w:rPr>
          <w:rtl w:val="true"/>
        </w:rPr>
        <w:t>)</w:t>
      </w:r>
      <w:bookmarkEnd w:id="612"/>
    </w:p>
    <w:p>
      <w:pPr>
        <w:pStyle w:val="Heading6"/>
        <w:numPr>
          <w:ilvl w:val="5"/>
          <w:numId w:val="1"/>
        </w:numPr>
        <w:rPr/>
      </w:pPr>
      <w:bookmarkStart w:id="613" w:name="__RefHeading___Toc8924380_1051229030"/>
      <w:bookmarkStart w:id="614" w:name="_Toc229"/>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الظاهر أنه مفسر لا مخرج، أي إنه قيد توضيحي لا احترازي،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احترازي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من صروف الدهر</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كما في لسان العرب، وقال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الشديدة</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 قد يقال بعدم تمامية ذلك، إذ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أفرادها بالذكر فهي ظاهرة بمفردها في الداهية والنازلة، ولكنها إذا وقعت صفةً للحوادث تكون بسعتها بمعنى مجرد الوقوع والحدوث، وقد يؤيد ذلك بالفهم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Style w:val="FootnoteAnchor"/>
          <w:rtl w:val="true"/>
        </w:rPr>
        <w:footnoteReference w:id="859"/>
      </w:r>
      <w:r>
        <w:rPr>
          <w:rFonts w:ascii="Amiri" w:hAnsi="Amiri" w:eastAsia="Amiri" w:cs="Amiri"/>
          <w:color w:val="111111"/>
          <w:sz w:val="28"/>
          <w:sz w:val="28"/>
          <w:szCs w:val="28"/>
          <w:rtl w:val="true"/>
          <w:lang w:bidi="ar-SA"/>
        </w:rPr>
        <w:t xml:space="preserve">مرجح لما اخترناه سابقاً، وأشكلنا به على الكمباني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علائم الظهور لا توصف عادة بالحوادث الواقعة، بل يقال علائم الظهور، وقد يجاب بصحة وصفها بها، إذ منها الخسف بالبيداء والصيحة في السماء وخروج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لكن يبعد كون السؤال والجواب عن مثل الخسف بالبيداء، وأنه ارجعوا فيه إذا حدث إلى رواة أحاديثنا، اللهم إلا مع التجوز بتقدير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صح الثاني كان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للحوادث غير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إذ لو جاز الرجوع لرواة الحديث في الخطيرة جاز في غيرها بطريق أولى، لكن لا أولوية في الوجوب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فتأمل</w:t>
      </w:r>
      <w:r>
        <w:rPr>
          <w:rFonts w:eastAsia="Amiri" w:cs="Amiri" w:ascii="Amiri" w:hAnsi="Amiri"/>
          <w:color w:val="111111"/>
          <w:sz w:val="28"/>
          <w:szCs w:val="28"/>
          <w:rtl w:val="true"/>
          <w:lang w:bidi="ar-SA"/>
        </w:rPr>
        <w:t xml:space="preserve">. </w:t>
      </w:r>
      <w:bookmarkStart w:id="615" w:name="pg8204_101212"/>
    </w:p>
    <w:p>
      <w:pPr>
        <w:pStyle w:val="BookText"/>
        <w:rPr/>
      </w:pPr>
      <w:bookmarkEnd w:id="615"/>
      <w:r>
        <w:rPr>
          <w:rFonts w:ascii="Amiri" w:hAnsi="Amiri" w:eastAsia="Amiri" w:cs="Amiri"/>
          <w:color w:val="111111"/>
          <w:sz w:val="28"/>
          <w:sz w:val="28"/>
          <w:szCs w:val="28"/>
          <w:rtl w:val="true"/>
          <w:lang w:bidi="ar-SA"/>
        </w:rPr>
        <w:t xml:space="preserve">كما أن الثاني مؤيد لما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بالحوادث ظاهراً مطلق الأمور التي لابد من الرجوع فيهاعرفاً أو عقلاً أو شرعاً إلى الرئيس</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 لا أن المراد بها الفروع المتجددة، على ما احتمله الكبماني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 وذهب إليه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فإن أكثرها مما لا يصدق عليها الداهية والنازلة من صروف الدهر، إلا أن يراد بها بعضها، وهو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يعارض كلام الشيخ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التكليف، لا في الرجوع في الأمر نفسه كما هو ظاهر كلامه، فتأمل</w:t>
      </w:r>
      <w:r>
        <w:rPr>
          <w:rFonts w:eastAsia="Amiri" w:cs="Amiri" w:ascii="Amiri" w:hAnsi="Amiri"/>
          <w:color w:val="111111"/>
          <w:sz w:val="28"/>
          <w:szCs w:val="28"/>
          <w:rtl w:val="true"/>
          <w:lang w:bidi="ar-SA"/>
        </w:rPr>
        <w:t>.</w:t>
      </w:r>
      <w:r>
        <w:rPr>
          <w:rStyle w:val="FootnoteAnchor"/>
          <w:rtl w:val="true"/>
        </w:rPr>
        <w:footnoteReference w:id="864"/>
      </w:r>
    </w:p>
    <w:p>
      <w:pPr>
        <w:pStyle w:val="Heading6"/>
        <w:numPr>
          <w:ilvl w:val="5"/>
          <w:numId w:val="1"/>
        </w:numPr>
        <w:rPr/>
      </w:pPr>
      <w:bookmarkStart w:id="616" w:name="__RefHeading___Toc8924382_1051229030"/>
      <w:bookmarkStart w:id="617" w:name="_Toc230"/>
      <w:bookmarkEnd w:id="616"/>
      <w:r>
        <w:rPr>
          <w:rtl w:val="true"/>
        </w:rPr>
        <w:t xml:space="preserve">الجواب عن توهم اختصاص </w:t>
      </w:r>
      <w:r>
        <w:rPr>
          <w:rtl w:val="true"/>
        </w:rPr>
        <w:t>(</w:t>
      </w:r>
      <w:r>
        <w:rPr>
          <w:rtl w:val="true"/>
        </w:rPr>
        <w:t>الحوادث الواقعة</w:t>
      </w:r>
      <w:r>
        <w:rPr>
          <w:rtl w:val="true"/>
        </w:rPr>
        <w:t xml:space="preserve">) </w:t>
      </w:r>
      <w:r>
        <w:rPr>
          <w:rtl w:val="true"/>
        </w:rPr>
        <w:t>بمثل الحرب</w:t>
      </w:r>
      <w:bookmarkEnd w:id="617"/>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أمثال الحرب والمعاهدات الدولية وأشباهها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خروج الحوادث الإيجابية</w:t>
      </w:r>
      <w:r>
        <w:rPr>
          <w:rStyle w:val="FootnoteAnchor"/>
          <w:rtl w:val="true"/>
        </w:rPr>
        <w:footnoteReference w:id="865"/>
      </w:r>
      <w:r>
        <w:rPr>
          <w:rFonts w:ascii="Amiri" w:hAnsi="Amiri" w:eastAsia="Amiri" w:cs="Amiri"/>
          <w:color w:val="111111"/>
          <w:sz w:val="28"/>
          <w:sz w:val="28"/>
          <w:szCs w:val="28"/>
          <w:rtl w:val="true"/>
          <w:lang w:bidi="ar-SA"/>
        </w:rPr>
        <w:t xml:space="preserve">، والاختصاص بالحوادث السلبية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هي المعبر عنها بالداهية والنازلة والنازلة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إلا أن يقال بكونه من باب التغليب أو لشدة العناية أو يقال بالملاك بل بمعممية التعليل،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تغاير حالتي وقوعها صفة ومستقلة، ولذا 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والواقعة صفة توصف بها كل حادثة</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والصفة كالموصوف لكونها اسماً مجردة عن الزمان</w:t>
      </w:r>
      <w:r>
        <w:rPr>
          <w:rStyle w:val="FootnoteAnchor"/>
          <w:rtl w:val="true"/>
        </w:rPr>
        <w:footnoteReference w:id="867"/>
      </w:r>
      <w:r>
        <w:rPr>
          <w:rFonts w:ascii="Amiri" w:hAnsi="Amiri" w:eastAsia="Amiri" w:cs="Amiri"/>
          <w:color w:val="111111"/>
          <w:sz w:val="28"/>
          <w:sz w:val="28"/>
          <w:szCs w:val="28"/>
          <w:rtl w:val="true"/>
          <w:lang w:bidi="ar-SA"/>
        </w:rPr>
        <w:t>، فهي تشمل إذن كل حادثة وقعت أو هي واقعة الآن أو ستقع،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لم يؤخذ فيها الزمان، أي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له، فالرجوع في ظرف حدوث أية حادثةٍ لازم، وإن كان ظرف الحدوث لاحقاً لظرف صدور الرواية، وذلك لبداهة أن القضية الحقيقية هي كذلك، وأن الرواية منها وليست قضية خارجية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الماضي مدلولاً لها بقرينة السياق أو غيره</w:t>
      </w:r>
      <w:r>
        <w:rPr>
          <w:rStyle w:val="FootnoteAnchor"/>
          <w:rtl w:val="true"/>
        </w:rPr>
        <w:footnoteReference w:id="868"/>
      </w:r>
      <w:r>
        <w:rPr>
          <w:rFonts w:ascii="Amiri" w:hAnsi="Amiri" w:eastAsia="Amiri" w:cs="Amiri"/>
          <w:color w:val="111111"/>
          <w:sz w:val="28"/>
          <w:sz w:val="28"/>
          <w:szCs w:val="28"/>
          <w:rtl w:val="true"/>
          <w:lang w:bidi="ar-SA"/>
        </w:rPr>
        <w:t xml:space="preserve">ليس أولى من جعل المستقبل مدلولاً، إضافة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المتلبس بلحاظ حال التلبس، ماضياً كان أم مضارعاً، فمهللاً ومكبراً ومستبشراً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مهللاً ومكبراً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ستفتح البلدة مستبشراً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بلحاظ حال المجيء والفتح</w:t>
      </w:r>
      <w:r>
        <w:rPr>
          <w:rStyle w:val="FootnoteAnchor"/>
          <w:rtl w:val="true"/>
        </w:rPr>
        <w:footnoteReference w:id="86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ظرف حصولها، ماضياً كان أم حالاً أم مستقبلاً،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كل حادث في ظرفه، ولذا كان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حادثة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ستقع الحادثة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بلا كلام، وبذلك كله ظهر </w:t>
      </w:r>
    </w:p>
    <w:p>
      <w:pPr>
        <w:pStyle w:val="BookText"/>
        <w:rPr/>
      </w:pPr>
      <w:r>
        <w:rPr>
          <w:rFonts w:ascii="Amiri" w:hAnsi="Amiri" w:eastAsia="Amiri" w:cs="Amiri"/>
          <w:color w:val="111111"/>
          <w:sz w:val="28"/>
          <w:sz w:val="28"/>
          <w:szCs w:val="28"/>
          <w:rtl w:val="true"/>
          <w:lang w:bidi="ar-SA"/>
        </w:rPr>
        <w:t xml:space="preserve">اندفاع ما نسب إلى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التي وقعت فارجعوا فيها، وهذه مجهولة</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إضافة إلى النقض بأسماء الفاعل والمفعول وغيرها المذكورةفي الروايات موضوعاً لمحمولات شرعية، المستلزم تمامية ما ذكره لعدم دلالتها على ثبوت المحمولات إلاّ لما مضى من الموضوعات، 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على ظرف صدور الرواية، وكون الدلالة على ما سيقع بعدم الفصل وشبهه لا بالدليل اللفظي، وهو واضح البطلان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أننا لو سلمنا ما ذكره فلنا أن نتمم الباقي بالالتزام بعدم الفصل بين كون ظرف وقوع الواقعة ماضياً أو مضارعاً، إذ لا قائل بالفصل أصلاً، بل لا ريب في إلغاء خصوصية الزمان قطعاً، إضافة إلى عمومية العلة ومعمميتها</w:t>
      </w:r>
      <w:r>
        <w:rPr>
          <w:rFonts w:eastAsia="Amiri" w:cs="Amiri" w:ascii="Amiri" w:hAnsi="Amiri"/>
          <w:color w:val="111111"/>
          <w:sz w:val="28"/>
          <w:szCs w:val="28"/>
          <w:rtl w:val="true"/>
          <w:lang w:bidi="ar-SA"/>
        </w:rPr>
        <w:t xml:space="preserve">. </w:t>
      </w:r>
      <w:bookmarkStart w:id="618" w:name="pg8204_101215"/>
    </w:p>
    <w:p>
      <w:pPr>
        <w:pStyle w:val="Heading6"/>
        <w:numPr>
          <w:ilvl w:val="5"/>
          <w:numId w:val="1"/>
        </w:numPr>
        <w:rPr/>
      </w:pPr>
      <w:bookmarkStart w:id="619" w:name="__RefHeading___Toc8924384_1051229030"/>
      <w:bookmarkStart w:id="620" w:name="_Toc231"/>
      <w:bookmarkEnd w:id="618"/>
      <w:bookmarkEnd w:id="619"/>
      <w:r>
        <w:rPr>
          <w:rtl w:val="true"/>
        </w:rPr>
        <w:t>ج</w:t>
      </w:r>
      <w:r>
        <w:rPr>
          <w:rtl w:val="true"/>
        </w:rPr>
        <w:t>: (</w:t>
      </w:r>
      <w:r>
        <w:rPr>
          <w:rtl w:val="true"/>
        </w:rPr>
        <w:t>فارجعوا</w:t>
      </w:r>
      <w:r>
        <w:rPr>
          <w:rtl w:val="true"/>
        </w:rPr>
        <w:t>)</w:t>
      </w:r>
      <w:bookmarkEnd w:id="620"/>
    </w:p>
    <w:p>
      <w:pPr>
        <w:pStyle w:val="BookText"/>
        <w:rPr/>
      </w:pPr>
      <w:r>
        <w:rPr>
          <w:rFonts w:ascii="Amiri" w:hAnsi="Amiri" w:eastAsia="Amiri" w:cs="Amiri"/>
          <w:color w:val="111111"/>
          <w:sz w:val="28"/>
          <w:sz w:val="28"/>
          <w:szCs w:val="28"/>
          <w:rtl w:val="true"/>
          <w:lang w:bidi="ar-SA"/>
        </w:rPr>
        <w:t xml:space="preserve">الرجوع في كل شيء بحسبه، وسيتضح أكثر عند التعرض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الموجودين والمعدومين زمن الخطاب بإطلاقه، أو لضرورة الاشتراك في الأحكام، ووضوح كون القضية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موجه لمن وقعت الحادثة له أو لمن يرتبط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فالواقعة أي الواقعة لكم أو لمن يتعلق بكم كما في الولي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بالبداهة أو لمناسبة الحكم والموضوع، ولا معنى لكون من لا ترتبط به الحادثة إطلاقاً</w:t>
      </w:r>
      <w:r>
        <w:rPr>
          <w:rStyle w:val="FootnoteAnchor"/>
          <w:rtl w:val="true"/>
        </w:rPr>
        <w:footnoteReference w:id="871"/>
      </w:r>
      <w:r>
        <w:rPr>
          <w:rFonts w:ascii="Amiri" w:hAnsi="Amiri" w:eastAsia="Amiri" w:cs="Amiri"/>
          <w:color w:val="111111"/>
          <w:sz w:val="28"/>
          <w:sz w:val="28"/>
          <w:szCs w:val="28"/>
          <w:rtl w:val="true"/>
          <w:lang w:bidi="ar-SA"/>
        </w:rPr>
        <w:t>مأموراً بالرجوع في حكمها إلى راوي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تقع لفرد، وقد تقع لجمع، وقد تقع لدولة، وقد تقع لشعب، والمخاطب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وقعت له وشبهه، وقد يمثل لذلك بالمرأة الغائب عنها زوجها، وبتنازع شخصين أو أشخاص، وبمعاهدات الدولة، وبالحرب والسلم، والضرائب والجواز والجنسية، وكافة قوانين الدولة المبتدعة، وكذا بظهور البدع أو المبتدع أو احتمالهما وعامة الفتن، فليس على غير المبتلى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تشمله عرفاً أنه قد حدثت له حادثة وواقعة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نعم عليه الإرجاع من باب إرشاد الجاهل وتنبيه الغافل والأمر بالمعروف والنهي عن المنكر ومقدمة الواجب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يشمل الخطاب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أنفسهم، كما لو حدثت حادثة لراوٍ أو لرواة يجهلون حكمها، أو تنازع راويان أو أكثر في أمر، أم لا؟ لا يبعد الشمول للإطلاق، ويؤكده أن السائل حيث كان هو من رواة الأحاديث على </w:t>
      </w:r>
    </w:p>
    <w:p>
      <w:pPr>
        <w:pStyle w:val="BookText"/>
        <w:rPr/>
      </w:pPr>
      <w:r>
        <w:rPr>
          <w:rFonts w:ascii="Amiri" w:hAnsi="Amiri" w:eastAsia="Amiri" w:cs="Amiri"/>
          <w:color w:val="111111"/>
          <w:sz w:val="28"/>
          <w:sz w:val="28"/>
          <w:szCs w:val="28"/>
          <w:rtl w:val="true"/>
          <w:lang w:bidi="ar-SA"/>
        </w:rPr>
        <w:t xml:space="preserve">الظاهر، وحيث 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الجزم بشمول هذا الخطاب لهم، أو للملاك، إذ الرجوع في الأحكام للجهل بها، وفي النزاعات لحلها، وفي الموضوعات للقيام بالشأناللائق بها، كما أن صحة الاحتجاج موجودة هنا، كما يصدق عليه أنه من هذا الحيث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المسألة الخاصة التي يجهل حكمها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راوٍ للحديث، فعليه أن يرجع لراويه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ظهر شمول هذا الخطاب لراوي الحديث المتصدي لأمر معين، كإدارة شؤون الدولة، مثلاً إذا حدثت له حادثة كالحرب والمعاهدة وشبههما وجهل حكمها أو الأصلح لها، كما إذا تحير في أن حكمها كذا أو كذا، كمواجهة فئةٍ الحكومة بحركة مسلحة ودار الأمر بين أن يكون الأصلح المقابلة بالمثل وقتلهم أو سجنهم أو العفو عنهم، بل قد يقال بشمول الرواية للمتصدي وغيره حتى إذا كان يرى أن حكمها كذا لمكان الإطلاق،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السؤال عن حال من يجهل الحكم أو الموضوع لا العالم، إضافة إلى لزوم أن يعمل العالم بعلمه لا أن يرجع إلى غيره، وقد أجبنا عن الأخير في بعض الكتب بالتفصيل فليراجع</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حدث خلاف ونزاع بينه وبين راوٍ آخر في الأصلح، فهل تشملهما الرواية ويكون مفادها وجوب رجوعهما في هذه الحادثة إلى سائر الرواة؟ الإطلاق يقتضي الشمول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شمول الخطاب للأمة فيما إذا تنازع راويان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كانا متصديين معاً للحكم مثلاً، أو أحدهما دون الآخر، أو مع عدم تصدي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يرجعوا في أمرهم إلى سائر الرواة، فغير بعيد، بل متعين، لكونه صغرى هذه الكبرى، </w:t>
      </w:r>
      <w:bookmarkStart w:id="621" w:name="pg8204_101217"/>
    </w:p>
    <w:p>
      <w:pPr>
        <w:pStyle w:val="BookText"/>
        <w:rPr/>
      </w:pPr>
      <w:bookmarkEnd w:id="621"/>
      <w:r>
        <w:rPr>
          <w:rFonts w:ascii="Amiri" w:hAnsi="Amiri" w:eastAsia="Amiri" w:cs="Amiri"/>
          <w:color w:val="111111"/>
          <w:sz w:val="28"/>
          <w:sz w:val="28"/>
          <w:szCs w:val="28"/>
          <w:rtl w:val="true"/>
          <w:lang w:bidi="ar-SA"/>
        </w:rPr>
        <w:t>وكونه من الحوادث الواقعة عرفاً قطعاً، خاصة في شؤون الأُمة والدولة مما يعد من الأمور الخطيرة، فعلى الأُمة حينئذٍ الرجوع إلى سائر الرواة في تشخيص الأمر والحكمية بينهما، وسيأتي هذا بإذنه جل وعلا، وقد يستفاد ذلك من إطلاق الأدلة لرجوع المجتهدين المتنازعين إلى القاضي، فتأمل</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8924386_1051229030"/>
      <w:bookmarkStart w:id="623" w:name="_Toc232"/>
      <w:bookmarkEnd w:id="622"/>
      <w:r>
        <w:rPr>
          <w:rtl w:val="true"/>
        </w:rPr>
        <w:t>د</w:t>
      </w:r>
      <w:r>
        <w:rPr>
          <w:rtl w:val="true"/>
        </w:rPr>
        <w:t>: (</w:t>
      </w:r>
      <w:r>
        <w:rPr>
          <w:rtl w:val="true"/>
        </w:rPr>
        <w:t>فيها</w:t>
      </w:r>
      <w:r>
        <w:rPr>
          <w:rtl w:val="true"/>
        </w:rPr>
        <w:t>)</w:t>
      </w:r>
      <w:bookmarkEnd w:id="623"/>
    </w:p>
    <w:p>
      <w:pPr>
        <w:pStyle w:val="BookText"/>
        <w:rPr/>
      </w:pPr>
      <w:r>
        <w:rPr>
          <w:rFonts w:ascii="Amiri" w:hAnsi="Amiri" w:eastAsia="Amiri" w:cs="Amiri"/>
          <w:color w:val="111111"/>
          <w:sz w:val="28"/>
          <w:sz w:val="28"/>
          <w:szCs w:val="28"/>
          <w:rtl w:val="true"/>
          <w:lang w:bidi="ar-SA"/>
        </w:rPr>
        <w:t>حيث إن ذات الحادثة لا معنى للرجوع فيها إلى الفقيه، لكونه مستلزماً لطلب الحاصل أو لتحصيل الحاصل، أو لأن الكلام سيكون لغواً</w:t>
      </w:r>
      <w:r>
        <w:rPr>
          <w:rStyle w:val="FootnoteAnchor"/>
          <w:rtl w:val="true"/>
        </w:rPr>
        <w:footnoteReference w:id="874"/>
      </w:r>
      <w:r>
        <w:rPr>
          <w:rFonts w:ascii="Amiri" w:hAnsi="Amiri" w:eastAsia="Amiri" w:cs="Amiri"/>
          <w:color w:val="111111"/>
          <w:sz w:val="28"/>
          <w:sz w:val="28"/>
          <w:szCs w:val="28"/>
          <w:rtl w:val="true"/>
          <w:lang w:bidi="ar-SA"/>
        </w:rPr>
        <w:t xml:space="preserve">، لابدّ من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في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في أمر كل حادثة هو بحسبها، ففي النزاع حله وفصل الخصومة، وفي الفروع المتحددة حكمها، وفي الفتن طريقة مواجهتها وكيفيتها، وفي شؤون الحرب والسلم اتخاذ القرار بشأنها وإدارتها وهكذا، وذلك لأن حذف المتعلق مفيد للعموم، والمذكور هنا هو متعلق المتعلق وحذفه مفيد للعموم نسبةً لحالات متعلق المتعلق،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في الله إلى العالم الفلاني، أو اسأل عن الله زيداً العالم، المراد بهما أمر الله وشأنه من صفاته ومن عجائب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النفس فارجع فيها إلى الروايات، أو أما الإسلام أو الدين الكذائي فارجع فيه إلى الكتاب الكذائي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مناسبات الحكم والموضوع قد تعين أمراً خاصاً وجهةً معينةً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دائراً بين مقدرين أحدهما قسيم للآخر حتى يلزم في تقدير خصوص أحدهما الترجيح بلا مرجح، بل أحدهما مقسم للآخر، </w:t>
      </w:r>
    </w:p>
    <w:p>
      <w:pPr>
        <w:pStyle w:val="BookText"/>
        <w:rPr/>
      </w:pPr>
      <w:r>
        <w:rPr>
          <w:rFonts w:ascii="Amiri" w:hAnsi="Amiri" w:eastAsia="Amiri" w:cs="Amiri"/>
          <w:color w:val="111111"/>
          <w:sz w:val="28"/>
          <w:sz w:val="28"/>
          <w:szCs w:val="28"/>
          <w:rtl w:val="true"/>
          <w:lang w:bidi="ar-SA"/>
        </w:rPr>
        <w:t>والجنس معلوم تقديره، والخصوصية مشكوكة والأصل عدمها،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الجنس موجود بوجود فصله ومتحد معه والتركيب اتحادي لا انضمامي فلا يجري الأصل في الخصوصية، وفيه ما لا يخفى، إضافة إلى أن الفهم العرفي على تقدير الأعم</w:t>
      </w:r>
      <w:r>
        <w:rPr>
          <w:rStyle w:val="FootnoteAnchor"/>
          <w:rtl w:val="true"/>
        </w:rPr>
        <w:footnoteReference w:id="875"/>
      </w:r>
      <w:r>
        <w:rPr>
          <w:rFonts w:ascii="Amiri" w:hAnsi="Amiri" w:eastAsia="Amiri" w:cs="Amiri"/>
          <w:color w:val="111111"/>
          <w:sz w:val="28"/>
          <w:sz w:val="28"/>
          <w:szCs w:val="28"/>
          <w:rtl w:val="true"/>
          <w:lang w:bidi="ar-SA"/>
        </w:rPr>
        <w:t xml:space="preserve">إضافة إلى إجراء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تعذرت الحقيقة فأقرب المجازات هو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والأقرب إلى الإرجاع في نفس الحادثة الواقعة الإرجاع في كافة ما يتعلق بها مما يمكن الإرجاع فيه، وممامن شأن الراوي الرجوع فيه إليه، أي إرجاع أمرها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اندفاع ما ذكره السيد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عدم المنافاة أنه لابد من ارتكاب التقدير على كل حال، إذ الحادثة الواقعة لا معنى لإيكال نفسها إلى الغير لأنه تحصيل الحاصل، فالمراد إما إيكال حكمها أو إيكال الشأن اللازم فيها إليه، وتعيّن الثاني غير ظاهر</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كما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الحاصل إنما يلزم لو أريد من ارجعوا الإيجاد، وبطلانه بيّن، فلا مجال لدعوى لزوم تحصيل الحاصل، فتأمل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إشكال الأصفهاني</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وارد على مثل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يرى الرجوع في نفس الحوادث الواقعة لراوي الحديث، لا على ما ذكرناه من الرجوع في أمرها اللائق بها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كل ما يتعلق بها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على هذا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سكوت الخبر عن الرجوع إلى الرواة في المسائل الشرعية، لأنه رجوع إليهم في حكم الوقائع لا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حكم الحادثة من أمورها وشؤونها، فلاحظ</w:t>
      </w:r>
      <w:r>
        <w:rPr>
          <w:rFonts w:eastAsia="Amiri" w:cs="Amiri" w:ascii="Amiri" w:hAnsi="Amiri"/>
          <w:color w:val="111111"/>
          <w:sz w:val="28"/>
          <w:szCs w:val="28"/>
          <w:rtl w:val="true"/>
          <w:lang w:bidi="ar-SA"/>
        </w:rPr>
        <w:t xml:space="preserve">. </w:t>
      </w:r>
      <w:bookmarkStart w:id="624" w:name="pg8204_101219"/>
    </w:p>
    <w:p>
      <w:pPr>
        <w:pStyle w:val="Heading6"/>
        <w:numPr>
          <w:ilvl w:val="5"/>
          <w:numId w:val="1"/>
        </w:numPr>
        <w:rPr/>
      </w:pPr>
      <w:bookmarkStart w:id="625" w:name="__RefHeading___Toc8924388_1051229030"/>
      <w:bookmarkStart w:id="626" w:name="_Toc233"/>
      <w:bookmarkEnd w:id="624"/>
      <w:bookmarkEnd w:id="625"/>
      <w:r>
        <w:rPr>
          <w:rtl w:val="true"/>
        </w:rPr>
        <w:t>ه</w:t>
      </w:r>
      <w:r>
        <w:rPr>
          <w:rtl w:val="true"/>
        </w:rPr>
        <w:t>: (</w:t>
      </w:r>
      <w:r>
        <w:rPr>
          <w:rtl w:val="true"/>
        </w:rPr>
        <w:t>رواة حديثنا</w:t>
      </w:r>
      <w:r>
        <w:rPr>
          <w:rtl w:val="true"/>
        </w:rPr>
        <w:t>)</w:t>
      </w:r>
      <w:bookmarkEnd w:id="626"/>
    </w:p>
    <w:p>
      <w:pPr>
        <w:pStyle w:val="Heading6"/>
        <w:numPr>
          <w:ilvl w:val="5"/>
          <w:numId w:val="1"/>
        </w:numPr>
        <w:rPr/>
      </w:pPr>
      <w:bookmarkStart w:id="627" w:name="__RefHeading___Toc8924390_1051229030"/>
      <w:bookmarkStart w:id="628" w:name="_Toc234"/>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هنا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إأأن الرجوع إليهم يصدق مع الرجوع إلى أي واحد منهم، كما يصدق على الرجوع إلى مجموعهم أو المتعدد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مرجعيتهم قد يكون للهيئة الاجتماعية دخل فيها وقد لا يكون،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قد يكون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الجماعة، وهي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بحسب مرحلة الثبوت</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8924392_1051229030"/>
      <w:bookmarkStart w:id="630" w:name="_Toc235"/>
      <w:bookmarkEnd w:id="629"/>
      <w:r>
        <w:rPr>
          <w:rtl w:val="true"/>
        </w:rPr>
        <w:t>صدق الرجوع إلى الفقهاء بالرجوع إلى مجموعة منهم</w:t>
      </w:r>
      <w:bookmarkEnd w:id="630"/>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دليل على جواز الرجوع لأكثرية الفقهاء وتحكيمها، إذ لو وجب الكلي تخير المكلف بين مصاديقه، وكان التخيير بين مصاديقه عقلياً، فإذا وجب الرجوع وكانت له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الرجوع إلى هذا ومنها الرجوع إلى ذلك ومنها الرجوع للمتعدد ومنها الرجوع للمجموع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جواز كل منها، إلا أن يقوم دليل على الإخراج وحرمة البعض، أو وجوب أحدها معيناً</w:t>
      </w:r>
      <w:r>
        <w:rPr>
          <w:rFonts w:eastAsia="Amiri" w:cs="Amiri" w:ascii="Amiri" w:hAnsi="Amiri"/>
          <w:color w:val="111111"/>
          <w:sz w:val="28"/>
          <w:szCs w:val="28"/>
          <w:rtl w:val="true"/>
          <w:lang w:bidi="ar-SA"/>
        </w:rPr>
        <w:t>.</w:t>
      </w:r>
      <w:r>
        <w:rPr>
          <w:rStyle w:val="FootnoteAnchor"/>
          <w:rtl w:val="true"/>
        </w:rPr>
        <w:footnoteReference w:id="87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صدق الرجوع مع الرجوع للمتعدد أو للمجموع فواضح، ألا ترى أن المولى لو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الأطباء أو المهندسين، ورجع إلى العديد منهم أو إلى جميعهم فيما اتفقوا فيه أو لم يعلم خلافهم له، صدق أنه رجع إليهم، </w:t>
      </w:r>
    </w:p>
    <w:p>
      <w:pPr>
        <w:pStyle w:val="BookText"/>
        <w:rPr/>
      </w:pPr>
      <w:r>
        <w:rPr>
          <w:rFonts w:ascii="Amiri" w:hAnsi="Amiri" w:eastAsia="Amiri" w:cs="Amiri"/>
          <w:color w:val="111111"/>
          <w:sz w:val="28"/>
          <w:sz w:val="28"/>
          <w:szCs w:val="28"/>
          <w:rtl w:val="true"/>
          <w:lang w:bidi="ar-SA"/>
        </w:rPr>
        <w:t xml:space="preserve">كما لو رجع إلى أحدهم مع عدم مخالفة غيره له أو جهله بالمخالفة، بل إنه يصدق عليه أنه رجع إليهم لو اختلفوا وعمل في مورد الاختلاف برأي أكثريتهم، فإنه يصدقبالحمل الشائع أنه راجع الأطباء والمهندسين ورجع إليهم، بل حتى مع الرجوع للواحد ومخالفة غيره له، بناءً على المختار من شمول أدلة الحجية للمتعارضين، كما فصلناه في آخر الكتاب، وكيف يصدق على من رجع إلى واحد من الفقهاء مثلاً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إلى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على من رجع إليهم جميعاً؟، والعرف ببابك، وقد فصلنا الحديث حول هذا في موضع آخر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القوم دوابهم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فلخصوصية المورد، وللقرينة المقامية لعدم إمكان بيع كل منهم كل الدواب عرفاً وشرعاً</w:t>
      </w:r>
      <w:r>
        <w:rPr>
          <w:rStyle w:val="FootnoteAnchor"/>
          <w:rtl w:val="true"/>
        </w:rPr>
        <w:footnoteReference w:id="879"/>
      </w:r>
      <w:r>
        <w:rPr>
          <w:rFonts w:ascii="Amiri" w:hAnsi="Amiri" w:eastAsia="Amiri" w:cs="Amiri"/>
          <w:color w:val="111111"/>
          <w:sz w:val="28"/>
          <w:sz w:val="28"/>
          <w:szCs w:val="28"/>
          <w:rtl w:val="true"/>
          <w:lang w:bidi="ar-SA"/>
        </w:rPr>
        <w:t xml:space="preserve">، ولذا لو أمكن بيع جميعهم جميع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يبيع هذا كلها وذاك كلها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القوم دوابهم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وكذا لو أمكن بيع الجميع أكثر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القوم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القوم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أهان القوم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المكيّون ضيوفهم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زيارة كل واحد من القوم جميع العلماء، وإكرام كل واحد منهم جميع الأطباء وهكذا، كما يصدق مع زيارة كل واحدٍ من القوم واحداً من العلماء وهكذا، فعدم صدق العنوان في ذاك المثال إنما هو لعدم إمكان هذا المصداق ثبوتاً، ولو أمكن ثبوتاً صدق إثباتاً بلا شك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إما لكون المتعلق هو صرف الوجود الصادق على القليل والكثير، أو هو الكلي الطبيعي الصادق عليهما كذلك، كما فصلناه في </w:t>
      </w:r>
      <w:bookmarkStart w:id="631" w:name="pg8204_101221"/>
    </w:p>
    <w:p>
      <w:pPr>
        <w:pStyle w:val="BookText"/>
        <w:rPr/>
      </w:pPr>
      <w:bookmarkEnd w:id="631"/>
      <w:r>
        <w:rPr>
          <w:rFonts w:ascii="IRNazanin" w:hAnsi="IRNazanin" w:eastAsia="IRNazanin"/>
          <w:color w:val="111111"/>
          <w:sz w:val="28"/>
          <w:sz w:val="28"/>
          <w:szCs w:val="28"/>
          <w:rtl w:val="true"/>
          <w:lang w:bidi="fa-IR"/>
        </w:rPr>
        <w:t>موضع آخر</w:t>
      </w:r>
      <w:r>
        <w:rPr>
          <w:rFonts w:eastAsia="IRNazanin" w:cs="IRNazanin"/>
          <w:color w:val="111111"/>
          <w:sz w:val="28"/>
          <w:szCs w:val="28"/>
          <w:rtl w:val="true"/>
          <w:lang w:bidi="fa-IR"/>
        </w:rPr>
        <w:t>.</w:t>
      </w:r>
    </w:p>
    <w:p>
      <w:pPr>
        <w:pStyle w:val="Heading6"/>
        <w:numPr>
          <w:ilvl w:val="5"/>
          <w:numId w:val="1"/>
        </w:numPr>
        <w:rPr/>
      </w:pPr>
      <w:bookmarkStart w:id="632" w:name="__RefHeading___Toc8924394_1051229030"/>
      <w:bookmarkStart w:id="633" w:name="_Toc236"/>
      <w:bookmarkEnd w:id="632"/>
      <w:r>
        <w:rPr>
          <w:rtl w:val="true"/>
        </w:rPr>
        <w:t>مدخلية الهيئة الاجتماعية في الرجوع للفقهاء</w:t>
      </w:r>
      <w:bookmarkEnd w:id="633"/>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إن هنا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كل الناس أو يريدوا الرجوع في الحوادثالواقعة إلى راوٍ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يتعدد من رجع الناس إليه أو يريدوا الرجوع للمتعدد</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8924396_1051229030"/>
      <w:bookmarkStart w:id="635" w:name="_Toc237"/>
      <w:bookmarkEnd w:id="634"/>
      <w:r>
        <w:rPr>
          <w:rtl w:val="true"/>
        </w:rPr>
        <w:t>بحث عن مخالفة الرجوع لأحد الرواة فقط لمقتضى الرواية</w:t>
      </w:r>
      <w:bookmarkEnd w:id="635"/>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ذلك مخالفة لمقتضى الحديث، إذ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فيها إلى رواة 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رجوع إلى أحد رواة الحديث وإعراض عن سائر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تحصيل الحجة على الحكم الشرعي في الحادثة الواقعة وهو حاصل بالرجوع إلى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العرفي من ذلك هو كفاية الواحد،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إلى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واحد بأجمعهم في جميع ،الأمراض فإنهم يعدون ممتثلين عرفاً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إضافة إلى أن ذاك الكلام على فرض تماميته تمسك بالعام في الشبهة المصداقية</w:t>
      </w:r>
      <w:r>
        <w:rPr>
          <w:rStyle w:val="FootnoteAnchor"/>
          <w:rtl w:val="true"/>
        </w:rPr>
        <w:footnoteReference w:id="880"/>
      </w:r>
      <w:r>
        <w:rPr>
          <w:rFonts w:ascii="Amiri" w:hAnsi="Amiri" w:eastAsia="Amiri" w:cs="Amiri"/>
          <w:color w:val="111111"/>
          <w:sz w:val="28"/>
          <w:sz w:val="28"/>
          <w:szCs w:val="28"/>
          <w:rtl w:val="true"/>
          <w:lang w:bidi="ar-SA"/>
        </w:rPr>
        <w:t xml:space="preserve">ومصادرة، إذ كون الغرض تحصيل الحجة </w:t>
      </w:r>
    </w:p>
    <w:p>
      <w:pPr>
        <w:pStyle w:val="BookText"/>
        <w:rPr/>
      </w:pPr>
      <w:r>
        <w:rPr>
          <w:rFonts w:ascii="Amiri" w:hAnsi="Amiri" w:eastAsia="Amiri" w:cs="Amiri"/>
          <w:color w:val="111111"/>
          <w:sz w:val="28"/>
          <w:sz w:val="28"/>
          <w:szCs w:val="28"/>
          <w:rtl w:val="true"/>
          <w:lang w:bidi="ar-SA"/>
        </w:rPr>
        <w:t>على الحكم الشرعي على فرض تسليم أنه الغرض ولا غرض غيره لا يثبت أن الراوي بمفرده حجة في الحوادث الواقعة، وكفاية الرجوع للواحد فرع كونه الحجة لا بشرط،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محرز لحصول الغرض بذاك فقط لا بشرط، بل لعل التعدد شرط كما في الذكورة</w:t>
      </w:r>
      <w:r>
        <w:rPr>
          <w:rStyle w:val="FootnoteAnchor"/>
          <w:rtl w:val="true"/>
        </w:rPr>
        <w:footnoteReference w:id="881"/>
      </w:r>
      <w:r>
        <w:rPr>
          <w:rFonts w:ascii="Amiri" w:hAnsi="Amiri" w:eastAsia="Amiri" w:cs="Amiri"/>
          <w:color w:val="111111"/>
          <w:sz w:val="28"/>
          <w:sz w:val="28"/>
          <w:szCs w:val="28"/>
          <w:rtl w:val="true"/>
          <w:lang w:bidi="ar-SA"/>
        </w:rPr>
        <w:t>في مرجع التقليد، ولا مجال لإجراء الأصل لكون الشك في العنوان والمحصّل،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الاشتراط أنه لو كفى الرجوع لأحدهم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فيها إلى أحد رواة 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الاستعمالين عرفي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إمكان أن يكون الغرض قائماً بأمرين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الحجة على الحكم الشرعي، وجعل المنصب لرواة الحديث مجموعاً أو جميعاً بشرط الانضمام، كما فصل في موضع آخر</w:t>
      </w:r>
      <w:r>
        <w:rPr>
          <w:rStyle w:val="FootnoteAnchor"/>
          <w:rtl w:val="true"/>
        </w:rPr>
        <w:footnoteReference w:id="882"/>
      </w:r>
      <w:r>
        <w:rPr>
          <w:rFonts w:ascii="Amiri" w:hAnsi="Amiri" w:eastAsia="Amiri" w:cs="Amiri"/>
          <w:color w:val="111111"/>
          <w:sz w:val="28"/>
          <w:sz w:val="28"/>
          <w:szCs w:val="28"/>
          <w:rtl w:val="true"/>
          <w:lang w:bidi="ar-SA"/>
        </w:rPr>
        <w:t>، بل ذلك هو مبنى استظهار القائلين بولاية الفقيه، والنقاش معهم الآن، إذ استفادوا من الرواية النصب والمنصب، وذلك كما لو قال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هؤلاء الخمسة في تنفيذ وصيتي، أو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لهؤلاء الثلاثة في بيع الدار، أو قال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ابني مرتبطة في غيابي بأخويّ</w:t>
      </w:r>
      <w:r>
        <w:rPr>
          <w:rStyle w:val="FootnoteAnchor"/>
          <w:rtl w:val="true"/>
        </w:rPr>
        <w:footnoteReference w:id="883"/>
      </w:r>
      <w:r>
        <w:rPr>
          <w:rFonts w:ascii="Amiri" w:hAnsi="Amiri" w:eastAsia="Amiri" w:cs="Amiri"/>
          <w:color w:val="111111"/>
          <w:sz w:val="28"/>
          <w:sz w:val="28"/>
          <w:szCs w:val="28"/>
          <w:rtl w:val="true"/>
          <w:lang w:bidi="ar-SA"/>
        </w:rPr>
        <w:t>، مع أنه من الممكن ثبوتاً الاكتفاء بأحدهم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إضافة إلى أن الغرض فيما لو كانت الحادثة فرعاً متجدداً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أو لهذا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تحصيل الحجة على الحكم الشرعي لا في غير ذلك،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في حكمها إليه كان الغرض تحصيل الحجة، لا فيما لو رجع في سائر شؤونها إليه، إذ مفادها حينئذٍ الولاية وأشباهها وهي مجعولة للكل، فلا يحق لأحدهم الإنفراد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فهم ذلك عرفاً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إلى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للقرينة الخارجية، لا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إلى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بالرجوع إلى واحد، والقرينة هي الارتكاز وإحراز الملاك ومعلومية الغرض، إذ يعلم أن تمام الغرض في مثل ذلك يتحقق بالرجوع إلى الواحد، وأن اللازم صرف استرشاد الطبيب لا غير، ولذا لو احتمل عدم كونه تمام الغرض بأن احتمل كون التعدد دخيلاً في تمامية المصلحة والغرض، وأن الواحد غير وافٍ به</w:t>
      </w:r>
      <w:r>
        <w:rPr>
          <w:rStyle w:val="FootnoteAnchor"/>
          <w:rtl w:val="true"/>
        </w:rPr>
        <w:footnoteReference w:id="884"/>
      </w:r>
      <w:r>
        <w:rPr>
          <w:rFonts w:ascii="Amiri" w:hAnsi="Amiri" w:eastAsia="Amiri" w:cs="Amiri"/>
          <w:color w:val="111111"/>
          <w:sz w:val="28"/>
          <w:sz w:val="28"/>
          <w:szCs w:val="28"/>
          <w:rtl w:val="true"/>
          <w:lang w:bidi="ar-SA"/>
        </w:rPr>
        <w:t xml:space="preserve">، أو احتمل كونه جعلاً للمنصب أيضاً، فتنتفي القرينة الخارجية حينئذٍ، فلا مقتضي لصرف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إلى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ظاهره، وحمله على كفاية الرجوع إلى الواحد منهم، ولا يصدق عرفاً ذلك، ولا يعدون ممتثلين لو لم يرجعوا للآخرين، أو لمقدار منهم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الأطباء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يستلزم ما ذكرناه وجوب الرجوع إلى كل الرواة في الحوادث الواقعة، بأن يجب الرجوع إلى كل مجتهد راوٍ للحديث، بل الواجب الرجوع إلى </w:t>
      </w:r>
      <w:bookmarkStart w:id="636" w:name="pg8204_101224"/>
    </w:p>
    <w:p>
      <w:pPr>
        <w:pStyle w:val="BookText"/>
        <w:rPr/>
      </w:pPr>
      <w:bookmarkEnd w:id="636"/>
      <w:r>
        <w:rPr>
          <w:rFonts w:ascii="Amiri" w:hAnsi="Amiri" w:eastAsia="Amiri" w:cs="Amiri"/>
          <w:color w:val="111111"/>
          <w:sz w:val="28"/>
          <w:sz w:val="28"/>
          <w:szCs w:val="28"/>
          <w:rtl w:val="true"/>
          <w:lang w:bidi="ar-SA"/>
        </w:rPr>
        <w:t>مقدار من الرواة بحيث يصدق عرفاً أنهم قد رجعوا إلى رواة الحديث، ولا ر يب أن الرجوع للمعروفين منهم</w:t>
      </w:r>
      <w:r>
        <w:rPr>
          <w:rStyle w:val="FootnoteAnchor"/>
          <w:rtl w:val="true"/>
        </w:rPr>
        <w:footnoteReference w:id="885"/>
      </w:r>
      <w:r>
        <w:rPr>
          <w:rFonts w:ascii="Amiri" w:hAnsi="Amiri" w:eastAsia="Amiri" w:cs="Amiri"/>
          <w:color w:val="111111"/>
          <w:sz w:val="28"/>
          <w:sz w:val="28"/>
          <w:szCs w:val="28"/>
          <w:rtl w:val="true"/>
          <w:lang w:bidi="ar-SA"/>
        </w:rPr>
        <w:t>كافٍ في الصدق، بل هو أظهر المصاديق إن لم نقل بأنه القدر المتيقن، وفيه تأمل من جهات، فتأمل</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8924398_1051229030"/>
      <w:bookmarkStart w:id="638" w:name="_Toc238"/>
      <w:bookmarkEnd w:id="637"/>
      <w:r>
        <w:rPr>
          <w:rtl w:val="true"/>
        </w:rPr>
        <w:t>رجوع كل مجموعة لمرجعها في الشؤون العامة مستلزم للهرج والمرج و</w:t>
      </w:r>
      <w:r>
        <w:rPr>
          <w:rtl w:val="true"/>
        </w:rPr>
        <w:t>...</w:t>
      </w:r>
      <w:bookmarkEnd w:id="638"/>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يتعدد من يرجع إليه، بأن ترجع جمهرة إلى هذا، وجمهرة إلى ذاك وهكذا، وحينئذٍ يكفي لكل مجموعة أن ترجع في شؤونها الخاصة بها للمرجع، ولكن لا يكفي بل لا يصح ولا يجوز عقلاً رجوع كل مجموعة في الشؤون العامة الشاملة لها ولسائر المجموعات إلى مرجعها، وذلك لما فصلناه فيفصل آخر</w:t>
      </w:r>
      <w:r>
        <w:rPr>
          <w:rStyle w:val="FootnoteAnchor"/>
          <w:rtl w:val="true"/>
        </w:rPr>
        <w:footnoteReference w:id="886"/>
      </w:r>
      <w:r>
        <w:rPr>
          <w:rFonts w:ascii="Amiri" w:hAnsi="Amiri" w:eastAsia="Amiri" w:cs="Amiri"/>
          <w:color w:val="111111"/>
          <w:sz w:val="28"/>
          <w:sz w:val="28"/>
          <w:szCs w:val="28"/>
          <w:rtl w:val="true"/>
          <w:lang w:bidi="ar-SA"/>
        </w:rPr>
        <w:t>من استلزامه الضرر والإضرار، والهرج والمرج واختلال النظام، إن وجب على كل مجموعة العمل برأي مرجعها، كما لو رأى أحدهم وجوب إقامة العلاقات مع الدولة الكذائية، والآخر وجوب قطعها وهدمها، أو رآى أحدهم وجوب سوق الناس للجبهة القتالية ولو جبراً، ورأى الآخر وجوب كف الناس عنها ولو جبراً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وإن لم يلزم اختلال النظام أحياناً لقاهرية أحد الرواة</w:t>
      </w:r>
      <w:r>
        <w:rPr>
          <w:rStyle w:val="FootnoteAnchor"/>
          <w:rtl w:val="true"/>
        </w:rPr>
        <w:footnoteReference w:id="887"/>
      </w:r>
      <w:r>
        <w:rPr>
          <w:rFonts w:ascii="Amiri" w:hAnsi="Amiri" w:eastAsia="Amiri" w:cs="Amiri"/>
          <w:color w:val="111111"/>
          <w:sz w:val="28"/>
          <w:sz w:val="28"/>
          <w:szCs w:val="28"/>
          <w:rtl w:val="true"/>
          <w:lang w:bidi="ar-SA"/>
        </w:rPr>
        <w:t xml:space="preserve">، إلا أن جواز قاهرية أحد الرواة لسائر الرواة ولمقلديهم أول الكلام، بل لا شك في حرمته وبداهة كونه خلاف أدلة السلطنة بل أدلة ولاية الفقيه نفسها، إذ جعلت لكل الجامعين للشرائط لا لأحدهم فقط، إضافة إلى أن استلازم تشريع حجية </w:t>
      </w:r>
    </w:p>
    <w:p>
      <w:pPr>
        <w:pStyle w:val="BookText"/>
        <w:rPr/>
      </w:pPr>
      <w:r>
        <w:rPr>
          <w:rFonts w:ascii="Amiri" w:hAnsi="Amiri" w:eastAsia="Amiri" w:cs="Amiri"/>
          <w:color w:val="111111"/>
          <w:sz w:val="28"/>
          <w:sz w:val="28"/>
          <w:szCs w:val="28"/>
          <w:rtl w:val="true"/>
          <w:lang w:bidi="ar-SA"/>
        </w:rPr>
        <w:t>آرائهم جميعاً ونفوذ كل واحد على مقلديه اختلال النظام والضرر النوعي ولو أحياناً، كافٍ لإبطال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أنه غير كافٍ لأنه أخص، وذلك لأن استلزام تشريع أمر للهرج والمرج في الجملة كاف لقبحه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ما سبق مما ذكرناه في الصورة الأولى من مخالفة الرجوع للواحد بشرط لا لمقتضى الحديث وحرمته، ومن أنه ليست القاهرية من الأدلة ومن مسوغات مخالفة مقتضى الحديث من النصب أو الإرجاع العام</w:t>
      </w:r>
      <w:r>
        <w:rPr>
          <w:rFonts w:eastAsia="Amiri" w:cs="Amiri" w:ascii="Amiri" w:hAnsi="Amiri"/>
          <w:color w:val="111111"/>
          <w:sz w:val="28"/>
          <w:szCs w:val="28"/>
          <w:rtl w:val="true"/>
          <w:lang w:bidi="ar-SA"/>
        </w:rPr>
        <w:t xml:space="preserve">. </w:t>
      </w:r>
      <w:bookmarkStart w:id="639" w:name="pg8204_101226"/>
    </w:p>
    <w:p>
      <w:pPr>
        <w:pStyle w:val="Heading6"/>
        <w:numPr>
          <w:ilvl w:val="5"/>
          <w:numId w:val="1"/>
        </w:numPr>
        <w:rPr/>
      </w:pPr>
      <w:bookmarkStart w:id="640" w:name="__RefHeading___Toc8924400_1051229030"/>
      <w:bookmarkStart w:id="641" w:name="_Toc239"/>
      <w:bookmarkEnd w:id="639"/>
      <w:bookmarkEnd w:id="640"/>
      <w:r>
        <w:rPr>
          <w:rtl w:val="true"/>
        </w:rPr>
        <w:t>بحث عن جواز قاهرية أحد الفقهاء للآخرين</w:t>
      </w:r>
      <w:r>
        <w:rPr>
          <w:rtl w:val="true"/>
        </w:rPr>
        <w:t>:</w:t>
      </w:r>
      <w:bookmarkEnd w:id="641"/>
    </w:p>
    <w:p>
      <w:pPr>
        <w:pStyle w:val="BookText"/>
        <w:rPr/>
      </w:pPr>
      <w:r>
        <w:rPr>
          <w:rFonts w:ascii="Amiri" w:hAnsi="Amiri" w:eastAsia="Amiri" w:cs="Amiri"/>
          <w:color w:val="111111"/>
          <w:sz w:val="28"/>
          <w:sz w:val="28"/>
          <w:szCs w:val="28"/>
          <w:rtl w:val="true"/>
          <w:lang w:bidi="ar-SA"/>
        </w:rPr>
        <w:t>إضافة إلى أن تشريع وجوب اتباع كل مجموعة لمقلّدها ونفوذ حكمه في حقها بل حتى جواز ذلك إما أن يقترن بتشريع جواز قاهرية أحدهم لكل من يرجع إلى سائر الرواة، أو يقترن بتحريم ذلك؟</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تشريع المتضادين وجعلهما، لكونه جعلاً للحكم وجعلاً لجواز أو وجوب الردع والمنع عنه،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جعلاً لأحد الضدين وللازم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الوجوب لازم لجواز القاهرية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وجوب اتباع المجموعة لرأي مقلدها لازم لجواز قاهرية الآخر لهذه المجموعة على اتباع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يوجب عليهم اتباع مرجعهم، ويوجب أو حتى يجوّز للغير قهرهم على ضده؟</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لازم للقاهرية فعلاً لا لجوازها، إذ بها يتحقق الاضطرار 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عرفاً كذلك</w:t>
      </w:r>
      <w:r>
        <w:rPr>
          <w:rStyle w:val="FootnoteAnchor"/>
          <w:rtl w:val="true"/>
        </w:rPr>
        <w:footnoteReference w:id="889"/>
      </w:r>
      <w:r>
        <w:rPr>
          <w:rFonts w:ascii="Amiri" w:hAnsi="Amiri" w:eastAsia="Amiri" w:cs="Amiri"/>
          <w:color w:val="111111"/>
          <w:sz w:val="28"/>
          <w:sz w:val="28"/>
          <w:szCs w:val="28"/>
          <w:rtl w:val="true"/>
          <w:lang w:bidi="ar-SA"/>
        </w:rPr>
        <w:t>بنفس تشريع الجواز، إلا أن يتمسك بالوجه الآتي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التفكيك بين الأحكام الظاهرية مما صرح كثير بإمكانه بل بوقوعه، كما في المختلفين اجتهاداً أو تقليداً أو تشخيصاً للموضوع الخارجي في </w:t>
      </w:r>
    </w:p>
    <w:p>
      <w:pPr>
        <w:pStyle w:val="BookText"/>
        <w:rPr/>
      </w:pPr>
      <w:r>
        <w:rPr>
          <w:rFonts w:ascii="Amiri" w:hAnsi="Amiri" w:eastAsia="Amiri" w:cs="Amiri"/>
          <w:color w:val="111111"/>
          <w:sz w:val="28"/>
          <w:sz w:val="28"/>
          <w:szCs w:val="28"/>
          <w:rtl w:val="true"/>
          <w:lang w:bidi="ar-SA"/>
        </w:rPr>
        <w:t xml:space="preserve">أنها زوجته مثلاً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للاختلاف في عدد الرضعات معها، أو للاختلاف في أن العقد عليها تم أم لا، والطلاق وقع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جازماً بوقوع العقد أو عدم الطلاق، وهي جازمة بالعكس، فله أو عليه دفع نفقتها وسائر شؤون الزوجية، وعليها الامتناع، فجواز قاهريته لها لم يستلزم جواز التمكين عليها،ولا الهرج والمرج، ولا تنافي بين الحكمين لعدم وحدة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التفكيك بين الأحكام الظاهرية في القضايا الشخصية مما لا يستلزم الهرج والمرج واختلال انظام وضعف شوكة الإسلام والمسلمين، ولو فرض استلزامه ذلك أحياناً فحله بالرجوع إلى القاضي المنصوب لحل وفصل الخصومات، وأما القضايا النوعية فلا ريب في استلزام جعل رأي كل مرجع نافذاً وتجويز قهر كل مرجع الآخرين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فرض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المحاذير، إذ يقع النزاع كثيراً ما المستلزم للفشل وذهاب الريح، وجعل القاضي فاصلاً غير نافع غالباً في الشؤون العامة</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لم يمكن إثبات الاستحالة ثبوتاً كفى إثبات عدم جواز القاهرية للأصل وللأدلة المتعددة على ما فصلناه في محله، في إبطال الاحتمال الأول، إذ تكون تلك الأدلة قرينة على عدم إرادة الاحتمال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فيها إلى رواة حديثنا</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سنخية مثله</w:t>
      </w:r>
      <w:r>
        <w:rPr>
          <w:rStyle w:val="FootnoteAnchor"/>
          <w:rtl w:val="true"/>
        </w:rPr>
        <w:footnoteReference w:id="892"/>
      </w:r>
      <w:r>
        <w:rPr>
          <w:rFonts w:ascii="Amiri" w:hAnsi="Amiri" w:eastAsia="Amiri" w:cs="Amiri"/>
          <w:color w:val="111111"/>
          <w:sz w:val="28"/>
          <w:sz w:val="28"/>
          <w:szCs w:val="28"/>
          <w:rtl w:val="true"/>
          <w:lang w:bidi="ar-SA"/>
        </w:rPr>
        <w:t xml:space="preserve">عرفاً مع تجويز القاهرية، أو </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عرفاً على نفي تجويزها،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أنه لا يجري هنا ما ربما يذكر في فروع الأحوال الشخصية، من أنه لو كان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مقلداً لمن يقول بصحة المعاطاة أو العقد الفارسي، والمشتري مقلداً لمن يقول بالبطلان، حيث يرى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والمرحوم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وغالبمعاصريهم</w:t>
      </w:r>
      <w:r>
        <w:rPr>
          <w:rStyle w:val="FootnoteAnchor"/>
          <w:rtl w:val="true"/>
        </w:rPr>
        <w:footnoteReference w:id="893"/>
      </w:r>
      <w:r>
        <w:rPr>
          <w:rFonts w:ascii="Amiri" w:hAnsi="Amiri" w:eastAsia="Amiri" w:cs="Amiri"/>
          <w:color w:val="111111"/>
          <w:sz w:val="28"/>
          <w:sz w:val="28"/>
          <w:szCs w:val="28"/>
          <w:rtl w:val="true"/>
          <w:lang w:bidi="ar-SA"/>
        </w:rPr>
        <w:t>الصحة بالنسبة لمن يرى صحتها، لعدم كون التلازم بين الصحة والفساد واقعاً، ملازماً لتلازمهما ظاهراً، وأما الخصومة فبدوية ترتفع بالمراجعة إلى الحاكم كسائر الموارد</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إذ إن عدم التلازم ثبوتاً في الأحوال الشخصية تام، لكن لا دليل عليه في الشؤون العامة، إضافة إلى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الخصومة في الأحوال الشخصية تندفع بتعيين القاضي مرجعاً للخصومات دون الشؤون العامة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الأمثلة المذكورة وأشباهها من الأحوال الشخصية الأعم الأغلب بل شبه المستغرق فيها عدم وقوع النزاع بين الطرفين من جهة تغاير الاجتهادين للطرفين، إما للجهل بالحكم</w:t>
      </w:r>
      <w:r>
        <w:rPr>
          <w:rStyle w:val="FootnoteAnchor"/>
          <w:rtl w:val="true"/>
        </w:rPr>
        <w:footnoteReference w:id="895"/>
      </w:r>
      <w:r>
        <w:rPr>
          <w:rFonts w:ascii="IRNazanin" w:hAnsi="IRNazanin" w:eastAsia="IRNazanin"/>
          <w:color w:val="111111"/>
          <w:sz w:val="28"/>
          <w:sz w:val="28"/>
          <w:szCs w:val="28"/>
          <w:rtl w:val="true"/>
          <w:lang w:bidi="fa-IR"/>
        </w:rPr>
        <w:t>أو للجهل بالموضوع</w:t>
      </w:r>
      <w:r>
        <w:rPr>
          <w:rStyle w:val="FootnoteAnchor"/>
          <w:rtl w:val="true"/>
        </w:rPr>
        <w:footnoteReference w:id="896"/>
      </w:r>
      <w:r>
        <w:rPr>
          <w:rFonts w:ascii="Amiri" w:hAnsi="Amiri" w:eastAsia="Amiri" w:cs="Amiri"/>
          <w:color w:val="111111"/>
          <w:sz w:val="28"/>
          <w:sz w:val="28"/>
          <w:szCs w:val="28"/>
          <w:rtl w:val="true"/>
          <w:lang w:bidi="ar-SA"/>
        </w:rPr>
        <w:t xml:space="preserve">أو للغفلة أو للامبالاة، يدل على ذلك مراجعة المحاكم من صدر الإسلام حتى الآن، فكم تجد </w:t>
      </w:r>
    </w:p>
    <w:p>
      <w:pPr>
        <w:pStyle w:val="BookText"/>
        <w:rPr/>
      </w:pPr>
      <w:r>
        <w:rPr>
          <w:rFonts w:ascii="Amiri" w:hAnsi="Amiri" w:eastAsia="Amiri" w:cs="Amiri"/>
          <w:color w:val="111111"/>
          <w:sz w:val="28"/>
          <w:sz w:val="28"/>
          <w:szCs w:val="28"/>
          <w:rtl w:val="true"/>
          <w:lang w:bidi="ar-SA"/>
        </w:rPr>
        <w:t>متنازعين في أشباه تلك الأمثلة؟ ولو وجدت موارد وإن كانت عديدة بل وإن بلغت الألوف فإنها ليست بالغة واحداً بالمائة بل واحداً بالألف من موارد تعامل المختلفَين اجتهاداً أو تقليداً في مختلف أنواع المعاملات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قبح تجويز الشارع لكلطرف أن يعمل بمقتضى رأيه أو رأي مقلده، مما لا يستلزم نزاعاً إلا الأقل من القليل بالنسبة لمجموع الموارد، مما ليست إلاّ كالاستثناء من جميع موارد جعل حكم كلي مع جعل الحكومة لفصل الخصومة في تلك الموارد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 حكم يستلزم النزاع في كل أو أغلب أو كثير من موارده ثم إرجاع كل تلك النزاعات إلى القضاة خلاف الحكمة، فتشريع عمل كل مرجع في الشؤون العامة بمقتضى رأيه ليعمل على طبق رأي القاضي أخيراً قبيح مستلزم للضرر</w:t>
      </w:r>
      <w:r>
        <w:rPr>
          <w:rStyle w:val="FootnoteAnchor"/>
          <w:rtl w:val="true"/>
        </w:rPr>
        <w:footnoteReference w:id="897"/>
      </w:r>
      <w:r>
        <w:rPr>
          <w:rFonts w:ascii="Amiri" w:hAnsi="Amiri" w:eastAsia="Amiri" w:cs="Amiri"/>
          <w:color w:val="111111"/>
          <w:sz w:val="28"/>
          <w:sz w:val="28"/>
          <w:szCs w:val="28"/>
          <w:rtl w:val="true"/>
          <w:lang w:bidi="ar-SA"/>
        </w:rPr>
        <w:t xml:space="preserve">، ولذا لو فرض في جميع أو أكثر أو كثير من موارد اختلاف المجتهدين في الأحوال الشخصية ووقوع تعامل بين مقلديهما أو مقلديهم التفكيك بين الأحكام الظاهرية ثم إرجاع المقلدين إلى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الجهل بالحكم والموضوع وعدم الغفلة واللا مبالاة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تشريع أن يعمل كل برأي مقلده ليقع التنازع دوماً أو كثيراً ما ثم ليرجع إلى القضاة قبيحاً عقلاً، فتأمل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وجوب عمل كل فئة برأي مرجعها في الشؤون العامة من الحوادث الواقعة، حيث لم يمكن لما سبق من استلزامه الهرج والمرج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لا يمكن دفع الإشكال بأن ذلك كله مندفع بالمراجعة إلى الحاكم لما مضى من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أقل من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كل فئة إلى مرجعها وإيجابه عليهم، ليحدث التنازع في أكثر الموارد إن لم نقل في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الفقهاء المتنازعين وكثير من أتباعهم ملتفتين إلى الحكم والموضوع عادة في الشأن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وليرجعوا بعد ذلك إلى القاضي</w:t>
      </w:r>
      <w:r>
        <w:rPr>
          <w:rStyle w:val="FootnoteAnchor"/>
          <w:rtl w:val="true"/>
        </w:rPr>
        <w:footnoteReference w:id="898"/>
      </w:r>
      <w:r>
        <w:rPr>
          <w:rFonts w:ascii="Amiri" w:hAnsi="Amiri" w:eastAsia="Amiri" w:cs="Amiri"/>
          <w:color w:val="111111"/>
          <w:sz w:val="28"/>
          <w:sz w:val="28"/>
          <w:szCs w:val="28"/>
          <w:rtl w:val="true"/>
          <w:lang w:bidi="ar-SA"/>
        </w:rPr>
        <w:t>، إضافة إلى كون هذا مساوقاً لنفي عموم مرجعية الرواة في الحوادث الواقعة ونفي الولاية إلا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الحوادث الواقعة لشمولها الشؤون العامة والفروع المتجددة صغرى وكبرى، فلا يلزم من استثناء الشؤونالعامة اللغوية في تشريع رجوع كل جمع لكل فقيه، بل ولا القبح، وأما المرجعية فتنحصر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الشؤون العامة أو بغير ما اختلفوا فيه، لاستلزامه فيها هذه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من وجوه،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المحاذير لم تنشأ من خصوص دعوى شمول الرواية للحوادث الواقعة مما يرتبط بكل الأمة، ولا يمكن فيه التفكيك حتى ترتفع بتخصيص الرواية بغيرها، بل هي ناشئة من دعوى وجوب رجوع كل جماعة إلى مقلَّدها في الشؤون العامة، وهذه الدعوى يلتزم بها الكثير من الفقهاء مع قطع النظر عن هذه الرواية الشريفة، فلو حملت الرواية ونظائرها على إرادة هذا المعنى أو الشمول له لزم المحذور</w:t>
      </w:r>
      <w:r>
        <w:rPr>
          <w:rStyle w:val="FootnoteAnchor"/>
          <w:rtl w:val="true"/>
        </w:rPr>
        <w:footnoteReference w:id="899"/>
      </w:r>
      <w:r>
        <w:rPr>
          <w:rFonts w:ascii="Amiri" w:hAnsi="Amiri" w:eastAsia="Amiri" w:cs="Amiri"/>
          <w:color w:val="111111"/>
          <w:sz w:val="28"/>
          <w:sz w:val="28"/>
          <w:szCs w:val="28"/>
          <w:rtl w:val="true"/>
          <w:lang w:bidi="ar-SA"/>
        </w:rPr>
        <w:t xml:space="preserve">، دون ما لو حملت على إرادة الرجوع لكل الرواة أو لمجموعة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فصلناه في محله، أو حملت على إرادة الأعم من الرجوع للواحد وللمتعدد حسب اختلاف الموارد من كونه شأناً عاماً أو كونه فرعاً فقهياً خاصاً، فتأمل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فالقاهرية محرمة، وللكل أو على الكل اتباع مرجعه، فيلزم تجويز بل إيجاب ما يقتضي الهرج والمرج والإخلال بالنظام، وإن لم يلزم وقوع ذلك خارجاً دائماً، ألا ترى قبح أن يأمر الشارع أو يجوّز ظلم زيد عمراً وإن لم يستطع زيد ذلك وعلمنا أنه لن يقع منه أبداً؟ إذ أن قبح وحسن التشريع ليس </w:t>
      </w:r>
    </w:p>
    <w:p>
      <w:pPr>
        <w:pStyle w:val="BookText"/>
        <w:rPr/>
      </w:pPr>
      <w:r>
        <w:rPr>
          <w:rFonts w:ascii="Amiri" w:hAnsi="Amiri" w:eastAsia="Amiri" w:cs="Amiri"/>
          <w:color w:val="111111"/>
          <w:sz w:val="28"/>
          <w:sz w:val="28"/>
          <w:szCs w:val="28"/>
          <w:rtl w:val="true"/>
          <w:lang w:bidi="ar-SA"/>
        </w:rPr>
        <w:t>معلولاً لوقوع الشيء المأمور به أو المنهي عنه خارجاً وعدمه، فكيف إذا كان قادراً عليه؟ وكيف إذا صدر منه أحياناً وإن لم يصدر منه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الرجوع للواحد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تشريع الرجوع لأحدهم المعين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عن خروجه عن الفرض، فقد سبق رده في الصورة الأولى، إضافة إلى ما ذكرناه مفصلاً حول هذا الشق في مواضع أخرى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التساقط والرجوع إلى الأصل فليس بصحيح أيضاً، وقد فصلنا الحديث مبنى وبناءً في موضع آخر من الكتاب، ونزيد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أيضاً لا يحل المشكل، إذ الأصل أيضاً مختلف فيه، فقد يراهالبعض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وينقسم هؤلاء عملياً إلى من يأخذ بهذا الطرف ومن يأخذ بذاك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البراءة، وثالث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العمل برأي الجميع، فواضح 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التام والاتفاق بين جميع الفقهاء على مختلف الشؤون والأمور العامة، فقليل تحققه بل نادر، ولو حملت الرواية عليه بأن يجب الرجوع إليهم إن اتفقوا، أي بأن تكون مرجعيتهم مقيدة بالإجماع، لزم تخصيص الأكثر، فلم يبق إلاّ الرجوع للأكثرية، وقد فصلنا في موضع آخر من الكتاب كونها موجبة للأقربية إلى الواقع، وموافقتها للعقل والنقل، ونزيد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يؤيد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حيث إن المراد ليس الكل لعدم التحقق إلا نادراً جداً بل الأكثر،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على هذه الرواية وأشباهها بأن المراد بالجماعة جماعة الحق، وكذا سائر الإيرادات، فقد تطرقنا لها في موضع آخر من الكتاب فليراجع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 بعض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الفقهاء وأكثريتهم كجماعة الشيعة </w:t>
      </w:r>
      <w:bookmarkStart w:id="642" w:name="pg8204_101232"/>
    </w:p>
    <w:p>
      <w:pPr>
        <w:pStyle w:val="BookText"/>
        <w:rPr/>
      </w:pPr>
      <w:bookmarkEnd w:id="642"/>
      <w:r>
        <w:rPr>
          <w:rFonts w:ascii="Amiri" w:hAnsi="Amiri" w:eastAsia="Amiri" w:cs="Amiri"/>
          <w:color w:val="111111"/>
          <w:sz w:val="28"/>
          <w:sz w:val="28"/>
          <w:szCs w:val="28"/>
          <w:rtl w:val="true"/>
          <w:lang w:bidi="ar-SA"/>
        </w:rPr>
        <w:t>وأكثريتهم، وكجماعة أهل الخبرة فيما هم خبراء فيه، من مصاديق هذا الحديث عرفاً</w:t>
      </w:r>
      <w:r>
        <w:rPr>
          <w:rStyle w:val="FootnoteAnchor"/>
          <w:rtl w:val="true"/>
        </w:rPr>
        <w:footnoteReference w:id="901"/>
      </w:r>
      <w:r>
        <w:rPr>
          <w:rFonts w:ascii="Amiri" w:hAnsi="Amiri" w:eastAsia="Amiri" w:cs="Amiri"/>
          <w:color w:val="111111"/>
          <w:sz w:val="28"/>
          <w:sz w:val="28"/>
          <w:szCs w:val="28"/>
          <w:rtl w:val="true"/>
          <w:lang w:bidi="ar-SA"/>
        </w:rPr>
        <w:t xml:space="preserve">ولفظاً، لمكان الإطلاق لكونه مفرداً محلى بأل، إضافة إلى مؤيدية الاعتبار له، إضافة إلى مطابقته مضموناً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وغيرها،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الرجوع للأقلية فترجيح للمرجوح، وقد فصَّل ذلك أيضاً في فصل آخر</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8924402_1051229030"/>
      <w:bookmarkStart w:id="644" w:name="_Toc240"/>
      <w:bookmarkEnd w:id="643"/>
      <w:r>
        <w:rPr>
          <w:rtl w:val="true"/>
        </w:rPr>
        <w:t>و</w:t>
      </w:r>
      <w:r>
        <w:rPr>
          <w:rtl w:val="true"/>
        </w:rPr>
        <w:t>: (</w:t>
      </w:r>
      <w:r>
        <w:rPr>
          <w:rtl w:val="true"/>
        </w:rPr>
        <w:t>فإنهم</w:t>
      </w:r>
      <w:r>
        <w:rPr>
          <w:rtl w:val="true"/>
        </w:rPr>
        <w:t>)</w:t>
      </w:r>
      <w:bookmarkEnd w:id="644"/>
    </w:p>
    <w:p>
      <w:pPr>
        <w:pStyle w:val="BookText"/>
        <w:rPr/>
      </w:pPr>
      <w:r>
        <w:rPr>
          <w:rFonts w:ascii="Amiri" w:hAnsi="Amiri" w:eastAsia="Amiri" w:cs="Amiri"/>
          <w:color w:val="111111"/>
          <w:sz w:val="28"/>
          <w:sz w:val="28"/>
          <w:szCs w:val="28"/>
          <w:rtl w:val="true"/>
          <w:lang w:bidi="ar-SA"/>
        </w:rPr>
        <w:t>تعليل لوجوب الرجوع، والظاهر من هذا عمومية الحجية لقولهم ولفعلهم وتقريرهم فيما دلاّ عليه عرفاً، كما لو دلاّ على نظره وكونهما استناداً إليه</w:t>
      </w:r>
      <w:r>
        <w:rPr>
          <w:rStyle w:val="FootnoteAnchor"/>
          <w:rtl w:val="true"/>
        </w:rPr>
        <w:footnoteReference w:id="903"/>
      </w:r>
      <w:r>
        <w:rPr>
          <w:rFonts w:ascii="Amiri" w:hAnsi="Amiri" w:eastAsia="Amiri" w:cs="Amiri"/>
          <w:color w:val="111111"/>
          <w:sz w:val="28"/>
          <w:sz w:val="28"/>
          <w:szCs w:val="28"/>
          <w:rtl w:val="true"/>
          <w:lang w:bidi="ar-SA"/>
        </w:rPr>
        <w:t>، وإن قيل بعدم حجية الأخيرين من غير المعصوم، بل وصفاتهم الاختيارية أيضاً كما سنبينه</w:t>
      </w:r>
      <w:r>
        <w:rPr>
          <w:rStyle w:val="FootnoteAnchor"/>
          <w:rtl w:val="true"/>
        </w:rPr>
        <w:footnoteReference w:id="904"/>
      </w:r>
      <w:r>
        <w:rPr>
          <w:rFonts w:ascii="Amiri" w:hAnsi="Amiri" w:eastAsia="Amiri" w:cs="Amiri"/>
          <w:color w:val="111111"/>
          <w:sz w:val="28"/>
          <w:sz w:val="28"/>
          <w:szCs w:val="28"/>
          <w:rtl w:val="true"/>
          <w:lang w:bidi="ar-SA"/>
        </w:rPr>
        <w:t xml:space="preserve">،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المتعلق مفيد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تخصص الحجية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قولهم أو فإن تقريرهم أو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العرف لا يستفيد تخصيصها بالقول أو العمل أو غيرهما خاصة مع ملاحظة ما ذكرناه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قد يكون الرجوع في أمر الحادثة والشأن اللائق بها مستلزماً للقول، وقد يكون للتصرف والعمل، وقد يكون للتقرير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الحقيقي حيث تعذر، إذ لا معنى لإرادة كون </w:t>
      </w:r>
      <w:bookmarkStart w:id="645" w:name="pg8204_101233"/>
    </w:p>
    <w:p>
      <w:pPr>
        <w:pStyle w:val="BookText"/>
        <w:rPr/>
      </w:pPr>
      <w:bookmarkEnd w:id="645"/>
      <w:r>
        <w:rPr>
          <w:rFonts w:ascii="Amiri" w:hAnsi="Amiri" w:eastAsia="Amiri" w:cs="Amiri"/>
          <w:color w:val="111111"/>
          <w:sz w:val="28"/>
          <w:sz w:val="28"/>
          <w:szCs w:val="28"/>
          <w:rtl w:val="true"/>
          <w:lang w:bidi="ar-SA"/>
        </w:rPr>
        <w:t xml:space="preserve">ذوات الفقهاء حجة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والذات هي الروح والنفس والبدن ولا معنى لحجيتها، وجب الحمل على أقرب المجازات، وهو كل ما عدا الذات مما يمكن اعتباره حجة، قولاً كان أو فعلاً أو تقريراً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التقدير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 عليكم، 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وفعل وتقرير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حجتي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حجتي قولاً وفعلاً وتقريراً ونظراً وفصلاً للخصومة ومطالبةً بالخمس مثلاً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يوجه بالوصف بحال المتعلق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ذاتهم حجة باعتبار القول والعمل والتقرير، وباعتبار الصفات أيضاً</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8924404_1051229030"/>
      <w:bookmarkStart w:id="647" w:name="_Toc241"/>
      <w:bookmarkEnd w:id="646"/>
      <w:r>
        <w:rPr>
          <w:rtl w:val="true"/>
        </w:rPr>
        <w:t>ز</w:t>
      </w:r>
      <w:r>
        <w:rPr>
          <w:rtl w:val="true"/>
        </w:rPr>
        <w:t>: (</w:t>
      </w:r>
      <w:r>
        <w:rPr>
          <w:rtl w:val="true"/>
        </w:rPr>
        <w:t>حجتي</w:t>
      </w:r>
      <w:r>
        <w:rPr>
          <w:rtl w:val="true"/>
        </w:rPr>
        <w:t>)</w:t>
      </w:r>
      <w:bookmarkEnd w:id="647"/>
    </w:p>
    <w:p>
      <w:pPr>
        <w:pStyle w:val="Heading6"/>
        <w:numPr>
          <w:ilvl w:val="5"/>
          <w:numId w:val="1"/>
        </w:numPr>
        <w:rPr/>
      </w:pPr>
      <w:bookmarkStart w:id="648" w:name="__RefHeading___Toc8924406_1051229030"/>
      <w:bookmarkStart w:id="649" w:name="_Toc242"/>
      <w:bookmarkEnd w:id="648"/>
      <w:r>
        <w:rPr>
          <w:rtl w:val="true"/>
        </w:rPr>
        <w:t>اشارة</w:t>
      </w:r>
      <w:bookmarkEnd w:id="64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في الأخبار والرأي لا فيما عداهما، فتخرج الأمور العامة عن دائرة هذا الحديث</w:t>
      </w:r>
      <w:r>
        <w:rPr>
          <w:rFonts w:eastAsia="Amiri" w:cs="Amiri" w:ascii="Amiri" w:hAnsi="Amiri"/>
          <w:color w:val="111111"/>
          <w:sz w:val="28"/>
          <w:szCs w:val="28"/>
          <w:rtl w:val="true"/>
          <w:lang w:bidi="ar-SA"/>
        </w:rPr>
        <w:t xml:space="preserve">. </w:t>
      </w:r>
      <w:bookmarkStart w:id="650" w:name="pg8204_101234"/>
    </w:p>
    <w:p>
      <w:pPr>
        <w:pStyle w:val="Heading6"/>
        <w:numPr>
          <w:ilvl w:val="5"/>
          <w:numId w:val="1"/>
        </w:numPr>
        <w:rPr/>
      </w:pPr>
      <w:bookmarkStart w:id="651" w:name="__RefHeading___Toc8924408_1051229030"/>
      <w:bookmarkStart w:id="652" w:name="_Toc243"/>
      <w:bookmarkEnd w:id="650"/>
      <w:bookmarkEnd w:id="651"/>
      <w:r>
        <w:rPr>
          <w:rtl w:val="true"/>
        </w:rPr>
        <w:t xml:space="preserve">مناقشات مع الأصفهاني والإيرواني </w:t>
      </w:r>
      <w:r>
        <w:rPr>
          <w:rtl w:val="true"/>
        </w:rPr>
        <w:t>:</w:t>
      </w:r>
      <w:bookmarkEnd w:id="652"/>
    </w:p>
    <w:p>
      <w:pPr>
        <w:pStyle w:val="BookText"/>
        <w:rPr/>
      </w:pPr>
      <w:r>
        <w:rPr>
          <w:rFonts w:ascii="Amiri" w:hAnsi="Amiri" w:eastAsia="Amiri" w:cs="Amiri"/>
          <w:color w:val="111111"/>
          <w:sz w:val="28"/>
          <w:sz w:val="28"/>
          <w:szCs w:val="28"/>
          <w:rtl w:val="true"/>
          <w:lang w:bidi="ar-SA"/>
        </w:rPr>
        <w:t>قال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مفاد الحجية صحة الاحتجاج بالشخص أو بالشيء في مقام المؤاخذة على مخالفة ما قامت عليه الحجة</w:t>
      </w:r>
      <w:r>
        <w:rPr>
          <w:rStyle w:val="FootnoteAnchor"/>
          <w:rtl w:val="true"/>
        </w:rPr>
        <w:footnoteReference w:id="905"/>
      </w:r>
      <w:r>
        <w:rPr>
          <w:rFonts w:ascii="Amiri" w:hAnsi="Amiri" w:eastAsia="Amiri" w:cs="Amiri"/>
          <w:color w:val="111111"/>
          <w:sz w:val="28"/>
          <w:sz w:val="28"/>
          <w:szCs w:val="28"/>
          <w:rtl w:val="true"/>
          <w:lang w:bidi="ar-SA"/>
        </w:rPr>
        <w:t xml:space="preserve">، فيناسب قيام الدليل على حكم شرعي سواء كان إخبار الراوي أو رأي المجتهد ونظره، وأما مطلق النظر كنظر الفقيه في بيع مال اليتيم فلا معنى لاتصافه بالحجية، فإن البيع الواقع عن مصلحة بنظره صحيح نافذ، لا أنه حجة له أو لغيره على أحد، فما في طي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يناسب الأمور التي يكون المرجع فيها هو الرأي والنظر وإن كان صحيحاً في الجملة، إلا أنه لا دخل له بكل رأي ونظر، كما لا يخفى على أهل النظر فتبصّر</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الإيرواني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الحجية تكون في تبليغ أمر فيختص مدلولها في المقام بتبليغ الأحكام الشرعية، ولا يشمل التصرفات الشخصية في الأموال والنفوس، أو تصدي المصالح العامة من الحكومة وفصل الخصومة أو إجراء الحدود، فإن كل ذلك أجنبي عن مفهوم الحجية التي هي من الاحتجاج، فإن الله تعالى يحتج على العباد ببعث الأنبياء، والأنبياء بنصب الخلفاء، والخلفاء باستنابة الفقهاء في تبليغ الأوامر والنواهي، والتصرفات ليس من محل الاحتجاج، فالتوقيع الشريف أجنبي عما هو المدعى، ومنه يظهر عدم صلاحيته للاستدلال به على نيابة الفقيه في الأمور المزبورة ويختص مدلوله بالفتوى</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وقبل الشروع في بيان ما يرد عليهما سنذكر مجموعة من الأحاديث الشريفة التي تدل أو تؤيد كون الحجية أعم مما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مولى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لَهَا حَسْرَةً عَلَى كُلِّ ذِي غَفْلَةٍ أَنْ يَكُونَ عُمُرُهُ عَلَيْهِ حُجَّةً وَ أَنْ تُؤَدِّيَهُ أَيَّامُهُ إِلَى الشِّقْوَةِ</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 بَرَأَ النَّسَمَةَ لَوْلا حُضُورُ الْحَاضِرِ وَ قِيَامُ الْحُجَّةِ بِوُجُودِ النَّاصِرِ</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أَعْظَمَ حُجَّتِهِمْ لَعَلَى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لَرَاضٍ بِحُجَّةِ اللَّهِ عَلَيْهِمْ وَعِلْمِهِ فِيهِمْ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إِلَيْكُمُ الْمَعْذِرَةَ وَ اتَّخَذَ عَلَيْكُمُ الْحُجَّةَ وَ قَدَّمَ إِلَيْكُمْ بِالْوَعِيدِ</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اعْذِرُوا مَنْ لا حُجَّةَ لَكُمْ عَلَيْهِ وَ هُوَ أَنَا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وَأَرَانَا مِنْ مَلَكُوتِ قُدْرَتِهِ وَعَجَائِبِ مَا نَطَقَتْ بِهِ آثَارُ حِكْمَتِهِ وَاعْتِرَافِ الْحَاجَةِ مِنَ الْخَلْقِ إِلَى أَنْ يُقِيمَهَا بِمِسَاكِ قُوَّتِهِ مَا دَلَّنَا بِاضْطِرَارِ قِيَامِ الْحُجَّةِ لَهُ عَلَى مَعْرِفَتِهِ فَظَهَرَتِ الْبَدَائِعُ الَّتِي أَحْدَثَتْهَا آثَارُ صَنْعَتِهِ وَأَعْلَامُ حِكْمَتِهِ فَصَارَ كُلُّ مَا خَلَقَ حُجَّةً لَهُ وَدَلِيلاً عَلَيْهِ وَإِنْ كَانَ خَلْقاً صَامِتاً فَحُجَّتُهُ بِالتَّدْبِيرِ نَاطِقَةٌ وَ دَلالَتُهُ عَلَى الْمُبْدِعِ قَائِمَةٌ</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الْعَالِمَ الْعَامِلَ بِغَيْرِ عِلْمِهِ كَالْجَاهِلِ الْحَائِرِ الَّذِي لَا </w:t>
      </w:r>
    </w:p>
    <w:p>
      <w:pPr>
        <w:pStyle w:val="BookText"/>
        <w:rPr/>
      </w:pPr>
      <w:r>
        <w:rPr>
          <w:rFonts w:ascii="Amiri" w:hAnsi="Amiri" w:eastAsia="Amiri" w:cs="Amiri"/>
          <w:color w:val="111111"/>
          <w:sz w:val="28"/>
          <w:sz w:val="28"/>
          <w:szCs w:val="28"/>
          <w:rtl w:val="true"/>
          <w:lang w:bidi="ar-SA"/>
        </w:rPr>
        <w:t>يَسْتَفِيقُ مِنْ جَهْلِهِ بَلِ الْحُجَّةُ عَلَيْهِ أَعْظَمُ وَ الْحَسْرَةُ لَهُ أَلْزَمُ وَ هُوَ عِنْدَ اللَّهِ أَلْوَمُ</w:t>
      </w:r>
      <w:r>
        <w:rPr>
          <w:rFonts w:eastAsia="Amiri" w:cs="Amiri" w:ascii="Amiri" w:hAnsi="Amiri"/>
          <w:color w:val="111111"/>
          <w:sz w:val="28"/>
          <w:szCs w:val="28"/>
          <w:rtl w:val="true"/>
          <w:lang w:bidi="ar-SA"/>
        </w:rPr>
        <w:t>)</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رُسُلَهُ بِمَا خَصَّهُمْ بِهِ مِنْ وَحْيِهِ وَ جَعَلَهُمْ حُجَّةً لَهُ عَلَى خَلْقِهِ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النَّاسُ رَجُلَانِ مُتَّبِعٌ شِرْعَةً وَ مُبْتَدِعٌ بِدْعَةً لَيْسَ مَعَهُ مِنَ اللَّهِ سُبْحَانَهُ بُرْهَانُ سُنَّةٍ وَ لا ضِيَاءُ حُجَّةٍ</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فَالْقُرْآنُ آمِرٌ زَاجِرٌ، وَصَامِتٌ نَاطِقٌ، حُجَّةُ اللَّهِ عَلَى خَلْقِهِ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وَتَرْكُكُمْ إِيَّاهُمْ حَتَّى يَبْدَءُوكُمْ حُجَّةٌ أُخْرَى لَكُمْ عَلَيْهِمْ</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تَوَخَّ مِنْهُمْ أَهْلَ التَّجْرِبَةِ وَ الْحَيَاءِ مِنْ أَهْلِ الْبُيُوتَاتِ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الْأَرْزَاقَ فَإِنَّ ذَلِكَ قُوَّةٌ لَهُمْ عَلَى اسْتِصْلَاحِ أَنْفُسِهِمْ وَ غِنًى لَهُمْ عَنْ تَنَاوُلِ مَا تَحْتَ أَيْدِيهِمْ وَ حُجَّةٌ عَلَيْهِمْ إِنْ خَالَفُوا أَمْرَكَ أَوْ ثَلَمُوا أَمَانَتَكَ</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ابْتَلَانِي اللَّهُ بِكَ وَ ابْتَلَاكَ بِي فَجَعَلَ أَحَدَنَا حُجَّةً عَلَى الآخَرِ</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وَالْفَقْرُ يُخْرِسُ الْفَطِنَ عَنْ حُجَّتِهِ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بِوُجُوبِ الْحُجَجِ وَظُهُورِ الْفَلَجِ</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إنَّهُ لَمْ يَكُنْ لِلهِ سُبْحانَهُ حُجَّةٌ فيأَرْضِهِ أَوْكَدُ مِنْ نَبِيّنا مُحَمَّدٍ صلوات الله عليه وآله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 لِلَّهِ عَلَيْهِ حُجَّةٌ، إِمَّا فِي ذَنْبٍ اقْتَرَفَهُ، وَإِمَّا فِي نِعْمَةٍ قَصَّرَ عَنْ شُكْرِهَا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تَخْلُوَ أَرْضُ اللَّهِ مِنْ حُجَّةٍ يَكُونُ مَعَهُ عِلْمٌ يَدُلُّ عَلَى صِدْقِ مَقَالَتِهِ وَجَوَازِ عَدَالَتِهِ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تَخْلُو الأَرْضُ مُنْذُ كَانَتْ مِنْ حُجَّةٍ عَالِمٍ يُحْيِي فِيهَا مَا يُمِيتُونَ مِنَ الْحَقِّ</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لابُدَّ لَكَ مِنْ حُجَجٍ فِي أَرْضِكَ حُجَّةٍ بَعْدَ حُجَّةٍ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يَتَفَرَّقَ أَتْبَاعُ أُولَئِكَ ظَاهِرٍ غَيْرِ مُطَاعٍ أَوْ مُكْتَتِمٍ خَائِفٍ يَتَرَقَّبُ إِنْ غَابَ عَنِ النَّاسِ شَخْصُهُمْ فِي حَالِ هُدْنَتِهِمْ فِي دَوْلَةِ الْبَاطِلِ فَلَمْ يَغْلِبْ عَنْهُمْ مَبْثُوثُ عِلْمِهِمْ وَ آدَابُهُمْ</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والصادق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الْحُجَّةَ لَا تَقُومُ لِلَّهِ عَزَّ وَجَلَّ عَلَى خَلْقِهِ إِلاّ بِإِمَامٍ حَيٍّ يَعْرِفُونَهُ</w:t>
      </w:r>
      <w:r>
        <w:rPr>
          <w:rFonts w:eastAsia="Amiri" w:cs="Amiri" w:ascii="Amiri" w:hAnsi="Amiri"/>
          <w:color w:val="111111"/>
          <w:sz w:val="28"/>
          <w:szCs w:val="28"/>
          <w:rtl w:val="true"/>
          <w:lang w:bidi="ar-SA"/>
        </w:rPr>
        <w:t>).</w:t>
      </w:r>
      <w:r>
        <w:rPr>
          <w:rStyle w:val="FootnoteAnchor"/>
          <w:rtl w:val="true"/>
        </w:rPr>
        <w:footnoteReference w:id="928"/>
      </w:r>
      <w:bookmarkStart w:id="653" w:name="pg8204_101238"/>
    </w:p>
    <w:p>
      <w:pPr>
        <w:pStyle w:val="Heading6"/>
        <w:numPr>
          <w:ilvl w:val="5"/>
          <w:numId w:val="1"/>
        </w:numPr>
        <w:rPr/>
      </w:pPr>
      <w:bookmarkStart w:id="654" w:name="__RefHeading___Toc8924410_1051229030"/>
      <w:bookmarkStart w:id="655" w:name="_Toc244"/>
      <w:bookmarkEnd w:id="653"/>
      <w:bookmarkEnd w:id="654"/>
      <w:r>
        <w:rPr>
          <w:rtl w:val="true"/>
        </w:rPr>
        <w:t>ويرد على الإيرواني</w:t>
      </w:r>
      <w:r>
        <w:rPr>
          <w:rtl w:val="true"/>
        </w:rPr>
        <w:t>:</w:t>
      </w:r>
      <w:bookmarkEnd w:id="655"/>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الحجية تكون في تبليغ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ما سنورده على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التبليغ</w:t>
      </w:r>
      <w:r>
        <w:rPr>
          <w:rStyle w:val="FootnoteAnchor"/>
          <w:rtl w:val="true"/>
        </w:rPr>
        <w:footnoteReference w:id="929"/>
      </w:r>
      <w:r>
        <w:rPr>
          <w:rFonts w:ascii="Amiri" w:hAnsi="Amiri" w:eastAsia="Amiri" w:cs="Amiri"/>
          <w:color w:val="111111"/>
          <w:sz w:val="28"/>
          <w:sz w:val="28"/>
          <w:szCs w:val="28"/>
          <w:rtl w:val="true"/>
          <w:lang w:bidi="ar-SA"/>
        </w:rPr>
        <w:t xml:space="preserve">، إذ يتصف بهابالحمل الشائع الصناعي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فيمن اعتبر الشارع نظره نافذاً، كالنظر في أموال القصّر والغيّب والأيتام والنظر في أموال الابن والبنت، لكون الحجية من الاحتجاج كما ذكره، وكما يحتج الله على العباد ببعث الأنبياء</w:t>
      </w:r>
      <w:r>
        <w:rPr>
          <w:rStyle w:val="FootnoteAnchor"/>
          <w:rtl w:val="true"/>
        </w:rPr>
        <w:footnoteReference w:id="930"/>
      </w:r>
      <w:r>
        <w:rPr>
          <w:rFonts w:ascii="Amiri" w:hAnsi="Amiri" w:eastAsia="Amiri" w:cs="Amiri"/>
          <w:color w:val="111111"/>
          <w:sz w:val="28"/>
          <w:sz w:val="28"/>
          <w:szCs w:val="28"/>
          <w:rtl w:val="true"/>
          <w:lang w:bidi="ar-SA"/>
        </w:rPr>
        <w:t xml:space="preserve">يحتج بنظر من له النظر كالإمام والأب على مخالفه وممانعه، فلو أدى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أصلحية زيد بن عمروٍ لقيادة الجيش أو لحكومة البصرة مثلاً كان نظره حجة وصح الاحتجاج على من خالف ذلك وولى عمرواً مثلاً، أو من خالفه بأن لم ينقد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يتصف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عبارة أخرى عن الفعل، ولذا اشتهر أن قول المعصوم وفعله وتقريره حجة، ولذا أيضاً يحتج المولى جل وعلا بشرب شخص الخمر عليه</w:t>
      </w:r>
      <w:r>
        <w:rPr>
          <w:rStyle w:val="FootnoteAnchor"/>
          <w:rtl w:val="true"/>
        </w:rPr>
        <w:footnoteReference w:id="931"/>
      </w:r>
      <w:r>
        <w:rPr>
          <w:rFonts w:ascii="Amiri" w:hAnsi="Amiri" w:eastAsia="Amiri" w:cs="Amiri"/>
          <w:color w:val="111111"/>
          <w:sz w:val="28"/>
          <w:sz w:val="28"/>
          <w:szCs w:val="28"/>
          <w:rtl w:val="true"/>
          <w:lang w:bidi="ar-SA"/>
        </w:rPr>
        <w:t>، فشربه حجة عليه، كما يحتج بصلاة وصوم وجهاد آخر على من لم يصلّ ولم يصم ولم يجاهد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يتصف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إذ يصح الاحتجاج بكون الحق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على غاصبها، وبحق زيد في الأرض التي سبق إليها، وقام بتحجيرها على من أراد الحيلولة دون تصرفه فيها أو حال دون ذلك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تتصف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والقيمومة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656" w:name="pg8204_101239"/>
    </w:p>
    <w:p>
      <w:pPr>
        <w:pStyle w:val="BookText"/>
        <w:rPr/>
      </w:pPr>
      <w:bookmarkEnd w:id="656"/>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يتصف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الشيء 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ذاته وقوله وفعله وتقريره وحقه وولايته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بها الله كلها على العباد</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وإن كان مراده أن الحجية أو الحجة ما يستلزم تبليغ أمر،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التبليغ حجة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تصدي الفقيه مستلزم للتبليغ،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الكلام، وسنذكر بعض التفصيل في ذيل الإشكال على الكمباني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8924412_1051229030"/>
      <w:bookmarkStart w:id="658" w:name="_Toc245"/>
      <w:bookmarkEnd w:id="657"/>
      <w:r>
        <w:rPr>
          <w:rtl w:val="true"/>
        </w:rPr>
        <w:t>ويرد على الأصفهاني</w:t>
      </w:r>
      <w:r>
        <w:rPr>
          <w:rtl w:val="true"/>
        </w:rPr>
        <w:t>:</w:t>
      </w:r>
      <w:bookmarkEnd w:id="658"/>
    </w:p>
    <w:p>
      <w:pPr>
        <w:pStyle w:val="BookText"/>
        <w:rPr/>
      </w:pPr>
      <w:r>
        <w:rPr>
          <w:rFonts w:ascii="Amiri" w:hAnsi="Amiri" w:eastAsia="Amiri" w:cs="Amiri"/>
          <w:color w:val="111111"/>
          <w:sz w:val="28"/>
          <w:sz w:val="28"/>
          <w:szCs w:val="28"/>
          <w:rtl w:val="true"/>
          <w:lang w:bidi="ar-SA"/>
        </w:rPr>
        <w:t>ويرد على الأصفهاني</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 بل قد يراد بها الكاشف، أو لازم الاتباع، أو الأوسط في القياس، أو غير ذلك</w:t>
      </w:r>
      <w:r>
        <w:rPr>
          <w:rStyle w:val="FootnoteAnchor"/>
          <w:rtl w:val="true"/>
        </w:rPr>
        <w:footnoteReference w:id="934"/>
      </w:r>
      <w:r>
        <w:rPr>
          <w:rFonts w:ascii="Amiri" w:hAnsi="Amiri" w:eastAsia="Amiri" w:cs="Amiri"/>
          <w:color w:val="111111"/>
          <w:sz w:val="28"/>
          <w:sz w:val="28"/>
          <w:szCs w:val="28"/>
          <w:rtl w:val="true"/>
          <w:lang w:bidi="ar-SA"/>
        </w:rPr>
        <w:t>، ونظر الفقيه لازم الاتباع، كما يقع أوسط في القياس، كما أنه كاشف نوعي عن المصلحة أو المفسدة الثبوتية في المتعلق وعن الحكم الشرعي فيه، فتأمل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 وإن صح أن للحجة معاني متعددة،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ما يحتج به علينا، لا الكاشف أو لازم الاتباع، لقرينة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مفاد الحجية هو ذلك لا يقتضي انحصارها في قيام الدليل على حكم شرعي، بل تشمل مطلق النظر حتى نظر الفقيه في بيع مال اليتيم</w:t>
      </w:r>
      <w:r>
        <w:rPr>
          <w:rStyle w:val="FootnoteAnchor"/>
          <w:rtl w:val="true"/>
        </w:rPr>
        <w:footnoteReference w:id="935"/>
      </w:r>
      <w:r>
        <w:rPr>
          <w:rFonts w:ascii="Amiri" w:hAnsi="Amiri" w:eastAsia="Amiri" w:cs="Amiri"/>
          <w:color w:val="111111"/>
          <w:sz w:val="28"/>
          <w:sz w:val="28"/>
          <w:szCs w:val="28"/>
          <w:rtl w:val="true"/>
          <w:lang w:bidi="ar-SA"/>
        </w:rPr>
        <w:t xml:space="preserve">، لانطباق مفادها عليه، إذ يصح الاحتجاج بنظر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تشمله كلمة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 بالشخص أو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المؤاخذة على مخالفة الآخرين مقتضى هذا النظر وما أدى إليه وهو البيع في المثال، فلو أدى نظر الفقيه إلى بيع مال اليتيم الفلاني لم يحق لأحد مخالفته وممانعته، ولو خالفه ومانعه صح احتجاج المولى بنظر الفقيه على مخالفة زيد له مثلاً لبيعه</w:t>
      </w:r>
      <w:r>
        <w:rPr>
          <w:rStyle w:val="FootnoteAnchor"/>
          <w:rtl w:val="true"/>
        </w:rPr>
        <w:footnoteReference w:id="936"/>
      </w:r>
      <w:r>
        <w:rPr>
          <w:rFonts w:ascii="Amiri" w:hAnsi="Amiri" w:eastAsia="Amiri" w:cs="Amiri"/>
          <w:color w:val="111111"/>
          <w:sz w:val="28"/>
          <w:sz w:val="28"/>
          <w:szCs w:val="28"/>
          <w:rtl w:val="true"/>
          <w:lang w:bidi="ar-SA"/>
        </w:rPr>
        <w:t xml:space="preserve">،وجازت له عقوبته إن حال دون ذلك، وكان متجرياً إن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 الكذائي حائل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منشأ الاشتباه الخلط بين المقتضي والمقتضى، ومورد البحث هو أن الأول موصوف بالحجية لا الثاني، وبذلك يظهر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مطلق النظر كنظر الفقيه في بيع مال اليتيم فلا معنى لاتصافه بالحجية، فإن البيع الواقع عن مصلحة بنظره صحيح نافذ لا أنه حجة له أو لغيره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الحجة هو النظر لا البيع، والمدعى هو كون نظر الفقيه حجة</w:t>
      </w:r>
      <w:r>
        <w:rPr>
          <w:rStyle w:val="FootnoteAnchor"/>
          <w:rtl w:val="true"/>
        </w:rPr>
        <w:footnoteReference w:id="937"/>
      </w:r>
      <w:r>
        <w:rPr>
          <w:rFonts w:ascii="Amiri" w:hAnsi="Amiri" w:eastAsia="Amiri" w:cs="Amiri"/>
          <w:color w:val="111111"/>
          <w:sz w:val="28"/>
          <w:sz w:val="28"/>
          <w:szCs w:val="28"/>
          <w:rtl w:val="true"/>
          <w:lang w:bidi="ar-SA"/>
        </w:rPr>
        <w:t>، كما أن نظر مسلّم الولاية والقيمومة كالأب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القول والنظر وغيرهما، أي فإن قولهم ونظرهم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 عليكم، كما سبق بيان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الحجية أعم</w:t>
      </w:r>
      <w:r>
        <w:rPr>
          <w:rStyle w:val="FootnoteAnchor"/>
          <w:rtl w:val="true"/>
        </w:rPr>
        <w:footnoteReference w:id="938"/>
      </w:r>
      <w:r>
        <w:rPr>
          <w:rFonts w:ascii="Amiri" w:hAnsi="Amiri" w:eastAsia="Amiri" w:cs="Amiri"/>
          <w:color w:val="111111"/>
          <w:sz w:val="28"/>
          <w:sz w:val="28"/>
          <w:szCs w:val="28"/>
          <w:rtl w:val="true"/>
          <w:lang w:bidi="ar-SA"/>
        </w:rPr>
        <w:t xml:space="preserve">، إذ يحتج برأي الفقيه بأصلحية هذا من ذاك في مورد حجيته فيه وبناءً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كأصلحية هذا لإدارة هذا الوقف أو هذا اليتيم، أو للتصدي لمنصب القضاء وذاك لمنصب الوزارة والآخر لقيادة الجيش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مخالفه وممانعه، وكذا يحتج بولايته على مخالف مقتضاها</w:t>
      </w:r>
      <w:r>
        <w:rPr>
          <w:rStyle w:val="FootnoteAnchor"/>
          <w:rtl w:val="true"/>
        </w:rPr>
        <w:footnoteReference w:id="939"/>
      </w:r>
      <w:r>
        <w:rPr>
          <w:rFonts w:ascii="Amiri" w:hAnsi="Amiri" w:eastAsia="Amiri" w:cs="Amiri"/>
          <w:color w:val="111111"/>
          <w:sz w:val="28"/>
          <w:sz w:val="28"/>
          <w:szCs w:val="28"/>
          <w:rtl w:val="true"/>
          <w:lang w:bidi="ar-SA"/>
        </w:rPr>
        <w:t>، إذ يحتج بأن له إقامة الحدودمثلاً على من يحول دون ذلك أو من يريد هو إقامتها دون إذنه، وبمطالبته الخمس على مانع الإعطاء، وبفصله للخصومة على من لم يلتزم به من الطرفين، كما لو قضى بالدار لهذا فلم يسلمها ذاك له، فإنه محاسَب ومخالِف لمقتضى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يحتج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كبيعه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يحول دون ترتيب الآثار، وبهذا ظهر أن البيع أيضاً يتصف بالحجية، حسب تعريف الكمباني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يصح الاحتجاج ببيع من له البيع في مقام المؤاخذة على مخالفة ترتيب الآثار الذي اقتضته الحجية،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الوصف بحال المتعلق فتأمل، وكذا كافة الأحكام الوضعية فإنها تتصف بالحجية أيضاً، إذ يحتج بملكه على من تصرف فيه بلا مسوغ، وهكذا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يحتج بذات الشخص أو الشيء</w:t>
      </w:r>
      <w:r>
        <w:rPr>
          <w:rStyle w:val="FootnoteAnchor"/>
          <w:rtl w:val="true"/>
        </w:rPr>
        <w:footnoteReference w:id="940"/>
      </w:r>
      <w:r>
        <w:rPr>
          <w:rFonts w:ascii="IRNazanin" w:hAnsi="IRNazanin" w:eastAsia="IRNazanin"/>
          <w:color w:val="111111"/>
          <w:sz w:val="28"/>
          <w:sz w:val="28"/>
          <w:szCs w:val="28"/>
          <w:rtl w:val="true"/>
          <w:lang w:bidi="fa-IR"/>
        </w:rPr>
        <w:t xml:space="preserve">، فنفس وجود الإمام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وإن لم يتصرف ولم يتكلم، إذ نفس وجوده يحتج به على الجائر الحاكم، إذ كيف يتولى المنصب مع وجود من له المنصب؟ كما يحتج به على الأُمة، إذ كيف لم تسع الأمة لإعطائه حقه؟ وكيف ولّت من ليس أهلاً؟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 ما سبق إلى الحكم التكليفي أو الوضعي،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وببعض ما ذكرناه يظهر أن الأصح تبديل الحكم بالجعل،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فيناسب قيام الدليل على جعل شرعي</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ليشمل جعل الولاية والقيمومة وشبهها، إلا أن يعد جعلها حكماً شرعياً، فتأمل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فيناسب قيام الدليل على حكم شرعي</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يستلزم خروج إقامة رواية الحديث دليلاً على أصل من أصول الدين، وعلى ما يتعلق بها، مع وضوح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عليها</w:t>
      </w:r>
      <w:r>
        <w:rPr>
          <w:rStyle w:val="FootnoteAnchor"/>
          <w:rtl w:val="true"/>
        </w:rPr>
        <w:footnoteReference w:id="943"/>
      </w:r>
      <w:r>
        <w:rPr>
          <w:rFonts w:ascii="Amiri" w:hAnsi="Amiri" w:eastAsia="Amiri" w:cs="Amiri"/>
          <w:color w:val="111111"/>
          <w:sz w:val="28"/>
          <w:sz w:val="28"/>
          <w:szCs w:val="28"/>
          <w:rtl w:val="true"/>
          <w:lang w:bidi="ar-SA"/>
        </w:rPr>
        <w:t>، كما يصح الاحتجاج بالعقل في مقام المؤاخذة</w:t>
      </w:r>
      <w:r>
        <w:rPr>
          <w:rStyle w:val="FootnoteAnchor"/>
          <w:rtl w:val="true"/>
        </w:rPr>
        <w:footnoteReference w:id="944"/>
      </w:r>
      <w:r>
        <w:rPr>
          <w:rFonts w:ascii="Amiri" w:hAnsi="Amiri" w:eastAsia="Amiri" w:cs="Amiri"/>
          <w:color w:val="111111"/>
          <w:sz w:val="28"/>
          <w:sz w:val="28"/>
          <w:szCs w:val="28"/>
          <w:rtl w:val="true"/>
          <w:lang w:bidi="ar-SA"/>
        </w:rPr>
        <w:t xml:space="preserve">على مخالفة ما قامت عليه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الله وكوجوب شكر المنعم وقبح الظلم، إلا أن يريد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لكنه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يستشكل على تخصيصه مفاد الحجية بصحة الاحتجاج في مقام المؤاخذة على المخالفة،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ذلك، إذ تشمل الدليل ولو لم يكن في ذلك المقام، ولذا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عناية على دليل إقامه شخص على وحدانية الله أو عدالته أو تجرده أو أزليته وأبديته وإن لم يكن في مقام المؤاخذة على مخالفة ما قامت عليه الحجة؛ فإن تجرده تعالى مثلاً مما لا يرتبط بالمؤاخذة، كما أن الشخص قد يكون طالباً للفهم فقط غافلاً عن أي مقام آخر، كما أن الشخص قد يكون مؤمناً مذعناً ويريد الحصول على أدلة جديدة، أو يريد الاجتهاد في أصول الدين وإن كان مقلداً قاطعاً، فإنها حجة ودليل وإن لم يكن الملقي والسامع في مقام المؤاخذة على المخالفة، وكذلك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المعاد جسماني أو روحاني، أو على تجسم الأعمال وعدمه، ولا يجدي تعميم المخالفة للنظرية لدفع الصدق حتى مع عدمها، كما فيما مضى، بل وكذا تطلق الحجة على مطلق أي دليل على مطلب طبي أو فيزيائي أو هندسي، ويكثر في الاستعمالات بلا عناية وفي كل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حجة قوية أو حجتك واهية، مما لا ربط له بمقام المؤاخذة، أو لم يخطر ببال المحتج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تسند إلى العبد أيضاً كماتسند إلى المولى، وهذا معروف في الأصول، إذ يحتج العبد على مولاه بالطرق التي نصبها وإن خالفت الواقع، ومن الواضح كون ذلك في مقام براءة الذمة وتبرأتها لا في مقام المؤاخذة على مخالفة ما قامت عليه الحجة، وإن أمكن بوجهٍ إرجاعه إليه، لكنه غير عرفي، كما لا ينفي صحة ما هو مصبّه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أعمية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والولاية والنفوذ وغيرها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وهو يريد الخروج من المدينة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في الحوادث الواقعة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جعلته حجة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يدل ذلك عرفاً على كونه بمنزلته، وأن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p>
    <w:p>
      <w:pPr>
        <w:pStyle w:val="BookText"/>
        <w:rPr/>
      </w:pPr>
      <w:r>
        <w:rPr>
          <w:rFonts w:ascii="Amiri" w:hAnsi="Amiri" w:eastAsia="Amiri" w:cs="Amiri"/>
          <w:color w:val="111111"/>
          <w:sz w:val="28"/>
          <w:sz w:val="28"/>
          <w:szCs w:val="28"/>
          <w:rtl w:val="true"/>
          <w:lang w:bidi="ar-SA"/>
        </w:rPr>
        <w:t xml:space="preserve">يرتبط بالحوادث وحلها وفصلها، وأنه نصب من قبله لتولي كافة شؤون الحوادث الواقعة، لا مجرد الاحتجاج في مقام المؤاخذة؟ وهذا إضافة إلى كونه المتفاهم العرفي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القرينة المقامية، وهي موجودة فيما نحن فيه إذ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في غيبته الحوادث إلى الرواة، وكان السؤال حينها، والظاهر كونه سؤالاً عن المرجع فيها حين غيابه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ومما يوضح ما ذكرنا الحديث السادس وكذا الثامن، إذ حجيتهم له على خلقه مطلقة، تشمل ما ذكرناه في المتن من مطلق ما يتعلق بأصول الدين وفروعه، وكذا العاشر إذ حجية القرآن ليست مختصة بآيات الأحكام بل كله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وأصولاً وقصصاً وآداباً،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الرابع عشر والسادس عشر، وكذا العشرون، لمكان التعليل وللذيل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 هذا الحديث مؤيد لما ذكرناه في 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الواحد والعشرون، إذ الاحتجاج بالشخص أو الشيء في مقام المؤاخذة لا يتوقف على كون الإمام حياً ولا على معرفته، بل يكفي في صحتها صرف التبليغ، وما ذلك إلا لجهة القيمومة والإشراف والتوجيه وسدّ الثغور قدر المستطاع والولاية لا أقل من الأعمية للكل، وهذا دليل أيضاً على أعمية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الشرعية كما سبق، فتأمل</w:t>
      </w:r>
      <w:r>
        <w:rPr>
          <w:rFonts w:eastAsia="Amiri" w:cs="Amiri" w:ascii="Amiri" w:hAnsi="Amiri"/>
          <w:color w:val="111111"/>
          <w:sz w:val="28"/>
          <w:szCs w:val="28"/>
          <w:rtl w:val="true"/>
          <w:lang w:bidi="ar-SA"/>
        </w:rPr>
        <w:t xml:space="preserve">. </w:t>
      </w:r>
      <w:bookmarkStart w:id="659" w:name="pg8204_101245"/>
    </w:p>
    <w:p>
      <w:pPr>
        <w:pStyle w:val="Heading6"/>
        <w:numPr>
          <w:ilvl w:val="5"/>
          <w:numId w:val="1"/>
        </w:numPr>
        <w:rPr/>
      </w:pPr>
      <w:bookmarkStart w:id="660" w:name="__RefHeading___Toc8924414_1051229030"/>
      <w:bookmarkStart w:id="661" w:name="_Toc246"/>
      <w:bookmarkEnd w:id="659"/>
      <w:bookmarkEnd w:id="660"/>
      <w:r>
        <w:rPr>
          <w:rtl w:val="true"/>
        </w:rPr>
        <w:t>ح</w:t>
      </w:r>
      <w:r>
        <w:rPr>
          <w:rtl w:val="true"/>
        </w:rPr>
        <w:t>: (</w:t>
      </w:r>
      <w:r>
        <w:rPr>
          <w:rtl w:val="true"/>
        </w:rPr>
        <w:t>حجتي عليكم</w:t>
      </w:r>
      <w:r>
        <w:rPr>
          <w:rtl w:val="true"/>
        </w:rPr>
        <w:t>)</w:t>
      </w:r>
      <w:bookmarkEnd w:id="661"/>
    </w:p>
    <w:p>
      <w:pPr>
        <w:pStyle w:val="BookText"/>
        <w:rPr/>
      </w:pPr>
      <w:r>
        <w:rPr>
          <w:rFonts w:ascii="Amiri" w:hAnsi="Amiri" w:eastAsia="Amiri" w:cs="Amiri"/>
          <w:color w:val="111111"/>
          <w:sz w:val="28"/>
          <w:sz w:val="28"/>
          <w:szCs w:val="28"/>
          <w:rtl w:val="true"/>
          <w:lang w:bidi="ar-SA"/>
        </w:rPr>
        <w:t xml:space="preserve">يمكن الاستدلال بشبه الجملة هذه على حجية رأي أكثرية الفقهاء ووجوب اتباعها، بمثل ما استدللنا به ذيل 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أدنى تغيير، بل قد يكون الاستدلال بهذه أوضح بملاحظة ما ذكرناه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عرفاً من جعل المنصب لعدة أشخاص</w:t>
      </w:r>
      <w:r>
        <w:rPr>
          <w:rStyle w:val="FootnoteAnchor"/>
          <w:rtl w:val="true"/>
        </w:rPr>
        <w:footnoteReference w:id="945"/>
      </w:r>
      <w:r>
        <w:rPr>
          <w:rFonts w:ascii="Amiri" w:hAnsi="Amiri" w:eastAsia="Amiri" w:cs="Amiri"/>
          <w:color w:val="111111"/>
          <w:sz w:val="28"/>
          <w:sz w:val="28"/>
          <w:szCs w:val="28"/>
          <w:rtl w:val="true"/>
          <w:lang w:bidi="ar-SA"/>
        </w:rPr>
        <w:t>، إن سلمنا أنها تدل على جعل المنصب، هو لزوم العمل بالأكثرية إن تعذر الإجماع، خاصة فيما كانت موارد الإجماع فيه قليلة بل نادرة مما يستلزم تقييده بالإجماع خروج الأكثر، بل إن ذلك هو المستفاد عرفاً حتى وإن لم يكن مفاد الرواية جعل المنصب، بل مجرد إيجاب الرجوع إليهم كحكم تكليفي، وقد أجبنا عن إشكال عدم شمول أدلة الحجية للمتعارضين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إضافة إلى مرجحية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فصلناها في موضع آخر، بل يكفي القول بأن للوجود مراتب، وكون متعلق الأوامر هو صرف الوجود الأقوى صدقاً على الأكثر منه على الأقل من أفراد المتعلق أو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نفوذ حكم السابق منهم، فقد تحدثنا عن إبطاله في موضع آخر فراجع، ونزيد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ونظائرها، كما أن دليل دفع الضرر البالغ المحتمل الذي فصلناه في موضع آخر، ينفيه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أيضاً مستلزم للهرج والمرج واختلال النظام، إذ نفوذ </w:t>
      </w:r>
    </w:p>
    <w:p>
      <w:pPr>
        <w:pStyle w:val="BookText"/>
        <w:rPr/>
      </w:pPr>
      <w:r>
        <w:rPr>
          <w:rFonts w:ascii="Amiri" w:hAnsi="Amiri" w:eastAsia="Amiri" w:cs="Amiri"/>
          <w:color w:val="111111"/>
          <w:sz w:val="28"/>
          <w:sz w:val="28"/>
          <w:szCs w:val="28"/>
          <w:rtl w:val="true"/>
          <w:lang w:bidi="ar-SA"/>
        </w:rPr>
        <w:t>حكم عدة أشخاص في موارد متعددة، كلٌ في موردٍ كان هو السابق فيه، مع ما بين الموارد من التأثير والتأثر، مستلزم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عدم وجود سياسة عامة للدولة يؤدي إلى أكبر الفساد والخلل والضرر، فمثلاً لو رأى أحدهم الجهاد مع دولة، ثم حدثت مشاكل وتوتر مع دولة أخرى، فاتخذ آخر قراره سابقاً الآخرين بالجهاد معها أيضاً، واتخذ ثالث قراره بحظر استيراد السلاح مثلاً من الخارج قبل أن يبت الآخرون فيه، وسبق رابع إلى اتخاذ قرار بتصفية المعارضة الداخلية أو بالتسامح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يترك آثاره السلبية والإيجابية على القرار الأول أو الثاني أو الثالث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يتخذ الآخرون في ذلك قراراً، وسارع خامس لحكم قراره بإعطاء الحكم الذاتي لأقلية معينة أو عدمه، مما يؤثر سلباً وإيجاباً على الجهاد مع تلك الدولة أو على سائر القرارات،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قرر أحدهم إقامة علاقات تجارية مع الدول الفلانية، وقرر الآخر إمداد الدولة المحاربة لتلك الدولة بالسلاح مما يعقّد أمر القرار الأول، أو قرر أحدهم زيادة إنتاج النفط والآخر غلق مضيق معين لغرض آخر مستلزم ضمناً عدم القدرة على زيادة إنتاجه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السابق نافذ بجميع لوازمه وملازماته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مستلزم لانحصار الولاية ونفوذ التصرفات به تقريباً، إضافة إلى أن نفوذ حكم السابق في الشؤون العامة قد لا يعد عقلائياً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المرافعات فليس نفوذ حكم السابق مستلزماً لتلك المحاذير، بل نفوذ سائر الأحكام بعده أيضاً هو المستلزم لتلك المحاذير، ونفوذ حكم السابق وعدم محل لحكم اللاحق هو ما اقتضته روايات باب الترافع، مثل صحيحة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انْظُرُوا إِلَى رَجُلٍ مِنْكُمْ يَعْلَمُ شَيْئاً مِنْ قَضَايَانَا فَاجْعَلُوهُ بَيْنَكُمْ فَإِنِّي قَدْ </w:t>
      </w:r>
    </w:p>
    <w:p>
      <w:pPr>
        <w:pStyle w:val="BookText"/>
        <w:rPr/>
      </w:pPr>
      <w:r>
        <w:rPr>
          <w:rFonts w:ascii="Amiri" w:hAnsi="Amiri" w:eastAsia="Amiri" w:cs="Amiri"/>
          <w:color w:val="111111"/>
          <w:sz w:val="28"/>
          <w:sz w:val="28"/>
          <w:szCs w:val="28"/>
          <w:rtl w:val="true"/>
          <w:lang w:bidi="ar-SA"/>
        </w:rPr>
        <w:t>جَعَلْتُهُ قَاضِياً فَتَحَاكَمُوا إِلَيْهِ</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بَعَثَنِي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تَدَارَى فِي شَيْ‌ءٍ مِنَ الأَخْذِ وَالْعَطَاءِ أَنْ تَحَاكَمُوا إِلَى أَحَدٍ مِنْ هَؤُلاءِ الْفُسَّاقِ،اجْعَلُوا بَيْنَكُمْ رَجُلًا قَدْ عَرَفَ حَلَالَنَا وَحَرَامَنَا، فَإِنِّي قَدْ جَعَلْتُهُ عَلَيْكُمْ قَاضِياً</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ومقبولة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بَيْنَهُمَا مُنَازَعَةٌ فِي دَيْنٍ أَوْ مِيرَاثٍ فَتَحَاكَمَا 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الكلام في ذلك موكول إلى محله إن شاء الله تعالى</w:t>
      </w:r>
      <w:r>
        <w:rPr>
          <w:rFonts w:eastAsia="Amiri" w:cs="Amiri" w:ascii="Amiri" w:hAnsi="Amiri"/>
          <w:color w:val="111111"/>
          <w:sz w:val="28"/>
          <w:szCs w:val="28"/>
          <w:rtl w:val="true"/>
          <w:lang w:bidi="ar-SA"/>
        </w:rPr>
        <w:t xml:space="preserve">. </w:t>
      </w:r>
      <w:bookmarkStart w:id="662" w:name="pg8204_101248"/>
    </w:p>
    <w:p>
      <w:pPr>
        <w:pStyle w:val="Heading6"/>
        <w:numPr>
          <w:ilvl w:val="5"/>
          <w:numId w:val="1"/>
        </w:numPr>
        <w:rPr/>
      </w:pPr>
      <w:bookmarkStart w:id="663" w:name="__RefHeading___Toc8924416_1051229030"/>
      <w:bookmarkStart w:id="664" w:name="_Toc247"/>
      <w:bookmarkEnd w:id="662"/>
      <w:bookmarkEnd w:id="663"/>
      <w:r>
        <w:rPr>
          <w:rtl w:val="true"/>
        </w:rPr>
        <w:t>ط</w:t>
      </w:r>
      <w:r>
        <w:rPr>
          <w:rtl w:val="true"/>
        </w:rPr>
        <w:t>: (</w:t>
      </w:r>
      <w:r>
        <w:rPr>
          <w:rtl w:val="true"/>
        </w:rPr>
        <w:t>وأنا حجة الله</w:t>
      </w:r>
      <w:r>
        <w:rPr>
          <w:rtl w:val="true"/>
        </w:rPr>
        <w:t>)</w:t>
      </w:r>
      <w:bookmarkEnd w:id="664"/>
    </w:p>
    <w:p>
      <w:pPr>
        <w:pStyle w:val="Heading6"/>
        <w:numPr>
          <w:ilvl w:val="5"/>
          <w:numId w:val="1"/>
        </w:numPr>
        <w:rPr/>
      </w:pPr>
      <w:bookmarkStart w:id="665" w:name="__RefHeading___Toc8924418_1051229030"/>
      <w:bookmarkStart w:id="666" w:name="_Toc248"/>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القياس قياس المساواة، وينتج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حجج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الحجة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 المساوي مساوٍ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القياس من قوة التأكيد وشدة التنزيل، ثم لا يخفى أن الإنتاج حسب قواعد الشكل الأول، إن أدرجناه فيه، سيكون مع تضمين مقدمة مطوية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يتم هذا على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حجة الله عليهم</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يبقى أنه لو فرضنا تمامية دلالة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على مرجعية الفقهاء في الأمور العامة وكافة الحوادث الواقعة، فيبقى مبحثان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للفقيه قهر الناس لو أعرضوا عن الفقهاء؟</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يرجع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والشؤون العامة إلى الفقهاء، فهل للفقهاء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 الناس على ذلك، والحكم عليهم رغماً عنهم؟</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قسرهم؛ فإنه خلاف الأصل، بل خلاف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الناس على أموالهم وأنفسهم وحقوقهم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جائزاً لورد ولو في رواية واحدة التصريح أو حتى التلميح بذلك، ومع أنه أمر في غاية الأهمية فكيف تهمله الروايات لو كان جائزاً صحيحاً؟</w:t>
      </w:r>
    </w:p>
    <w:p>
      <w:pPr>
        <w:pStyle w:val="BookText"/>
        <w:rPr/>
      </w:pPr>
      <w:r>
        <w:rPr>
          <w:rFonts w:ascii="Amiri" w:hAnsi="Amiri" w:eastAsia="Amiri" w:cs="Amiri"/>
          <w:color w:val="111111"/>
          <w:sz w:val="28"/>
          <w:sz w:val="28"/>
          <w:szCs w:val="28"/>
          <w:rtl w:val="true"/>
          <w:lang w:bidi="ar-SA"/>
        </w:rPr>
        <w:t>نعم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الناس بذلك، لكنه أمر، وجواز جبرهم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ادعاء الدلالة الالتزامية 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وشبهها على جواز جبرهم على قبول حكومتهم، فغير بيّنة ولا مبينة، بل ليس ذلك لازماً بيّناً بالمعنى الأخص ولا بالمعنى الأعم، ولا لازماً غير بيّن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أنه لم يرد في التواريخ ولا الروايات أن الرسول والأمير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 الناس على القبول بحكومتهما، بل الأمر بالعكس تماماً، إذ كان الناس هم الذين ضغطوا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الضغط ليقبل الحكومة الظاهرية، وكما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وَالنَّاسُ كَعُرْفِ الضَّبُعِ إِلَيَّ، يَنْثَالُونَ عَلَيَّ مِنْ كُلِّ جَانِبٍ، حَتَّى لَقَدْ وُطِئَ الْحَسنَانِ وَشُقَّ عِطْفَاي</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 كما تشهد التواريخ بأن أهل المدينة هم الذين طلبوا بل ألحوا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بالقدوم إليهم والحكم عليهم وبايعوه على </w:t>
      </w:r>
      <w:bookmarkStart w:id="667" w:name="pg8204_101250"/>
    </w:p>
    <w:p>
      <w:pPr>
        <w:pStyle w:val="BookText"/>
        <w:rPr/>
      </w:pPr>
      <w:bookmarkEnd w:id="667"/>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أن الحدود والتعزيرات وردت على أمور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كشرب الخمر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آية أو رواية ولا ذكَر فقيه أن عدم القبول بحكومة الفقهاء مستوجب للحد أو 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ما في جبر الناس على القبول بالحكومة من المفاسد التي 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سيرة المتشرعة المتصلة بزمن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العدم</w:t>
      </w:r>
      <w:r>
        <w:rPr>
          <w:rStyle w:val="FootnoteAnchor"/>
          <w:rtl w:val="true"/>
        </w:rPr>
        <w:footnoteReference w:id="954"/>
      </w:r>
      <w:r>
        <w:rPr>
          <w:rFonts w:ascii="IRNazanin" w:hAnsi="IRNazanin" w:eastAsia="IRNazanin"/>
          <w:color w:val="111111"/>
          <w:sz w:val="28"/>
          <w:sz w:val="28"/>
          <w:szCs w:val="28"/>
          <w:rtl w:val="true"/>
          <w:lang w:bidi="fa-IR"/>
        </w:rPr>
        <w:t>، فتأمل</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مع قطع النظر عما التزمه كثير من الفقهاء بسقوط حتى الحدود في زمن الغيبة، فكيف بمثل أمر الحكومة، ثم كيف بمثل جبر الناس على قبولها؟</w:t>
      </w:r>
    </w:p>
    <w:p>
      <w:pPr>
        <w:pStyle w:val="Heading6"/>
        <w:numPr>
          <w:ilvl w:val="5"/>
          <w:numId w:val="1"/>
        </w:numPr>
        <w:rPr/>
      </w:pPr>
      <w:bookmarkStart w:id="668" w:name="__RefHeading___Toc8924420_1051229030"/>
      <w:bookmarkStart w:id="669" w:name="_Toc249"/>
      <w:bookmarkEnd w:id="668"/>
      <w:r>
        <w:rPr>
          <w:rtl w:val="true"/>
        </w:rPr>
        <w:t>رضا الناس بالفقيه لا يلغي وجوب المشورة والشورى</w:t>
      </w:r>
      <w:bookmarkEnd w:id="66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لو رضوا بالفقهاء حكاماً ورجعوا إليهم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على الفقهاء استشارتهم، أو ذوي الحجى وأهل الخبرة منهم، والعمل برأي أكثرية الفقهاء أو المجتهدين أو عدول المؤمنين أو مطلق المؤمنين أو مطلق الناس، على ما بحثناه في فصل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جمعاً بين أدلة الإرجاع للفقهاء وأدلة الاستشارة وأدلة الشورى، التي فصلنا الكلام عنها في فصول أخرى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حاصل الأدلة كالآتي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فروايات الإرجاع تفيد وجوب الرجوع لرواة الأحاديث الفقهاء، وآية الاستشارة والشورى تفيد فيما تفيد أن على رواة الحديث الفقهاء الاستشارة والعمل بالشورى حين إذ رجع الناس إليهم،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روايات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روايات الإرجاع، إما لكونها كالمفسر لها ببيان نحو حكومتهم إذا رجع الناس إليهم، وإما لكونها تعرضت لما لم تتعرض له أدلة الإرجاع من حيثياته، على حسب الضابط الآخر للحكومة</w:t>
      </w:r>
      <w:r>
        <w:rPr>
          <w:rStyle w:val="FootnoteAnchor"/>
          <w:rtl w:val="true"/>
        </w:rPr>
        <w:footnoteReference w:id="95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وجب على الفقهاء تحري الأصلح لهم والأرفق بهم والأسهل عليهم، فيما إذا وجدت بدائل وخيارات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عليهم أيضاً ترجيح الأرفق بهم إذا أراده الناس، وإن كان في القسيم الآخر المصلحة الأكثر لهم؛ فإنه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الشورى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في الأرفق بهم فساد أعظم، دار الأمر بين المتزاحمين، فيرجع إلى قواعد باب التزاحم، وترجيح الأهم على المهم</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8204_101253"/>
      <w:bookmarkStart w:id="671" w:name="pg8204_101253"/>
      <w:bookmarkEnd w:id="671"/>
    </w:p>
    <w:p>
      <w:pPr>
        <w:pStyle w:val="Heading4"/>
        <w:numPr>
          <w:ilvl w:val="3"/>
          <w:numId w:val="1"/>
        </w:numPr>
        <w:rPr/>
      </w:pPr>
      <w:bookmarkStart w:id="672" w:name="pg8204_101253"/>
      <w:bookmarkStart w:id="673" w:name="__RefHeading___Toc8924422_1051229030"/>
      <w:bookmarkStart w:id="674" w:name="_Toc250"/>
      <w:bookmarkEnd w:id="672"/>
      <w:bookmarkEnd w:id="673"/>
      <w:r>
        <w:rPr>
          <w:rtl w:val="true"/>
        </w:rPr>
        <w:t>الفصل الثاني</w:t>
      </w:r>
      <w:r>
        <w:rPr>
          <w:rtl w:val="true"/>
        </w:rPr>
        <w:t xml:space="preserve">: </w:t>
      </w:r>
      <w:r>
        <w:rPr>
          <w:rtl w:val="true"/>
        </w:rPr>
        <w:t>في الاستدلال بمجموعة من الروايات الشريفة</w:t>
      </w:r>
      <w:bookmarkEnd w:id="674"/>
    </w:p>
    <w:p>
      <w:pPr>
        <w:pStyle w:val="Heading5"/>
        <w:numPr>
          <w:ilvl w:val="4"/>
          <w:numId w:val="1"/>
        </w:numPr>
        <w:rPr/>
      </w:pPr>
      <w:bookmarkStart w:id="675" w:name="__RefHeading___Toc8924424_1051229030"/>
      <w:bookmarkStart w:id="676" w:name="_Toc251"/>
      <w:bookmarkEnd w:id="675"/>
      <w:r>
        <w:rPr>
          <w:rtl w:val="true"/>
        </w:rPr>
        <w:t>اشارة</w:t>
      </w:r>
      <w:bookmarkEnd w:id="67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الواردة حول الاستشارة واتباع المشير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8204_101255"/>
      <w:bookmarkStart w:id="678" w:name="pg8204_101255"/>
      <w:bookmarkEnd w:id="678"/>
    </w:p>
    <w:p>
      <w:pPr>
        <w:pStyle w:val="Heading5"/>
        <w:numPr>
          <w:ilvl w:val="4"/>
          <w:numId w:val="1"/>
        </w:numPr>
        <w:rPr/>
      </w:pPr>
      <w:bookmarkStart w:id="679" w:name="pg8204_101255"/>
      <w:bookmarkStart w:id="680" w:name="__RefHeading___Toc8924426_1051229030"/>
      <w:bookmarkStart w:id="681" w:name="_Toc252"/>
      <w:bookmarkEnd w:id="679"/>
      <w:bookmarkEnd w:id="680"/>
      <w:r>
        <w:rPr>
          <w:rtl w:val="true"/>
        </w:rPr>
        <w:t>الروايات الآمرة بالاستشارة وباتباع ذوي الرأي</w:t>
      </w:r>
      <w:bookmarkEnd w:id="681"/>
    </w:p>
    <w:p>
      <w:pPr>
        <w:pStyle w:val="Heading6"/>
        <w:numPr>
          <w:ilvl w:val="5"/>
          <w:numId w:val="1"/>
        </w:numPr>
        <w:rPr/>
      </w:pPr>
      <w:bookmarkStart w:id="682" w:name="__RefHeading___Toc8924428_1051229030"/>
      <w:bookmarkStart w:id="683" w:name="_Toc253"/>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ويمكن الاستدلال بمجموعة مستفيضة بل متواترة من الروايات الشريفة الآمرة بالاستشارة، أو المرشدة والمحرّضة عليها، أو الناهية عن مخالفة مقتضاها، أو المبينة لعظيم فوائدها وجسيم أخطار إهمالها، أو الآمرة صريحاً باتباع ذوي الرأي، وسنقتصر هنا على ذكر أربع عشرة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الجاموراني</w:t>
      </w:r>
      <w:r>
        <w:rPr>
          <w:rStyle w:val="FootnoteAnchor"/>
          <w:rtl w:val="true"/>
        </w:rPr>
        <w:footnoteReference w:id="957"/>
      </w:r>
      <w:r>
        <w:rPr>
          <w:rFonts w:ascii="Amiri" w:hAnsi="Amiri" w:eastAsia="Amiri" w:cs="Amiri"/>
          <w:color w:val="111111"/>
          <w:sz w:val="28"/>
          <w:sz w:val="28"/>
          <w:szCs w:val="28"/>
          <w:rtl w:val="true"/>
          <w:lang w:bidi="ar-SA"/>
        </w:rPr>
        <w:t>، عن الحسن بن علي بن أبي حمزة، عن الصندل،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استشر العاقل من الرجال الورع، فإنه لا يأخر إلاّ بخير، وإياك والخلاف فإن مخالفة الورع العاقل مفسدة في الدين والدنيا</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الحسن بن علي، عن سيف بن عميرة،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العاقل الناصح رشد ويمن وتوفيق من الله، فإذا أشار عليك الناصح العاقل فإياك والخلاف فإن في ذلك العطب</w:t>
      </w:r>
      <w:r>
        <w:rPr>
          <w:rFonts w:eastAsia="Amiri" w:cs="Amiri" w:ascii="Amiri" w:hAnsi="Amiri"/>
          <w:color w:val="111111"/>
          <w:sz w:val="28"/>
          <w:szCs w:val="28"/>
          <w:rtl w:val="true"/>
          <w:lang w:bidi="ar-SA"/>
        </w:rPr>
        <w:t xml:space="preserve">). </w:t>
      </w:r>
      <w:r>
        <w:rPr>
          <w:rStyle w:val="FootnoteAnchor"/>
          <w:rtl w:val="true"/>
        </w:rPr>
        <w:footnoteReference w:id="95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الحسن بن علي بن أبي حمزة، عن الحسين بن علي،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 أحدكم إذا ورد عليه ما لا قبل له به أن يستشير رجلاً عاقلاً له دين وورع،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إذا فعل ذلك لم يخذله الله بل يرفعه الله ورماه بخير الأمور </w:t>
      </w:r>
    </w:p>
    <w:p>
      <w:pPr>
        <w:pStyle w:val="BookText"/>
        <w:rPr/>
      </w:pPr>
      <w:r>
        <w:rPr>
          <w:rFonts w:ascii="IRNazanin" w:hAnsi="IRNazanin" w:eastAsia="IRNazanin"/>
          <w:color w:val="111111"/>
          <w:sz w:val="28"/>
          <w:sz w:val="28"/>
          <w:szCs w:val="28"/>
          <w:rtl w:val="true"/>
          <w:lang w:bidi="fa-IR"/>
        </w:rPr>
        <w:t>وأقربها إلى الله</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بن موسى، عن محمد بن هارون، عن عبد الله بن موسى، عن عبد العظيم الحسني، عن علي بن محمد الهادي،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خاطر بنفسه من استغنى برأيه</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الأشعري، عن ابن القداح،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عدة من أصحابنا، عن علي بن أسباط، عن عبد الملك بن سلمة، عن السري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مظاهرة أوثق من المشاورة، ولا عقل كالتدبير</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أبيه، عن محمد 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أربعة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يستشر يندم، والفقر الموت الأكبر، كما تدين تدان، ومن ملك استأثر</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عثمان بن عيسى،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يهلك امرؤ عن مشورة</w:t>
      </w:r>
      <w:r>
        <w:rPr>
          <w:rFonts w:eastAsia="Amiri" w:cs="Amiri" w:ascii="Amiri" w:hAnsi="Amiri"/>
          <w:color w:val="111111"/>
          <w:sz w:val="28"/>
          <w:szCs w:val="28"/>
          <w:rtl w:val="true"/>
          <w:lang w:bidi="ar-SA"/>
        </w:rPr>
        <w:t xml:space="preserve">). </w:t>
      </w:r>
      <w:r>
        <w:rPr>
          <w:rStyle w:val="FootnoteAnchor"/>
          <w:rtl w:val="true"/>
        </w:rPr>
        <w:footnoteReference w:id="96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استبد برأيه هلك، ومن </w:t>
      </w:r>
    </w:p>
    <w:p>
      <w:pPr>
        <w:pStyle w:val="BookText"/>
        <w:rPr/>
      </w:pPr>
      <w:r>
        <w:rPr>
          <w:rFonts w:ascii="Amiri" w:hAnsi="Amiri" w:eastAsia="Amiri" w:cs="Amiri"/>
          <w:color w:val="111111"/>
          <w:sz w:val="28"/>
          <w:sz w:val="28"/>
          <w:szCs w:val="28"/>
          <w:rtl w:val="true"/>
          <w:lang w:bidi="ar-SA"/>
        </w:rPr>
        <w:t>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استقبل وجوه الآراء عرف مواقعالخطأ</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 فإني لست في نفسي بفوق أن أخطئ ولا آمن ذاك من فعلي إلا أن يكفي الله من نفسي ما هو أملك به مني</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 ولا فقر كالجهل، ولا ميراث كالأدب، ولا ظهير كالمشاورة</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شرف كالعلم، ولا عز كالحلم، ولا مظاهرة أوثق من المشاورة</w:t>
      </w:r>
      <w:r>
        <w:rPr>
          <w:rFonts w:eastAsia="Amiri" w:cs="Amiri" w:ascii="Amiri" w:hAnsi="Amiri"/>
          <w:color w:val="111111"/>
          <w:sz w:val="28"/>
          <w:szCs w:val="28"/>
          <w:rtl w:val="true"/>
          <w:lang w:bidi="ar-SA"/>
        </w:rPr>
        <w:t>).</w:t>
      </w:r>
      <w:r>
        <w:rPr>
          <w:rStyle w:val="FootnoteAnchor"/>
          <w:rtl w:val="true"/>
        </w:rPr>
        <w:footnoteReference w:id="97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والاستشارة عين الهداية، وقد خاطر من استغنى برأيه</w:t>
      </w:r>
      <w:r>
        <w:rPr>
          <w:rFonts w:eastAsia="Amiri" w:cs="Amiri" w:ascii="Amiri" w:hAnsi="Amiri"/>
          <w:color w:val="111111"/>
          <w:sz w:val="28"/>
          <w:szCs w:val="28"/>
          <w:rtl w:val="true"/>
          <w:lang w:bidi="ar-SA"/>
        </w:rPr>
        <w:t>).</w:t>
      </w:r>
      <w:r>
        <w:rPr>
          <w:rStyle w:val="FootnoteAnchor"/>
          <w:rtl w:val="true"/>
        </w:rPr>
        <w:footnoteReference w:id="971"/>
      </w:r>
      <w:bookmarkStart w:id="684" w:name="pg8204_101258"/>
    </w:p>
    <w:p>
      <w:pPr>
        <w:pStyle w:val="Heading6"/>
        <w:numPr>
          <w:ilvl w:val="5"/>
          <w:numId w:val="1"/>
        </w:numPr>
        <w:rPr/>
      </w:pPr>
      <w:bookmarkStart w:id="685" w:name="__RefHeading___Toc8924430_1051229030"/>
      <w:bookmarkStart w:id="686" w:name="_Toc254"/>
      <w:bookmarkEnd w:id="684"/>
      <w:bookmarkEnd w:id="685"/>
      <w:r>
        <w:rPr>
          <w:rtl w:val="true"/>
        </w:rPr>
        <w:t>بحث سندي إجمالي عن حجية الروايات</w:t>
      </w:r>
      <w:bookmarkEnd w:id="686"/>
    </w:p>
    <w:p>
      <w:pPr>
        <w:pStyle w:val="BookText"/>
        <w:rPr/>
      </w:pPr>
      <w:r>
        <w:rPr>
          <w:rFonts w:ascii="Amiri" w:hAnsi="Amiri" w:eastAsia="Amiri" w:cs="Amiri"/>
          <w:color w:val="111111"/>
          <w:sz w:val="28"/>
          <w:sz w:val="28"/>
          <w:szCs w:val="28"/>
          <w:rtl w:val="true"/>
          <w:lang w:bidi="ar-SA"/>
        </w:rPr>
        <w:t>وهذه الروايات وإن كان بعضها ضعيف السند، كما فيما رواه الجاموراني، حيث وصفوه بأنه ضعيف</w:t>
      </w:r>
      <w:r>
        <w:rPr>
          <w:rStyle w:val="FootnoteAnchor"/>
          <w:rtl w:val="true"/>
        </w:rPr>
        <w:footnoteReference w:id="972"/>
      </w:r>
      <w:r>
        <w:rPr>
          <w:rFonts w:ascii="Amiri" w:hAnsi="Amiri" w:eastAsia="Amiri" w:cs="Amiri"/>
          <w:color w:val="111111"/>
          <w:sz w:val="28"/>
          <w:sz w:val="28"/>
          <w:szCs w:val="28"/>
          <w:rtl w:val="true"/>
          <w:lang w:bidi="ar-SA"/>
        </w:rPr>
        <w:t>، وقال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القميون، في مذهبه ارتفاع</w:t>
      </w:r>
      <w:r>
        <w:rPr>
          <w:rStyle w:val="FootnoteAnchor"/>
          <w:rtl w:val="true"/>
        </w:rPr>
        <w:footnoteReference w:id="973"/>
      </w:r>
      <w:r>
        <w:rPr>
          <w:rFonts w:ascii="Amiri" w:hAnsi="Amiri" w:eastAsia="Amiri" w:cs="Amiri"/>
          <w:color w:val="111111"/>
          <w:sz w:val="28"/>
          <w:sz w:val="28"/>
          <w:szCs w:val="28"/>
          <w:rtl w:val="true"/>
          <w:lang w:bidi="ar-SA"/>
        </w:rPr>
        <w:t>، وقد استثناه ابن الوليد من نوارد الحكمة، وكذا رواية عبد العظيم الحسني الضعيفة بمحمد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بعضها معتبر أولاً، كما سيأتي تفصيله، وبعضها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تكفينا الشهرة الروائية لهذه الروايات، كما يتضح من المصادر التي ذكرناها في الهامش، بل من تعدد هذه الأحاديث وكثرتها وكثرة الكتب المنقولة فيها، خاصة مع كون بعضها من أمهات الكتب المعتمدة للشيعة وللفقهاء طوال التاريخ، كالكافي والفقيه والوسائل ونهج البلاغة وتحف العقول، يحصل الوثوق النوعي بصدورها، بل القطع بصدورها إجمالاً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متواترة بالتواتر الإجمالي، بل بعضها كروايات الاستشارة، متواترة بالتواتر المضموني أيضاً، نعم التواتر الإجمالي لا ينفع إلاّ في القدر المتيقن، أي القاسم </w:t>
      </w:r>
    </w:p>
    <w:p>
      <w:pPr>
        <w:pStyle w:val="BookText"/>
        <w:rPr/>
      </w:pPr>
      <w:r>
        <w:rPr>
          <w:rFonts w:ascii="Amiri" w:hAnsi="Amiri" w:eastAsia="Amiri" w:cs="Amiri"/>
          <w:color w:val="111111"/>
          <w:sz w:val="28"/>
          <w:sz w:val="28"/>
          <w:szCs w:val="28"/>
          <w:rtl w:val="true"/>
          <w:lang w:bidi="ar-SA"/>
        </w:rPr>
        <w:t>المشترك بين كل الروايات، وأما المضموني فلا يحرز به الإطلاق أو العموم لو كان عليهما المدار إلاّ لو كانا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ذكرناه،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جملة ما وقفت عليه من الأخبار والمستدل بها للاستصحاب، وقد عرفت عدم ظهور الصحيح منها وعدم صحة الظاهر منها، فلعل الاستدلال بالمجموع باعتبار التجابروالتعاضد</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xml:space="preserve">، هذا رغم أن روايات الاستصحاب التي 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تبلغ ربع روايات الاستشارة، وليست مذكورة في كل تلك الأمهات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القاعدة، لأن الظن النوعي والاطمينان الحاصل من مجموعة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الدال منها غير صحيح والصحيح غير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الظن النوعي الحاصل من خبر واحد صحيح، يشهد لذلك العرف والوجدان، ولا فرق بين الظن المستند إلى لفظ واحد أو الظن المستند إلى عدة ألفاظ يكون مجموعها سبباً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بالمراد، لبناء العقلاء على ذلك، ولكون هذا الظن ناشئاً من تعاضد الاحتمالات مستندة إلى اللفظ فتندرج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ولشمول أدلة حجية الظواهر للقسمين، فتأمل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كله نجد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بحث خبر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المعلوم عدم انحصار أسباب الوثوق بالصدور بوثاقة الراوي،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أسباب الوثوق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الأخبار المدونة في الكتب المعتبرة، سيما الكتب الأربعة التي عليها المدار في الأعصار والأمصار وما يحذو حذوها في الاعتبار كثيرة جداً،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الخبر في غير واحد من الأصول المعتبرة المتداولة في الأعصار السابقة،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 ولو في أصل واحد بطرق مختلفة وأسانيد عديدة معتبرة،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أصل معروف الانتساب إلى من أجمع على </w:t>
      </w:r>
    </w:p>
    <w:p>
      <w:pPr>
        <w:pStyle w:val="BookText"/>
        <w:rPr/>
      </w:pPr>
      <w:r>
        <w:rPr>
          <w:rFonts w:ascii="Amiri" w:hAnsi="Amiri" w:eastAsia="Amiri" w:cs="Amiri"/>
          <w:color w:val="111111"/>
          <w:sz w:val="28"/>
          <w:sz w:val="28"/>
          <w:szCs w:val="28"/>
          <w:rtl w:val="true"/>
          <w:lang w:bidi="ar-SA"/>
        </w:rPr>
        <w:t>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كزرارة ونظرائه، وعلى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كصفوان بن يحيى وأشباهه،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مأخوذاً من الكتب التي شاع بين السلف الوثوق بها والاعتماد عليها ولو لم يكن مؤلفوها من الإمامية، إلى غير ذلك مما لا يخلو عن أكثرها الكتب التي ألفت ليكون مرجعاً للأنام في الأحكام، ويشهد على ذلك، أي على كون العبرة على الوثوق بالصدور مطلقاً أنه كان المتعارف بين القدماء</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ومن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 توهم أن انضمام اللا حجة لا يولدحجة، لكون فاقد الشيء غير معطيه، واجتماع الفواقد لا يسبب الوجود؛ إذ إن الخبر غير سليم السند أو غير تام الدلالة فاقد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وواجد إذا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ترى الآحاد والأجزاء فاقدة للهيئة الاجتماعية إذا كانت منفصلة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وواجدة لها إذا كانت متصلة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تنتج الفواقد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الاجتماعية أو الأثر الخارجي المعين المعلول للمجموع بما هو مجموع؟</w:t>
      </w:r>
    </w:p>
    <w:p>
      <w:pPr>
        <w:pStyle w:val="BookText"/>
        <w:rPr/>
      </w:pPr>
      <w:r>
        <w:rPr>
          <w:rFonts w:ascii="Amiri" w:hAnsi="Amiri" w:eastAsia="Amiri" w:cs="Amiri"/>
          <w:color w:val="111111"/>
          <w:sz w:val="28"/>
          <w:sz w:val="28"/>
          <w:szCs w:val="28"/>
          <w:rtl w:val="true"/>
          <w:lang w:bidi="ar-SA"/>
        </w:rPr>
        <w:t xml:space="preserve">وأما أن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للظهور، فلأن الظهور وليد الدلالة بدرجة خاصة،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العلاقة الحاصلة بين لفظ أو جملة ألفاظ بمكتنفاتها، أو بدونها مع معناها أو معانيها، وهي معلولة للوضع التعييني والتعيّني</w:t>
      </w:r>
      <w:r>
        <w:rPr>
          <w:rStyle w:val="FootnoteAnchor"/>
          <w:rtl w:val="true"/>
        </w:rPr>
        <w:footnoteReference w:id="977"/>
      </w:r>
      <w:r>
        <w:rPr>
          <w:rFonts w:ascii="Amiri" w:hAnsi="Amiri" w:eastAsia="Amiri" w:cs="Amiri"/>
          <w:color w:val="111111"/>
          <w:sz w:val="28"/>
          <w:sz w:val="28"/>
          <w:szCs w:val="28"/>
          <w:rtl w:val="true"/>
          <w:lang w:bidi="ar-SA"/>
        </w:rPr>
        <w:t>، والقرائن الحالية والمقالية في مرحلة الإثبات، فلا ينحصر في خبر واحد جامع للشرائط، بل قد يكون وليد أخبار عديدة متعاضدة متجابرة، وللمنكر أو المتردد أن يراجع العرف وسيرة العقلاء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المقرر في محله أن طريقة الشارع في محاوراته التي قصد بها تفهيم </w:t>
      </w:r>
    </w:p>
    <w:p>
      <w:pPr>
        <w:pStyle w:val="BookText"/>
        <w:rPr/>
      </w:pPr>
      <w:r>
        <w:rPr>
          <w:rFonts w:ascii="Amiri" w:hAnsi="Amiri" w:eastAsia="Amiri" w:cs="Amiri"/>
          <w:color w:val="111111"/>
          <w:sz w:val="28"/>
          <w:sz w:val="28"/>
          <w:szCs w:val="28"/>
          <w:rtl w:val="true"/>
          <w:lang w:bidi="ar-SA"/>
        </w:rPr>
        <w:t>مخاطبيه ليست أمراً مخترعاً مغايراً لطريق أهل اللسان في محاوراتهم المقصود بها 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كون الأصل في المحاورات هو التفهيم والتفهم ولا يخرج عنه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مقياس المتواتر، والذي قد يتشكل من آحاد كلها غير حجة فلاحظ، هذا كبرىً، وأما صغرىً فلا ينبغي الريب في أن تلك الأحاديث التي ذكرناها حول الاستشارة لم تكن بغير قصد التفهيم، وهل يمكن 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يسشتر يندم</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 ماالحزم؟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على غير قصد التفهيم؟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بالتطرق الآن لبيان تمامية سند بعض الروايات السابقة فنقول، وبالله الاستعانة</w:t>
      </w:r>
      <w:r>
        <w:rPr>
          <w:rFonts w:eastAsia="Amiri" w:cs="Amiri" w:ascii="Amiri" w:hAnsi="Amiri"/>
          <w:color w:val="111111"/>
          <w:sz w:val="28"/>
          <w:szCs w:val="28"/>
          <w:rtl w:val="true"/>
          <w:lang w:bidi="ar-SA"/>
        </w:rPr>
        <w:t xml:space="preserve">: </w:t>
      </w:r>
      <w:bookmarkStart w:id="687" w:name="pg8204_101262"/>
    </w:p>
    <w:p>
      <w:pPr>
        <w:pStyle w:val="Heading5"/>
        <w:numPr>
          <w:ilvl w:val="4"/>
          <w:numId w:val="1"/>
        </w:numPr>
        <w:rPr/>
      </w:pPr>
      <w:bookmarkStart w:id="688" w:name="__RefHeading___Toc8924432_1051229030"/>
      <w:bookmarkStart w:id="689" w:name="_Toc255"/>
      <w:bookmarkEnd w:id="687"/>
      <w:bookmarkEnd w:id="688"/>
      <w:r>
        <w:rPr>
          <w:rtl w:val="true"/>
        </w:rPr>
        <w:t>سند الرواية الخامسة</w:t>
      </w:r>
      <w:r>
        <w:rPr>
          <w:rtl w:val="true"/>
        </w:rPr>
        <w:t xml:space="preserve">: </w:t>
      </w:r>
      <w:r>
        <w:rPr>
          <w:rtl w:val="true"/>
        </w:rPr>
        <w:t>مشاورة ذوي الرأي واتباعهم</w:t>
      </w:r>
      <w:bookmarkEnd w:id="689"/>
    </w:p>
    <w:p>
      <w:pPr>
        <w:pStyle w:val="Heading6"/>
        <w:numPr>
          <w:ilvl w:val="5"/>
          <w:numId w:val="1"/>
        </w:numPr>
        <w:rPr/>
      </w:pPr>
      <w:bookmarkStart w:id="690" w:name="__RefHeading___Toc8924434_1051229030"/>
      <w:bookmarkStart w:id="691" w:name="_Toc256"/>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أما 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 أحمد بن محمد البرقي، عن جعفر بن محمد الأشعري، عن ابن القداح، وتفصيل بعض القول فهم</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8924436_1051229030"/>
      <w:bookmarkStart w:id="693" w:name="_Toc257"/>
      <w:bookmarkEnd w:id="692"/>
      <w:r>
        <w:rPr>
          <w:rtl w:val="true"/>
        </w:rPr>
        <w:t>أحمد بن محمد البرقي</w:t>
      </w:r>
      <w:r>
        <w:rPr>
          <w:rtl w:val="true"/>
        </w:rPr>
        <w:t>:</w:t>
      </w:r>
      <w:bookmarkEnd w:id="693"/>
    </w:p>
    <w:p>
      <w:pPr>
        <w:pStyle w:val="BookText"/>
        <w:rPr/>
      </w:pPr>
      <w:r>
        <w:rPr>
          <w:rFonts w:ascii="Amiri" w:hAnsi="Amiri" w:eastAsia="Amiri" w:cs="Amiri"/>
          <w:color w:val="111111"/>
          <w:sz w:val="28"/>
          <w:sz w:val="28"/>
          <w:szCs w:val="28"/>
          <w:rtl w:val="true"/>
          <w:lang w:bidi="ar-SA"/>
        </w:rPr>
        <w:t xml:space="preserve">قال فيه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خالد بن عبد الرحمن بن علي البرقي أبو جعفر أصله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في نفسه يروي عن الضعفاء واعتمد المراسيل</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هذه الرواية فمعتبرة لأن من روى عنهم معتمد عليهم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نفسه يروي عن الضعفاء ويعتمد المراسيل، صنف كثيراً،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وذكرته في الضعفاء لطعن الغضائري فيه</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بل إن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ناقش في الصغرى أيضاً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الغضائري لم يطعن فيه، بل رد الطعن عنه بنقل طعن القميين عليه، ورده بأن الطعن ليس فيه بل في ◄ ►من يروي عنه كما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ويقوى عندي</w:t>
      </w:r>
    </w:p>
    <w:p>
      <w:pPr>
        <w:pStyle w:val="BookText"/>
        <w:rPr/>
      </w:pPr>
      <w:r>
        <w:rPr>
          <w:rFonts w:ascii="Amiri" w:hAnsi="Amiri" w:eastAsia="Amiri" w:cs="Amiri"/>
          <w:color w:val="111111"/>
          <w:sz w:val="28"/>
          <w:sz w:val="28"/>
          <w:szCs w:val="28"/>
          <w:rtl w:val="true"/>
          <w:lang w:bidi="ar-SA"/>
        </w:rPr>
        <w:t>ثقته مشي أحمد بن محمد بن عيسىفي جنازته حافياً حاسراً تنصلاً مما قذفه به</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وقد عده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يثبت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عند تعداد ما تثبت به الوثاقة والحسن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أحد الأعلام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تثبت به الوثاقة أو الحسن أن ينص على ذلك أحد الأعلام، كالبرقي وابن قولويه والكشي والصدوق والمفيد والنجاشي والشيخ وأضرابهم، وهذا أيضاً لا إشكال فيه وذلك من جهة الشهادة وحجية خبر الثقة</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علل ثبوت الوثاقة بتوثيق البرقي وأمثاله،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خبر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منه أنه يرى البرقي وابن قولويه إلخ، 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يخفى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كونهما وجهين بشروط مختلفة، كحجية قول الرجالي، فلا ينبغي سوقهما بعصا واحدة، فإن للشهادة شروطاً غير معتبرة في خبر الثقة، فالأولى الإتيان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المامقاني في أبواب الهمزة من نتائج التنقيح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على الأقوى</w:t>
      </w:r>
      <w:r>
        <w:rPr>
          <w:rFonts w:eastAsia="Amiri" w:cs="Amiri" w:ascii="Amiri" w:hAnsi="Amiri"/>
          <w:color w:val="111111"/>
          <w:sz w:val="28"/>
          <w:szCs w:val="28"/>
          <w:rtl w:val="true"/>
          <w:lang w:bidi="ar-SA"/>
        </w:rPr>
        <w:t>).</w:t>
      </w:r>
      <w:r>
        <w:rPr>
          <w:rStyle w:val="FootnoteAnchor"/>
          <w:rtl w:val="true"/>
        </w:rPr>
        <w:footnoteReference w:id="98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أسهب العلامة المامقاني في الحديث عن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وتوثيقه، فليراجع</w:t>
      </w:r>
      <w:r>
        <w:rPr>
          <w:rFonts w:eastAsia="Amiri" w:cs="Amiri" w:ascii="Amiri" w:hAnsi="Amiri"/>
          <w:color w:val="111111"/>
          <w:sz w:val="28"/>
          <w:szCs w:val="28"/>
          <w:rtl w:val="true"/>
          <w:lang w:bidi="ar-SA"/>
        </w:rPr>
        <w:t>.</w:t>
      </w:r>
      <w:r>
        <w:rPr>
          <w:rStyle w:val="FootnoteAnchor"/>
          <w:rtl w:val="true"/>
        </w:rPr>
        <w:footnoteReference w:id="986"/>
      </w:r>
      <w:bookmarkStart w:id="694" w:name="pg8204_101264"/>
    </w:p>
    <w:p>
      <w:pPr>
        <w:pStyle w:val="Heading6"/>
        <w:numPr>
          <w:ilvl w:val="5"/>
          <w:numId w:val="1"/>
        </w:numPr>
        <w:rPr/>
      </w:pPr>
      <w:bookmarkStart w:id="695" w:name="__RefHeading___Toc8924438_1051229030"/>
      <w:bookmarkStart w:id="696" w:name="_Toc258"/>
      <w:bookmarkEnd w:id="694"/>
      <w:bookmarkEnd w:id="695"/>
      <w:r>
        <w:rPr>
          <w:rtl w:val="true"/>
        </w:rPr>
        <w:t>جعفر بن محمد الأشعري</w:t>
      </w:r>
      <w:bookmarkEnd w:id="696"/>
    </w:p>
    <w:p>
      <w:pPr>
        <w:pStyle w:val="BookText"/>
        <w:rPr/>
      </w:pPr>
      <w:r>
        <w:rPr>
          <w:rFonts w:ascii="Amiri" w:hAnsi="Amiri" w:eastAsia="Amiri" w:cs="Amiri"/>
          <w:color w:val="111111"/>
          <w:sz w:val="28"/>
          <w:sz w:val="28"/>
          <w:szCs w:val="28"/>
          <w:rtl w:val="true"/>
          <w:lang w:bidi="ar-SA"/>
        </w:rPr>
        <w:t xml:space="preserve">وأما جعفر بن محمد الأشعري، فقد يعد ثقة باعتبار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محمد بن أحمد بن يحيى، ولم تستثن روايته من رجاله، وفيه دليل على ارتضائه وحسن حاله بل مشعر إلى وثاقته</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محمد بن الحسن بن الوليد يستثني من رواية محمد بن أحمد بن يحيى ما رواه عن محمد بن موسى الهمداني أو ما رواه عن رجل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شيخنا أبو جعفر محمد بن الحسن بن الوليد في ذلك كله، وتبعه أبو جعفر بن بابويه على ذلك</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وليس جعفر الأشعري مما 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عده ثقة باعتبار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989"/>
      </w:r>
      <w:r>
        <w:rPr>
          <w:rFonts w:ascii="Amiri" w:hAnsi="Amiri" w:eastAsia="Amiri" w:cs="Amiri"/>
          <w:color w:val="111111"/>
          <w:sz w:val="28"/>
          <w:sz w:val="28"/>
          <w:szCs w:val="28"/>
          <w:rtl w:val="true"/>
          <w:lang w:bidi="ar-SA"/>
        </w:rPr>
        <w:t>، حيث يحكم بوثاقة جميع مشايخ علي بن إبراهيم الذي روى عنهم في تفسيره</w:t>
      </w:r>
      <w:r>
        <w:rPr>
          <w:rStyle w:val="FootnoteAnchor"/>
          <w:rtl w:val="true"/>
        </w:rPr>
        <w:footnoteReference w:id="990"/>
      </w:r>
      <w:r>
        <w:rPr>
          <w:rFonts w:ascii="Amiri" w:hAnsi="Amiri" w:eastAsia="Amiri" w:cs="Amiri"/>
          <w:color w:val="111111"/>
          <w:sz w:val="28"/>
          <w:sz w:val="28"/>
          <w:szCs w:val="28"/>
          <w:rtl w:val="true"/>
          <w:lang w:bidi="ar-SA"/>
        </w:rPr>
        <w:t>، كما سبق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ذكره ابن داود في القسم الأول من رجاله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المامقاني فقد ذكر في باب الجيم من نتائج التنقيح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991"/>
      </w:r>
      <w:bookmarkStart w:id="697" w:name="pg8204_101265"/>
    </w:p>
    <w:p>
      <w:pPr>
        <w:pStyle w:val="Heading6"/>
        <w:numPr>
          <w:ilvl w:val="5"/>
          <w:numId w:val="1"/>
        </w:numPr>
        <w:rPr/>
      </w:pPr>
      <w:bookmarkStart w:id="698" w:name="__RefHeading___Toc8924440_1051229030"/>
      <w:bookmarkStart w:id="699" w:name="_Toc259"/>
      <w:bookmarkEnd w:id="697"/>
      <w:bookmarkEnd w:id="698"/>
      <w:r>
        <w:rPr>
          <w:rtl w:val="true"/>
        </w:rPr>
        <w:t>ابن القداح</w:t>
      </w:r>
      <w:bookmarkEnd w:id="699"/>
    </w:p>
    <w:p>
      <w:pPr>
        <w:pStyle w:val="BookText"/>
        <w:rPr/>
      </w:pPr>
      <w:r>
        <w:rPr>
          <w:rFonts w:ascii="Amiri" w:hAnsi="Amiri" w:eastAsia="Amiri" w:cs="Amiri"/>
          <w:color w:val="111111"/>
          <w:sz w:val="28"/>
          <w:sz w:val="28"/>
          <w:szCs w:val="28"/>
          <w:rtl w:val="true"/>
          <w:lang w:bidi="ar-SA"/>
        </w:rPr>
        <w:t xml:space="preserve">وأما ابن القداح،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ميمون 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ميمون بن الأسود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له كتب منها</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وقال فيه ابن داود الحلي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ممدوح ثقة</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وذكره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 ودافع عنه، فليراجع</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العين من نتائج التنقيح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الأسود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وقال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وثقه في البلغة والمشتركاتين والحاوي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فإخراج الرجل من برج الوثاقة إلى برج الموثقية بمثل هذه الرواية في قبال شهادة النجاشي وغيرها مما لا يليق بالفاضل المجلسي</w:t>
      </w:r>
      <w:r>
        <w:rPr>
          <w:rFonts w:eastAsia="Amiri" w:cs="Amiri" w:ascii="Amiri" w:hAnsi="Amiri"/>
          <w:color w:val="111111"/>
          <w:sz w:val="28"/>
          <w:szCs w:val="28"/>
          <w:rtl w:val="true"/>
          <w:lang w:bidi="ar-SA"/>
        </w:rPr>
        <w:t>).</w:t>
      </w:r>
      <w:r>
        <w:rPr>
          <w:rStyle w:val="FootnoteAnchor"/>
          <w:rtl w:val="true"/>
        </w:rPr>
        <w:footnoteReference w:id="996"/>
      </w:r>
      <w:bookmarkStart w:id="700" w:name="pg8204_101266"/>
    </w:p>
    <w:p>
      <w:pPr>
        <w:pStyle w:val="Heading5"/>
        <w:numPr>
          <w:ilvl w:val="4"/>
          <w:numId w:val="1"/>
        </w:numPr>
        <w:rPr/>
      </w:pPr>
      <w:bookmarkStart w:id="701" w:name="__RefHeading___Toc8924442_1051229030"/>
      <w:bookmarkStart w:id="702" w:name="_Toc260"/>
      <w:bookmarkEnd w:id="700"/>
      <w:bookmarkEnd w:id="701"/>
      <w:r>
        <w:rPr>
          <w:rtl w:val="true"/>
        </w:rPr>
        <w:t>سند الرواية الثامنة</w:t>
      </w:r>
      <w:r>
        <w:rPr>
          <w:rtl w:val="true"/>
        </w:rPr>
        <w:t xml:space="preserve">: </w:t>
      </w:r>
      <w:r>
        <w:rPr>
          <w:rtl w:val="true"/>
        </w:rPr>
        <w:t>من استبد برأيه هلك</w:t>
      </w:r>
      <w:bookmarkEnd w:id="702"/>
    </w:p>
    <w:p>
      <w:pPr>
        <w:pStyle w:val="Heading6"/>
        <w:numPr>
          <w:ilvl w:val="5"/>
          <w:numId w:val="1"/>
        </w:numPr>
        <w:rPr/>
      </w:pPr>
      <w:bookmarkStart w:id="703" w:name="__RefHeading___Toc8924444_1051229030"/>
      <w:bookmarkStart w:id="704" w:name="_Toc261"/>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وأما الرواية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 عثمان بن عيسى، عن سماعة بن مهران، وتفصيل بعض القول فيهما</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8924446_1051229030"/>
      <w:bookmarkStart w:id="706" w:name="_Toc262"/>
      <w:bookmarkEnd w:id="705"/>
      <w:r>
        <w:rPr>
          <w:rtl w:val="true"/>
        </w:rPr>
        <w:t>عثمان بن عيسى</w:t>
      </w:r>
      <w:bookmarkEnd w:id="706"/>
    </w:p>
    <w:p>
      <w:pPr>
        <w:pStyle w:val="BookText"/>
        <w:rPr/>
      </w:pPr>
      <w:r>
        <w:rPr>
          <w:rFonts w:ascii="Amiri" w:hAnsi="Amiri" w:eastAsia="Amiri" w:cs="Amiri"/>
          <w:color w:val="111111"/>
          <w:sz w:val="28"/>
          <w:sz w:val="28"/>
          <w:szCs w:val="28"/>
          <w:rtl w:val="true"/>
          <w:lang w:bidi="ar-SA"/>
        </w:rPr>
        <w:t>عثمان بن عيسى، ثقة أو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عيسى أبو عمرو الرواسي العامري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المقال أن المتحصل في الرجل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موثق معتمد، وهو الذي نص عليه الفاضل المجلسي في الوجيزة، وهو ظاهر العلامة في التحرير،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السند كلهم ثقات وإن كان فيه عثمان بن عيسى وهو واقفي انتهى، وصاحب الذخيرة بل نسبه المحقق محمد بن صاحب المعالم إلى المعروف بن المتأخرين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المتأخرين عد الحديث المشتمل عليه موثقاً انتهى، وحجة هذا القول أن وقفه لا شك فيه لكن وثاقته تستفاد من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الذخيرة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واقفي إلاّ أنه نقل الكشي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ممن اجتمعت العصابة على تصحيح ما يصح عنه، وأقروا له بالعلم والفقه، وصرح الشيخ في العدة بعمل الأصحاب بروايته على وجه يؤذن بالاتفاق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طريق الصدوق إلى سماعة وفيه 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بعضهم رواياته من الصحاح، بل هو ظاهر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الأجلة الثقات قد أكثروا </w:t>
      </w:r>
      <w:bookmarkStart w:id="707" w:name="pg8204_101267"/>
    </w:p>
    <w:p>
      <w:pPr>
        <w:pStyle w:val="BookText"/>
        <w:rPr/>
      </w:pPr>
      <w:bookmarkEnd w:id="707"/>
      <w:r>
        <w:rPr>
          <w:rFonts w:ascii="Amiri" w:hAnsi="Amiri" w:eastAsia="Amiri" w:cs="Amiri"/>
          <w:color w:val="111111"/>
          <w:sz w:val="28"/>
          <w:sz w:val="28"/>
          <w:szCs w:val="28"/>
          <w:rtl w:val="true"/>
          <w:lang w:bidi="ar-SA"/>
        </w:rPr>
        <w:t>من الرواية عنه كما سنعددهم عند الكلام في التمييز ولو لم يكن موثقاً معتمداً لما أكثروا من الرواية عنه،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نقف على أحد من فقهائنا السابقين تأمّل في رواية من رواياته في موضع من المواضع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رواياته مقبولة بل مفتى بها وإن أهل الرجال ربما ينقلون عنه ويعتمدون عليه كما مر في أسامة بن حفصوغيره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تلخص مما ذكرنا كله أن الأظهر كون حديث الرجل من الموثق كالصحيح، لأنّ رجوعه عن الوقف وتوبته لا ينبغي التأمل فيه</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 مع ذلك كان ثقة بشهادة ابن قولويه والشيخ وعلي بن إبراهيم وابن شهر آشوب المؤيدة بدعوى بعضهم أنه من أصحاب الإجماع</w:t>
      </w:r>
      <w:r>
        <w:rPr>
          <w:rFonts w:eastAsia="Amiri" w:cs="Amiri" w:ascii="Amiri" w:hAnsi="Amiri"/>
          <w:color w:val="111111"/>
          <w:sz w:val="28"/>
          <w:szCs w:val="28"/>
          <w:rtl w:val="true"/>
          <w:lang w:bidi="ar-SA"/>
        </w:rPr>
        <w:t>).</w:t>
      </w:r>
      <w:r>
        <w:rPr>
          <w:rStyle w:val="FootnoteAnchor"/>
          <w:rtl w:val="true"/>
        </w:rPr>
        <w:footnoteReference w:id="998"/>
      </w:r>
    </w:p>
    <w:p>
      <w:pPr>
        <w:pStyle w:val="Heading6"/>
        <w:numPr>
          <w:ilvl w:val="5"/>
          <w:numId w:val="1"/>
        </w:numPr>
        <w:rPr/>
      </w:pPr>
      <w:bookmarkStart w:id="708" w:name="__RefHeading___Toc8924448_1051229030"/>
      <w:bookmarkStart w:id="709" w:name="_Toc263"/>
      <w:bookmarkEnd w:id="708"/>
      <w:r>
        <w:rPr>
          <w:rtl w:val="true"/>
        </w:rPr>
        <w:t>سماعة بن مهران</w:t>
      </w:r>
      <w:bookmarkEnd w:id="709"/>
    </w:p>
    <w:p>
      <w:pPr>
        <w:pStyle w:val="BookText"/>
        <w:rPr/>
      </w:pPr>
      <w:r>
        <w:rPr>
          <w:rFonts w:ascii="Amiri" w:hAnsi="Amiri" w:eastAsia="Amiri" w:cs="Amiri"/>
          <w:color w:val="111111"/>
          <w:sz w:val="28"/>
          <w:sz w:val="28"/>
          <w:szCs w:val="28"/>
          <w:rtl w:val="true"/>
          <w:lang w:bidi="ar-SA"/>
        </w:rPr>
        <w:t>وأما سماعة بن مهران فهو ثقة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 بن مهران بن عبد الله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بالمدينة، ثقةٌ ثقةٌ</w:t>
      </w:r>
      <w:r>
        <w:rPr>
          <w:rFonts w:eastAsia="Amiri" w:cs="Amiri" w:ascii="Amiri" w:hAnsi="Amiri"/>
          <w:color w:val="111111"/>
          <w:sz w:val="28"/>
          <w:szCs w:val="28"/>
          <w:rtl w:val="true"/>
          <w:lang w:bidi="ar-SA"/>
        </w:rPr>
        <w:t>...).</w:t>
      </w:r>
      <w:r>
        <w:rPr>
          <w:rStyle w:val="FootnoteAnchor"/>
          <w:rtl w:val="true"/>
        </w:rPr>
        <w:footnoteReference w:id="99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التنقيح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اعلم أن الذي يظهر من مجموع كلماتهم أن في سماعة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اثنى عشري ثقة، وهو ظاهر النجاشي حيث وثّقه مكرراً ولم يتعرض لوقفه مع ما علم من طريقته من عدم الاقتصار على توثيق من هو واقفي أو فطحي أو نحوهما، بل يصرح بالانحراف </w:t>
      </w:r>
    </w:p>
    <w:p>
      <w:pPr>
        <w:pStyle w:val="BookText"/>
        <w:rPr/>
      </w:pPr>
      <w:r>
        <w:rPr>
          <w:rFonts w:ascii="Amiri" w:hAnsi="Amiri" w:eastAsia="Amiri" w:cs="Amiri"/>
          <w:color w:val="111111"/>
          <w:sz w:val="28"/>
          <w:sz w:val="28"/>
          <w:szCs w:val="28"/>
          <w:rtl w:val="true"/>
          <w:lang w:bidi="ar-SA"/>
        </w:rPr>
        <w:t>والوثاقة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وثاقته فلشهادة النجاشي بها المؤيدة بتوثيق جمعٍ ممن سلّم وقفه كالعلامة في الخلاصة والمحقق في المعتبر والفاضل المجلسي في الوجيزة والمحقق البحراني في البلغة والطريحي والكاظمي في المشتركاتين وغيرهم</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ثم تطرق لإثبات كونه إمامياً بوجوه ومؤيدات عديدة لم نذكرها لطولها فليراجع،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فالحقالحقيق بالاتباع وثاقة الرجل وعدم وقفه</w:t>
      </w:r>
      <w:r>
        <w:rPr>
          <w:rFonts w:eastAsia="Amiri" w:cs="Amiri" w:ascii="Amiri" w:hAnsi="Amiri"/>
          <w:color w:val="111111"/>
          <w:sz w:val="28"/>
          <w:szCs w:val="28"/>
          <w:rtl w:val="true"/>
          <w:lang w:bidi="ar-SA"/>
        </w:rPr>
        <w:t>).</w:t>
      </w:r>
      <w:r>
        <w:rPr>
          <w:rStyle w:val="FootnoteAnchor"/>
          <w:rtl w:val="true"/>
        </w:rPr>
        <w:footnoteReference w:id="100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المعجم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 الكلام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وثاقة سماعة بن مهران وحجية روايته، بناءً على ما هو الصحيح من حجية خبر الثقة وإن لم يكن عادلاً، وأما بناءً على اختصاص الحجية بخبر العادل فربما يتوهم عدم حجية روايته من جهة وقفه، ولذلك ذكره العلامة وابن داود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النجاشي من تكرير كلمة ثقة وعدم التعرض لوقفه، عدم وقفه، وهذا هو الظاهر فإن سماعة من أجل الرواة ومعاريفهم فلو كان واقفياً لشاع وذاع، كيف ولم يتعرض لوقفه البرقي والكشي وابن الغضايري ولم ينسب القول به إلى غير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عدم وقفه</w:t>
      </w:r>
      <w:r>
        <w:rPr>
          <w:rFonts w:eastAsia="Amiri" w:cs="Amiri" w:ascii="Amiri" w:hAnsi="Amiri"/>
          <w:color w:val="111111"/>
          <w:sz w:val="28"/>
          <w:szCs w:val="28"/>
          <w:rtl w:val="true"/>
          <w:lang w:bidi="ar-SA"/>
        </w:rPr>
        <w:t>...).</w:t>
      </w:r>
      <w:r>
        <w:rPr>
          <w:rStyle w:val="FootnoteAnchor"/>
          <w:rtl w:val="true"/>
        </w:rPr>
        <w:footnoteReference w:id="1002"/>
      </w:r>
      <w:bookmarkStart w:id="710" w:name="pg8204_101269"/>
    </w:p>
    <w:p>
      <w:pPr>
        <w:pStyle w:val="Heading5"/>
        <w:numPr>
          <w:ilvl w:val="4"/>
          <w:numId w:val="1"/>
        </w:numPr>
        <w:rPr/>
      </w:pPr>
      <w:bookmarkStart w:id="711" w:name="__RefHeading___Toc8924450_1051229030"/>
      <w:bookmarkStart w:id="712" w:name="_Toc264"/>
      <w:bookmarkEnd w:id="710"/>
      <w:bookmarkEnd w:id="711"/>
      <w:r>
        <w:rPr>
          <w:rtl w:val="true"/>
        </w:rPr>
        <w:t>الاستدلال بالروايات السابقة على الارشادية والمولوية</w:t>
      </w:r>
      <w:bookmarkEnd w:id="712"/>
    </w:p>
    <w:p>
      <w:pPr>
        <w:pStyle w:val="Heading6"/>
        <w:numPr>
          <w:ilvl w:val="5"/>
          <w:numId w:val="1"/>
        </w:numPr>
        <w:rPr/>
      </w:pPr>
      <w:bookmarkStart w:id="713" w:name="__RefHeading___Toc8924452_1051229030"/>
      <w:bookmarkStart w:id="714" w:name="_Toc265"/>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والاستدلال بهذه الروايات تارة يكون بناءً على القول بأنها أو بعضها إرشادية، وأخرى يكون بناءً على القول بكونها مولوية، وذلك على حسب الخلاف الموجود في ملاك المولوية والإرشادية، فإن كان ملاك كون الأمر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لزم من إعمال المولوية فيه اللغوية، أو كان الملاك ما لزم من أعمالها محذور عقلي كالدور والتسلسل، كما في أوامر طاعة المولى حيث يلزم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 التسلسل لحدوث أمر جديد وهكذا، أو الدور، فيكون الأمر فيما نحن فيه مولوياً، إذ لا يلزم من الأمر بالاستشارة اللغوية أو الدور 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ملاك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مورد المستقلات العقلية، فالروايات إرشادية لاستقلال العقل بمضمونها، وأما لو كان ملاكها ما كان لفائدة دنيوية فإرشادي، فإن بعضها يكون كذلك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المولوية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من المولى بما هو مولى مُعملاً مقام مولويته</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وأما إن كان ملاك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مورد حكم به العقل بالاستقلال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كقبح الظلم وحسن الإحسان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فهور إرشادي، فيكون الأمر فيما نحن فيه إرشادياً، إذ العقل مستقبل بحسن الاستشارة وتحري الآراء والاعتضاد بالمستشارين، وقد يرشد إليه لحن الروايات، فتأمل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أقوال أخرى في ملاك المولوية والإرشادية فلتلاحظ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القول بأنها إرشادية، كما هو الظاهر من بعضها،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ذوي الرأيواتباعهم</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والخلاف فإن مخالفة الورع العاقل مفسدة في الدين والدنيا</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فواضح، إذ يكون التمسك حينئذٍ بحكم العقل المرشد إليه بهذه الروايات، فلا يضر حينئذٍ ضعف سندها، إذ ليس الاستدلال بها بل بقسيمها، ومن البديهي حكم العقل بمضمون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بكونها مولوية، باستظهار المولوية من بعض ما ورد فيها من الأمر أو النهي، وبكون بعض تلك الجمل إنشائية بصيغة الإخبار أو أنها إخبار ملزومها الإنشاء أو لازمها،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الروايات ضعيفة، بل فيها المعتبر سنداً كما مر، وكما يظهر للمتتبع في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ضعف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كثرتها وتعددها وشهرتها شهرة عظيمة روائية موجبة للاطمئنان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للقطع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بصدورها ولو بنحو التواتر الإجمالي أو تواتر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استدلالنا حينئذٍ بحكم العقل المستقل بكون الاستشارة حسنة، وأن المستشير أقل وقوعاً في الخطأ من غيره، ويكون ذكر الروايات حينئذٍ للتأييد ولجلاء الحكم العقلي أكثر فأكثر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تقريب الاستدلال بها فمن وجوه</w:t>
      </w:r>
      <w:r>
        <w:rPr>
          <w:rFonts w:eastAsia="Amiri" w:cs="Amiri" w:ascii="Amiri" w:hAnsi="Amiri"/>
          <w:color w:val="111111"/>
          <w:sz w:val="28"/>
          <w:szCs w:val="28"/>
          <w:rtl w:val="true"/>
          <w:lang w:bidi="ar-SA"/>
        </w:rPr>
        <w:t xml:space="preserve">: </w:t>
      </w:r>
      <w:bookmarkStart w:id="715" w:name="pg8204_101271"/>
    </w:p>
    <w:p>
      <w:pPr>
        <w:pStyle w:val="Heading6"/>
        <w:numPr>
          <w:ilvl w:val="5"/>
          <w:numId w:val="1"/>
        </w:numPr>
        <w:rPr/>
      </w:pPr>
      <w:bookmarkStart w:id="716" w:name="__RefHeading___Toc8924454_1051229030"/>
      <w:bookmarkStart w:id="717" w:name="_Toc266"/>
      <w:bookmarkEnd w:id="715"/>
      <w:bookmarkEnd w:id="716"/>
      <w:r>
        <w:rPr>
          <w:rtl w:val="true"/>
        </w:rPr>
        <w:t>الوجه الأول</w:t>
      </w:r>
      <w:r>
        <w:rPr>
          <w:rtl w:val="true"/>
        </w:rPr>
        <w:t xml:space="preserve">: </w:t>
      </w:r>
      <w:r>
        <w:rPr>
          <w:rtl w:val="true"/>
        </w:rPr>
        <w:t>أولوية لزوم الأخذ بآراء المشيرين من لزوم الأخذ برأي الواحد</w:t>
      </w:r>
      <w:bookmarkEnd w:id="717"/>
    </w:p>
    <w:p>
      <w:pPr>
        <w:pStyle w:val="BookText"/>
        <w:rPr/>
      </w:pPr>
      <w:r>
        <w:rPr>
          <w:rFonts w:ascii="Amiri" w:hAnsi="Amiri" w:eastAsia="Amiri" w:cs="Amiri"/>
          <w:color w:val="111111"/>
          <w:sz w:val="28"/>
          <w:sz w:val="28"/>
          <w:szCs w:val="28"/>
          <w:rtl w:val="true"/>
          <w:lang w:bidi="ar-SA"/>
        </w:rPr>
        <w:t xml:space="preserve">لو لزم الأخذ برأي المشير العاقل الناصح وإلا لزم العطب ومفسدة الدين والدنيا والهلاك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الأخذ برأي المشيرين المتعددين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إذ أن احتمال العطب والمفسدة بمخالفة رأي أكثرية المشيرين الناصحين أكبر من احتماله بمخالفة رأي الناصح المشير الواحد، واحتمال الخطأ في رأي الأخير أكبر من احتماله في رأي عدة ناصحين ممن أشاروا بشيء، وعليه فعلى الفقيه الحاكم وعلى عامة الشعب الالتزام برأي أكثرية شورى الفقهاء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تشمل صورة تعارض المستشارين</w:t>
      </w:r>
      <w:r>
        <w:rPr>
          <w:rStyle w:val="FootnoteAnchor"/>
          <w:rtl w:val="true"/>
        </w:rPr>
        <w:footnoteReference w:id="1007"/>
      </w:r>
      <w:r>
        <w:rPr>
          <w:rFonts w:ascii="Amiri" w:hAnsi="Amiri" w:eastAsia="Amiri" w:cs="Amiri"/>
          <w:color w:val="111111"/>
          <w:sz w:val="28"/>
          <w:sz w:val="28"/>
          <w:szCs w:val="28"/>
          <w:rtl w:val="true"/>
          <w:lang w:bidi="ar-SA"/>
        </w:rPr>
        <w:t xml:space="preserve">حتى يقدم رأي الأكثرية على الأقلية؟ </w:t>
      </w:r>
      <w:bookmarkStart w:id="718" w:name="pg8204_101272"/>
    </w:p>
    <w:p>
      <w:pPr>
        <w:pStyle w:val="Heading6"/>
        <w:numPr>
          <w:ilvl w:val="5"/>
          <w:numId w:val="1"/>
        </w:numPr>
        <w:rPr/>
      </w:pPr>
      <w:bookmarkStart w:id="719" w:name="__RefHeading___Toc8924456_1051229030"/>
      <w:bookmarkStart w:id="720" w:name="_Toc267"/>
      <w:bookmarkEnd w:id="718"/>
      <w:bookmarkEnd w:id="719"/>
      <w:r>
        <w:rPr>
          <w:rtl w:val="true"/>
        </w:rPr>
        <w:t>تصنيف الروايات السابقة إلى أربع طوائف</w:t>
      </w:r>
      <w:bookmarkEnd w:id="720"/>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السابقة وغيرها تنقسم إلى أربع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أرشد فيه أو أمر فيه باستشارة رجل عاقل له دين وورع كالرواية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فيه باستشارة العاقل الناصح أو الورع كالأولى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أرشد فيه أو أمر فيه باستشارة ذوي الرأي والرجال كالرواية الخامسة والتاسعة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حذف فيه المتعلق، كالرابعة والسادسة والسابعة والثامنة والحادية عشرة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كان المتعلق منكراً،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يستشيروا رجلاً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فاستشارته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للأكثر، إلاّ أن صورة التعارض خارجة موضوعاً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العموم البدلي لهما</w:t>
      </w:r>
      <w:r>
        <w:rPr>
          <w:rStyle w:val="FootnoteAnchor"/>
          <w:rtl w:val="true"/>
        </w:rPr>
        <w:footnoteReference w:id="1008"/>
      </w:r>
      <w:r>
        <w:rPr>
          <w:rFonts w:ascii="Amiri" w:hAnsi="Amiri" w:eastAsia="Amiri" w:cs="Amiri"/>
          <w:color w:val="111111"/>
          <w:sz w:val="28"/>
          <w:sz w:val="28"/>
          <w:szCs w:val="28"/>
          <w:rtl w:val="true"/>
          <w:lang w:bidi="ar-SA"/>
        </w:rPr>
        <w:t>، وصدق العنوان عليهما بالحمل الشائع، فتأمل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كان المتعلق مفرداً محلى بأل،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 الْعَاقِلَ مِنَ الرِّجَالِ الْوَرِعَ فَإِنَّهُ لا يَأْمُرُ إِلاّ بِخَيْرٍ، وَإِيَّاكَ وَالْخِلَافَ فَإِنَّ مُخَالَفَةَ الْوَرِعِ الْعَاقِلِ مَفْسَدَةٌ فِي الدِّينِ وَالدُّنْيَا</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 فإن كانت اللام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فتشمل استشارة الواحد والمتعدد، فإن قلنا بشمول أدلة الحجية وشبهها </w:t>
      </w:r>
      <w:bookmarkStart w:id="721" w:name="pg8204_101273"/>
    </w:p>
    <w:p>
      <w:pPr>
        <w:pStyle w:val="BookText"/>
        <w:rPr/>
      </w:pPr>
      <w:bookmarkEnd w:id="721"/>
      <w:r>
        <w:rPr>
          <w:rFonts w:ascii="Amiri" w:hAnsi="Amiri" w:eastAsia="Amiri" w:cs="Amiri"/>
          <w:color w:val="111111"/>
          <w:sz w:val="28"/>
          <w:sz w:val="28"/>
          <w:szCs w:val="28"/>
          <w:rtl w:val="true"/>
          <w:lang w:bidi="ar-SA"/>
        </w:rPr>
        <w:t>للمتعارضين فإما أن نقول بالتخيير في صورة التكافؤ، والترجيح في صورة التراجح، ونقول بكون الأكثرية من المرجحات كما فصلنا الحديث عن ذلك في موضع آخر، وإما أن نقول بغير ذلك، فعلى الأول يمكن الاستدلال بهذه الروايات، وعلى الثاني لا، وكذا لو قلنا بعدم شمول أدلة الحجية للمتعارضين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من عدم شمول الطائفة الثانية لهما استثناء الأكثر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يقال بأنه يلزم من عدم شمول 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يقال بأن ذلك دليل على عدم إمكان القول بعدم الشمول، على أنه لا يقاوم دعوى إشكال الاستحالة،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بعينه جار في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حذف فيه متعلق المشورة أي المستشار</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8924458_1051229030"/>
      <w:bookmarkStart w:id="723" w:name="_Toc268"/>
      <w:bookmarkEnd w:id="722"/>
      <w:r>
        <w:rPr>
          <w:rtl w:val="true"/>
        </w:rPr>
        <w:t>تنبيه</w:t>
      </w:r>
      <w:r>
        <w:rPr>
          <w:rtl w:val="true"/>
        </w:rPr>
        <w:t>:</w:t>
      </w:r>
      <w:bookmarkEnd w:id="723"/>
    </w:p>
    <w:p>
      <w:pPr>
        <w:pStyle w:val="BookText"/>
        <w:rPr/>
      </w:pPr>
      <w:r>
        <w:rPr>
          <w:rFonts w:ascii="Amiri" w:hAnsi="Amiri" w:eastAsia="Amiri" w:cs="Amiri"/>
          <w:color w:val="111111"/>
          <w:sz w:val="28"/>
          <w:sz w:val="28"/>
          <w:szCs w:val="28"/>
          <w:rtl w:val="true"/>
          <w:lang w:bidi="ar-SA"/>
        </w:rPr>
        <w:t>لا يخفى أن حديث التعارض جارٍ في ما أمر فيه بالاستشارة والاتباع معاً وفي غيره بناءً على العينيّة بينهما أو التلازم، وإلاّ فلا معنى للتعارض</w:t>
      </w:r>
      <w:r>
        <w:rPr>
          <w:rStyle w:val="FootnoteAnchor"/>
          <w:rtl w:val="true"/>
        </w:rPr>
        <w:footnoteReference w:id="1010"/>
      </w:r>
      <w:r>
        <w:rPr>
          <w:rFonts w:ascii="Amiri" w:hAnsi="Amiri" w:eastAsia="Amiri" w:cs="Amiri"/>
          <w:color w:val="111111"/>
          <w:sz w:val="28"/>
          <w:sz w:val="28"/>
          <w:szCs w:val="28"/>
          <w:rtl w:val="true"/>
          <w:lang w:bidi="ar-SA"/>
        </w:rPr>
        <w:t>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كان المتعلق جمعاً محلى بأل،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ذوي الرأي وإتباعهم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المولوية فلا ينبغي الريب في شمولها لها، لإطلاقها،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القداح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ورواية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يهلك امرؤ عن مشورة</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إذ أن من الواضح أن ذوي الرأي يكونون عادة مختلفي الرأي، وقلما اتفقوا على رأي، فحمل هذه الروايات على صورة الاتفاق </w:t>
      </w:r>
    </w:p>
    <w:p>
      <w:pPr>
        <w:pStyle w:val="BookText"/>
        <w:rPr/>
      </w:pPr>
      <w:r>
        <w:rPr>
          <w:rFonts w:ascii="IRNazanin" w:hAnsi="IRNazanin" w:eastAsia="IRNazanin"/>
          <w:color w:val="111111"/>
          <w:sz w:val="28"/>
          <w:sz w:val="28"/>
          <w:szCs w:val="28"/>
          <w:rtl w:val="true"/>
          <w:lang w:bidi="fa-IR"/>
        </w:rPr>
        <w:t>حمل على فرد نادر</w:t>
      </w:r>
      <w:r>
        <w:rPr>
          <w:rStyle w:val="FootnoteAnchor"/>
          <w:rtl w:val="true"/>
        </w:rPr>
        <w:footnoteReference w:id="1013"/>
      </w:r>
      <w:r>
        <w:rPr>
          <w:rFonts w:ascii="Amiri" w:hAnsi="Amiri" w:eastAsia="Amiri" w:cs="Amiri"/>
          <w:color w:val="111111"/>
          <w:sz w:val="28"/>
          <w:sz w:val="28"/>
          <w:szCs w:val="28"/>
          <w:rtl w:val="true"/>
          <w:lang w:bidi="ar-SA"/>
        </w:rPr>
        <w:t xml:space="preserve">، فلا مناص من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الأكثرية، كما أن من الواضح أن اتباع رأي الأكثرية أقرب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ظهير كالمشاورة</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من اتباع رأي الأقلية،فتأمل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أننا حتى لو قلنا في بحث تعارض الخبرين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شمول أدلة حجية خبر الواحد للخبرين المتعارضين مما يستلزم تساقطهما، فإنه لا مناص لنا من القول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أدلة حسن الشورى لما تعارضت فيه الآراء، وإلا لزم حملها على الفرد النادر، إلاّ لو كان دليل عدم الشمول عقلاً مستنداً إلى الاستحالة</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ولكن على الاستحالة فلابد من الالتزام بأن هذه الروايات قد جعلت الحجية لأكثرية الآراء، وإن كان اللسان ظاهراً في جعلها للجميع، لأنه لابد من رفع اليد عنه لتلك الاستحالة، وأما الحمل على جعل الحجية للأكثرية فلئلا يلزم لغوية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تخصص هذه الروايات</w:t>
      </w:r>
      <w:r>
        <w:rPr>
          <w:rStyle w:val="FootnoteAnchor"/>
          <w:rtl w:val="true"/>
        </w:rPr>
        <w:footnoteReference w:id="1016"/>
      </w:r>
      <w:r>
        <w:rPr>
          <w:rFonts w:ascii="Amiri" w:hAnsi="Amiri" w:eastAsia="Amiri" w:cs="Amiri"/>
          <w:color w:val="111111"/>
          <w:sz w:val="28"/>
          <w:sz w:val="28"/>
          <w:szCs w:val="28"/>
          <w:rtl w:val="true"/>
          <w:lang w:bidi="ar-SA"/>
        </w:rPr>
        <w:t>بما لو استشار فرداً واحداً، وهو خلاف الظاهر، بل لا وجه له في بعضها أصلاً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لا يرى بُداً من اتباع رأي أكثرية المستشارين عند دوران الأمر بين اتباع الأقلية والأكثرية، كما فصلناه في فصل الاستدلال بالعقل</w:t>
      </w:r>
      <w:r>
        <w:rPr>
          <w:rFonts w:eastAsia="Amiri" w:cs="Amiri" w:ascii="Amiri" w:hAnsi="Amiri"/>
          <w:color w:val="111111"/>
          <w:sz w:val="28"/>
          <w:szCs w:val="28"/>
          <w:rtl w:val="true"/>
          <w:lang w:bidi="ar-SA"/>
        </w:rPr>
        <w:t xml:space="preserve">. </w:t>
      </w:r>
      <w:bookmarkStart w:id="724" w:name="pg8204_101275"/>
    </w:p>
    <w:p>
      <w:pPr>
        <w:pStyle w:val="Heading6"/>
        <w:numPr>
          <w:ilvl w:val="5"/>
          <w:numId w:val="1"/>
        </w:numPr>
        <w:rPr/>
      </w:pPr>
      <w:bookmarkStart w:id="725" w:name="__RefHeading___Toc8924460_1051229030"/>
      <w:bookmarkStart w:id="726" w:name="_Toc269"/>
      <w:bookmarkEnd w:id="724"/>
      <w:bookmarkEnd w:id="725"/>
      <w:r>
        <w:rPr>
          <w:rtl w:val="true"/>
        </w:rPr>
        <w:t>الوجه الثاني</w:t>
      </w:r>
      <w:r>
        <w:rPr>
          <w:rtl w:val="true"/>
        </w:rPr>
        <w:t>:</w:t>
      </w:r>
      <w:r>
        <w:rPr>
          <w:rtl w:val="true"/>
        </w:rPr>
        <w:t>أقربية الإصابة في رأي المشيرين من رأي الواحد</w:t>
      </w:r>
      <w:bookmarkEnd w:id="726"/>
    </w:p>
    <w:p>
      <w:pPr>
        <w:pStyle w:val="BookText"/>
        <w:rPr/>
      </w:pPr>
      <w:r>
        <w:rPr>
          <w:rFonts w:ascii="Amiri" w:hAnsi="Amiri" w:eastAsia="Amiri" w:cs="Amiri"/>
          <w:color w:val="111111"/>
          <w:sz w:val="28"/>
          <w:sz w:val="28"/>
          <w:szCs w:val="28"/>
          <w:rtl w:val="true"/>
          <w:lang w:bidi="ar-SA"/>
        </w:rPr>
        <w:t xml:space="preserve">إذا كان في اتباع رأي المشير الناصح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أقربية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الشؤون الدينية أم الدنيوية،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يأمر إلا بخير</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يرفعه الله ورماه بخير الأمور وأقربها إلى الله</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العاقل الناصح رشد ويمن وتوفيق من الله</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 وإذا كان في مخالفته الأبعدية عن الواقع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في الدين والدنيا</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ذلك العطب</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فماذا ترى في اتباع عدة مشيرين ناصحين، وكيف بمخالفة مجموعة منهم؟</w:t>
      </w:r>
    </w:p>
    <w:p>
      <w:pPr>
        <w:pStyle w:val="BookText"/>
        <w:rPr/>
      </w:pPr>
      <w:r>
        <w:rPr>
          <w:rFonts w:ascii="Amiri" w:hAnsi="Amiri" w:eastAsia="Amiri" w:cs="Amiri"/>
          <w:color w:val="111111"/>
          <w:sz w:val="28"/>
          <w:sz w:val="28"/>
          <w:szCs w:val="28"/>
          <w:rtl w:val="true"/>
          <w:lang w:bidi="ar-SA"/>
        </w:rPr>
        <w:t>وأما في صورة تخالف النصائح وتناقض آراء المشيرين فاتباع رأي أكثرية الناصحين هو المحتم، كما فصلناه في موضع آخر، وسنفصله عند التطرق للمقبولة والمرفوعة والتوقيع المبارك، ونزيد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 في كون اتباع الناصح المشير رشداً ويمناً وخيراً وأقرب إلى الله هو أنه يرى ما لا يراه المستشير، كما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استقبل وجوه الآراء عرف مواقع الخطأ</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ولذا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أعقل الناس من جمع عقول الناس إلى عقله</w:t>
      </w:r>
      <w:r>
        <w:rPr>
          <w:rFonts w:eastAsia="IRNazanin" w:cs="IRNazanin"/>
          <w:color w:val="111111"/>
          <w:sz w:val="28"/>
          <w:szCs w:val="28"/>
          <w:rtl w:val="true"/>
          <w:lang w:bidi="fa-IR"/>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 إذ أن كل عقل يرى جهة ويقترح اقتراحاً فيكون باجتماعها الكمال والتكامل، وقدورد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 حفظ التجارب</w:t>
      </w:r>
      <w:r>
        <w:rPr>
          <w:rFonts w:eastAsia="IRNazanin" w:cs="IRNazanin"/>
          <w:color w:val="111111"/>
          <w:sz w:val="28"/>
          <w:szCs w:val="28"/>
          <w:rtl w:val="true"/>
          <w:lang w:bidi="fa-IR"/>
        </w:rPr>
        <w:t>)</w:t>
      </w:r>
      <w:r>
        <w:rPr>
          <w:rStyle w:val="FootnoteAnchor"/>
          <w:rtl w:val="true"/>
        </w:rPr>
        <w:footnoteReference w:id="1024"/>
      </w:r>
      <w:r>
        <w:rPr>
          <w:rFonts w:ascii="Amiri" w:hAnsi="Amiri" w:eastAsia="Amiri" w:cs="Amiri"/>
          <w:color w:val="111111"/>
          <w:sz w:val="28"/>
          <w:sz w:val="28"/>
          <w:szCs w:val="28"/>
          <w:rtl w:val="true"/>
          <w:lang w:bidi="ar-SA"/>
        </w:rPr>
        <w:t xml:space="preserve">، ومن الواضح أن العقول المتعددة لها تجارب تفوق تجارب إحداها،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وإذا كان لأجل ذلك ورد الأمر باتباع الناصح الواحد، ففيما تعدد الناصحون المشيرون وتخالفت آراؤهم وكانت الأكثرية على رأي معين فإن اتباعها أولى وألزم لأقوائية الملاك المصرح به في الروايات،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الروايات، فلعل دلالتها على المدعى تامة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يستشر يندم</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يهلك امرؤ عن مشورة</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استقبل وجوه الآراء عرف مواقع الخطأ</w:t>
      </w:r>
      <w:r>
        <w:rPr>
          <w:rFonts w:eastAsia="IRNazanin" w:cs="IRNazanin"/>
          <w:color w:val="111111"/>
          <w:sz w:val="28"/>
          <w:szCs w:val="28"/>
          <w:rtl w:val="true"/>
          <w:lang w:bidi="fa-IR"/>
        </w:rPr>
        <w:t>)</w:t>
      </w:r>
      <w:r>
        <w:rPr>
          <w:rStyle w:val="FootnoteAnchor"/>
          <w:rtl w:val="true"/>
        </w:rPr>
        <w:footnoteReference w:id="1029"/>
      </w:r>
      <w:r>
        <w:rPr>
          <w:rFonts w:ascii="Amiri" w:hAnsi="Amiri" w:eastAsia="Amiri" w:cs="Amiri"/>
          <w:color w:val="111111"/>
          <w:sz w:val="28"/>
          <w:sz w:val="28"/>
          <w:szCs w:val="28"/>
          <w:rtl w:val="true"/>
          <w:lang w:bidi="ar-SA"/>
        </w:rPr>
        <w:t xml:space="preserve">، وتعليله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لست في نفسي بفوق أن أُخطِيء</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 مما يعني أن المقالة بالحق والمشورة بالعدل تقي من الخطأ،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الاستشارة عين الهداية وقد خاطر من استغنى برأيه</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ما الحزم؟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 ونظائر هذه الكلمات 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أو 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الانفراد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 الشخص بذاته أبعد عن الصواب،وموجب للوقوع في الخطأ، بل </w:t>
      </w:r>
      <w:bookmarkStart w:id="727" w:name="pg8204_101277"/>
    </w:p>
    <w:p>
      <w:pPr>
        <w:pStyle w:val="BookText"/>
        <w:rPr/>
      </w:pPr>
      <w:bookmarkEnd w:id="727"/>
      <w:r>
        <w:rPr>
          <w:rFonts w:ascii="Amiri" w:hAnsi="Amiri" w:eastAsia="Amiri" w:cs="Amiri"/>
          <w:color w:val="111111"/>
          <w:sz w:val="28"/>
          <w:sz w:val="28"/>
          <w:szCs w:val="28"/>
          <w:rtl w:val="true"/>
          <w:lang w:bidi="ar-SA"/>
        </w:rPr>
        <w:t xml:space="preserve">موجب للهلاك والندم،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حمل هذه الرواية وأشباهها على صورة اتفاق المشيرين، فيما من شأنه استشارة عدة أشخاص، كما في الخطيرة، أو حتى فيما ليس من شأنه الاستشارة من عديدين وكفاية الاستشارة من واحد عرفاً، كما في شراء دار مثلاً، ومع ذلك استشار من عدة احتياطاً وتثبتاً، خلاف الظاهر، لكونه تخصيصاً بلا دليل، بل إنه تخصيص الأكثر وهو قبيح على الحكيم، إذ الغالب اختلاف المشيرين، بل قد يقال بأنه حمل على فرد نادر كما سبق،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حملها وأشباهها على صورة استشارة واحد فقط، بأن يكون معنى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 من واحد عين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الاستشارة من عدة فليس عينها،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يهلك امرؤ عن مشورة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يهلك عن استشارة المتعدد،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وجوه الآراء التي يذكرها شخص واحد عرف مواقع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استقبل وجوه آراء متعددين فلا، فخلاف الظاهر جداً</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8924462_1051229030"/>
      <w:bookmarkStart w:id="729" w:name="_Toc270"/>
      <w:bookmarkEnd w:id="728"/>
      <w:r>
        <w:rPr>
          <w:rtl w:val="true"/>
        </w:rPr>
        <w:t>الاعتراض بعدم دلالة الروايات على لزوم الاتباع</w:t>
      </w:r>
      <w:bookmarkEnd w:id="72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الاعتراض على الاستدلال بهذه الروايات على لزوم الأخذ برأي الأكثرية، بأنها تدل على أن الاستشارة توجب معرفة جهات الخطأ والخلل، ومعرفة الطريقة الأفضل، وأن تقليب وجوه الآراء يوجب الحفظ عن الهلاك، ولا تدل على لزوم الأخذ برأي أكثرية المشيرين وإن كان ما توصل إليه بعد الاستشارة وبعد تقليب وجوه الآراء مخالفاً لرأي الأكثرية؟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 فصرف تحري آراء الآخرين </w:t>
      </w:r>
      <w:bookmarkStart w:id="730" w:name="pg8204_101278"/>
    </w:p>
    <w:p>
      <w:pPr>
        <w:pStyle w:val="BookText"/>
        <w:rPr/>
      </w:pPr>
      <w:bookmarkEnd w:id="730"/>
      <w:r>
        <w:rPr>
          <w:rFonts w:ascii="Amiri" w:hAnsi="Amiri" w:eastAsia="Amiri" w:cs="Amiri"/>
          <w:color w:val="111111"/>
          <w:sz w:val="28"/>
          <w:sz w:val="28"/>
          <w:szCs w:val="28"/>
          <w:rtl w:val="true"/>
          <w:lang w:bidi="ar-SA"/>
        </w:rPr>
        <w:t xml:space="preserve">يوجب معرفة مواقع الخطأ ويسبب البعد عن الهلاك من غير توقف على اتباع أكثريتها؟فيرد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سبق في مكان آخر</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8924464_1051229030"/>
      <w:bookmarkStart w:id="732" w:name="_Toc271"/>
      <w:bookmarkEnd w:id="731"/>
      <w:r>
        <w:rPr>
          <w:rtl w:val="true"/>
        </w:rPr>
        <w:t>مقيدية روايات الاتباع لمطلقات الاستشارة</w:t>
      </w:r>
      <w:bookmarkEnd w:id="73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يعني ضبط الأمر وإتقانه وإحكامه مما يستلزم طبيعياً قلة الخطأ والاشتباه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لا في صرف المشاورة،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والخلاف فإن مخالفة الورع العاقل مفسدة في الدين والدنيا</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فالمشاورة والاتباع أقرب للواقع ولضبط الأمر من المشاورة وحدها، وإن كانت الأخيرة أقرب للواقع من الانفراد بالرأي، وكذلك ما ورد في روايات أخرى ذكرنا بعضها هنا وبعضها في موضع آخر، فأمثال هذه الرواية تقيد تلك المطلقات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رواية الحزم</w:t>
      </w:r>
      <w:r>
        <w:rPr>
          <w:rStyle w:val="FootnoteAnchor"/>
          <w:rtl w:val="true"/>
        </w:rPr>
        <w:footnoteReference w:id="1036"/>
      </w:r>
      <w:r>
        <w:rPr>
          <w:rFonts w:ascii="IRNazanin" w:hAnsi="IRNazanin" w:eastAsia="IRNazanin"/>
          <w:color w:val="111111"/>
          <w:sz w:val="28"/>
          <w:sz w:val="28"/>
          <w:szCs w:val="28"/>
          <w:rtl w:val="true"/>
          <w:lang w:bidi="fa-IR"/>
        </w:rPr>
        <w:t>وأشباهها</w:t>
      </w:r>
      <w:r>
        <w:rPr>
          <w:rStyle w:val="FootnoteAnchor"/>
          <w:rtl w:val="true"/>
        </w:rPr>
        <w:footnoteReference w:id="1037"/>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استبقل</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وأشباهها</w:t>
      </w:r>
      <w:r>
        <w:rPr>
          <w:rStyle w:val="FootnoteAnchor"/>
          <w:rtl w:val="true"/>
        </w:rPr>
        <w:footnoteReference w:id="1039"/>
      </w:r>
      <w:r>
        <w:rPr>
          <w:rFonts w:ascii="Amiri" w:hAnsi="Amiri" w:eastAsia="Amiri" w:cs="Amiri"/>
          <w:color w:val="111111"/>
          <w:sz w:val="28"/>
          <w:sz w:val="28"/>
          <w:szCs w:val="28"/>
          <w:rtl w:val="true"/>
          <w:lang w:bidi="ar-SA"/>
        </w:rPr>
        <w:t xml:space="preserve">نسبة المطلق والمقيد، وحيث إنهما مثبتان فلا تقيد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الحزم؟ فالنتيجة هو التخيير وكون المقيد هو الفرد الأفضل لا المتعين؟ </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فصلناه في موضع آخر من البحث المبنائي من أن المطلق والمقيد المثبتين يقيد أحدهما الآخر كالمتخالفين، نقول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وذكر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العنوان أو لتلك الغاية، وفي مكان آخر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إيجاد المحصل الأخص،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معين، فلو اقتصر في حديث على ذكر بعض شرائطها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 والاستقبال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آخر الشرائط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كالستر والاستقرار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اللازم الاتيان بجميع القيود لإحراز العنوان، ولإحراز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مواقع الخطأ وعدم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قيد واحد، وفي رواية الحزم</w:t>
      </w:r>
      <w:r>
        <w:rPr>
          <w:rStyle w:val="FootnoteAnchor"/>
          <w:rtl w:val="true"/>
        </w:rPr>
        <w:footnoteReference w:id="1042"/>
      </w:r>
      <w:r>
        <w:rPr>
          <w:rFonts w:ascii="Amiri" w:hAnsi="Amiri" w:eastAsia="Amiri" w:cs="Amiri"/>
          <w:color w:val="111111"/>
          <w:sz w:val="28"/>
          <w:sz w:val="28"/>
          <w:szCs w:val="28"/>
          <w:rtl w:val="true"/>
          <w:lang w:bidi="ar-SA"/>
        </w:rPr>
        <w:t xml:space="preserve">قيدان أو مقومان لمعرفة الخطأ وعدم الهلاك، وإنما لا يكون المقيد المثبت مقيداً للمطلق المثبت، إذا لم يكن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الأمر، أو غاية صرح بها الآمر، بل كان المطلق بنفسه متعلق الأمر والنهي، وكذا المقيد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أشار عليك الناصح العاقل فإياك والخلاف فإن في ذلك العطب</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والخلاف فإن مخالفة الورع العاقل مفسدة في الدين والدنيا</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الروايات وجود 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w:t>
      </w:r>
      <w:bookmarkStart w:id="733" w:name="pg8204_101280"/>
    </w:p>
    <w:p>
      <w:pPr>
        <w:pStyle w:val="BookText"/>
        <w:rPr/>
      </w:pPr>
      <w:bookmarkEnd w:id="733"/>
      <w:r>
        <w:rPr>
          <w:rFonts w:ascii="Amiri" w:hAnsi="Amiri" w:eastAsia="Amiri" w:cs="Amiri"/>
          <w:color w:val="111111"/>
          <w:sz w:val="28"/>
          <w:sz w:val="28"/>
          <w:szCs w:val="28"/>
          <w:rtl w:val="true"/>
          <w:lang w:bidi="ar-SA"/>
        </w:rPr>
        <w:t>معرفة مواقع الخطأ، 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 منه،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وأشباهها تتكفل بالغاية الأولى، أما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وأشباهها فتتكفل بالغاية الثانية، فلا يكفي إحراز الأولى عن الثانية، فتدبر وتأمل</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8924466_1051229030"/>
      <w:bookmarkStart w:id="735" w:name="_Toc272"/>
      <w:bookmarkEnd w:id="734"/>
      <w:r>
        <w:rPr>
          <w:rtl w:val="true"/>
        </w:rPr>
        <w:t>الآمر بالاستشارة آمر باتباع الأكثرية عرفاً</w:t>
      </w:r>
      <w:bookmarkEnd w:id="735"/>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أمر باتباع رأي المشير أو المشيرين، أو أكثريتهم إن اختلفوا، ولو أنكر هذا على إطلاقه فلا مجال لإنكاره فيما لو كان المأمور بالاستشارة عامياً غير قادر على التشخيص والمحاكمة بين مختلف الأقوال وأدلتها، وسيأتي ما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المولى لو أمر عبده باستشارة خمسة من الأشخاص فيما ألّم به من الأمور والدواهي، كان عليه اتباع رأي أكثريتهم عند التعارض فيما لو لم يجعل المولى الترجيح مع أحدهم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كون الأمر بالاستشارة أمراً باتباع الأكثرية عرفاً،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 حيث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وقسيماً ومقابلاً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المستبد يطلق على العامل برأيه دون رأي سائر العقلاء، فتكون الاستشارة لو لم نقل بكونها حقيقة في اتباع رأي الأكثرية، مجازاً فيه، إذ أريد بها لازمها معها، بقرينة المقابلة وبقرينة الفهم العرفي، فتأمل</w:t>
      </w:r>
      <w:r>
        <w:rPr>
          <w:rFonts w:eastAsia="Amiri" w:cs="Amiri" w:ascii="Amiri" w:hAnsi="Amiri"/>
          <w:color w:val="111111"/>
          <w:sz w:val="28"/>
          <w:szCs w:val="28"/>
          <w:rtl w:val="true"/>
          <w:lang w:bidi="ar-SA"/>
        </w:rPr>
        <w:t xml:space="preserve">. </w:t>
      </w:r>
      <w:bookmarkStart w:id="736" w:name="pg8204_101281"/>
    </w:p>
    <w:p>
      <w:pPr>
        <w:pStyle w:val="Heading6"/>
        <w:numPr>
          <w:ilvl w:val="5"/>
          <w:numId w:val="1"/>
        </w:numPr>
        <w:rPr/>
      </w:pPr>
      <w:bookmarkStart w:id="737" w:name="__RefHeading___Toc8924468_1051229030"/>
      <w:bookmarkStart w:id="738" w:name="_Toc273"/>
      <w:bookmarkEnd w:id="736"/>
      <w:bookmarkEnd w:id="737"/>
      <w:r>
        <w:rPr>
          <w:rtl w:val="true"/>
        </w:rPr>
        <w:t>لزوم إتباع غير الفقيه لأكثرية الفقهاء</w:t>
      </w:r>
      <w:bookmarkEnd w:id="738"/>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فرقاً بين ما لو كان المستشير من أهل الخبرة وما لم يكن، فإن كان من أهل الخبرة كان بمقدرته تقليب وجوه الآراء وتقييم وجهات النظر المختلفة والنظر في أدلتها وشواهدها وتمحيصها، فإذا حصل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رأي المشيرين فإنه حينئذٍ يرى الرأي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عليه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لا يحق له اتباعه، فتأمل</w:t>
      </w:r>
      <w:r>
        <w:rPr>
          <w:rStyle w:val="FootnoteAnchor"/>
          <w:rtl w:val="true"/>
        </w:rPr>
        <w:footnoteReference w:id="1048"/>
      </w:r>
      <w:r>
        <w:rPr>
          <w:rFonts w:ascii="Amiri" w:hAnsi="Amiri" w:eastAsia="Amiri" w:cs="Amiri"/>
          <w:color w:val="111111"/>
          <w:sz w:val="28"/>
          <w:sz w:val="28"/>
          <w:szCs w:val="28"/>
          <w:rtl w:val="true"/>
          <w:lang w:bidi="ar-SA"/>
        </w:rPr>
        <w:t>، وظنه حجة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 حسب هذا المبنى،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 حسب مبنى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لم يكن من أهل الخبرة فليس بمقدرته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لم يكن بحاجة إلى خبروية بأن كان العرف العام قادراً على التشخيص</w:t>
      </w:r>
      <w:r>
        <w:rPr>
          <w:rStyle w:val="FootnoteAnchor"/>
          <w:rtl w:val="true"/>
        </w:rPr>
        <w:footnoteReference w:id="1049"/>
      </w:r>
      <w:r>
        <w:rPr>
          <w:rFonts w:ascii="Amiri" w:hAnsi="Amiri" w:eastAsia="Amiri" w:cs="Amiri"/>
          <w:color w:val="111111"/>
          <w:sz w:val="28"/>
          <w:sz w:val="28"/>
          <w:szCs w:val="28"/>
          <w:rtl w:val="true"/>
          <w:lang w:bidi="ar-SA"/>
        </w:rPr>
        <w:t xml:space="preserve">، فلا يحصل له الظن وإذا حصل فإنه ليس بمعتبر، أترى العامي عند اختلاف الأطباء في ماهية المرض قادراً على التشخيص من استماع أقوالهم وأدلتهم وشواهدهم،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إذا أصبح مجتهداً متجزئاً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 كانت المسائل دقيقة عميقة ترجع إلى أصول ومباني عديدة؟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حصل له الظن بأحد الأطراف فليس بحجة، إذ الأصل في الظن عدم الحجية، ولا دليل على حجية ظن غير أهل الخبرة فيما يحتاج إلى الخبرة، بل إن بناء العقلاء على عدم حجيته، ولو اتبع ظنه ولمّا يبلغ مرتبة الاجتهاد </w:t>
      </w:r>
    </w:p>
    <w:p>
      <w:pPr>
        <w:pStyle w:val="BookText"/>
        <w:rPr/>
      </w:pPr>
      <w:r>
        <w:rPr>
          <w:rFonts w:ascii="Amiri" w:hAnsi="Amiri" w:eastAsia="Amiri" w:cs="Amiri"/>
          <w:color w:val="111111"/>
          <w:sz w:val="28"/>
          <w:sz w:val="28"/>
          <w:szCs w:val="28"/>
          <w:rtl w:val="true"/>
          <w:lang w:bidi="ar-SA"/>
        </w:rPr>
        <w:t>المتجزي، فعطب، كان ملوماً مستحقاً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استشار مَن لا خبرة له عدة خبراء فيما يحتاجإلى الخبروية، توقف نجاته من الهلاك والعطب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اتباعهم، ولو اختلفوا فعلى اتباع رأي أكثريتهم، إذ ليس بمقدوره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مواقع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خبرويته، ولو فرض حصول الظن له لم يكن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فيما ذكرناه على إطلاقه، لم يكن محل للنقاش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إنه لا يمكنه معرفة مواقع خطأ استدلال الفقهاء باستماعه إلى أدلتهم وردودها، وهل ترى العامي يفهم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المثبت، والشك السببي والمسببي، ومقام الفتوى ومقام التعليم، والتعارض والتزاحم في مقام الجعل أو الامتثال، والحكم الواقعي والظاهري، وأشباه ذلك؟ ولو فهم فهل يمكنه المحاكمة بينها؟ إذاً لكان مجتهداً لا مقلداً، هذا صغرى، وأما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حصول الظن له بأحد الأطراف فمما لا شك فيه أن ظنه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فنقول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الفقيه وكان على المقلدين اتباعهم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أنهم لو أفتوا بالجهاد وجب، وبالصلح ثبت، وبالمعاهدة مع تلك الدولة لزمت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فرض اختلاف الفقهاء في تلك الشؤون وأفتى أحدهم بالحرب والآخر بالصلح فإن ظن المقلد بأحد الجوانب ليس بحجة، ولو حصلت له من المحاكمة بين أدلة القولين المعرفة الظنية بمواقع الخطأ لهما، إذن فالمقلد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مقلداً، وما دام ليس من أهل الخبرة بالموضوعات المستنبطة والشؤون العامة بجانبيها الشرعي عن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الأخذ بما أدى إليه نظره بعد استشارة الخبراء أو التحاكم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كبرى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استشارتهم أو التحاكم إليهم، ثم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غير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أدت إليه آراء أكثريتهم حسب، والمستفاد من إطلاق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واستناداً إلى أرجحية اتباع أكثرية أهل الخبرة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للخروج عنها، إلاّ ما ربما يقال من وجوب رجوعالمقلد إلى مقلّده تعييناً، وقد ناقشناه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داخل في الكبرى الأولى لقدرته على المحاكمة والتمحيص كما لا يخفى، ولحجية ظنه نوعاً، ولبناء العقلاء على حجية رأي الخبير والمجتهد لنفسه، وإن كان مشهور الخبراء بخلافه، إلا أنه يمكن استثناء الشؤون العامة، كما فصلناه في مواضع أخرى فليراجع وليتأمل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العامي قد يكون خبيراً في بعض الشؤون العامة، كالسياسة والاقتصاد إذا كان متخصصاً فيها؟</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الخبروية في الموضوع لتشخيص كونه مندرجاً تحت أية قاعدة فقهية، وتحت أي حكم شرعي، أو تحت أية آية أو رواية من المتخالفات التي يحتمل اندراج الصغريات والموضوعات تحتها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 فأيهما المرجع؟ وهل كلتاهما قضية حقيقية أو خارجية أو بالاختلاف؟ </w:t>
      </w:r>
      <w:bookmarkStart w:id="739" w:name="pg8204_101284"/>
    </w:p>
    <w:p>
      <w:pPr>
        <w:pStyle w:val="Heading6"/>
        <w:numPr>
          <w:ilvl w:val="5"/>
          <w:numId w:val="1"/>
        </w:numPr>
        <w:rPr/>
      </w:pPr>
      <w:bookmarkStart w:id="740" w:name="__RefHeading___Toc8924470_1051229030"/>
      <w:bookmarkStart w:id="741" w:name="_Toc274"/>
      <w:bookmarkEnd w:id="739"/>
      <w:bookmarkEnd w:id="740"/>
      <w:r>
        <w:rPr>
          <w:rtl w:val="true"/>
        </w:rPr>
        <w:t xml:space="preserve">الوجه الثالث </w:t>
      </w:r>
      <w:r>
        <w:rPr>
          <w:rtl w:val="true"/>
        </w:rPr>
        <w:t xml:space="preserve">: </w:t>
      </w:r>
      <w:r>
        <w:rPr>
          <w:rtl w:val="true"/>
        </w:rPr>
        <w:t>شمول روايات لزوم الاتباع حتى للفقيه</w:t>
      </w:r>
      <w:bookmarkEnd w:id="741"/>
    </w:p>
    <w:p>
      <w:pPr>
        <w:pStyle w:val="BookText"/>
        <w:rPr/>
      </w:pPr>
      <w:r>
        <w:rPr>
          <w:rFonts w:ascii="Amiri" w:hAnsi="Amiri" w:eastAsia="Amiri" w:cs="Amiri"/>
          <w:color w:val="111111"/>
          <w:sz w:val="28"/>
          <w:sz w:val="28"/>
          <w:szCs w:val="28"/>
          <w:rtl w:val="true"/>
          <w:lang w:bidi="ar-SA"/>
        </w:rPr>
        <w:t>ويمكن بيان الاستدلال بهذه الروايات بنحو آخر يتلخص بأمور</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بإطلاقها شاملة لما لو كان المستشير من أهل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Style w:val="FootnoteAnchor"/>
          <w:rtl w:val="true"/>
        </w:rPr>
        <w:footnoteReference w:id="1054"/>
      </w:r>
      <w:r>
        <w:rPr>
          <w:rFonts w:ascii="Amiri" w:hAnsi="Amiri" w:eastAsia="Amiri" w:cs="Amiri"/>
          <w:color w:val="111111"/>
          <w:sz w:val="28"/>
          <w:sz w:val="28"/>
          <w:szCs w:val="28"/>
          <w:rtl w:val="true"/>
          <w:lang w:bidi="ar-SA"/>
        </w:rPr>
        <w:t xml:space="preserve">، وعلى التقدير الثاني شاملة لما لو حصل له الظن بأحد الطرفين أو لا، ولما لو كان قادراً على التشخيص لوضوح أدلة الطرفين وكونها بحيث لو نُبّه عليها العامي لأدركها بفطرته وأمكن له الحكم عليها، وما لو لم يكن قادراً عليه، وذلك لوضوح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يهلك امرؤ عن مشورة</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يستشر يندم</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لا يختص ببعض الصور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بعض الروايات شامل بظاهره لأهل الخبرة والمجتهد فيما اجتهد فيه من الموضوعات، بالفعل</w:t>
      </w:r>
      <w:r>
        <w:rPr>
          <w:rStyle w:val="FootnoteAnchor"/>
          <w:rtl w:val="true"/>
        </w:rPr>
        <w:footnoteReference w:id="1059"/>
      </w:r>
      <w:r>
        <w:rPr>
          <w:rFonts w:ascii="Amiri" w:hAnsi="Amiri" w:eastAsia="Amiri" w:cs="Amiri"/>
          <w:color w:val="111111"/>
          <w:sz w:val="28"/>
          <w:sz w:val="28"/>
          <w:szCs w:val="28"/>
          <w:rtl w:val="true"/>
          <w:lang w:bidi="ar-SA"/>
        </w:rPr>
        <w:t xml:space="preserve">فلاحظ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خاطر بنفسه من استغنى برأيه</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استقبل وجوه الآراء عرف </w:t>
      </w:r>
    </w:p>
    <w:p>
      <w:pPr>
        <w:pStyle w:val="BookText"/>
        <w:rPr/>
      </w:pPr>
      <w:r>
        <w:rPr>
          <w:rFonts w:ascii="IRNazanin" w:hAnsi="IRNazanin" w:eastAsia="IRNazanin"/>
          <w:color w:val="111111"/>
          <w:sz w:val="28"/>
          <w:sz w:val="28"/>
          <w:szCs w:val="28"/>
          <w:rtl w:val="true"/>
          <w:lang w:bidi="fa-IR"/>
        </w:rPr>
        <w:t>مواقع الخطأ</w:t>
      </w:r>
      <w:r>
        <w:rPr>
          <w:rFonts w:eastAsia="IRNazanin" w:cs="IRNazanin"/>
          <w:color w:val="111111"/>
          <w:sz w:val="28"/>
          <w:szCs w:val="28"/>
          <w:rtl w:val="true"/>
          <w:lang w:bidi="fa-IR"/>
        </w:rPr>
        <w:t xml:space="preserve">) </w:t>
      </w:r>
      <w:r>
        <w:rPr>
          <w:rStyle w:val="FootnoteAnchor"/>
          <w:rtl w:val="true"/>
        </w:rPr>
        <w:footnoteReference w:id="10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 ولا تقيدها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أحدكم إذا ورد عليه ما لا قبل له به</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 إذ إثبات الشيء لا ينفي ما عداه، ولظهور أنه الفرد الأجلى وأن مزيد العناية به، بل لعل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قبل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طاقة له به لا ما لا رأي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الخبير والمجتهد وكذا العامي فيما لو قدر على التشخيص، بإمكانهم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مواقع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بالاستشارة وبالنظر في حجج المشيرين، ولكن التوقي من الخطأ والعطب والهلاك لا يكون إلا باتباع رأي المشيرين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وأكثريتهم إن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أوضحنا وجوهه سابقاً، لصراحة بعض الروايات الآنفة في 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العامي غير القادر على التشخيص فليس له إلا الاتباع، وليس بإمكانه التشخيص حتى بالاستشارة، لعدم قدرته على تشخيص مواقع الخطأ في الاستدلال، لو فرض تصوره وفهمه للحجج والأدلة، والالتزام بخروج من تكوّن له رأي بعد الاستشارة عن عموم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 بنفسه من استغنى برأيه</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 مما يأبى عنه لسانها، مع أنه يستلزم خروج الكثير، بل قد يقال باستلزامه خروج الأكثر المعلوم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تخصيص الأكثر مستهجن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الغالب في الناس تكوّن رأي لهم بعد المشورة، سلمنا لكن الأدلة الصريحة في الشورى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حاكمة، وقد فصلناه في فصل خاص</w:t>
      </w:r>
      <w:r>
        <w:rPr>
          <w:rFonts w:eastAsia="Amiri" w:cs="Amiri" w:ascii="Amiri" w:hAnsi="Amiri"/>
          <w:color w:val="111111"/>
          <w:sz w:val="28"/>
          <w:szCs w:val="28"/>
          <w:rtl w:val="true"/>
          <w:lang w:bidi="ar-SA"/>
        </w:rPr>
        <w:t xml:space="preserve">. </w:t>
      </w:r>
      <w:bookmarkStart w:id="742" w:name="pg8204_101286"/>
    </w:p>
    <w:p>
      <w:pPr>
        <w:pStyle w:val="Heading6"/>
        <w:numPr>
          <w:ilvl w:val="5"/>
          <w:numId w:val="1"/>
        </w:numPr>
        <w:rPr/>
      </w:pPr>
      <w:bookmarkStart w:id="743" w:name="__RefHeading___Toc8924472_1051229030"/>
      <w:bookmarkStart w:id="744" w:name="_Toc275"/>
      <w:bookmarkEnd w:id="742"/>
      <w:bookmarkEnd w:id="743"/>
      <w:r>
        <w:rPr>
          <w:rtl w:val="true"/>
        </w:rPr>
        <w:t>توقف الاستنباط في الشؤون العامة على الفقاهة والخبروية</w:t>
      </w:r>
      <w:bookmarkEnd w:id="744"/>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باستطاعة عموم الناس حتى الخبراء تشخيصها ومعرفة وجوه الاستدلال وضروبه فيها، ذلك أنها مما يحتاج لجانبين خبروي وفقهي، لكونها موضوعات خارجية مترددة بين عدة كبريات شرعية، وكذا بين كونها من مصاديق العناوين الأولية أو أنها داخلة تحت أحد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الرسوم الجمركية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الحكم عليها إلاّ لو توفرت للمرء خبروية اقتصادية ومعرفة فقهية معاً، حيث إن الحكم بحليتها موقوف على لحاظ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التضخم والتنزل في البلدين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التجاري بين البلدين، وتفاوت حجم العرض والطلب فيهما، مما يخول التاجر حقاً طبيعياً متعارفاً عليه في الاسترباح حسب كمية الطلب شدة وضعفاً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روايات تحريم المكوس بإطلاقها أو عمومها أو غير ذلك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وتعارض لا ضررين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 ضرر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التاجر،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ضرر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الاقتصاد الوطني</w:t>
      </w:r>
      <w:r>
        <w:rPr>
          <w:rStyle w:val="FootnoteAnchor"/>
          <w:rtl w:val="true"/>
        </w:rPr>
        <w:footnoteReference w:id="1068"/>
      </w:r>
      <w:r>
        <w:rPr>
          <w:rFonts w:ascii="Amiri" w:hAnsi="Amiri" w:eastAsia="Amiri" w:cs="Amiri"/>
          <w:color w:val="111111"/>
          <w:sz w:val="28"/>
          <w:sz w:val="28"/>
          <w:szCs w:val="28"/>
          <w:rtl w:val="true"/>
          <w:lang w:bidi="ar-SA"/>
        </w:rPr>
        <w:t xml:space="preserve">، بل تعارض لا ضررين نوعيين، بأن كان استيراد البضائع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الرخيصة</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بلا رسوم وبيعها بقيم مخففة ذا نفع نوعي لعموم الناس، ولكنه ذو ضرر نوعي على كافة </w:t>
      </w:r>
    </w:p>
    <w:p>
      <w:pPr>
        <w:pStyle w:val="BookText"/>
        <w:rPr/>
      </w:pPr>
      <w:r>
        <w:rPr>
          <w:rFonts w:ascii="Amiri" w:hAnsi="Amiri" w:eastAsia="Amiri" w:cs="Amiri"/>
          <w:color w:val="111111"/>
          <w:sz w:val="28"/>
          <w:sz w:val="28"/>
          <w:szCs w:val="28"/>
          <w:rtl w:val="true"/>
          <w:lang w:bidi="ar-SA"/>
        </w:rPr>
        <w:t>منتجي البضائع الوطنية، وعكسه بالعكس، ثم المعادلة بينهما وتشخيص أن هذا ربح موقت وذاك خسارة استراتيجية أم العكس، وكذا لو تعارض ضرران نوعيان لجهتين أو شعبين، كما لو كان الطرفان هما البلدانالمصدِّر والمستورد وكانت الرسوم تضر بأحدهما وتنفع الآخر مع كونهما بلدين 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يتوقف تشخيص البند الرابع وكذا الثالث على الاجتهاد؟ ثم ملاحظة نسبته مع البنود الثلاثة الأخرى؟ وهل يتيسر ذلك لعامة الناس؟ أم أنه مما يجب أن يرجعوا فيه إلى الفقهاء الخبراء؟</w:t>
      </w:r>
    </w:p>
    <w:p>
      <w:pPr>
        <w:pStyle w:val="BookText"/>
        <w:rPr/>
      </w:pPr>
      <w:r>
        <w:rPr>
          <w:rFonts w:ascii="Amiri" w:hAnsi="Amiri" w:eastAsia="Amiri" w:cs="Amiri"/>
          <w:color w:val="111111"/>
          <w:sz w:val="28"/>
          <w:sz w:val="28"/>
          <w:szCs w:val="28"/>
          <w:rtl w:val="true"/>
          <w:lang w:bidi="ar-SA"/>
        </w:rPr>
        <w:t>ولا يخفى أن تمامية ما ذكر ههنا يستلزم عدم حجية رأي المجتهد غير الخبير فيما له جانبان فقهي وخبروي اقتصادي أو سياسي أو غيره، بل الحجة هو رأي أكثرية المجتهدين الخبراء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بكون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الفقهاء حكاماً دون تقييد بهذا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بأنه قد ذكر في بعض الروايات هذا القيد،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 فإنه لا يطلق على غير الخبير أنه من ذوي الرأي فيما يحتاج إلى الخبروية، بل لا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وهو الوارد في عدد من الروايات،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عدم الذكر، فإنما هو لارتكازيته وكون بناء العقلاء عليه، وليس الإطلاق بحيث يصلح أن يكون رادعاً،فتأمل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سنتطرق لهذا البحث بالتفصيل في المجلد الثاني بإذنه تعالى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رجع عامة الشعب إلى مراجعهم واختلفوا في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لا يمكن التفكيك كما أسلفناه أول هذا البرهان وفي 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تجنبه </w:t>
      </w:r>
      <w:bookmarkStart w:id="745" w:name="pg8204_101288"/>
    </w:p>
    <w:p>
      <w:pPr>
        <w:pStyle w:val="BookText"/>
        <w:rPr/>
      </w:pPr>
      <w:bookmarkEnd w:id="745"/>
      <w:r>
        <w:rPr>
          <w:rFonts w:ascii="Amiri" w:hAnsi="Amiri" w:eastAsia="Amiri" w:cs="Amiri"/>
          <w:color w:val="111111"/>
          <w:sz w:val="28"/>
          <w:sz w:val="28"/>
          <w:szCs w:val="28"/>
          <w:rtl w:val="true"/>
          <w:lang w:bidi="ar-SA"/>
        </w:rPr>
        <w:t xml:space="preserve">مواطن الخطأ غير ممكن له بصرف الاستشارة واستعراض آراء مختلف الفقهاء مشفوعة بأدلتهم، فلا مناص لهم عقلاً وحسب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رأي أكثرية المراجع المقلَّدين، فتكون هي الملزمة النافذة</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8924474_1051229030"/>
      <w:bookmarkStart w:id="747" w:name="_Toc276"/>
      <w:bookmarkEnd w:id="746"/>
      <w:r>
        <w:rPr>
          <w:rtl w:val="true"/>
        </w:rPr>
        <w:t>الوجه الرابع</w:t>
      </w:r>
      <w:r>
        <w:rPr>
          <w:rtl w:val="true"/>
        </w:rPr>
        <w:t xml:space="preserve">: </w:t>
      </w:r>
      <w:r>
        <w:rPr>
          <w:rtl w:val="true"/>
        </w:rPr>
        <w:t>صدق الاستبداد على مخالف الأكثرية، و</w:t>
      </w:r>
      <w:r>
        <w:rPr>
          <w:rtl w:val="true"/>
        </w:rPr>
        <w:t>(</w:t>
      </w:r>
      <w:r>
        <w:rPr>
          <w:rtl w:val="true"/>
        </w:rPr>
        <w:t>من استبد برأيه هلك</w:t>
      </w:r>
      <w:r>
        <w:rPr>
          <w:rtl w:val="true"/>
        </w:rPr>
        <w:t>)</w:t>
      </w:r>
      <w:bookmarkEnd w:id="747"/>
    </w:p>
    <w:p>
      <w:pPr>
        <w:pStyle w:val="BookText"/>
        <w:rPr/>
      </w:pPr>
      <w:r>
        <w:rPr>
          <w:rFonts w:ascii="Amiri" w:hAnsi="Amiri" w:eastAsia="Amiri" w:cs="Amiri"/>
          <w:color w:val="111111"/>
          <w:sz w:val="28"/>
          <w:sz w:val="28"/>
          <w:szCs w:val="28"/>
          <w:rtl w:val="true"/>
          <w:lang w:bidi="ar-SA"/>
        </w:rPr>
        <w:t>ويمكن الاستدلال بهذه الروايات بطريق آخر</w:t>
      </w:r>
      <w:r>
        <w:rPr>
          <w:rStyle w:val="FootnoteAnchor"/>
          <w:rtl w:val="true"/>
        </w:rPr>
        <w:footnoteReference w:id="1071"/>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إيقاع النفس في التهلكة حرام، وحيث إن الاستبداد إيقاع للنفس فيها، لصريح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 وغير ذلك من الروايات فهو محرم، ولا ريب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حكّم رأيه على خلاف رأي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وبمناسبات الحكم والموضوع يمكن دعوى انصراف هذه الرواية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الاستبداد في الأمور الخطيرة، لعدم استلزام الاستبداد في غيرها الهلاك، ولا شك في كون الشؤون العامة من الأمور الخطيرة، بل من أجلى مصاديقها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وحدة اللسان في أمثال هذه الرواية،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مخالفة الورع العاقل مفسدة في الدين والدنيا</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يستشر يندم</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المعنى الحقيقي والمجازي، فيشمل ما لو اشترى داراً أو عقد على امرأة دون استشارة حيث يعبر عن ابتلائه بالمصائب والمشاكل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توسعاً، إذ الهلاك في كل شيء بحسبه،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وجه لدعوى انصراف بعض الروايات الأخرى،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مفسدة في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للأمور الخطيرة،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أمور الآخرة بما فيها تشخيص موضوعاتها المترتبة عليها أحكامها، كلهاخطيرة؛ فإن المعاصي حتى صغيرها خطير، والمقصر في المقدمات ومنها تشخيص موضوع المحرم أو الواجب عاص، فتأمل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عدم إضرار هذا 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الصيرورة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بالمدعى، إذ لا مانعة جمع بين كون التحرز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وكونه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bookmarkStart w:id="748" w:name="pg8204_101290"/>
    </w:p>
    <w:p>
      <w:pPr>
        <w:pStyle w:val="Heading6"/>
        <w:numPr>
          <w:ilvl w:val="5"/>
          <w:numId w:val="1"/>
        </w:numPr>
        <w:rPr/>
      </w:pPr>
      <w:bookmarkStart w:id="749" w:name="__RefHeading___Toc8924476_1051229030"/>
      <w:bookmarkStart w:id="750" w:name="_Toc277"/>
      <w:bookmarkEnd w:id="748"/>
      <w:bookmarkEnd w:id="749"/>
      <w:r>
        <w:rPr>
          <w:rtl w:val="true"/>
        </w:rPr>
        <w:t>بحث عن استعمال اللفظ في أكثر من معنى</w:t>
      </w:r>
      <w:bookmarkEnd w:id="750"/>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استعمال اللفظ في أكثر من معنى 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مبنى، فبعدم المحالية، إذ ليست علقة اللفظ بالمعنى علقة الفاني في المفني فيه حتى لا يعقل فناء شيء في شيئين كما ذكره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الألفاظ مشيرة للمعاني، وحديث الفناء مما لا دليل عليه،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فناء شيء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المحالات عقلاً إن قصد به المعنى الحقيقي دون التنزيل، ومن الواضح إمكان إشارة شيء واحد إلى أكثر من أمر بتعدد الاعتبارات، فإن دلالة اللفظ على المعنى أمر اعتباري مجعول وليست ذاتية له، وكما يمكن اعتباره دالاً على معنى، يمكن اعتباره دالاً على آخر أيضاً طولاً أو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لو كانت الدلالة ذاتية للألفاظ، إذ ما المانع من انتزاع ذاتيين بذاتي باب البرهان من شيء واحد من جهات متعددة؟ أ 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ينتزع منه الإمكان باعتبار</w:t>
      </w:r>
      <w:r>
        <w:rPr>
          <w:rStyle w:val="FootnoteAnchor"/>
          <w:rtl w:val="true"/>
        </w:rPr>
        <w:footnoteReference w:id="1075"/>
      </w:r>
      <w:r>
        <w:rPr>
          <w:rFonts w:ascii="Amiri" w:hAnsi="Amiri" w:eastAsia="Amiri" w:cs="Amiri"/>
          <w:color w:val="111111"/>
          <w:sz w:val="28"/>
          <w:sz w:val="28"/>
          <w:szCs w:val="28"/>
          <w:rtl w:val="true"/>
          <w:lang w:bidi="ar-SA"/>
        </w:rPr>
        <w:t xml:space="preserve">، والفردية باعتبار، والمعلولية باعتبار، والحدوث باعتبار، والماهية باعتبار، بناءً على أصالة الوجود، أو الوجود بناءً على أصالتها، إضافة إلى أنه يمكن تصويره بنظير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قبلنا استحالته نقول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المستحيل استعمال اللفظ في أكثر من معنى على أن يكون كل منهما أو منها مدلولاً مطابقياً وتمام المراد والمستعمل فيه اللفظ، لا فيما كان كل </w:t>
      </w:r>
    </w:p>
    <w:p>
      <w:pPr>
        <w:pStyle w:val="BookText"/>
        <w:rPr/>
      </w:pPr>
      <w:r>
        <w:rPr>
          <w:rFonts w:ascii="Amiri" w:hAnsi="Amiri" w:eastAsia="Amiri" w:cs="Amiri"/>
          <w:color w:val="111111"/>
          <w:sz w:val="28"/>
          <w:sz w:val="28"/>
          <w:szCs w:val="28"/>
          <w:rtl w:val="true"/>
          <w:lang w:bidi="ar-SA"/>
        </w:rPr>
        <w:t>منهما أو منها بعض المدلول والمستعمل فيه على نحو الدلالة التضمنية</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الانتزاعي أو الاعتباري منه كافٍ، فاللفظ مستعمل فيه لا في معنيين، ألا ترى أن الجامع بين الركوع والذكر والنية وغيرها ليس أمراً حقيقياً، بل إنه أمر اعتباري، لكون بعض أجزائها من مقولة الفعل، وبعضها من مقولة الوضع، وبعضها من مقولة الكيف، ولا جامع بينها لكونها أجناساً عالية، وقد استعمل الشارع والمتشرعة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الجامع</w:t>
      </w:r>
      <w:r>
        <w:rPr>
          <w:rStyle w:val="FootnoteAnchor"/>
          <w:rtl w:val="true"/>
        </w:rPr>
        <w:footnoteReference w:id="1077"/>
      </w:r>
      <w:r>
        <w:rPr>
          <w:rFonts w:ascii="Amiri" w:hAnsi="Amiri" w:eastAsia="Amiri" w:cs="Amiri"/>
          <w:color w:val="111111"/>
          <w:sz w:val="28"/>
          <w:sz w:val="28"/>
          <w:szCs w:val="28"/>
          <w:rtl w:val="true"/>
          <w:lang w:bidi="ar-SA"/>
        </w:rPr>
        <w:t xml:space="preserve">، وألا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الأجناس العالية العشرة مع عدم وجود جامع حقيقي بينها، لعدم وجود جنس لها، بل الجامع أمر اعتباري أو انتزاعي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إلى أننا لا نحتاج إلى الجامع بين الوجوب والاستحباب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موضوعيها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لتثبيت المدعى،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 لو شمل الأمور الخطيرة وغيرها، بأن شمل ما يصدق عليه عرفاً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كالقتل والمرض الشديد وتحطيم الاقتصاد الوطني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الرواية مبينة للموضوع وأن الاستبداد سبب للهلاك، 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للحرمة فيكون الاستبداد محرماً إلا فيما كان الهلاك مجازياً، فتأمل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يرشد إلى ما ذكرناه من حكم العقل باتباع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التالي، وهو أنه لو فرضنا عشرة أشخاص في غابة خطرة بحيث لو تفرقوا لهلكوا جميعاً، لتوقف دفع خطر الحيوانات عنهم على اجتماعهم وتعاضدهم، ووصلوا إلى مفترق طرق ثم ارتأى سبعة منهم مثلاً أن هذا الطريق آمن وذاك مهلك، وثلاثة ارتأوا العكس ولم يكن بإمكانهم التفرق أو المكوث هناك لأدائه إلى هلاكهم </w:t>
      </w:r>
    </w:p>
    <w:p>
      <w:pPr>
        <w:pStyle w:val="BookText"/>
        <w:rPr/>
      </w:pPr>
      <w:r>
        <w:rPr>
          <w:rFonts w:ascii="Amiri" w:hAnsi="Amiri" w:eastAsia="Amiri" w:cs="Amiri"/>
          <w:color w:val="111111"/>
          <w:sz w:val="28"/>
          <w:sz w:val="28"/>
          <w:szCs w:val="28"/>
          <w:rtl w:val="true"/>
          <w:lang w:bidi="ar-SA"/>
        </w:rPr>
        <w:t>جميعاً</w:t>
      </w:r>
      <w:r>
        <w:rPr>
          <w:rStyle w:val="FootnoteAnchor"/>
          <w:rtl w:val="true"/>
        </w:rPr>
        <w:footnoteReference w:id="1079"/>
      </w:r>
      <w:r>
        <w:rPr>
          <w:rFonts w:ascii="Amiri" w:hAnsi="Amiri" w:eastAsia="Amiri" w:cs="Amiri"/>
          <w:color w:val="111111"/>
          <w:sz w:val="28"/>
          <w:sz w:val="28"/>
          <w:szCs w:val="28"/>
          <w:rtl w:val="true"/>
          <w:lang w:bidi="ar-SA"/>
        </w:rPr>
        <w:t>، ودار الأمر بين الطريقين، ألا ترى العقل يقبح اتباعالأكثرية هنا للأقلية في سلوك الطريق الذي تراه الأقلية آمناً، ويوجب اتباع الأقلية للأكثرية في طريقهم وإن أوجب باعتقادهم الهلاك</w:t>
      </w:r>
      <w:r>
        <w:rPr>
          <w:rStyle w:val="FootnoteAnchor"/>
          <w:rtl w:val="true"/>
        </w:rPr>
        <w:footnoteReference w:id="1080"/>
      </w:r>
      <w:r>
        <w:rPr>
          <w:rFonts w:ascii="Amiri" w:hAnsi="Amiri" w:eastAsia="Amiri" w:cs="Amiri"/>
          <w:color w:val="111111"/>
          <w:sz w:val="28"/>
          <w:sz w:val="28"/>
          <w:szCs w:val="28"/>
          <w:rtl w:val="true"/>
          <w:lang w:bidi="ar-SA"/>
        </w:rPr>
        <w:t>؟ وألا ترى أن الشخص الحادي عشر لو فرض وجوده سيرجح اتباع طريق الأكثرية، بل حتى وإن أمكن التفكيك بأن لم يكن في تفرقهم هلاكهم جميعاً، حيث انتخبت الأقلية طريقاً والأكثرية طريقاً آخر؟</w:t>
      </w:r>
      <w:r>
        <w:rPr>
          <w:rStyle w:val="FootnoteAnchor"/>
          <w:rtl w:val="true"/>
        </w:rPr>
        <w:footnoteReference w:id="1081"/>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يرشد إلى ما ذكرنا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به الكثير من الفقهاء من كون الشهرة الفتوائية جابرة للرواية الضعيفة السند، وكون الشذوذ كاسراً ومضعفاً للرواية الصحيحة السند، وما ذلك إلا باعتبار أقربية نظرهم إلى الواقع من آراء الأقلية، وكون إعراضهم أو استنادهم كاشفاً عن جهة رجحان أو خلل في الرواية وإن خفي علينا ذلك</w:t>
      </w:r>
      <w:r>
        <w:rPr>
          <w:rFonts w:eastAsia="Amiri" w:cs="Amiri" w:ascii="Amiri" w:hAnsi="Amiri"/>
          <w:color w:val="111111"/>
          <w:sz w:val="28"/>
          <w:szCs w:val="28"/>
          <w:rtl w:val="true"/>
          <w:lang w:bidi="ar-SA"/>
        </w:rPr>
        <w:t xml:space="preserve">. </w:t>
      </w:r>
      <w:bookmarkStart w:id="751" w:name="pg8204_101293"/>
    </w:p>
    <w:p>
      <w:pPr>
        <w:pStyle w:val="Heading4"/>
        <w:numPr>
          <w:ilvl w:val="3"/>
          <w:numId w:val="1"/>
        </w:numPr>
        <w:rPr/>
      </w:pPr>
      <w:bookmarkStart w:id="752" w:name="__RefHeading___Toc8924478_1051229030"/>
      <w:bookmarkStart w:id="753" w:name="_Toc278"/>
      <w:bookmarkEnd w:id="751"/>
      <w:bookmarkEnd w:id="752"/>
      <w:r>
        <w:rPr>
          <w:rtl w:val="true"/>
        </w:rPr>
        <w:t>الفصل الثالث</w:t>
      </w:r>
      <w:r>
        <w:rPr>
          <w:rtl w:val="true"/>
        </w:rPr>
        <w:t xml:space="preserve">: </w:t>
      </w:r>
      <w:r>
        <w:rPr>
          <w:rtl w:val="true"/>
        </w:rPr>
        <w:t>في الاستدلال بمقبولة عمر بن حنظلة ومرفوعة زرارة</w:t>
      </w:r>
      <w:bookmarkEnd w:id="75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4" w:name="__RefHeading___Toc8924480_1051229030"/>
      <w:bookmarkStart w:id="755" w:name="_Toc279"/>
      <w:bookmarkEnd w:id="754"/>
      <w:r>
        <w:rPr>
          <w:rtl w:val="true"/>
        </w:rPr>
        <w:t>اشارة</w:t>
      </w:r>
      <w:bookmarkEnd w:id="75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6" w:name="pg8204_101295"/>
      <w:bookmarkStart w:id="757" w:name="pg8204_101295"/>
      <w:bookmarkEnd w:id="757"/>
    </w:p>
    <w:p>
      <w:pPr>
        <w:pStyle w:val="Heading5"/>
        <w:numPr>
          <w:ilvl w:val="4"/>
          <w:numId w:val="1"/>
        </w:numPr>
        <w:rPr/>
      </w:pPr>
      <w:bookmarkStart w:id="758" w:name="pg8204_101295"/>
      <w:bookmarkStart w:id="759" w:name="__RefHeading___Toc8924482_1051229030"/>
      <w:bookmarkStart w:id="760" w:name="_Toc280"/>
      <w:bookmarkEnd w:id="758"/>
      <w:bookmarkEnd w:id="759"/>
      <w:r>
        <w:rPr>
          <w:rtl w:val="true"/>
        </w:rPr>
        <w:t>المقبولة والمرفوعة</w:t>
      </w:r>
      <w:bookmarkEnd w:id="760"/>
    </w:p>
    <w:p>
      <w:pPr>
        <w:pStyle w:val="Heading6"/>
        <w:numPr>
          <w:ilvl w:val="5"/>
          <w:numId w:val="1"/>
        </w:numPr>
        <w:rPr/>
      </w:pPr>
      <w:bookmarkStart w:id="761" w:name="__RefHeading___Toc8924484_1051229030"/>
      <w:bookmarkStart w:id="762" w:name="_Toc281"/>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 xml:space="preserve">ومما يرشد إلى ما ذكرنا أيضاً من أقربية رأي أكثرية الفقهاء، وأكثرية أهل الخبرة مطلقاً، للإصابة ولزوم إتباعها لذلك،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المرفوعة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أَصْحَابِكَ وَ دَعِ الشَّاذَّ النَّادِرَ،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إِنَّهُمَا مَعاً مَشْهُورَانِ مَرْوِيَّانِ مَأْثُورَانِ عَنْكُمْ،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أَعْدَلِهِمَا عِنْدَكَ وَأَوْثَقِهِمَا فِي نَفْسِكَ</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المقبولة،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 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وَأَمْرٌ بَيِّنٌ غَيُّهُ فَيُجْتَنَبُ، وَأَمْرٌ مُشْكِلٌ يُرَدُّ عِلْمُهُ إِلَى اللَّهِ وَإِلَى رَسُولِهِ،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بِالشُّبُهَاتِ ارْتَكَبَ الْمُحَرَّمَاتِ، وَهَلَكَ مِنْ حَيْثُ لا يَعْلَمُ</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3" w:name="__RefHeading___Toc8924486_1051229030"/>
      <w:bookmarkStart w:id="764" w:name="_Toc282"/>
      <w:bookmarkEnd w:id="763"/>
      <w:r>
        <w:rPr>
          <w:rtl w:val="true"/>
        </w:rPr>
        <w:t>الاستدلال بالمقبولة</w:t>
      </w:r>
      <w:bookmarkEnd w:id="76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المرفوعة بالأخذ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اشتهر بين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وردع عن الأخذ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المقبولة فقد أمر بالأخذ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الشاذ الذي ليس بمشهور عند أصحابك</w:t>
      </w:r>
      <w:r>
        <w:rPr>
          <w:rFonts w:eastAsia="Amiri" w:cs="Amiri" w:ascii="Amiri" w:hAnsi="Amiri"/>
          <w:color w:val="111111"/>
          <w:sz w:val="28"/>
          <w:szCs w:val="28"/>
          <w:rtl w:val="true"/>
          <w:lang w:bidi="ar-SA"/>
        </w:rPr>
        <w:t xml:space="preserve">). </w:t>
      </w:r>
      <w:bookmarkStart w:id="765" w:name="pg8204_101296"/>
    </w:p>
    <w:p>
      <w:pPr>
        <w:pStyle w:val="BookText"/>
        <w:rPr/>
      </w:pPr>
      <w:bookmarkEnd w:id="765"/>
      <w:r>
        <w:rPr>
          <w:rFonts w:ascii="Amiri" w:hAnsi="Amiri" w:eastAsia="Amiri" w:cs="Amiri"/>
          <w:color w:val="111111"/>
          <w:sz w:val="28"/>
          <w:sz w:val="28"/>
          <w:szCs w:val="28"/>
          <w:rtl w:val="true"/>
          <w:lang w:bidi="ar-SA"/>
        </w:rPr>
        <w:t>ولنبدأ بالكلام عن المقبولة</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8924488_1051229030"/>
      <w:bookmarkStart w:id="767" w:name="_Toc283"/>
      <w:bookmarkEnd w:id="766"/>
      <w:r>
        <w:rPr>
          <w:rtl w:val="true"/>
        </w:rPr>
        <w:t>فإن المجمع عليه لا ريب فيه</w:t>
      </w:r>
      <w:bookmarkEnd w:id="767"/>
    </w:p>
    <w:p>
      <w:pPr>
        <w:pStyle w:val="BookText"/>
        <w:rPr/>
      </w:pPr>
      <w:r>
        <w:rPr>
          <w:rFonts w:ascii="Amiri" w:hAnsi="Amiri" w:eastAsia="Amiri" w:cs="Amiri"/>
          <w:color w:val="111111"/>
          <w:sz w:val="28"/>
          <w:sz w:val="28"/>
          <w:szCs w:val="28"/>
          <w:rtl w:val="true"/>
          <w:lang w:bidi="ar-SA"/>
        </w:rPr>
        <w:t xml:space="preserve">فقد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والمفسر بالمشهور، لقرينة المقابلة في صريح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الريب الإضافي لا الحقيقي، كما سيأتي تفصيله، فالمجمع عليه أقل ريباً، مما يعني أنه أقرب للواقع من غيره، ولذلك أمرنا بالتمسك به</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8924490_1051229030"/>
      <w:bookmarkStart w:id="769" w:name="_Toc284"/>
      <w:bookmarkEnd w:id="768"/>
      <w:r>
        <w:rPr>
          <w:rtl w:val="true"/>
        </w:rPr>
        <w:t xml:space="preserve">الأجوبة عن أن اللام في </w:t>
      </w:r>
      <w:r>
        <w:rPr>
          <w:rtl w:val="true"/>
        </w:rPr>
        <w:t>(</w:t>
      </w:r>
      <w:r>
        <w:rPr>
          <w:rtl w:val="true"/>
        </w:rPr>
        <w:t>المجمع عليه</w:t>
      </w:r>
      <w:r>
        <w:rPr>
          <w:rtl w:val="true"/>
        </w:rPr>
        <w:t xml:space="preserve">) </w:t>
      </w:r>
      <w:r>
        <w:rPr>
          <w:rtl w:val="true"/>
        </w:rPr>
        <w:t>للعهد</w:t>
      </w:r>
      <w:bookmarkEnd w:id="769"/>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فتدل الرواية على نفي الريب عن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ما لا ريب إضافي فيه وإن كان اجتهاداً واستنباطاً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اللام الجنس، كما فصلناه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التعليل هو التعليل بكبرى ارتكازية لا تعبدية، وتخصيص الكبرى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يخرجها عن الارتكازية إلى التعبدية، واحتمال خصوصية في الخبر والرواية موجبة لترجيحه بالشهرة دون غيره يدفع بالأصل</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حكما به المجمع عليه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 xml:space="preserve">مضر وغير موجب لعهدية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ترى أن الطبيب أو المولى إذا قال للمريض أو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إرشاداً على الأول ومولوية على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الحامض فإن الحامض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يسبب سبق الحامض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الرمان، بل العرف يرى اللام للجنس لاللعهد رغم سبق معهود، ولذا نجد أنه لو أكل برتقالاً حامضاً لامه العقلاء على ذلك، ولم يقبلوا منه تعلله بأن اللام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ما سبق مفصلاً عند الكلام حول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 من أن سبق معهود لا يسبب حمل اللام على العهد فيما كان المقام مقام تعليل، وفيما ذكر المحلى بأل في ضمن العلة، نعم لو لم يكن المقام مقام التعليل يكون السبق سبباً لكون اللام للعهد،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الرَّسُولَ</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 xml:space="preserve">، ولذا لا تحمل اللام على العهد عرفاً لو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علة، كما لو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 إلى فرعون رسولاً لأن رحمتنا تقتضي إرسال الرسول، أو لأن الرسول سبب لهداية بعض، ولاتمام الحجة على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تأمل في محلى بأل وقع علة لما وقع، فلا مجال له في محلى جعل علة للأمر أو النهي كما 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به من حكمهما ويترك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في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 زيداً إذا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 هذا الرجل المظلوم فإن المظلوم تجب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اللام للعهد، إلاّ أن الحكم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 العلة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والعلة معممة ومخصصة، لدوران الحكم </w:t>
      </w:r>
      <w:bookmarkStart w:id="770" w:name="pg8204_101298"/>
    </w:p>
    <w:p>
      <w:pPr>
        <w:pStyle w:val="BookText"/>
        <w:rPr/>
      </w:pPr>
      <w:bookmarkEnd w:id="770"/>
      <w:r>
        <w:rPr>
          <w:rFonts w:ascii="Amiri" w:hAnsi="Amiri" w:eastAsia="Amiri" w:cs="Amiri"/>
          <w:color w:val="111111"/>
          <w:sz w:val="28"/>
          <w:sz w:val="28"/>
          <w:szCs w:val="28"/>
          <w:rtl w:val="true"/>
          <w:lang w:bidi="ar-SA"/>
        </w:rPr>
        <w:t xml:space="preserve">مدارها، فينتقل من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موضوع آخر كالاجتهاد مثلاً لمعممية العلة، كما يتعدى من الخمر إلى النبيذ لعلة الإسكار، واحتمال خصوصية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ولحاظ جانبي الموضوعية والطريقية يدفع بالأصل،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الخمر مسكر، فتأمل</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8924492_1051229030"/>
      <w:bookmarkStart w:id="772" w:name="_Toc285"/>
      <w:bookmarkEnd w:id="771"/>
      <w:r>
        <w:rPr>
          <w:rtl w:val="true"/>
        </w:rPr>
        <w:t xml:space="preserve">بحث عن أن المراد من </w:t>
      </w:r>
      <w:r>
        <w:rPr>
          <w:rtl w:val="true"/>
        </w:rPr>
        <w:t>(</w:t>
      </w:r>
      <w:r>
        <w:rPr>
          <w:rtl w:val="true"/>
        </w:rPr>
        <w:t>لا ريب فيه</w:t>
      </w:r>
      <w:r>
        <w:rPr>
          <w:rtl w:val="true"/>
        </w:rPr>
        <w:t xml:space="preserve">) </w:t>
      </w:r>
      <w:r>
        <w:rPr>
          <w:rtl w:val="true"/>
        </w:rPr>
        <w:t>الحقيقي أو الإضافي</w:t>
      </w:r>
      <w:bookmarkEnd w:id="772"/>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العلة هي عدم الريب الإضافي وإن كان فيه ألف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لتوقفه على عدم كون الرواية المشهورة في نفسها مما لا ريب فيها، مع أن الشهرة في الصدر الأول بين الروات وأصحاب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لكون الرواية مما يطمئن بصدورها بحيث يصح أن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لا ريب فيها كما لا يخفى، ولا بأس بالتعدي منه إلى مثله مما يوجب الوثوق والاطمينان بالصدور، لا إلى كل مزية ولو لم توجب إلاّ أقريبة ذي المزية إلى الواقع من المعارض الفاقد لها</w:t>
      </w:r>
      <w:r>
        <w:rPr>
          <w:rFonts w:eastAsia="Amiri" w:cs="Amiri" w:ascii="Amiri" w:hAnsi="Amiri"/>
          <w:color w:val="111111"/>
          <w:sz w:val="28"/>
          <w:szCs w:val="28"/>
          <w:rtl w:val="true"/>
          <w:lang w:bidi="ar-SA"/>
        </w:rPr>
        <w:t>).</w:t>
      </w:r>
      <w:r>
        <w:rPr>
          <w:rStyle w:val="FootnoteAnchor"/>
          <w:rtl w:val="true"/>
        </w:rPr>
        <w:footnoteReference w:id="1088"/>
      </w:r>
    </w:p>
    <w:p>
      <w:pPr>
        <w:pStyle w:val="Heading6"/>
        <w:numPr>
          <w:ilvl w:val="5"/>
          <w:numId w:val="1"/>
        </w:numPr>
        <w:rPr/>
      </w:pPr>
      <w:bookmarkStart w:id="773" w:name="__RefHeading___Toc8924494_1051229030"/>
      <w:bookmarkStart w:id="774" w:name="_Toc286"/>
      <w:bookmarkEnd w:id="773"/>
      <w:r>
        <w:rPr>
          <w:rtl w:val="true"/>
        </w:rPr>
        <w:t>مناقشات تفصيلية لدعوى الآخوند أن اللاريب حقيقي</w:t>
      </w:r>
      <w:bookmarkEnd w:id="774"/>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Style w:val="FootnoteAnchor"/>
          <w:rtl w:val="true"/>
        </w:rPr>
        <w:footnoteReference w:id="108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الدعوى عهدتها على مدعيها، خاصة وأن الشهرة روائية لا فتوائية، ونقل المشهور لرواية أعم من الالتزام بصدورها أو دلالتها، وكونها لا ريب فيها في نفسها؛ ولذا رووا روايات ضعافاً كثيرة في كتبهم حيث لم يكن </w:t>
      </w:r>
    </w:p>
    <w:p>
      <w:pPr>
        <w:pStyle w:val="BookText"/>
        <w:rPr/>
      </w:pPr>
      <w:r>
        <w:rPr>
          <w:rFonts w:ascii="Amiri" w:hAnsi="Amiri" w:eastAsia="Amiri" w:cs="Amiri"/>
          <w:color w:val="111111"/>
          <w:sz w:val="28"/>
          <w:sz w:val="28"/>
          <w:szCs w:val="28"/>
          <w:rtl w:val="true"/>
          <w:lang w:bidi="ar-SA"/>
        </w:rPr>
        <w:t xml:space="preserve">مبناهم على نقل صحاح السند فقط، بل كان على نقل مختلف الروايات، كما رووا ما فيه التقية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مختل الجهة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فصرف الشهرة الروائية لا توجب نفي الريب الحقيقي عن الرواية سنداً ودلالةً وجهةً، بل غايته النسبي والإضافي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المرجحات الصدورية لو وجب الأخذ بها فليس ذلك إلاّ لإفادتها أقوائية كون المضمون هو حكم الله، وذلك لأن صدور الحكم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ملحوظ طريقاً إلى كشف أحكام الله الواقعية، وحجية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بلحاظ كونهم الوسيلة إلى الله والطريق إليه،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 وقالسبحانه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لو انفكا لم يعمل به حتى في صورة القطع بالصدور، فكيف في صورة الترجيح فقط، فلو قطعنا بصدور خبر وشككنا في كون مضمونه حكم الله، إما لاحتمال التقية أو لاحتمال كون الأمر صورياً أو إرادة معنى آخر كنايةً أو ما أشبه ذلك، لما وجب علينا العمل به إلاّ لو دل دليل أو أصل على نفي تلك الاحتمالات مما يرجع بالآخرة إلى قيام حجة على تمامية المضمون وكاشفيته عن حكم الله، أما لو لم تقم حجة على كون هذا المضمون حكماً إلهياً لما وجب العمل به</w:t>
      </w:r>
      <w:r>
        <w:rPr>
          <w:rFonts w:eastAsia="Amiri" w:cs="Amiri" w:ascii="Amiri" w:hAnsi="Amiri"/>
          <w:color w:val="111111"/>
          <w:sz w:val="28"/>
          <w:szCs w:val="28"/>
          <w:rtl w:val="true"/>
          <w:lang w:bidi="ar-SA"/>
        </w:rPr>
        <w:t>.</w:t>
      </w:r>
      <w:r>
        <w:rPr>
          <w:rStyle w:val="FootnoteAnchor"/>
          <w:rtl w:val="true"/>
        </w:rPr>
        <w:footnoteReference w:id="1092"/>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مرادنا من المضمون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الدليل وهو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اصطلح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المرجحات المضمونية</w:t>
      </w:r>
      <w:r>
        <w:rPr>
          <w:rStyle w:val="FootnoteAnchor"/>
          <w:rtl w:val="true"/>
        </w:rPr>
        <w:footnoteReference w:id="109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لو قطعنا النظر عن عدم تمامية جعل المرجح المضموني قسيماً للصدوري والدلالي، إذ احتمال الاشتباه في التعبير يعني احتمال ذكره العام خاصاً والمطلق مقيداً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اللام للعهد فيتوهمها للجنس فيعبر بكلمة كل أو بالجمع المحلى،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إبدال المشترك اللفظي بأحد معنييه أو معانيه مما تبادر إلى ذهنه أنه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كإبدال القرء بالحيض أو بالطهر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التقديم والتأخير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كإبدال ما ضرب زيداً إلاّ عمروٌ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عمروٌ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ومن الواضح أن معنى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 احتمال عدم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صدور هذه الكلمة الخاصة الدالة على حكم خاص، واحتمال صدور غيرها مما يدل على حكم آخر أعم أو أخص أو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احتمال 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فمورد الرجحان هو الصدور أو الدلالة، وإن كان محل المرجح هو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النقل باللفظ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الخارج كما فيالشهرة الفتوائية التي ترجح صدور ما طابقته من الخبرين لا مضمونه دون صدوره، وكذا سائر ما يمكن فرضه من المرجحات المضمونية، فتأمل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وجه الإشكال فيما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أن يكون من حيث المضمون بأن يكون مضمون أحدهما أقرب في النظر إلى الواقع</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xml:space="preserve">، وقد علق عليه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أنه يمكن أن يجعل هذا أيضاً من موارد مرجح الصدور، بداهة أن كون مضمون الخبر أقرب في النظر إلى الواقع يوجب أقربية صدوره كأفصحية لفظه، بل هو أولى بذلك كما لا يخفى، فتدبر جيداً</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ولأجل ما ذكرناه يقدم المرجح الدلالي على المرجح الصدوري، وذلك لكون كاشفية الخاص مثلاً عن حكم الله أقوى من كاشفية العام عنه في مادة الاجتماع، لأنه نص أو أظهر بالنسبة له، وقوة سند العام بل قطعيته لا تنفع في تقديمه، لعدم إفادتها قطعية كون هذا المضمون حكم الله</w:t>
      </w:r>
      <w:r>
        <w:rPr>
          <w:rStyle w:val="FootnoteAnchor"/>
          <w:rtl w:val="true"/>
        </w:rPr>
        <w:footnoteReference w:id="1096"/>
      </w:r>
      <w:r>
        <w:rPr>
          <w:rFonts w:ascii="Amiri" w:hAnsi="Amiri" w:eastAsia="Amiri" w:cs="Amiri"/>
          <w:color w:val="111111"/>
          <w:sz w:val="28"/>
          <w:sz w:val="28"/>
          <w:szCs w:val="28"/>
          <w:rtl w:val="true"/>
          <w:lang w:bidi="ar-SA"/>
        </w:rPr>
        <w:t>، ولولا لحاظ طريقية مرجحات الصدور لأقوائية كون هذا المضمون هو حكم الله لما 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السند أقوى أفاد أقوائية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نحو العلة التامة كي لا يمكن التخلف ويستشكل به على</w:t>
      </w:r>
      <w:r>
        <w:rPr>
          <w:rStyle w:val="FootnoteAnchor"/>
          <w:rtl w:val="true"/>
        </w:rPr>
        <w:footnoteReference w:id="1097"/>
      </w:r>
      <w:r>
        <w:rPr>
          <w:rFonts w:ascii="Amiri" w:hAnsi="Amiri" w:eastAsia="Amiri" w:cs="Amiri"/>
          <w:color w:val="111111"/>
          <w:sz w:val="28"/>
          <w:sz w:val="28"/>
          <w:szCs w:val="28"/>
          <w:rtl w:val="true"/>
          <w:lang w:bidi="ar-SA"/>
        </w:rPr>
        <w:t xml:space="preserve">تقديم الأرجح دلالة على المقطوع صدوراً، بل يعني أن الخبرين لو تساويا دلالة وجهة، أو دلالة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المرجح الصدوري سبباً لأقوائية كون مضمونه هو حكم الله، أما مع أقوائية أحدهما دلالةً فليس موجباً لتلك الأقوائية، فسببيته مشروطة بفقد المرجح الدلالي،إذ هو مقتض لا غير، أو يقال بكونه جزء العلة والجزء الآخر هو تساويهما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الوثوق بالصدور لا موضوعية له، بل إنما لوحظ طريقاً للوثوق بكون مضمون الصادر هو حكم الله، للشواهد الآنفة الذكر ولغيرها، فليتدبر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كذلك لزم التعدي منها إلى كل ما هو أقرب للواقع وإن كان بسبب التعدد، كتظافر أكثرية أهل الخبرة على أمر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الشهرة الروائية في نفسها مما لا ريب فيها، لا أنها لا ريب فيها بالإضافة، وسلمنا أنها لا ريب فيها صدوراً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المترقب </w:t>
      </w:r>
    </w:p>
    <w:p>
      <w:pPr>
        <w:pStyle w:val="BookText"/>
        <w:rPr/>
      </w:pPr>
      <w:r>
        <w:rPr>
          <w:rFonts w:ascii="Amiri" w:hAnsi="Amiri" w:eastAsia="Amiri" w:cs="Amiri"/>
          <w:color w:val="111111"/>
          <w:sz w:val="28"/>
          <w:sz w:val="28"/>
          <w:szCs w:val="28"/>
          <w:rtl w:val="true"/>
          <w:lang w:bidi="ar-SA"/>
        </w:rPr>
        <w:t>من الشهرة في الرواية ونفي الريب من جميع الجهات مخصوص بالمشهور رواية وفتوى وعملاً، وهو غير مفروض في المقبولة والمرفوعة ولا في غيرهما</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وسلمنا أن اللا ريبية الصدورية ليس ملحوظة من حيث سببيتها للاّريبية المضمونية،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تحيّث العلة بحيثية عند لحاظها باعتبار المورد ومنسوبة إليه لخصوصية فيه، لا يخرجها عن المعممية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يظهر بالمثال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لأنه لا ينصر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المترقب من زيد لكونه ثرياً نصرته بالمال، فهل تختص العلة بكل من لا ينصره بالمال ممن من شأنه ذلك فقط، أم أنها تعمم الحكم لمطلق من لا ينصره سواء لم ينصره بالمال أم باللسان ممن من شأنه تلك النصرة وتترقب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المورد لا تخصص الوارد، فكون زيد مترقباً منه النصرة المالية لا يخصص الوارد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ينصر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يتقيد الحكم بصورة معينة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 فإنه خدوم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ناصرنا</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وكانت حيثيات وأنواع الخدمة أو النصرة مختلفة</w:t>
      </w:r>
      <w:r>
        <w:rPr>
          <w:rStyle w:val="FootnoteAnchor"/>
          <w:rtl w:val="true"/>
        </w:rPr>
        <w:footnoteReference w:id="1100"/>
      </w:r>
      <w:r>
        <w:rPr>
          <w:rFonts w:ascii="Amiri" w:hAnsi="Amiri" w:eastAsia="Amiri" w:cs="Amiri"/>
          <w:color w:val="111111"/>
          <w:sz w:val="28"/>
          <w:sz w:val="28"/>
          <w:szCs w:val="28"/>
          <w:rtl w:val="true"/>
          <w:lang w:bidi="ar-SA"/>
        </w:rPr>
        <w:t xml:space="preserve">، بل حتى لو لم يكنيجمعها إلاّ جامع انتزاعي كالضرب بالسيف في خدمة مولاه، وهبة المال، وعدم احترام من أهان المولى وعدم الترويج له، وكونه مطأطأ رأسه في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المترقب منه أحد تلك الأقسام لعدم تأتي سائرها منه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جامع حقيقي بين الوجود والعدم، وبين مقولتي الفعل والوضع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كون الشهرة الروائية مما لا ريب فيها في نفسها صدوراً، لا يسبب تخصيص الوارد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 ما لا ريب فيه في نفسه صدوراً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المورد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تحيث هذه العلة بهاتين الحيثيتين إنما هو بلحاظها منسوبة للمورد وملحوظة بالنسبة إليه، لا في حد ذاتها، ولو سبب ذلك خروجها عن العموم لخرجت جل العلل لو لم نقل كلها عن المعممية واختصت بواجد 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سبق الجواب عن احتمال كون اللام للعهد، ولكن الأمر هين، إذ الكلام ههنا من حيث خصوصية المورد وأن المترقب من الرواة كذا، لا من حيث الألف واللام، إضافة إلى عدم احتمال كون اللام للعهد باعتبار أقوائية الصدور، إذ المعهود المذكور هو الخبر فقط، وأقوائية الصدور مورد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إلى لزوم أن يلتزما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والكمباني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بالتعدي عن مورد الرواية إلى خصوص المرجحات الصدورية الداخلية لا مطلقاً حتى لو كانت خارجية، لكون المورد مرجحاً لا ريب فيه في نفسه وصدورياً داخلياً، فما وجه التقييد في التعدي بالأولين دون الأخير؟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xml:space="preserve">إن دعوى إرادة عدم الريب صدوراً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لها، بل الظاهر إرادة عدم الريب مطلقاً صدوراً ودلالةً وجهةً إن كان على الكل الإجماع، وإلاّ ففيما كان الإجماع عليه، لعدم التقييد أولاً، وبقرينة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بالأخذ بالمشهور معللاً إياه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لزوم الأخذ بخبر متفرع على عدم الريب فيه من </w:t>
      </w:r>
    </w:p>
    <w:p>
      <w:pPr>
        <w:pStyle w:val="BookText"/>
        <w:rPr/>
      </w:pPr>
      <w:r>
        <w:rPr>
          <w:rFonts w:ascii="Amiri" w:hAnsi="Amiri" w:eastAsia="Amiri" w:cs="Amiri"/>
          <w:color w:val="111111"/>
          <w:sz w:val="28"/>
          <w:sz w:val="28"/>
          <w:szCs w:val="28"/>
          <w:rtl w:val="true"/>
          <w:lang w:bidi="ar-SA"/>
        </w:rPr>
        <w:t>الجهات الثلاث ولا يصح تفريع لزوم الأخذ على قوة السند فقط،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سائر الجهات مفروغاً عنها مفروضة التساوي أو مقطوع عنها النظر،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فيما ذكره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معلقاً على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المشهور بهذا المعنى ليس قطعي المتن والدلالة</w:t>
      </w:r>
      <w:r>
        <w:rPr>
          <w:rFonts w:eastAsia="Amiri" w:cs="Amiri" w:ascii="Amiri" w:hAnsi="Amiri"/>
          <w:color w:val="111111"/>
          <w:sz w:val="28"/>
          <w:szCs w:val="28"/>
          <w:rtl w:val="true"/>
          <w:lang w:bidi="ar-SA"/>
        </w:rPr>
        <w:t>)</w:t>
      </w:r>
      <w:r>
        <w:rPr>
          <w:rStyle w:val="FootnoteAnchor"/>
          <w:rtl w:val="true"/>
        </w:rPr>
        <w:footnoteReference w:id="1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حيثية الدلالة أجنبية عما هو مفروض المقام، إذ الكلام إنما هو من حيث خصوص الترجيح بين الخبرين بالسند لا الدلالة ولا الأعم منهما</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أجنبية الدلالة عن مفروض الشيخ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أجنبيتها عن الرواية الشريفة، وليس في الرواية تخصيص بأن الكلام في المرجحات السندية كما لا يخفى، خاصة وأن الحاكمين إنما استندا إلى روايتين في حكمهما لتمامية السند والدلالة والجهة عندهما، وكون رجوع العامي إليهما بعد الفراغ عن ذلك، ولذا حكم كل على طبق رواية فالأمر بالأخذ بالرواية المشهورة أمر بالأخذ بحكم من استند إلى الرواية المشهورة لكونه مورد السؤال، بل 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 أولاً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فليرضوا به حَكَماً فإني قد جعلته عليكم حاكماً فإذا حكم بحكمنا فلم يقبل منه</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 إضافة إلى ظهور كلام السائل في الأعمية من سند الحديثين أو دلالتهما أو جهتهما، ومما يشهد به أيضاً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في حلالنا وحرامنا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بالفقاهة المعتبرة في استنباط الدلالة كالسند بل بشكل أقوى، فتأمل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السياق ظاهر في كون الترجيح بالشهرة من حيث السند لا </w:t>
      </w:r>
    </w:p>
    <w:p>
      <w:pPr>
        <w:pStyle w:val="BookText"/>
        <w:rPr/>
      </w:pPr>
      <w:r>
        <w:rPr>
          <w:rFonts w:ascii="Amiri" w:hAnsi="Amiri" w:eastAsia="Amiri" w:cs="Amiri"/>
          <w:color w:val="111111"/>
          <w:sz w:val="28"/>
          <w:sz w:val="28"/>
          <w:szCs w:val="28"/>
          <w:rtl w:val="true"/>
          <w:lang w:bidi="ar-SA"/>
        </w:rPr>
        <w:t xml:space="preserve">غير، خاصة 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رواهما الثقات عنكم</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واعتباره تفسيراً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عدم الريب الحقيقي صدوراً وجهةً ودلالةً غير ممكن إرادته، وإلا لما أمكن فرضهما مشهورين، كان المراد عدم الريب الإضافي، فيكون مناط الترجيح ما لو كان أحدهما أقل ريباً من الآخر،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الأعم من البطلان القطعي</w:t>
      </w:r>
      <w:r>
        <w:rPr>
          <w:rStyle w:val="FootnoteAnchor"/>
          <w:rtl w:val="true"/>
        </w:rPr>
        <w:footnoteReference w:id="1106"/>
      </w:r>
      <w:r>
        <w:rPr>
          <w:rFonts w:ascii="Amiri" w:hAnsi="Amiri" w:eastAsia="Amiri" w:cs="Amiri"/>
          <w:color w:val="111111"/>
          <w:sz w:val="28"/>
          <w:sz w:val="28"/>
          <w:szCs w:val="28"/>
          <w:rtl w:val="true"/>
          <w:lang w:bidi="ar-SA"/>
        </w:rPr>
        <w:t xml:space="preserve">والظني والشكي والوهمي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صدوراً ودلالةً وجهةً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الأعم من الثلاثة مطلقاً أيضاً، أو الأعم منها صدوراً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للقطع بالصحة، وإرادته ممتنعة، للقطع</w:t>
      </w:r>
      <w:r>
        <w:rPr>
          <w:rStyle w:val="FootnoteAnchor"/>
          <w:rtl w:val="true"/>
        </w:rPr>
        <w:footnoteReference w:id="1107"/>
      </w:r>
      <w:r>
        <w:rPr>
          <w:rFonts w:ascii="Amiri" w:hAnsi="Amiri" w:eastAsia="Amiri" w:cs="Amiri"/>
          <w:color w:val="111111"/>
          <w:sz w:val="28"/>
          <w:sz w:val="28"/>
          <w:szCs w:val="28"/>
          <w:rtl w:val="true"/>
          <w:lang w:bidi="ar-SA"/>
        </w:rPr>
        <w:t>بعدم حصول القطع بالصحة من الشهرة الروائية، ولامتناع فرضهما مشهورين، لامتناع تعارض دليلين قطعيين من جميع الجهات ولامتناع الحكم مع شهرتهما بالرجوع إلى المرجحات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للظن بالصحة، وحيث تعذر المعنى الحقيقي وكان هذا أقرب المجازين تعين حمله عليه، إضافة إلى ما سبق من كون التقييد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 صدوراً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إطلاقان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ووهماً، صدوراً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 الإطلاق الأول لدليل لا يستلزم الخروج عن الإطلاق الثاني بلا دليل، كما هو واضح</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يمكن إرادته من الخبر وإلاّ لم يعقل فرض الشهرة في الطرفين مع أنه مفروض في المقبولة والمرفوعة، لكنه إنما أريد من نفي الريب بقول مطلق </w:t>
      </w:r>
    </w:p>
    <w:p>
      <w:pPr>
        <w:pStyle w:val="BookText"/>
        <w:rPr/>
      </w:pPr>
      <w:r>
        <w:rPr>
          <w:rFonts w:ascii="Amiri" w:hAnsi="Amiri" w:eastAsia="Amiri" w:cs="Amiri"/>
          <w:color w:val="111111"/>
          <w:sz w:val="28"/>
          <w:sz w:val="28"/>
          <w:szCs w:val="28"/>
          <w:rtl w:val="true"/>
          <w:lang w:bidi="ar-SA"/>
        </w:rPr>
        <w:t>نفيه من حيث الصدور فإنه المترقب</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 إن كان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الاحتمالالثاني لا الأول مما ذكرناه من الاحتمالات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تعارض ما كان حجيتهما من باب الظن النوعي غير عزيز، فكون الشهرة الروائية موجبة لنفي الريب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الثاني</w:t>
      </w:r>
      <w:r>
        <w:rPr>
          <w:rStyle w:val="FootnoteAnchor"/>
          <w:rtl w:val="true"/>
        </w:rPr>
        <w:footnoteReference w:id="1109"/>
      </w:r>
      <w:r>
        <w:rPr>
          <w:rFonts w:ascii="Amiri" w:hAnsi="Amiri" w:eastAsia="Amiri" w:cs="Amiri"/>
          <w:color w:val="111111"/>
          <w:sz w:val="28"/>
          <w:sz w:val="28"/>
          <w:szCs w:val="28"/>
          <w:rtl w:val="true"/>
          <w:lang w:bidi="ar-SA"/>
        </w:rPr>
        <w:t>، يعني أنها توجب الظن بالصحة، فلو كان المراد الظن الشخصي لما أمكن فرض مشهورين متخالفين، لعدم إمكان اجتماع ظنين شخصيين على الخلاف، أما لو كان المراد الظن النوعي فلا مانع من فرض الشهرة في الطرفين، ألا ترى أن المولى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الواحد العدل المؤمن الضابط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كان للعبد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لو تعارض خبران بتلك الصفة عامان من وجه أو متباينان كلاهما موافق أو مخالف لهم؟</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 ريب الشخصي لم يمكن ذلك الفرض، لا ما لو أريد النوعي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بنحو المقتضي لا العلية التامة، بمعنى أن الشهرة الروائية تقتضي نفي الريب لا أنها علة تامة له، إذ من الواضح تقيد هذه القضية بعدم المانع، كقولك النار محرقة، المقيد بعدم العازل كالرطوبة المانعة عن الإحراق، وخبر الواحد حجة أو الظواهر حجة المقيدين بعدم المانع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معارض أقوى ووجود قرينة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تعارضا كان العلم بكذب أحدهما إجمالاً مانعاً عن لا ريبيتهما، فيكون في كليهما ريب، ولذا أرجع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سائر المرجحات عند ذلك حيث ينفى الريب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ترى أن الصحيح الأعلائي التام الدلالة لا ريب فيه، مع صحة السؤال عن صورة معارضته لآخر، ومع تقيد حجيته بعدم وجود متواتر قطعي الدلالة أو ظنيها وكونها أظهر من ذلك الصحيح، على خلافه؟</w:t>
      </w:r>
    </w:p>
    <w:p>
      <w:pPr>
        <w:pStyle w:val="BookText"/>
        <w:rPr/>
      </w:pPr>
      <w:r>
        <w:rPr>
          <w:rFonts w:ascii="Amiri" w:hAnsi="Amiri" w:eastAsia="Amiri" w:cs="Amiri"/>
          <w:color w:val="111111"/>
          <w:sz w:val="28"/>
          <w:sz w:val="28"/>
          <w:szCs w:val="28"/>
          <w:rtl w:val="true"/>
          <w:lang w:bidi="ar-SA"/>
        </w:rPr>
        <w:t>ويمكن جعل ما ذكر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آخر عن كلام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مرجع الضمير هو الاحتمال الأول، بأن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حتى وهماً، إذ لا شك في أن نفيالريب عنه نفي حكمي لا حقيقي، أي هو بمنزلة القطع في ترتب الآثار، وإذا كان المراد ذلك بنحو الاقتضاء لم يكن مانع من فرض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 ريبية صدوراً، يخرج التعليل عن كونه تعليلاً بأمر ارتكازي إلى التعليل بأمر تعبدي، وهو خلاف الأصل، لكون الأصل في التعليل الارتكازية، لما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الغرض من التعليل التنبيه على وجه الحكم بحسب ما عند المخاطب، فلو كان تعبدياً لم يترتب عليه الغرض المذكور</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أو لغيره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التزم بهذا الأصل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 مواضع، منها عند الاستدلال بصحيحة زرارة</w:t>
      </w:r>
      <w:r>
        <w:rPr>
          <w:rStyle w:val="FootnoteAnchor"/>
          <w:rtl w:val="true"/>
        </w:rPr>
        <w:footnoteReference w:id="1111"/>
      </w:r>
      <w:r>
        <w:rPr>
          <w:rFonts w:ascii="Amiri" w:hAnsi="Amiri" w:eastAsia="Amiri" w:cs="Amiri"/>
          <w:color w:val="111111"/>
          <w:sz w:val="28"/>
          <w:sz w:val="28"/>
          <w:szCs w:val="28"/>
          <w:rtl w:val="true"/>
          <w:lang w:bidi="ar-SA"/>
        </w:rPr>
        <w:t xml:space="preserve">، حيث ضعّف احتمال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والشك في باب الوضوء،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ينافي ظهور التعليل في أنه بأمر ارتكازي لا تعبدي قطعاً</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كما قال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ريب في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عرفاً في النهي عن نقض اليقين بشيء بالشك فيه،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ما هو علة الجزاء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في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وهو اندراج اليقين </w:t>
      </w:r>
    </w:p>
    <w:p>
      <w:pPr>
        <w:pStyle w:val="BookText"/>
        <w:rPr/>
      </w:pPr>
      <w:r>
        <w:rPr>
          <w:rFonts w:ascii="Amiri" w:hAnsi="Amiri" w:eastAsia="Amiri" w:cs="Amiri"/>
          <w:color w:val="111111"/>
          <w:sz w:val="28"/>
          <w:sz w:val="28"/>
          <w:szCs w:val="28"/>
          <w:rtl w:val="true"/>
          <w:lang w:bidi="ar-SA"/>
        </w:rPr>
        <w:t>والشك في مورد السؤال في القضية الكلية الارتكازية غير المختصة بباب دون باب</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وأما كون التخصيص بالصدور موجباً لتعبدية التعليل فلأن العقل والعرف لا يريان خصوصية في الصدور ليكون اللا ريب فيه فقط موجباً لأرجحيته دون الدلالة ووجه الصدور، بل إنهم إما أن يرون اللا ريبية الحقيقية أو الإضافية موجبة للترجيح مطلقاً أو لا مطلقاً،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تحدثنا عن تعبدية التعليل أو ارتكازيته في مكان آخر من هذا الكتاب فليراجع</w:t>
      </w:r>
      <w:r>
        <w:rPr>
          <w:rFonts w:eastAsia="Amiri" w:cs="Amiri" w:ascii="Amiri" w:hAnsi="Amiri"/>
          <w:color w:val="111111"/>
          <w:sz w:val="28"/>
          <w:szCs w:val="28"/>
          <w:rtl w:val="true"/>
          <w:lang w:bidi="ar-SA"/>
        </w:rPr>
        <w:t>.</w:t>
      </w:r>
      <w:r>
        <w:rPr>
          <w:rStyle w:val="FootnoteAnchor"/>
          <w:rtl w:val="true"/>
        </w:rPr>
        <w:footnoteReference w:id="111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bookmarkStart w:id="775" w:name="pg8204_101309"/>
    </w:p>
    <w:p>
      <w:pPr>
        <w:pStyle w:val="Heading6"/>
        <w:numPr>
          <w:ilvl w:val="5"/>
          <w:numId w:val="1"/>
        </w:numPr>
        <w:rPr/>
      </w:pPr>
      <w:bookmarkStart w:id="776" w:name="__RefHeading___Toc8924496_1051229030"/>
      <w:bookmarkStart w:id="777" w:name="_Toc287"/>
      <w:bookmarkEnd w:id="775"/>
      <w:bookmarkEnd w:id="776"/>
      <w:r>
        <w:rPr>
          <w:rtl w:val="true"/>
        </w:rPr>
        <w:t xml:space="preserve">الاستدلال ب </w:t>
      </w:r>
      <w:r>
        <w:rPr>
          <w:rtl w:val="true"/>
        </w:rPr>
        <w:t>(</w:t>
      </w:r>
      <w:r>
        <w:rPr>
          <w:rtl w:val="true"/>
        </w:rPr>
        <w:t>وإنما الأمور ثلاثة</w:t>
      </w:r>
      <w:r>
        <w:rPr>
          <w:rtl w:val="true"/>
        </w:rPr>
        <w:t>)</w:t>
      </w:r>
      <w:bookmarkEnd w:id="777"/>
    </w:p>
    <w:p>
      <w:pPr>
        <w:pStyle w:val="BookText"/>
        <w:rPr/>
      </w:pPr>
      <w:r>
        <w:rPr>
          <w:rFonts w:ascii="Amiri" w:hAnsi="Amiri" w:eastAsia="Amiri" w:cs="Amiri"/>
          <w:color w:val="111111"/>
          <w:sz w:val="28"/>
          <w:sz w:val="28"/>
          <w:szCs w:val="28"/>
          <w:rtl w:val="true"/>
          <w:lang w:bidi="ar-SA"/>
        </w:rPr>
        <w:t>وأما الجملة الأخرى من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الأمور ثلاثة</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فيمكن الاستدلال بها على المدعى أيضاً</w:t>
      </w:r>
      <w:r>
        <w:rPr>
          <w:rStyle w:val="FootnoteAnchor"/>
          <w:rtl w:val="true"/>
        </w:rPr>
        <w:footnoteReference w:id="1116"/>
      </w:r>
      <w:r>
        <w:rPr>
          <w:rFonts w:ascii="Amiri" w:hAnsi="Amiri" w:eastAsia="Amiri" w:cs="Amiri"/>
          <w:color w:val="111111"/>
          <w:sz w:val="28"/>
          <w:sz w:val="28"/>
          <w:szCs w:val="28"/>
          <w:rtl w:val="true"/>
          <w:lang w:bidi="ar-SA"/>
        </w:rPr>
        <w:t xml:space="preserve">، إذ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 بيناً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 بينّاً 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عقب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كان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فيؤخذ به من حكمهما ويترك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 حيث إن ظاهره إن لم يكن صريحه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 بين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البيّن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بالاتباع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بالأخذ،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البين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 مع أنه القسمة حاصرة، فلا يخرج المجمع عليه والشاذ عن الأقسام الثلاثة، وحيث إن المجمع عليه ليس أمراً مشكلاً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بكونه لا ريب فيه، ولأن المشكل حكمه الرد إلى الله، أما المجمع عليه فقد جعل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ليس أمراً بيِّناً غيُّه، وإلا لحكم عليه بالاجتناب لا بالأخذ، فهو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رشده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أقرب إلى الواقع صدوراً وجهةً </w:t>
      </w:r>
    </w:p>
    <w:p>
      <w:pPr>
        <w:pStyle w:val="BookText"/>
        <w:rPr/>
      </w:pPr>
      <w:r>
        <w:rPr>
          <w:rFonts w:ascii="Amiri" w:hAnsi="Amiri" w:eastAsia="Amiri" w:cs="Amiri"/>
          <w:color w:val="111111"/>
          <w:sz w:val="28"/>
          <w:sz w:val="28"/>
          <w:szCs w:val="28"/>
          <w:rtl w:val="true"/>
          <w:lang w:bidi="ar-SA"/>
        </w:rPr>
        <w:t xml:space="preserve">ودلالةً لما كان أمراً بيناً رشده، ولما كان حلالاً بيناً، ولو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عنه لما كان أمراً بيناً غيّه،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احتمال، ولما كان حراماً بيناً،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علىاحتمال، ولما نهينا عن الأخذ به، إلاّ أن يستشكل بما سبق، فليلاحظ</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انتهينا من الحديث عن المقبولة، فلنعطف الكلام إلى</w:t>
      </w:r>
      <w:r>
        <w:rPr>
          <w:rFonts w:eastAsia="Amiri" w:cs="Amiri" w:ascii="Amiri" w:hAnsi="Amiri"/>
          <w:color w:val="111111"/>
          <w:sz w:val="28"/>
          <w:szCs w:val="28"/>
          <w:rtl w:val="true"/>
          <w:lang w:bidi="ar-SA"/>
        </w:rPr>
        <w:t xml:space="preserve">: </w:t>
      </w:r>
      <w:bookmarkStart w:id="778" w:name="pg8204_101311"/>
    </w:p>
    <w:p>
      <w:pPr>
        <w:pStyle w:val="Heading5"/>
        <w:numPr>
          <w:ilvl w:val="4"/>
          <w:numId w:val="1"/>
        </w:numPr>
        <w:rPr/>
      </w:pPr>
      <w:bookmarkStart w:id="779" w:name="__RefHeading___Toc8924498_1051229030"/>
      <w:bookmarkStart w:id="780" w:name="_Toc288"/>
      <w:bookmarkEnd w:id="778"/>
      <w:bookmarkEnd w:id="779"/>
      <w:r>
        <w:rPr>
          <w:rtl w:val="true"/>
        </w:rPr>
        <w:t>الحديث عن المرفوعة</w:t>
      </w:r>
      <w:bookmarkEnd w:id="780"/>
    </w:p>
    <w:p>
      <w:pPr>
        <w:pStyle w:val="Heading6"/>
        <w:numPr>
          <w:ilvl w:val="5"/>
          <w:numId w:val="1"/>
        </w:numPr>
        <w:rPr/>
      </w:pPr>
      <w:bookmarkStart w:id="781" w:name="__RefHeading___Toc8924500_1051229030"/>
      <w:bookmarkStart w:id="782" w:name="_Toc289"/>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المرفوعة قدم الترجيح بالشهرة والشذوذ على الترجيح بصفات الراوي، مما يعني أن الرواية المشهورة تقدم وإن كانت أضعف سنداً على الرواية الشاذة رغم صحة سندها، وذلك كله يعني أن الظن النوعي الحاصل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الظن النوعي الحاصل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والحسن والممدوحية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الضوابط المذكورة في الأصول والدراية،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الواقع من غيره، وإن كانت له سائر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قدمت الترجيح بالصفات على الترجيح بالشهرة والشذوذ فتأمل</w:t>
      </w:r>
      <w:r>
        <w:rPr>
          <w:rStyle w:val="FootnoteAnchor"/>
          <w:rtl w:val="true"/>
        </w:rPr>
        <w:footnoteReference w:id="1118"/>
      </w:r>
      <w:r>
        <w:rPr>
          <w:rFonts w:ascii="Amiri" w:hAnsi="Amiri" w:eastAsia="Amiri" w:cs="Amiri"/>
          <w:color w:val="111111"/>
          <w:sz w:val="28"/>
          <w:sz w:val="28"/>
          <w:szCs w:val="28"/>
          <w:rtl w:val="true"/>
          <w:lang w:bidi="ar-SA"/>
        </w:rPr>
        <w:t>، إلا أن عمل الفقهاء على العكس،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المرفوعة وإن كانت ضعيفة السند إلاّ أنها موافقة لسيرة العلماء في باب الترجيح، فإن طريقتهم مستمرة على تقديم المشهور على الشاذ، والمقبولة وإن كانت مشهورة بين العلماء حتى سميت مقبولة إلاّ أن عملهم على طبق المرفوعة وإن كانت شاذة من حيث الرواية حيث لم يوجد مروية في شيء من جوامع الأخبار المعروفة ولم يحكها إلاّ ابن أبي جمهور عن العلامة مرفوعاً إلى زرارة</w:t>
      </w:r>
      <w:r>
        <w:rPr>
          <w:rFonts w:eastAsia="Amiri" w:cs="Amiri" w:ascii="Amiri" w:hAnsi="Amiri"/>
          <w:color w:val="111111"/>
          <w:sz w:val="28"/>
          <w:szCs w:val="28"/>
          <w:rtl w:val="true"/>
          <w:lang w:bidi="ar-SA"/>
        </w:rPr>
        <w:t>).</w:t>
      </w:r>
      <w:r>
        <w:rPr>
          <w:rStyle w:val="FootnoteAnchor"/>
          <w:rtl w:val="true"/>
        </w:rPr>
        <w:footnoteReference w:id="111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تردد في ترجيح المشهور رواية على الشاذ، لكون نقل المشهور رواية أعم من التزامهم بصحتها، فلا إشكال في ترجيحه إذا وافقته الشهرة الفتوائية، بل إن المشهور التزموا بمرجحية الفتوائية وإن تجردت عن الروائية</w:t>
      </w:r>
      <w:r>
        <w:rPr>
          <w:rFonts w:eastAsia="Amiri" w:cs="Amiri" w:ascii="Amiri" w:hAnsi="Amiri"/>
          <w:color w:val="111111"/>
          <w:sz w:val="28"/>
          <w:szCs w:val="28"/>
          <w:rtl w:val="true"/>
          <w:lang w:bidi="ar-SA"/>
        </w:rPr>
        <w:t xml:space="preserve">. </w:t>
      </w:r>
      <w:bookmarkStart w:id="783" w:name="pg8204_101312"/>
    </w:p>
    <w:p>
      <w:pPr>
        <w:pStyle w:val="Heading6"/>
        <w:numPr>
          <w:ilvl w:val="5"/>
          <w:numId w:val="1"/>
        </w:numPr>
        <w:rPr/>
      </w:pPr>
      <w:bookmarkStart w:id="784" w:name="__RefHeading___Toc8924502_1051229030"/>
      <w:bookmarkStart w:id="785" w:name="_Toc290"/>
      <w:bookmarkEnd w:id="783"/>
      <w:bookmarkEnd w:id="784"/>
      <w:r>
        <w:rPr>
          <w:rtl w:val="true"/>
        </w:rPr>
        <w:t xml:space="preserve">مناقشة مع الشيخ </w:t>
      </w:r>
      <w:r>
        <w:rPr>
          <w:rtl w:val="true"/>
        </w:rPr>
        <w:t>:</w:t>
      </w:r>
      <w:bookmarkEnd w:id="785"/>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دليل على الترجيح بالشهرة العملية</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 وما ذكره بعد ثلاث صفحات عند استدلاله للتعدي عن المرجحات المنصوصة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الأخذ بالمشهور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فيصير حاصل التعليل ترجيح المشهور على الشاذ، بأن في الشاذ احتمالاً لا يوجد في المشهور، ومقتضى التعدي عن مورد النص في العلة وجوب الترجيح بكل ما يوجب كون أحد الخبرين أقل احتمالاً لمخالفة الواقع</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xml:space="preserve">، فكيف لا يوجد دليل على الترجيح بالشهرة العملية مع التزامه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التعدي عن مورد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التعدي لا يختص بالجهة التي أرادها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بكل ما يوجب كون أحد الخبرين أقل احتمالاً لمخالفة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 أقوائية الشهرة العملية من الشهرة الروائية، باعتبار أن نقل المشهور للرواية أعم من التزامهم بصحتها سنداً وبدلالتها متناً، أما الشهرة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ومورد الكلام فيها في بحث التعادل والتراجيح هو ما لو وجدت رواية أفتى المشهور على طبقها وهو المسمى بالضعيف المنجبر بعمل الفقهاء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والتزامهم بمؤدى الرواية، فإنه يعني عرفاً التزامهم بصحتها سنداً ودلالتها متناً، على عكس الشهرة الفتوائية، فتأمل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سلمنا عدم الأقوائية بل وعدم المساواة، فلا أقل من أن الشهرة العملية توجب أقلية الاحتمال، فتندرج في عموم العلة، فكيف لا يوجد دليل على الترجيح بها؟ </w:t>
      </w:r>
      <w:bookmarkStart w:id="786" w:name="pg8204_101313"/>
    </w:p>
    <w:p>
      <w:pPr>
        <w:pStyle w:val="Heading6"/>
        <w:numPr>
          <w:ilvl w:val="5"/>
          <w:numId w:val="1"/>
        </w:numPr>
        <w:rPr/>
      </w:pPr>
      <w:bookmarkStart w:id="787" w:name="__RefHeading___Toc8924504_1051229030"/>
      <w:bookmarkStart w:id="788" w:name="_Toc291"/>
      <w:bookmarkEnd w:id="786"/>
      <w:bookmarkEnd w:id="787"/>
      <w:r>
        <w:rPr>
          <w:rtl w:val="true"/>
        </w:rPr>
        <w:t>المصباح</w:t>
      </w:r>
      <w:r>
        <w:rPr>
          <w:rtl w:val="true"/>
        </w:rPr>
        <w:t xml:space="preserve">: </w:t>
      </w:r>
      <w:r>
        <w:rPr>
          <w:rtl w:val="true"/>
        </w:rPr>
        <w:t>الشهرة بمعنى الوضوح</w:t>
      </w:r>
      <w:bookmarkEnd w:id="788"/>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الشهرة بمعنى الوضوح، ومنه قولهم شهر فلان سيفه، وسيف شاهر، فمعنى كون الروايتين مشهورتين أنهما بحيث قد رواهما جميع الأصحاب وعلم صدروهما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وظهر بما ذكرناه عدم صحة الاستدلال بما في المرفوعة منقوله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الترجيح بالشهرة الاصطلاحية</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أن نستدل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في لسان العرب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وضوح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شهراً لشهرته وذلك أن الناس يشهرون دخوله وخروجه، ومثله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 القمر سمي بذلك لشهرته وظهوره</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والشهر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وشهر سيفه أي سله</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حلول المشهور محل المجمع عليه في المقبولة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الترجيح بالشهرة عن الترجيح بالصفات في المقبولة، فلو لم يكن المراد الشهرة الاصطلاحية كان اللازم العكس، إذ اللازم ترجيح الواضح على غيره، وذلك</w:t>
      </w:r>
      <w:r>
        <w:rPr>
          <w:rStyle w:val="FootnoteAnchor"/>
          <w:rtl w:val="true"/>
        </w:rPr>
        <w:footnoteReference w:id="1125"/>
      </w:r>
      <w:r>
        <w:rPr>
          <w:rFonts w:ascii="Amiri" w:hAnsi="Amiri" w:eastAsia="Amiri" w:cs="Amiri"/>
          <w:color w:val="111111"/>
          <w:sz w:val="28"/>
          <w:sz w:val="28"/>
          <w:szCs w:val="28"/>
          <w:rtl w:val="true"/>
          <w:lang w:bidi="ar-SA"/>
        </w:rPr>
        <w:t xml:space="preserve">الترجيح بالصفات فيها ترجيح لأحد الحَكَمين على </w:t>
      </w:r>
      <w:bookmarkStart w:id="789" w:name="pg8204_101314"/>
    </w:p>
    <w:p>
      <w:pPr>
        <w:pStyle w:val="BookText"/>
        <w:rPr/>
      </w:pPr>
      <w:bookmarkEnd w:id="789"/>
      <w:r>
        <w:rPr>
          <w:rFonts w:ascii="Amiri" w:hAnsi="Amiri" w:eastAsia="Amiri" w:cs="Amiri"/>
          <w:color w:val="111111"/>
          <w:sz w:val="28"/>
          <w:sz w:val="28"/>
          <w:szCs w:val="28"/>
          <w:rtl w:val="true"/>
          <w:lang w:bidi="ar-SA"/>
        </w:rPr>
        <w:t>الآخر، لمكان إضافة الصفات في المقبولة إلى الحاكمين، والترجيح بالشهرة ترجيح لإحدى الروايتين على الأخرى</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8924506_1051229030"/>
      <w:bookmarkStart w:id="791" w:name="_Toc292"/>
      <w:bookmarkEnd w:id="790"/>
      <w:r>
        <w:rPr>
          <w:rtl w:val="true"/>
        </w:rPr>
        <w:t>مناقشات مع مصباح الأصول</w:t>
      </w:r>
      <w:bookmarkEnd w:id="791"/>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يلتزم بأن المراد من الشهرة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العرفي المتداول حالياً، والمراد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العقلائي في عدم نقل الألفاظ،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المعروف في متفاهم الناس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ويؤكده كلام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الشهير والمشهور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والمعروف أعم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رواهما جميع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بصدورهما عن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أنه ليس له أن يحتج بكلام اللغوي، لأنه يراه أهل خبرة في الاستعمال دون الوضع، نعم المختار خلافه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لمقابلته بالشذوذ والندرة في الرواية، حيث يراد بالشذوذ ما يقابل الشهرة بالمعنى المستعمل في العرف الخاص والعام، 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شذّ عنه يَشذّ، ويشذ شذوذاً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عن الجمهور وندر، فهو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شذاذاً أي 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وشذاذ الناس متفرقوهم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الرجل إذ انفرد عن أصحابه، وكذلك كل شيء منفرد فهو شاذ</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وقال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الكلام ما شذ وخرج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w:t>
      </w:r>
      <w:r>
        <w:rPr>
          <w:rStyle w:val="FootnoteAnchor"/>
          <w:rtl w:val="true"/>
        </w:rPr>
        <w:footnoteReference w:id="112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لو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كون الروايتين مشهورتين أنهما بحيث قد رواهما جميع الأصحاب وعلم بصدورهما عن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مجال للترجيح بالأعدلية والأوثقية بعد فرض كون الروايتين مشهورتين، إذ مع فرض كونهما واضحتين معلومتي الصدور عن المعصوم لا يصح الإرجاع إلى الترجيح بالأعدلية والأوثقية وسائر المرجحات السندية</w:t>
      </w:r>
      <w:r>
        <w:rPr>
          <w:rStyle w:val="FootnoteAnchor"/>
          <w:rtl w:val="true"/>
        </w:rPr>
        <w:footnoteReference w:id="1129"/>
      </w:r>
      <w:r>
        <w:rPr>
          <w:rFonts w:ascii="Amiri" w:hAnsi="Amiri" w:eastAsia="Amiri" w:cs="Amiri"/>
          <w:color w:val="111111"/>
          <w:sz w:val="28"/>
          <w:sz w:val="28"/>
          <w:szCs w:val="28"/>
          <w:rtl w:val="true"/>
          <w:lang w:bidi="ar-SA"/>
        </w:rPr>
        <w:t>، بل يجري ذلك حتى لو أريد من الوضوح مرتبة الاطمئنان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ما علم صدوره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علىغيره أو حتى ما اطمئن بصدوره، من البديهيات المفروغ عنها، فلا يمكن أن يكون مورد السؤال والجواب ذلك، ولو تم ما ذكره كان إطلاق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الجواب أيضاً بناءً على كون معنى الشهرة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علم صدور أحدهما أو صدور كليهما، ولا تحير في ما لو علم صدور أحدهما فكيف يسأل عنه أو يصرف الجواب إليه؟ كما أنه لا تحير فيما لو علم بصدورهما من حيث السند، فكيف يقع الجواب بالترجيح السندي</w:t>
      </w:r>
      <w:r>
        <w:rPr>
          <w:rStyle w:val="FootnoteAnchor"/>
          <w:rtl w:val="true"/>
        </w:rPr>
        <w:footnoteReference w:id="1130"/>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 كتب اللغة من كون الشهرة بمعنى الوضوح، لو سلم إرادته هنا فهو أعم من العلم والاطمئنان النوعي، فلا داعي للقول إن معنى كون الرواتين مشهورتين هو العلم بصدورهما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ويبعد توجيهه بكون مراده من العلم الأعم من الظن النوعي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ثم إنه إذا كان المراد من الشهرة الوضوح، بل وكذا لو أريد معناها الاصطلاحي، فلا يمكن الاستدلال بهذه الرواية على حجية رأي الأكثرية إلاّ بإثبات 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الرواية، وفيه ما لا يخفى، أو إثبات كون الملاك في ترجيح أحد الخبرين هو صرف الشهرة، لقاعدة ارتكازية التعليل وغير </w:t>
      </w:r>
    </w:p>
    <w:p>
      <w:pPr>
        <w:pStyle w:val="BookText"/>
        <w:rPr/>
      </w:pPr>
      <w:r>
        <w:rPr>
          <w:rFonts w:ascii="Amiri" w:hAnsi="Amiri" w:eastAsia="Amiri" w:cs="Amiri"/>
          <w:color w:val="111111"/>
          <w:sz w:val="28"/>
          <w:sz w:val="28"/>
          <w:szCs w:val="28"/>
          <w:rtl w:val="true"/>
          <w:lang w:bidi="ar-SA"/>
        </w:rPr>
        <w:t>ذلك، كما مر مفصلاً، ومع كون المراد من الشهرة الوضوح فارتكازية التعليل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وإثبات أن أكثرية الفقهاء من مصاديق المشهور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بما مر وسيجيء مفصلاً، ومنه أن اجتهاد الواحد الجامع للشرائط إذا كان من مصاديق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حجيته ببناء العقلاء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اجتهاد المتعدد من مصاديقه بشكل أولى، وليتأمل في ما سبق ذكره، والله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كون رأي الأكثرية أقرب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القضاء، حيث حكم بجواز التشريك بين القاضيين في الجهة الواحدة على جهة الاجتماع على الحكم الواحد، مشبهاً إياه بالوصيين والوكيلين، وعلله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للأصل ولأنه أضبط وأوثق للحكم خصوصاً بناء على ما هو الحقعندنا من أن المصيب واحد</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وقال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وكونه في معنى قصر ولايتهما بما يتفقان عليه فيكون أوثق وأضبط</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وسنتكلم حول هذا الفرع بالتفصيل في موضع آخر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الشهرة، والترجيح بها عند التعارض، وكون ما انعقدت عليه أقرب للواقع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ما ذكر سابقاً من عدم كون الشهرة ظناً معتبراً، في الجواب الثاني عن إشكال عدم فهم الفقهاء من الآية الكريمة الوجوب؟</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هناك هو عدم حجية الشهرة على المجتهد والخبير، ولذا جرت سيرة العقلاء على اتباع اجتهادهم لو كانوا من أهل الخبرة وإن خالفهم المشهور، وعليه بناؤهم، وما ذكر هنا هو حجية الشهرة لغير الخبير ولغير المجتهد،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إثباته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قسم خاص من الشهرة وهو الشهرة في </w:t>
      </w:r>
    </w:p>
    <w:p>
      <w:pPr>
        <w:pStyle w:val="BookText"/>
        <w:rPr/>
      </w:pPr>
      <w:r>
        <w:rPr>
          <w:rFonts w:ascii="Amiri" w:hAnsi="Amiri" w:eastAsia="Amiri" w:cs="Amiri"/>
          <w:color w:val="111111"/>
          <w:sz w:val="28"/>
          <w:sz w:val="28"/>
          <w:szCs w:val="28"/>
          <w:rtl w:val="true"/>
          <w:lang w:bidi="ar-SA"/>
        </w:rPr>
        <w:t>الشؤون العامة لا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يناقش بأن رأي الأكثرية لو كان أقرب للواقع من رأي المجتهد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للروايات ولحكم العقل كما فصلناه في فصولٍ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عدم حجية رأي غيرها مطلقاً، سواء كان مجتهداً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تلازم بين كون رأيها أقرب للواقع، وبين عدم حجية رأي كل فقيه لنفسه، ألا ترى حجية رأي غير الأعلم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المباني بل كلها، لكون الخلاف في حجية رأي غير الأعلم لغيره وجواز تقليده وعدمه مع وجود الأعلم لا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رأي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مع تحقيقه في تلك المسألة وعدم مخالفته لأعلم آخر في عصر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للواقع، وعلى ذلك بناء العقلاء وسيرتهم، ولذا يرون رأي الخبير حجة لنفسه وإن عارضه خبير أعلم في الطب والهندسة وسائر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تكون الأدلة الدالة على حجية ظن المجتهد لنفسهشاملة</w:t>
      </w:r>
      <w:r>
        <w:rPr>
          <w:rStyle w:val="FootnoteAnchor"/>
          <w:rtl w:val="true"/>
        </w:rPr>
        <w:footnoteReference w:id="1133"/>
      </w:r>
      <w:r>
        <w:rPr>
          <w:rFonts w:ascii="Amiri" w:hAnsi="Amiri" w:eastAsia="Amiri" w:cs="Amiri"/>
          <w:color w:val="111111"/>
          <w:sz w:val="28"/>
          <w:sz w:val="28"/>
          <w:szCs w:val="28"/>
          <w:rtl w:val="true"/>
          <w:lang w:bidi="ar-SA"/>
        </w:rPr>
        <w:t xml:space="preserve">لما لو انعقدت الأكثرية على خلافه، ولا مانع منه ثبوتاً، لإمكان وجود مصلحة في ذلك، وكون الأصل في الأدلة الطريقية لا يعني عدم حجية رأيه لمحكوميته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الدليل، إلاّ أن يصرف عنه صارف، ويتضح ذلك أكثر لو التزمنا بأن الحجية تعني جعل حكم ظاهري على طبق مؤدى الدليل، أو تعني المنجزية والمعذرية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مدفع لذلك إلاّ القول باستثناء انعقاد الأكثرية في الشؤون العامة على خلاف رأي الفقيه من أدلة حجية نظره</w:t>
      </w:r>
      <w:r>
        <w:rPr>
          <w:rStyle w:val="FootnoteAnchor"/>
          <w:rtl w:val="true"/>
        </w:rPr>
        <w:footnoteReference w:id="1134"/>
      </w:r>
      <w:r>
        <w:rPr>
          <w:rFonts w:ascii="Amiri" w:hAnsi="Amiri" w:eastAsia="Amiri" w:cs="Amiri"/>
          <w:color w:val="111111"/>
          <w:sz w:val="28"/>
          <w:sz w:val="28"/>
          <w:szCs w:val="28"/>
          <w:rtl w:val="true"/>
          <w:lang w:bidi="ar-SA"/>
        </w:rPr>
        <w:t xml:space="preserve">، وأن الأكثرية حينئذٍ هي المتبع استناداً إلى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bookmarkStart w:id="792" w:name="pg8204_101318"/>
    </w:p>
    <w:p>
      <w:pPr>
        <w:pStyle w:val="BookText"/>
        <w:rPr/>
      </w:pPr>
      <w:bookmarkEnd w:id="792"/>
      <w:r>
        <w:rPr>
          <w:rFonts w:ascii="Amiri" w:hAnsi="Amiri" w:eastAsia="Amiri" w:cs="Amiri"/>
          <w:color w:val="111111"/>
          <w:sz w:val="28"/>
          <w:sz w:val="28"/>
          <w:szCs w:val="28"/>
          <w:rtl w:val="true"/>
          <w:lang w:bidi="ar-SA"/>
        </w:rPr>
        <w:t>مما أسهبنا الكلام عنه في فصوله الخاصة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ليست حجة إلاّ لو كانت في الموضوعات والأمور العامة، ومن الحِكَم في ذلك وجود حق الناس ههنا، فتدبر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فرضناه من عشرة أشخاص في غابة وحكم العقل باتباع الشخص الحادي عشر للأكثرية، إنما هو فيما لو لم يكن خبيراً أدى ظنه إلى كون الطريق الفلاني آمناً، وفيما لم يكن عامياً قادراً على التشخيص وفهم الأدلة ومعارضاتها ومزاحماتها، بحيث يكون متجزياً، وإلاّ جاز له اتباع رأيه عقلاً، وأما وجوب اتباع ما أدى إليه ظنه عقلاً، فمحل تأمل، فتأمل والله العالم الهادي</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8924508_1051229030"/>
      <w:bookmarkStart w:id="794" w:name="_Toc293"/>
      <w:bookmarkEnd w:id="793"/>
      <w:r>
        <w:rPr>
          <w:rtl w:val="true"/>
        </w:rPr>
        <w:t>تنبيه</w:t>
      </w:r>
      <w:r>
        <w:rPr>
          <w:rtl w:val="true"/>
        </w:rPr>
        <w:t>:</w:t>
      </w:r>
      <w:bookmarkEnd w:id="79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التي ذكرت في هذا الفصل والفصل السابق، إن كانتإرشاداً إلى حكم العقل فهذا الدليل عقلي، وإن لم تكن فنقلي باعتبارها، وإن كان عقلياً باعتبار ما ذكر من استقلال العقل وبناء العقلاء على مؤداها، كما أنه تضمن براهين عديدة على المدعى ذكرت في طي البرهان العام، فليراجع</w:t>
      </w:r>
      <w:r>
        <w:rPr>
          <w:rFonts w:eastAsia="Amiri" w:cs="Amiri" w:ascii="Amiri" w:hAnsi="Amiri"/>
          <w:color w:val="111111"/>
          <w:sz w:val="28"/>
          <w:szCs w:val="28"/>
          <w:rtl w:val="true"/>
          <w:lang w:bidi="ar-SA"/>
        </w:rPr>
        <w:t xml:space="preserve">. </w:t>
      </w:r>
      <w:bookmarkStart w:id="795" w:name="pg8204_101319"/>
    </w:p>
    <w:p>
      <w:pPr>
        <w:pStyle w:val="Heading4"/>
        <w:numPr>
          <w:ilvl w:val="3"/>
          <w:numId w:val="1"/>
        </w:numPr>
        <w:rPr/>
      </w:pPr>
      <w:bookmarkStart w:id="796" w:name="__RefHeading___Toc8924510_1051229030"/>
      <w:bookmarkStart w:id="797" w:name="_Toc294"/>
      <w:bookmarkEnd w:id="795"/>
      <w:bookmarkEnd w:id="796"/>
      <w:r>
        <w:rPr>
          <w:rtl w:val="true"/>
        </w:rPr>
        <w:t>الفصل الرابع</w:t>
      </w:r>
      <w:r>
        <w:rPr>
          <w:rtl w:val="true"/>
        </w:rPr>
        <w:t xml:space="preserve">: </w:t>
      </w:r>
      <w:r>
        <w:rPr>
          <w:rtl w:val="true"/>
        </w:rPr>
        <w:t>في ملخص النسبة</w:t>
      </w:r>
      <w:bookmarkEnd w:id="797"/>
    </w:p>
    <w:p>
      <w:pPr>
        <w:pStyle w:val="Heading5"/>
        <w:numPr>
          <w:ilvl w:val="4"/>
          <w:numId w:val="1"/>
        </w:numPr>
        <w:rPr/>
      </w:pPr>
      <w:bookmarkStart w:id="798" w:name="__RefHeading___Toc8924512_1051229030"/>
      <w:bookmarkStart w:id="799" w:name="_Toc295"/>
      <w:bookmarkEnd w:id="798"/>
      <w:r>
        <w:rPr>
          <w:rtl w:val="true"/>
        </w:rPr>
        <w:t>اشارة</w:t>
      </w:r>
      <w:bookmarkEnd w:id="79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أدلة الشورى والحكومة وأدلة التقليد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0" w:name="pg8204_101321"/>
      <w:bookmarkStart w:id="801" w:name="pg8204_101321"/>
      <w:bookmarkEnd w:id="801"/>
    </w:p>
    <w:p>
      <w:pPr>
        <w:pStyle w:val="Heading5"/>
        <w:numPr>
          <w:ilvl w:val="4"/>
          <w:numId w:val="1"/>
        </w:numPr>
        <w:rPr/>
      </w:pPr>
      <w:bookmarkStart w:id="802" w:name="pg8204_101321"/>
      <w:bookmarkStart w:id="803" w:name="__RefHeading___Toc8924514_1051229030"/>
      <w:bookmarkStart w:id="804" w:name="_Toc296"/>
      <w:bookmarkEnd w:id="802"/>
      <w:bookmarkEnd w:id="803"/>
      <w:r>
        <w:rPr>
          <w:rtl w:val="true"/>
        </w:rPr>
        <w:t>ملخص النسبة بين الأدلة</w:t>
      </w:r>
      <w:bookmarkEnd w:id="804"/>
    </w:p>
    <w:p>
      <w:pPr>
        <w:pStyle w:val="Heading6"/>
        <w:numPr>
          <w:ilvl w:val="5"/>
          <w:numId w:val="1"/>
        </w:numPr>
        <w:rPr/>
      </w:pPr>
      <w:bookmarkStart w:id="805" w:name="__RefHeading___Toc8924516_1051229030"/>
      <w:bookmarkStart w:id="806" w:name="_Toc297"/>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لابد لمعرفة النسبة بين أدلة التقليد وأدلة الشورى من تحديد المراد بهما وحدودهما، أي تنقيح الموضوعين، كما لا بد من ملاحظة كل دليل دليل من أدلة التقليد، ونسبته لأدلة الشورى واحدة واحدة،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يراد به المعنى الأخص، وأخرى المعنى الأعم، فإن أريد به المعنى الأخص كان مبايناً للشورى، وإلا كان أعم مطلقاً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تقليد المجتهد الجامع للشرائط في الأحكام الشرعية من تكليفية ووضعية،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الخبرة في أي موضوع أو محمول، ومنه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بها الشورى في الموضوعات أو في الموضوعات العامة كما هو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فالأمر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بها الشورى في كل شيء موضوعاً أو محمولاً، كانت مباينة للتقليد بالمعنى الأعم، وأعم منه بالمعنى الأخص، وعلى المباينة لا تنافي ولا تعارض لكونهما من واديين وفي موضوعين، وعلى الأخصية تخصص أدلة الشورى أدلة التقليد، لكونها أخص منها مطلقاً، فلا تنافي ولا تعارض أيضاً، إذ الجمع بينهما عرفي، فيتقدم الخاص على العام في مرحلة الإرادة الجدية إن كان منفصلاً عنه، وفي مرحلة الإرادة الاستعمالية والظهور نفسه إن كان متصلاً، والمقام من المنفصل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أن المراد بالشورى الأعم، والتقليد يراد به الأخص، بأن تكون </w:t>
      </w:r>
      <w:bookmarkStart w:id="807" w:name="pg8204_101322"/>
    </w:p>
    <w:p>
      <w:pPr>
        <w:pStyle w:val="BookText"/>
        <w:rPr/>
      </w:pPr>
      <w:bookmarkEnd w:id="807"/>
      <w:r>
        <w:rPr>
          <w:rFonts w:ascii="Amiri" w:hAnsi="Amiri" w:eastAsia="Amiri" w:cs="Amiri"/>
          <w:color w:val="111111"/>
          <w:sz w:val="28"/>
          <w:sz w:val="28"/>
          <w:szCs w:val="28"/>
          <w:rtl w:val="true"/>
          <w:lang w:bidi="ar-SA"/>
        </w:rPr>
        <w:t>الشورى للأعم من الموضوعات والأحكام، ويكون التقليد للأحكام خاصة، خرجت منها الأحكام، فتبقى الموضوعات فيدائرتها</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8924518_1051229030"/>
      <w:bookmarkStart w:id="809" w:name="_Toc298"/>
      <w:bookmarkEnd w:id="808"/>
      <w:r>
        <w:rPr>
          <w:rtl w:val="true"/>
        </w:rPr>
        <w:t>وأما تفصيل الأدلة</w:t>
      </w:r>
      <w:bookmarkEnd w:id="809"/>
    </w:p>
    <w:p>
      <w:pPr>
        <w:pStyle w:val="BookText"/>
        <w:rPr/>
      </w:pPr>
      <w:r>
        <w:rPr>
          <w:rFonts w:ascii="Amiri" w:hAnsi="Amiri" w:eastAsia="Amiri" w:cs="Amiri"/>
          <w:color w:val="111111"/>
          <w:sz w:val="28"/>
          <w:sz w:val="28"/>
          <w:szCs w:val="28"/>
          <w:rtl w:val="true"/>
          <w:lang w:bidi="ar-SA"/>
        </w:rPr>
        <w:t>الأدلة التي استدل بها على وجوب التقليد</w:t>
      </w:r>
      <w:r>
        <w:rPr>
          <w:rStyle w:val="FootnoteAnchor"/>
          <w:rtl w:val="true"/>
        </w:rPr>
        <w:footnoteReference w:id="1137"/>
      </w:r>
      <w:r>
        <w:rPr>
          <w:rFonts w:ascii="Amiri" w:hAnsi="Amiri" w:eastAsia="Amiri" w:cs="Amiri"/>
          <w:color w:val="111111"/>
          <w:sz w:val="28"/>
          <w:sz w:val="28"/>
          <w:szCs w:val="28"/>
          <w:rtl w:val="true"/>
          <w:lang w:bidi="ar-SA"/>
        </w:rPr>
        <w:t>ولزوم اتباع الجاهل للعالم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على رجوع الجاهل للعالم والمجتهد 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Heading6"/>
        <w:numPr>
          <w:ilvl w:val="5"/>
          <w:numId w:val="1"/>
        </w:numPr>
        <w:rPr/>
      </w:pPr>
      <w:bookmarkStart w:id="810" w:name="__RefHeading___Toc8924520_1051229030"/>
      <w:bookmarkStart w:id="811" w:name="_Toc299"/>
      <w:bookmarkEnd w:id="810"/>
      <w:r>
        <w:rPr>
          <w:rtl w:val="true"/>
        </w:rPr>
        <w:t>أما بناء العقلاء</w:t>
      </w:r>
      <w:r>
        <w:rPr>
          <w:rtl w:val="true"/>
        </w:rPr>
        <w:t>:</w:t>
      </w:r>
      <w:bookmarkEnd w:id="81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نسلم بناء العقلاء على تعيّن تقليد الخبير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 مع مخالفة أكثرية الخبراء له، سواء التقليد بالمعنى الأخص أم الأعم، بل بناؤهم إما على التخيير أو على تعين الرجوع لأكثرية الخبراء إن أحرزوا التخالف وكون رأي الأكثر كذا</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يتوهم وجود مانع عن ذلك في مرحلة البقاء إذا قلد مجتهداً ثم حدث أن خالفت الأكثرية رأيه، ولكن سبق تفصيل الحديث حول عدم دلالة أي واحد من أدلة التقليد أو غيرها على عدم جواز العدول أو التبعيض، فلا دليل على كون التقليد حدوثاً علةً لوجوب البقاء على تقليد من قلده بقاءً، كما قد مضى في موضع آخر كون الأكثريةعبارة عن رأي أكثرية الخبراء فهم خبير مع زيادة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اتباع الأعلم وإن عارضته أكثرية الخبراء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سبق تفصيلاً من النقاش المبنائي، وأنه لا دليل على تعين تقليد الأعلم مع معارضته لغيره، حتى وإن لم تكن الأكثرية موافقة للمفضول، فكيف لو كانت موافقة له، أو كانت هي محل التقليد مع كونها معارضة لرأي الأعلم،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معارضة الأكثرية</w:t>
      </w:r>
      <w:r>
        <w:rPr>
          <w:rStyle w:val="FootnoteAnchor"/>
          <w:rtl w:val="true"/>
        </w:rPr>
        <w:footnoteReference w:id="1139"/>
      </w:r>
      <w:r>
        <w:rPr>
          <w:rFonts w:ascii="Amiri" w:hAnsi="Amiri" w:eastAsia="Amiri" w:cs="Amiri"/>
          <w:color w:val="111111"/>
          <w:sz w:val="28"/>
          <w:sz w:val="28"/>
          <w:szCs w:val="28"/>
          <w:rtl w:val="true"/>
          <w:lang w:bidi="ar-SA"/>
        </w:rPr>
        <w:t xml:space="preserve">له مع علمهم بأعلميته موهنة لحجية قوله، إن لم تكن مسقطة للاطمئنان به، بل حتى مع ادعائهم عدم أعلميته، بل حتى مع قطعهم النظر عن وجوده ومخالفته، أو مع عدم علمهم بذلك،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يصح دعوى بناء العقلاء في الموضوعات على الاكتفاء باجتهاد الواحد مع التفاتهم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أو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ذكرناه بالتفصيل من أن في العمل باجتهاد الواحد الحدسي في الأمور الخطيرة الدنيوية ضرراً محتملاً احتمالاً عقلائياً، وفي العمل برأي الأكثرية دفعاً للضرر المحتمل وكون رأي الأكثرية أقرب إلى الواقع نوعاً، فليراجع تفصيله فيما سبق، حيث استندنا في إثبات ذلك إلى الروايات وإلى العقل، كما سبق ذكر أجوبة أخرى عن مسألة الأعلم، كما سبق </w:t>
      </w:r>
    </w:p>
    <w:p>
      <w:pPr>
        <w:pStyle w:val="BookText"/>
        <w:rPr/>
      </w:pPr>
      <w:r>
        <w:rPr>
          <w:rFonts w:ascii="Amiri" w:hAnsi="Amiri" w:eastAsia="Amiri" w:cs="Amiri"/>
          <w:color w:val="111111"/>
          <w:sz w:val="28"/>
          <w:sz w:val="28"/>
          <w:szCs w:val="28"/>
          <w:rtl w:val="true"/>
          <w:lang w:bidi="ar-SA"/>
        </w:rPr>
        <w:t>ذكر موانع أخرى عن لزوم اتباع الأكثرية مع أجوبتها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بنى العقلاء في الأحكام على صحة الرجوع للأعلم وعدم تعين الرجوع للمشهور المخالف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علموا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فلمصلحة التسهيل أو شبهها، أو استناداً إلى ما ظهر من الشارع من صحة الاكتفاء بتقليد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مثل تلك المصلحة لا توجد في تقليد الواحد وإن كان أعلم إذا خالف رأي المشهور في الموضوعات والشؤون العامة، للضرر البالغ الدنيوي في صورة الخلاف، كما لا يظهر من الأدلة الاكتفاء فيها برأي الواحد، بلظاهر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وغيرها عدم الاكتفاء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تسليمه،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 في الأمر</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مضيق لدائرته أو ملغٍ له، ككل آية أو رواية عارضت بالتباين</w:t>
      </w:r>
      <w:r>
        <w:rPr>
          <w:rStyle w:val="FootnoteAnchor"/>
          <w:rtl w:val="true"/>
        </w:rPr>
        <w:footnoteReference w:id="1144"/>
      </w:r>
      <w:r>
        <w:rPr>
          <w:rFonts w:ascii="Amiri" w:hAnsi="Amiri" w:eastAsia="Amiri" w:cs="Amiri"/>
          <w:color w:val="111111"/>
          <w:sz w:val="28"/>
          <w:sz w:val="28"/>
          <w:szCs w:val="28"/>
          <w:rtl w:val="true"/>
          <w:lang w:bidi="ar-SA"/>
        </w:rPr>
        <w:t>أو بالعموم من وجه أو بالعموم والخصوص المطلق، بناءً للعقلاء كما في القياس وشروط البيع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اتباع أحد الخبراء على سبيل البدل في غير ما كانت فيه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كشؤون الحكم وشبهه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هو ظاهر الآيتين أو منصرفهما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وانعقدت عليه الأكثرية، وأما فيه مع الانعقاد فيجب اتباعها، وقد سبق تفصيل الكلام عن ذلك عند التطريق للآيتين الشريفتين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الشريفتان مبينتان فيما تبينانه لكيفية الحكومة، أي لوجوب الاستشارة ولكون الحاكمية بيد الأكثرية، أو لكون الحاكم أحدهم بشرط انضمام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فالأدلة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التقليد والحكومة والشورى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تتسلسل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w:t>
      </w:r>
      <w:r>
        <w:rPr>
          <w:rStyle w:val="FootnoteAnchor"/>
          <w:rtl w:val="true"/>
        </w:rPr>
        <w:footnoteReference w:id="1145"/>
      </w:r>
      <w:r>
        <w:rPr>
          <w:rFonts w:ascii="Amiri" w:hAnsi="Amiri" w:eastAsia="Amiri" w:cs="Amiri"/>
          <w:color w:val="111111"/>
          <w:sz w:val="28"/>
          <w:sz w:val="28"/>
          <w:szCs w:val="28"/>
          <w:rtl w:val="true"/>
          <w:lang w:bidi="ar-SA"/>
        </w:rPr>
        <w:t>لزوم اتباع الخبير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وأدلة الحكومة</w:t>
      </w:r>
      <w:r>
        <w:rPr>
          <w:rStyle w:val="FootnoteAnchor"/>
          <w:rtl w:val="true"/>
        </w:rPr>
        <w:footnoteReference w:id="1146"/>
      </w:r>
      <w:r>
        <w:rPr>
          <w:rFonts w:ascii="Amiri" w:hAnsi="Amiri" w:eastAsia="Amiri" w:cs="Amiri"/>
          <w:color w:val="111111"/>
          <w:sz w:val="28"/>
          <w:sz w:val="28"/>
          <w:szCs w:val="28"/>
          <w:rtl w:val="true"/>
          <w:lang w:bidi="ar-SA"/>
        </w:rPr>
        <w:t>بناءً على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اتباع 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 الحكم، وقد سبق أنها حاكمةعليها</w:t>
      </w:r>
      <w:r>
        <w:rPr>
          <w:rStyle w:val="FootnoteAnchor"/>
          <w:rtl w:val="true"/>
        </w:rPr>
        <w:footnoteReference w:id="1147"/>
      </w:r>
      <w:r>
        <w:rPr>
          <w:rFonts w:ascii="Amiri" w:hAnsi="Amiri" w:eastAsia="Amiri" w:cs="Amiri"/>
          <w:color w:val="111111"/>
          <w:sz w:val="28"/>
          <w:sz w:val="28"/>
          <w:szCs w:val="28"/>
          <w:rtl w:val="true"/>
          <w:lang w:bidi="ar-SA"/>
        </w:rPr>
        <w:t>لكونها ناظرة إليها، أو أنها مخصصة لأنها أخص منها مطلقاً، ووجه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كونها</w:t>
      </w:r>
      <w:r>
        <w:rPr>
          <w:rStyle w:val="FootnoteAnchor"/>
          <w:rtl w:val="true"/>
        </w:rPr>
        <w:footnoteReference w:id="1148"/>
      </w:r>
      <w:r>
        <w:rPr>
          <w:rFonts w:ascii="Amiri" w:hAnsi="Amiri" w:eastAsia="Amiri" w:cs="Amiri"/>
          <w:color w:val="111111"/>
          <w:sz w:val="28"/>
          <w:sz w:val="28"/>
          <w:szCs w:val="28"/>
          <w:rtl w:val="true"/>
          <w:lang w:bidi="ar-SA"/>
        </w:rPr>
        <w:t>ناظرة لها ومفسرة ومبينة لحدود المراد منها، وإما للزوم اللغوية في تشريعها لولا ذلك، وإما لكونها متعرضة لما لا تتعرض له أدلة التقليد من حيثياتها، على حسب المباني الثلاثة في تعريف الحكومة، فتأمل</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انعقاد الإجماع على تقدم الحكم على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1150"/>
      </w:r>
      <w:r>
        <w:rPr>
          <w:rFonts w:ascii="Amiri" w:hAnsi="Amiri" w:eastAsia="Amiri" w:cs="Amiri"/>
          <w:color w:val="111111"/>
          <w:sz w:val="28"/>
          <w:sz w:val="28"/>
          <w:szCs w:val="28"/>
          <w:rtl w:val="true"/>
          <w:lang w:bidi="ar-SA"/>
        </w:rPr>
        <w:t>مع الحكومة من وجه،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الضرورة الداعية لتشكيل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توقف نظام النوع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المقتضية لنفوذ حكم الحاكم، فرداً كان أو جماعة وهيئة، وإلاّ للزم نقض الغرض، إضافة إلى الأولوية من باب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أدلة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ناطقة بأن على الحاكم أن يستشير ويتبع الأكثرية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الحكومة وأدلة الشورى تفيدان جميعاً</w:t>
      </w:r>
      <w:r>
        <w:rPr>
          <w:rStyle w:val="FootnoteAnchor"/>
          <w:rtl w:val="true"/>
        </w:rPr>
        <w:footnoteReference w:id="1151"/>
      </w:r>
      <w:r>
        <w:rPr>
          <w:rFonts w:ascii="Amiri" w:hAnsi="Amiri" w:eastAsia="Amiri" w:cs="Amiri"/>
          <w:color w:val="111111"/>
          <w:sz w:val="28"/>
          <w:sz w:val="28"/>
          <w:szCs w:val="28"/>
          <w:rtl w:val="true"/>
          <w:lang w:bidi="ar-SA"/>
        </w:rPr>
        <w:t xml:space="preserve">أن الحكومة </w:t>
      </w:r>
      <w:bookmarkStart w:id="812" w:name="pg8204_101326"/>
    </w:p>
    <w:p>
      <w:pPr>
        <w:pStyle w:val="BookText"/>
        <w:rPr/>
      </w:pPr>
      <w:bookmarkEnd w:id="812"/>
      <w:r>
        <w:rPr>
          <w:rFonts w:ascii="Amiri" w:hAnsi="Amiri" w:eastAsia="Amiri" w:cs="Amiri"/>
          <w:color w:val="111111"/>
          <w:sz w:val="28"/>
          <w:sz w:val="28"/>
          <w:szCs w:val="28"/>
          <w:rtl w:val="true"/>
          <w:lang w:bidi="ar-SA"/>
        </w:rPr>
        <w:t>لكل الفقهاء لا لأحدهم، أو لأحدهم مشروطاً بإمضاء الأكثرية، على ما فصلناه عند الاستدلال بالروايات</w:t>
      </w:r>
      <w:r>
        <w:rPr>
          <w:rStyle w:val="FootnoteAnchor"/>
          <w:rtl w:val="true"/>
        </w:rPr>
        <w:footnoteReference w:id="1152"/>
      </w:r>
      <w:r>
        <w:rPr>
          <w:rFonts w:ascii="Amiri" w:hAnsi="Amiri" w:eastAsia="Amiri" w:cs="Amiri"/>
          <w:color w:val="111111"/>
          <w:sz w:val="28"/>
          <w:sz w:val="28"/>
          <w:szCs w:val="28"/>
          <w:rtl w:val="true"/>
          <w:lang w:bidi="ar-SA"/>
        </w:rPr>
        <w:t>وفي مواضع أخرى،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قلنا بشمول أدلة التقليد وحجية رأي الفقيه للموضوعات، كما هو مقتضى استنادنا في حجية رأيه إلى بناء العقلاء فيما لو كان خبيراً بها، لا فيما لو استندنا إلى الروايات والآيات، إذ ظاهرها جعل الحجية له في الأحكام فقط، ولو لكونظاهر مقام الشارع بما هو مشرع ذلك، وعلى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آرائه في الموضوعات بما هو فقيه، لا بما هو خبير، فيكون دليل التقليد على هذا الأخير أجنبياً عن دليل الحكومة، لاختصاصها بالموضوعات والشؤون العامة، وكذا عن أدلة الشورى بناءً على ظهورها في الموضوعات أو انصرافها إليها كونها القدر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أن الروايات الدالة على أن في التفرد الهلكة، وفي الشورى والاستشارة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فصلناها في فصولها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رادعة عن العمل ببناء العقلاء على اتباع الواحد فيما فيه الشورى وفي شؤون الحكومة لو فرض عمومه</w:t>
      </w:r>
      <w:r>
        <w:rPr>
          <w:rStyle w:val="FootnoteAnchor"/>
          <w:rtl w:val="true"/>
        </w:rPr>
        <w:footnoteReference w:id="1153"/>
      </w:r>
      <w:r>
        <w:rPr>
          <w:rFonts w:ascii="Amiri" w:hAnsi="Amiri" w:eastAsia="Amiri" w:cs="Amiri"/>
          <w:color w:val="111111"/>
          <w:sz w:val="28"/>
          <w:sz w:val="28"/>
          <w:szCs w:val="28"/>
          <w:rtl w:val="true"/>
          <w:lang w:bidi="ar-SA"/>
        </w:rPr>
        <w:t>حتى لهذه الصورة</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8924522_1051229030"/>
      <w:bookmarkStart w:id="814" w:name="_Toc300"/>
      <w:bookmarkEnd w:id="813"/>
      <w:r>
        <w:rPr>
          <w:rtl w:val="true"/>
        </w:rPr>
        <w:t>وأما العقل</w:t>
      </w:r>
      <w:r>
        <w:rPr>
          <w:rtl w:val="true"/>
        </w:rPr>
        <w:t>:</w:t>
      </w:r>
      <w:bookmarkEnd w:id="81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حكم بالاتباع</w:t>
      </w:r>
      <w:r>
        <w:rPr>
          <w:rStyle w:val="FootnoteAnchor"/>
          <w:rtl w:val="true"/>
        </w:rPr>
        <w:footnoteReference w:id="1154"/>
      </w:r>
      <w:r>
        <w:rPr>
          <w:rFonts w:ascii="Amiri" w:hAnsi="Amiri" w:eastAsia="Amiri" w:cs="Amiri"/>
          <w:color w:val="111111"/>
          <w:sz w:val="28"/>
          <w:sz w:val="28"/>
          <w:szCs w:val="28"/>
          <w:rtl w:val="true"/>
          <w:lang w:bidi="ar-SA"/>
        </w:rPr>
        <w:t xml:space="preserve">حتى عند التعارض ولم يحكم بالتساقط وعدم شمول دليل الحجية لكليهما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بعض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حكمه خاص بما لو لم تعارضه الأكثرية، أما لو عارضته فإنه حاكم بتقديم الأكثرية بعد تنقيح حال </w:t>
      </w:r>
      <w:bookmarkStart w:id="815" w:name="pg8204_101327"/>
    </w:p>
    <w:p>
      <w:pPr>
        <w:pStyle w:val="BookText"/>
        <w:rPr/>
      </w:pPr>
      <w:bookmarkEnd w:id="815"/>
      <w:r>
        <w:rPr>
          <w:rFonts w:ascii="Amiri" w:hAnsi="Amiri" w:eastAsia="Amiri" w:cs="Amiri"/>
          <w:color w:val="111111"/>
          <w:sz w:val="28"/>
          <w:sz w:val="28"/>
          <w:szCs w:val="28"/>
          <w:rtl w:val="true"/>
          <w:lang w:bidi="ar-SA"/>
        </w:rPr>
        <w:t>الصغرى وأن رأيها الأقرب للإصابة، وذلك لكون الأدلة معتبرة من باب الطريقية وكون رأيها هو الأقرب للواقع عقلاً وروايةً، على ما مر تفصيله، كما سبق ذكر أدلة عقلية عديدة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حكم بالتساقط، وهو غير تام لكن لعله المشهور،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مقتضى القاعدة الأولية على مبناهم، أما القاعدة الثانوية فهي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التعدية</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بالمرجحات المنصوصة، فإن منها الشهرة، أو بمطلق المرجح بناءً على التعدي عن المرجحاتالمنصوصة، والعدل منه إن لم يكن من المنصوصة، لكننا في غنى عن طرق هذا الباب للاكتفاء بصريح حكم العقل بأن التساقط إنما هو مع 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به حينئذٍ ولم نقل بالتخيير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وجود المرجح لأحد الطرفين فهو الراجح المتعين الأخذ به والآخر الساقط</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8924524_1051229030"/>
      <w:bookmarkStart w:id="817" w:name="_Toc301"/>
      <w:bookmarkEnd w:id="816"/>
      <w:r>
        <w:rPr>
          <w:rtl w:val="true"/>
        </w:rPr>
        <w:t>وأما الآيات</w:t>
      </w:r>
      <w:r>
        <w:rPr>
          <w:rtl w:val="true"/>
        </w:rPr>
        <w:t>:</w:t>
      </w:r>
      <w:bookmarkEnd w:id="817"/>
    </w:p>
    <w:p>
      <w:pPr>
        <w:pStyle w:val="BookText"/>
        <w:rPr/>
      </w:pPr>
      <w:r>
        <w:rPr>
          <w:rFonts w:ascii="Amiri" w:hAnsi="Amiri" w:eastAsia="Amiri" w:cs="Amiri"/>
          <w:color w:val="111111"/>
          <w:sz w:val="28"/>
          <w:sz w:val="28"/>
          <w:szCs w:val="28"/>
          <w:rtl w:val="true"/>
          <w:lang w:bidi="ar-SA"/>
        </w:rPr>
        <w:t>فأوضحها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الذكر</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وَما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وآية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باختصاصها وظهورها أو انصرافها</w:t>
      </w:r>
      <w:r>
        <w:rPr>
          <w:rStyle w:val="FootnoteAnchor"/>
          <w:rtl w:val="true"/>
        </w:rPr>
        <w:footnoteReference w:id="1158"/>
      </w:r>
      <w:r>
        <w:rPr>
          <w:rFonts w:ascii="Amiri" w:hAnsi="Amiri" w:eastAsia="Amiri" w:cs="Amiri"/>
          <w:color w:val="111111"/>
          <w:sz w:val="28"/>
          <w:sz w:val="28"/>
          <w:szCs w:val="28"/>
          <w:rtl w:val="true"/>
          <w:lang w:bidi="ar-SA"/>
        </w:rPr>
        <w:t xml:space="preserve">إلى المحمولات الشرعية </w:t>
      </w:r>
    </w:p>
    <w:p>
      <w:pPr>
        <w:pStyle w:val="BookText"/>
        <w:rPr/>
      </w:pPr>
      <w:r>
        <w:rPr>
          <w:rFonts w:ascii="Amiri" w:hAnsi="Amiri" w:eastAsia="Amiri" w:cs="Amiri"/>
          <w:color w:val="111111"/>
          <w:sz w:val="28"/>
          <w:sz w:val="28"/>
          <w:szCs w:val="28"/>
          <w:rtl w:val="true"/>
          <w:lang w:bidi="ar-SA"/>
        </w:rPr>
        <w:t>والأمور الاعتقادية، فتكون أجنبية عن دائرة الشورى في الحكم وهي الموضوعات العامة</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أعم، فتكون حينئذٍ النسبة بينها وبين أدلة الشورى هي العموم والخصوص المطلق، فتكون مقدمة عليها ومخصصة لها، وذلك لظهور أو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 في الأمر</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إلى الموضوعات إذ لا ريب في عدم معرفة الناس بملاكات الأحكام وتزاحماتها ومقتضياتها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الإرجاع إليهم في جعل الأحكام، كما فصلنا ذلك في موضع آخر،ولعدم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الأحكام، إذ هو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يدعى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اسئلوا أهل الذكر</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xml:space="preserve">وشبهها شاملة للموضوعات والأحكام والعقائد،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w:t>
      </w:r>
      <w:r>
        <w:rPr>
          <w:rStyle w:val="FootnoteAnchor"/>
          <w:rtl w:val="true"/>
        </w:rPr>
        <w:footnoteReference w:id="116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شورى</w:t>
      </w:r>
      <w:r>
        <w:rPr>
          <w:rFonts w:eastAsia="IRNazanin" w:cs="IRNazanin"/>
          <w:color w:val="111111"/>
          <w:sz w:val="28"/>
          <w:szCs w:val="28"/>
          <w:rtl w:val="true"/>
          <w:lang w:bidi="fa-IR"/>
        </w:rPr>
        <w:t>)</w:t>
      </w:r>
      <w:r>
        <w:rPr>
          <w:rStyle w:val="FootnoteAnchor"/>
          <w:rtl w:val="true"/>
        </w:rPr>
        <w:footnoteReference w:id="1164"/>
      </w:r>
      <w:r>
        <w:rPr>
          <w:rFonts w:ascii="Amiri" w:hAnsi="Amiri" w:eastAsia="Amiri" w:cs="Amiri"/>
          <w:color w:val="111111"/>
          <w:sz w:val="28"/>
          <w:sz w:val="28"/>
          <w:szCs w:val="28"/>
          <w:rtl w:val="true"/>
          <w:lang w:bidi="ar-SA"/>
        </w:rPr>
        <w:t xml:space="preserve">شاملة للموضوعات والأحكام، باعتبار صحة إضافة الحكم لله لكونه جاعله، وللإنسان لكونه القابل والمتعلق له، فيصدق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عليهم، حيث يضاف الأمر للفاعل ولموضوعه، أي من تعلق به، وحيث إن الشورى ليست في جعل الحكم الشرعي بالبداهة فتكون في استكشافه، بأن تتشكل لجنة من الفقهاء مثلاً لدراسة الأدلة التي أقيمت أو يمكن أن تقام لاستنباط حكم معين ومدى صحتها، فالشورى في كشف ولكشف الطريق الموصل لأحكام الله لا فيها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هاتين الدعويين أيضاً فإن أدلة الشورى مخصصة لها أيضاً، </w:t>
      </w:r>
      <w:bookmarkStart w:id="818" w:name="pg8204_101329"/>
    </w:p>
    <w:p>
      <w:pPr>
        <w:pStyle w:val="BookText"/>
        <w:rPr/>
      </w:pPr>
      <w:bookmarkEnd w:id="818"/>
      <w:r>
        <w:rPr>
          <w:rFonts w:ascii="Amiri" w:hAnsi="Amiri" w:eastAsia="Amiri" w:cs="Amiri"/>
          <w:color w:val="111111"/>
          <w:sz w:val="28"/>
          <w:sz w:val="28"/>
          <w:szCs w:val="28"/>
          <w:rtl w:val="true"/>
          <w:lang w:bidi="ar-SA"/>
        </w:rPr>
        <w:t>لأنها مع ذلك أخص</w:t>
      </w:r>
      <w:r>
        <w:rPr>
          <w:rStyle w:val="FootnoteAnchor"/>
          <w:rtl w:val="true"/>
        </w:rPr>
        <w:footnoteReference w:id="1165"/>
      </w:r>
      <w:r>
        <w:rPr>
          <w:rFonts w:ascii="Amiri" w:hAnsi="Amiri" w:eastAsia="Amiri" w:cs="Amiri"/>
          <w:color w:val="111111"/>
          <w:sz w:val="28"/>
          <w:sz w:val="28"/>
          <w:szCs w:val="28"/>
          <w:rtl w:val="true"/>
          <w:lang w:bidi="ar-SA"/>
        </w:rPr>
        <w:t>إن لم تكن 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سبق الإشكال في الدعوى الأولى، وكما لا يخفى البعد في الدعوة الثانية، فإنها بعيدة عن الأذهان العرفية تماماً،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تساوي الطرفين</w:t>
      </w:r>
      <w:r>
        <w:rPr>
          <w:rStyle w:val="FootnoteAnchor"/>
          <w:rtl w:val="true"/>
        </w:rPr>
        <w:footnoteReference w:id="1166"/>
      </w:r>
      <w:r>
        <w:rPr>
          <w:rFonts w:ascii="Amiri" w:hAnsi="Amiri" w:eastAsia="Amiri" w:cs="Amiri"/>
          <w:color w:val="111111"/>
          <w:sz w:val="28"/>
          <w:sz w:val="28"/>
          <w:szCs w:val="28"/>
          <w:rtl w:val="true"/>
          <w:lang w:bidi="ar-SA"/>
        </w:rPr>
        <w:t>كانت أدلة الشورى حاكمة على ما بيناه في موضع آخر، وفي خصوص الآيتين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أحداهما أجنبي عن الأخرى، إذ آية الذكر تفيد السؤال لتحصيل العلم حتى لو فرض إرادة الموضوعات منها أو كان المراد الأعم، فكيف لو كانت خاصة بالأحكام، وآية الشورى تفيد المشورة للعمل، فالموضوعان والغايتان متباينتان مختلفتان تماماً، إذ مآلهما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تشاور لتعمل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8924526_1051229030"/>
      <w:bookmarkStart w:id="820" w:name="_Toc302"/>
      <w:bookmarkEnd w:id="819"/>
      <w:r>
        <w:rPr>
          <w:rtl w:val="true"/>
        </w:rPr>
        <w:t>وأما الروايات</w:t>
      </w:r>
      <w:r>
        <w:rPr>
          <w:rtl w:val="true"/>
        </w:rPr>
        <w:t>:</w:t>
      </w:r>
      <w:bookmarkEnd w:id="820"/>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في الاختصاص بغير الموضوعات، كرواية الحسن بن علي بن يقطين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ورواية علي بن المسيب الهمداني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وحسنة عبد العزيز بن المهتدي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لأبان بن تغلب، وذلك لظهور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وكذا صحيحة أحمد بن إسحاق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أدلة الشورى بالموضوعات فلا تعارض بين </w:t>
      </w:r>
    </w:p>
    <w:p>
      <w:pPr>
        <w:pStyle w:val="BookText"/>
        <w:rPr/>
      </w:pPr>
      <w:r>
        <w:rPr>
          <w:rFonts w:ascii="Amiri" w:hAnsi="Amiri" w:eastAsia="Amiri" w:cs="Amiri"/>
          <w:color w:val="111111"/>
          <w:sz w:val="28"/>
          <w:sz w:val="28"/>
          <w:szCs w:val="28"/>
          <w:rtl w:val="true"/>
          <w:lang w:bidi="ar-SA"/>
        </w:rPr>
        <w:t>الطائفتين، لأجنبية كل منهما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بعمومية أدلة الشورى للأحكام والموضوعات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روايات التقليد مخصصة لروايات الشورى فتختص بالموضوعات، ولا مجال حينئذٍ للقول بالحكومة</w:t>
      </w:r>
      <w:r>
        <w:rPr>
          <w:rStyle w:val="FootnoteAnchor"/>
          <w:rtl w:val="true"/>
        </w:rPr>
        <w:footnoteReference w:id="1167"/>
      </w:r>
      <w:r>
        <w:rPr>
          <w:rFonts w:ascii="Amiri" w:hAnsi="Amiri" w:eastAsia="Amiri" w:cs="Amiri"/>
          <w:color w:val="111111"/>
          <w:sz w:val="28"/>
          <w:sz w:val="28"/>
          <w:szCs w:val="28"/>
          <w:rtl w:val="true"/>
          <w:lang w:bidi="ar-SA"/>
        </w:rPr>
        <w:t>كما قلنا بها في السابق،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بظاهره الموضوعات والأحكام، كالتوقيع المروي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من أدلة التقليد ولم نقل بظهوره عرفاً في خصوص الموضوعات، أو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بخصوص المحمولات كما ارتآه بعض، وقد مر تفصيل الحديث عن ذلك في محله،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أدلة الشورى بالموضوعات كانت مخصصة له إن لم نقل بالحاكمية، ولو قيل بالعمومية التزمنا بالحاكمية، فيكون حاصل أدلة التقليد وأدلة الشورى، بناءً على عمومهما معاً للأحكام والموضوعات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الرجوع لأهل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حاصل أدلة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كون ذلك بالرجوع إلى أكثريتهم ومشهورهم لا لأحدهم، ولكن سبق أن ظاهر أدلة الشورى أو منصرفها الموضوعات أو خصوص العامة منها، وظاهر أدلة التقليد أو منصرفها هو الأحكام، فلسنا بحاجة حتى إلى تكلف الجمع بحمل أدلة الشورى على الموضوعات وتلك على المحمولات، 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التوقيع بخصوص الأحكام كما ذهب إليه جمع، فحكمه حكم الطائفة السابقة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باستفادة حجية رأي الأكثرية ولزوم الشورى من نفس التوقيع المبارك، كما فصلناه في فصل الروايات، فلا مجال لتوهم التنافي بين أدلة الشورى </w:t>
      </w:r>
      <w:bookmarkStart w:id="821" w:name="pg8204_101331"/>
    </w:p>
    <w:p>
      <w:pPr>
        <w:pStyle w:val="BookText"/>
        <w:rPr/>
      </w:pPr>
      <w:bookmarkEnd w:id="821"/>
      <w:r>
        <w:rPr>
          <w:rFonts w:ascii="Amiri" w:hAnsi="Amiri" w:eastAsia="Amiri" w:cs="Amiri"/>
          <w:color w:val="111111"/>
          <w:sz w:val="28"/>
          <w:sz w:val="28"/>
          <w:szCs w:val="28"/>
          <w:rtl w:val="true"/>
          <w:lang w:bidi="ar-SA"/>
        </w:rPr>
        <w:t>وهذا التوقيع كما لا يخفى، إذ يكون من صغرياتها</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2" w:name="__RefHeading___Toc8924528_1051229030"/>
      <w:bookmarkStart w:id="823" w:name="_Toc303"/>
      <w:bookmarkEnd w:id="822"/>
      <w:r>
        <w:rPr>
          <w:rtl w:val="true"/>
        </w:rPr>
        <w:t>وأما السيرة</w:t>
      </w:r>
      <w:r>
        <w:rPr>
          <w:rtl w:val="true"/>
        </w:rPr>
        <w:t>:</w:t>
      </w:r>
      <w:bookmarkEnd w:id="823"/>
    </w:p>
    <w:p>
      <w:pPr>
        <w:pStyle w:val="BookText"/>
        <w:rPr/>
      </w:pPr>
      <w:r>
        <w:rPr>
          <w:rFonts w:ascii="Amiri" w:hAnsi="Amiri" w:eastAsia="Amiri" w:cs="Amiri"/>
          <w:color w:val="111111"/>
          <w:sz w:val="28"/>
          <w:sz w:val="28"/>
          <w:szCs w:val="28"/>
          <w:rtl w:val="true"/>
          <w:lang w:bidi="ar-SA"/>
        </w:rPr>
        <w:t>حيث يقال بأن السيرة على اتباع الواحد وأن اتباع المتعدد أو الأكثرية خلاف السيرة،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سيرة في الموضوعات العامة على اتباع الفقيه الواحد ومطلق الخبير الواحد فيما لو عارضته أكثرية الخبراء وعُلم ذلك، أو لا إحراز لذلك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تحقق الموضوع لا مجال لدعوى السيرة على هذا الطرف أو ذاك، إذ لم تقع السلطة إلاّ نادراً بأيدي الفقهاء، فكيف يدعى بأن السيرة على اتباع الواحد؟، وهذا كالقول بكون ركوب الطائرة أو مراجعة البنك خلاف السيرة، إذ فيه أن عدم السيرة من باب السالبة بانتفاء الموضوع، وأما تحقق بعض المصاديق فإنه لا تتحقق به السيرة، إضافة إلى عدم اتصالها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 السيرة في الشؤون العامة مما يرتبط بالحكم، على اتباع الواحد رغم معارضة الأكثرية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ليستحجة، لقوة احتمال أن تكون السيرة على اتباع الفقيه الحاكم الواحد أو غيره ناشئة من الاضطرار أو الخوف من المعارضة أو الجهل بأن لهم غير ذلك، أو غير ذلك، ومع ذاك الاحتمال لا يمكن استكشاف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إضافة إلى احتمال كونها ناشئة من قلة الاهتمام، نظير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w:t>
      </w:r>
      <w:bookmarkStart w:id="824" w:name="pg8204_101332"/>
    </w:p>
    <w:p>
      <w:pPr>
        <w:pStyle w:val="BookText"/>
        <w:rPr/>
      </w:pPr>
      <w:bookmarkEnd w:id="824"/>
      <w:r>
        <w:rPr>
          <w:rFonts w:ascii="Amiri" w:hAnsi="Amiri" w:eastAsia="Amiri" w:cs="Amiri"/>
          <w:color w:val="111111"/>
          <w:sz w:val="28"/>
          <w:sz w:val="28"/>
          <w:szCs w:val="28"/>
          <w:rtl w:val="true"/>
          <w:lang w:bidi="ar-SA"/>
        </w:rPr>
        <w:t>المعاطاتي خاصة مع ملاحظة معارضتها للدليل،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السيرة على الشورى على فرضها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فرض تحقق الموضوع لها، ومع ذلك لم تكن السيرة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دليل حرمتها، بل هو دليل عدم الوجوب، بل لا يدل ذلك على أكثر من عدم الوجوب التعييني لاتباع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فرض تحققها في المقام والالتزام بحجيتها كبرىً، ليست بحجة ههنا، لمعارضتها بالأدلة الكثيرة التي أقيمت على خلافها، فلتراجع</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8924530_1051229030"/>
      <w:bookmarkStart w:id="826" w:name="_Toc304"/>
      <w:bookmarkEnd w:id="825"/>
      <w:r>
        <w:rPr>
          <w:rtl w:val="true"/>
        </w:rPr>
        <w:t>وأما الإجماع</w:t>
      </w:r>
      <w:r>
        <w:rPr>
          <w:rtl w:val="true"/>
        </w:rPr>
        <w:t>:</w:t>
      </w:r>
      <w:bookmarkEnd w:id="82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محتمل الاستناد، بل مستند إلى الأدلة الكثيرة على جواز التقليد بالمعنى الأعم، ثم إنه على فرض حجيته فهو لبّي، قدره المتيقن في غير صورة التعارض مطلقاً، أو في غير صورة معارضة المشهور والأكثرية وانعقاد الشورى على غير ما أدى إليه رأي المقلَّد في الشأن العام، هذا مع قطع النظر عما سبق من أن أدلة التقليد بالمعنى الأخص خاصة بالأحكام، بل حتى لو كان له معقد مطلق فهو مخصص بالأدلة التي سبقت، والله العالم</w:t>
      </w:r>
      <w:r>
        <w:rPr>
          <w:rFonts w:eastAsia="Amiri" w:cs="Amiri" w:ascii="Amiri" w:hAnsi="Amiri"/>
          <w:color w:val="111111"/>
          <w:sz w:val="28"/>
          <w:szCs w:val="28"/>
          <w:rtl w:val="true"/>
          <w:lang w:bidi="ar-SA"/>
        </w:rPr>
        <w:t xml:space="preserve">. </w:t>
      </w:r>
      <w:bookmarkStart w:id="827" w:name="pg8204_101333"/>
    </w:p>
    <w:p>
      <w:pPr>
        <w:pStyle w:val="Heading2"/>
        <w:numPr>
          <w:ilvl w:val="1"/>
          <w:numId w:val="1"/>
        </w:numPr>
        <w:rPr/>
      </w:pPr>
      <w:bookmarkStart w:id="828" w:name="__RefHeading___Toc8924532_1051229030"/>
      <w:bookmarkStart w:id="829" w:name="_Toc305"/>
      <w:bookmarkEnd w:id="827"/>
      <w:bookmarkEnd w:id="828"/>
      <w:r>
        <w:rPr>
          <w:rtl w:val="true"/>
        </w:rPr>
        <w:t>الباب الثاني</w:t>
      </w:r>
      <w:bookmarkEnd w:id="829"/>
    </w:p>
    <w:p>
      <w:pPr>
        <w:pStyle w:val="Heading3"/>
        <w:numPr>
          <w:ilvl w:val="2"/>
          <w:numId w:val="1"/>
        </w:numPr>
        <w:rPr/>
      </w:pPr>
      <w:bookmarkStart w:id="830" w:name="__RefHeading___Toc8924534_1051229030"/>
      <w:bookmarkStart w:id="831" w:name="_Toc306"/>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8924536_1051229030"/>
      <w:bookmarkStart w:id="833" w:name="_Toc307"/>
      <w:bookmarkEnd w:id="832"/>
      <w:r>
        <w:rPr>
          <w:rtl w:val="true"/>
        </w:rPr>
        <w:t>الفصل الأول</w:t>
      </w:r>
      <w:r>
        <w:rPr>
          <w:rtl w:val="true"/>
        </w:rPr>
        <w:t xml:space="preserve">: </w:t>
      </w:r>
      <w:r>
        <w:rPr>
          <w:rtl w:val="true"/>
        </w:rPr>
        <w:t>في الاستدلال على مسائل سبع وهي</w:t>
      </w:r>
      <w:r>
        <w:rPr>
          <w:rtl w:val="true"/>
        </w:rPr>
        <w:t>:</w:t>
      </w:r>
      <w:bookmarkEnd w:id="833"/>
    </w:p>
    <w:p>
      <w:pPr>
        <w:pStyle w:val="Heading4"/>
        <w:numPr>
          <w:ilvl w:val="3"/>
          <w:numId w:val="1"/>
        </w:numPr>
        <w:rPr/>
      </w:pPr>
      <w:bookmarkStart w:id="834" w:name="__RefHeading___Toc8924538_1051229030"/>
      <w:bookmarkStart w:id="835" w:name="_Toc308"/>
      <w:bookmarkEnd w:id="834"/>
      <w:r>
        <w:rPr>
          <w:rtl w:val="true"/>
        </w:rPr>
        <w:t>اشارة</w:t>
      </w:r>
      <w:bookmarkEnd w:id="8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ردع المانع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سعي المشير لتطبيق محتواها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طلبها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على طبقها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عن صحة الرأي</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6" w:name="pg8204_101335"/>
      <w:bookmarkStart w:id="837" w:name="pg8204_101335"/>
      <w:bookmarkEnd w:id="837"/>
    </w:p>
    <w:p>
      <w:pPr>
        <w:pStyle w:val="Heading4"/>
        <w:numPr>
          <w:ilvl w:val="3"/>
          <w:numId w:val="1"/>
        </w:numPr>
        <w:rPr/>
      </w:pPr>
      <w:bookmarkStart w:id="838" w:name="pg8204_101335"/>
      <w:bookmarkStart w:id="839" w:name="__RefHeading___Toc8924540_1051229030"/>
      <w:bookmarkStart w:id="840" w:name="_Toc309"/>
      <w:bookmarkEnd w:id="838"/>
      <w:bookmarkEnd w:id="839"/>
      <w:r>
        <w:rPr>
          <w:rtl w:val="true"/>
        </w:rPr>
        <w:t>في وجوب الإشارة وحرمة المنع ووجوب ردع المانع ومسائل أخرى</w:t>
      </w:r>
      <w:bookmarkEnd w:id="840"/>
    </w:p>
    <w:p>
      <w:pPr>
        <w:pStyle w:val="BookText"/>
        <w:rPr/>
      </w:pPr>
      <w:r>
        <w:rPr>
          <w:rFonts w:ascii="Amiri" w:hAnsi="Amiri" w:eastAsia="Amiri" w:cs="Amiri"/>
          <w:color w:val="111111"/>
          <w:sz w:val="28"/>
          <w:sz w:val="28"/>
          <w:szCs w:val="28"/>
          <w:rtl w:val="true"/>
          <w:lang w:bidi="ar-SA"/>
        </w:rPr>
        <w:t>ههنا مسائل وأحكام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الإشارة، عدم جواز منع المشير منها، وجوب ردع الأمة مانعها، وجوب سعي المشير لتطبيق محتواها، وجوب طلبها، وجوب العمل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سابقة رتبة على بعض المسائل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عن صحة رأي وتشخيص وموقف الفقيه من الحوادث الواقعة، أو عدم الصحة قصوراً أو تقصيراً بما ينافي العدالة أو لا</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ويمكن أن يستدل لذلك بأدلة عديدة</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8924542_1051229030"/>
      <w:bookmarkStart w:id="842" w:name="_Toc310"/>
      <w:bookmarkEnd w:id="841"/>
      <w:r>
        <w:rPr>
          <w:rtl w:val="true"/>
        </w:rPr>
        <w:t>الدليل الأول</w:t>
      </w:r>
      <w:r>
        <w:rPr>
          <w:rtl w:val="true"/>
        </w:rPr>
        <w:t xml:space="preserve">: </w:t>
      </w:r>
      <w:r>
        <w:rPr>
          <w:rtl w:val="true"/>
        </w:rPr>
        <w:t>إنها من مصاديق الأمر بالمعروف والنهي عن المنكر و</w:t>
      </w:r>
      <w:r>
        <w:rPr>
          <w:rtl w:val="true"/>
        </w:rPr>
        <w:t>...</w:t>
      </w:r>
      <w:bookmarkEnd w:id="842"/>
    </w:p>
    <w:p>
      <w:pPr>
        <w:pStyle w:val="Heading5"/>
        <w:numPr>
          <w:ilvl w:val="4"/>
          <w:numId w:val="1"/>
        </w:numPr>
        <w:rPr/>
      </w:pPr>
      <w:bookmarkStart w:id="843" w:name="__RefHeading___Toc8924544_1051229030"/>
      <w:bookmarkStart w:id="844" w:name="_Toc311"/>
      <w:bookmarkEnd w:id="843"/>
      <w:r>
        <w:rPr>
          <w:rtl w:val="true"/>
        </w:rPr>
        <w:t>اشارة</w:t>
      </w:r>
      <w:bookmarkEnd w:id="84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من 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الجاهل والضال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bookmarkStart w:id="845" w:name="pg8204_101336"/>
    </w:p>
    <w:p>
      <w:pPr>
        <w:pStyle w:val="Heading5"/>
        <w:numPr>
          <w:ilvl w:val="4"/>
          <w:numId w:val="1"/>
        </w:numPr>
        <w:rPr/>
      </w:pPr>
      <w:bookmarkStart w:id="846" w:name="__RefHeading___Toc8924546_1051229030"/>
      <w:bookmarkStart w:id="847" w:name="_Toc312"/>
      <w:bookmarkEnd w:id="845"/>
      <w:bookmarkEnd w:id="846"/>
      <w:r>
        <w:rPr>
          <w:rtl w:val="true"/>
        </w:rPr>
        <w:t>إشارة للأدلة على الكبرى</w:t>
      </w:r>
      <w:bookmarkEnd w:id="847"/>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فواضحة، إذ يدل عليها صريح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وآيات أخرى كثيرة، إضافة إلى متواتر الروايات والعقل والإجماع، بل قد يدعى ضرورة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الثابت أن وجوب واستحباب الدعوة والأمر والنهي والإرشاد والحفظ والتحذير تابع لوجوب أو استحباب المتعلق، وكذا في الإباحة والكراهة والحرمة ما لم يطرء عنوان ثانوي، اللهم إلاّ في الحفظ، فقد يقال بوجوب حفظ الحدود مطلقاً، وضعية كانت أو تكليفية بأقسامه الخمسة، فتأمل</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وَرَسُولَهُ وَيَتَعَدَّ حُدُودَهُ يُدْخِلْهُ ناراً خالِداً فِيها وَلَهُ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وليس تعدي حدود الله مختصاً بشيء معين، بل كل ما حدّه الله مشمول للآية، فمن جلس على مسند الخلافة بغير حق فقد تعدى حدّ الله، ومن أكل في دار من ذكرتهم الآية كان في حدّ الله، ومالكية الزوج لنصف ما تركته الزوجة إن لم يكن لها ولد من حدود الله، وحقه في الرجوع إليها في العدة الرجعية من حدود الله، وحق التحجير من حدوده،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لم يحب على الدين ولم يبغض على الدين فلا دين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دان بولاية إمام جائر ليس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حدوده، وهكذا،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الشريف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لكل شيء حداً وجعل عليه دليلاً يدل عليه وجعل على من تعدى ذلك الحد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حد كحدود داري هذه، فما كان في الطريق فهو من الطريق وما كان في الدار فهو من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التأمل يتضح بملاحظة هذا الحديث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أنا أقول إنه ليس شيء مما خلق الله صغيراً وكبيراً إلا وقد جعل الله له حداً، إذا جوز به ذلك الحد فقد تعدى حد الله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مائدتك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اسم الله حين توضع، وتحمد الله حين ترفع وتقم ما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أريد من الحفظ حفظه عن الاندثار وعن أن يطمس ويمحى وجب،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للحد،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مخصصاً بحدّ معين من حدود الله، بل يشمل كافة الحدود، لكونه جمعاً مضافاً وهو مفيد للعموم، ولا ريب في دلالته على ذلك عرفاً، فتولية الخلافة لمن هو أهل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 الله الواجب على الأمة حفظها، والعدل شخصياً كان أو نوعياً حد واجب الحفظ، وجهاد المشركين حد وهكذا وهلم جراً، وهل ظاهره وجوب حفظ كل واحد لكل واحد من الحدود، أو الحفظ المجموع للمجموع؟ الظاهر الثاني كما لو أمر الجيش بالمرابطة على ثغرات الحصن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وحفظ كل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بحسبه، فحفظالدين مثلاً بالدعوة الحسنة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xml:space="preserve">، وبجهاد العدو وبحفظ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 عنه، ثم بحفظ رواة حديثه وبنصب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848" w:name="pg8204_101338"/>
    </w:p>
    <w:p>
      <w:pPr>
        <w:pStyle w:val="BookText"/>
        <w:rPr/>
      </w:pPr>
      <w:bookmarkEnd w:id="84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 وفي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المستحفظون لدين الله هم الذين أقاموا الدين ونصروه وحاطوه من جميع جوانبه وحفظوه على عباد الله ورعوه</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من قواعد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اليقين، ونصح المسلمين، وإقامة الصلاة، وإيتاء الزكاة، وحج البيت،والزهد في الدنيا</w:t>
      </w:r>
      <w:r>
        <w:rPr>
          <w:rFonts w:eastAsia="Amiri" w:cs="Amiri" w:ascii="Amiri" w:hAnsi="Amiri"/>
          <w:color w:val="111111"/>
          <w:sz w:val="28"/>
          <w:szCs w:val="28"/>
          <w:rtl w:val="true"/>
          <w:lang w:bidi="ar-SA"/>
        </w:rPr>
        <w:t>).</w:t>
      </w:r>
      <w:r>
        <w:rPr>
          <w:rStyle w:val="FootnoteAnchor"/>
          <w:rtl w:val="true"/>
        </w:rPr>
        <w:footnoteReference w:id="1177"/>
      </w:r>
    </w:p>
    <w:p>
      <w:pPr>
        <w:pStyle w:val="Heading5"/>
        <w:numPr>
          <w:ilvl w:val="4"/>
          <w:numId w:val="1"/>
        </w:numPr>
        <w:rPr/>
      </w:pPr>
      <w:bookmarkStart w:id="849" w:name="__RefHeading___Toc8924548_1051229030"/>
      <w:bookmarkStart w:id="850" w:name="_Toc313"/>
      <w:bookmarkEnd w:id="849"/>
      <w:r>
        <w:rPr>
          <w:rtl w:val="true"/>
        </w:rPr>
        <w:t>إشارة لكون الأحكام السبعة صغريات الأدلة السابقة</w:t>
      </w:r>
      <w:bookmarkEnd w:id="850"/>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الإشارة إلى الحاكم بسعة الصدور بالعفو عن المعارضة أو بتخفيف العقوبة من الإعدام إلى السجن مثلاً،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وَاصْفَحُوا</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 xml:space="preserve">، أو لكون العفو عنهم موجباً لقوة الإسلام وتحبيبه إلى القلوب، والعقوبة موجبة لهوان المسلمين، أو ارتداد طائفة منهم، هي دعوى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ريب</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والخير والمعروف وحدود الله وإن كانت اسماً لمعنوناتها ولمصاديقها الخارجية الواقعية لا المتوهمة، إلاّ أن ما دل على كون هذا المصداق من مصاديق ذلك العنوان لو كان ظناً معتبراً كان حجة منقحاً للموضوع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فرض كون العقوبة كذلك، بأن كان العفو يوجب مزيداً من جرأة العدو وشراسته وسبباً لانتهازه الفرصة لتجميع قواه وإعدادها لضرب المسلمين، كانت الإشارة بها أمراً بالمعروف وحفظاً 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وكذا الإشارة بالحرب أو بالصلح وبإجراء معاهدة دولية معينة وعدمه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ثبت كون ما نحن فيه صغرى لكبرى الأمر بالمعروف والنهي عن المنكر والدعوة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ثبتت المسائل الخمس جميعاً، فتجب الإشارة ولا يجوز منع المشير منها، لكونه منعاً للآمر بالمعروف والناهي عن المنكر عنهما، ووجب سعي المشير لتطبيقمحتواها لوجوب الأمر بالمعروف والنهي عن المنكر قلباً ولساناً ويداً، لكونه مصداقاً لحفظ لحدود الله، ووجب طلبها ووجب العمل على طبقها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ما ذكرناه من الأحكام الخمسة في غير المجتهد واضح، وإنكار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يلزم على العامي الائتمار بالمعروف والسؤال عنه، ولم يجب على غيره أمره به والسعي لتطبيق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لإنكار الكبرى، وليس اعتقاد العامي كون ما يفعله من المنكر معروفاً وما يتركه من المعروف منكراً مسوغاً لجواز ترك الأمر بالمعروف والنهي عن المنكر، بل يجب تنبيهه وإرشاده، ولو بقي على اعتقاده وجب الحض أو الردع العملي، ولو لم نقل بوجوب ذلك في المعاصي الشخصية كشارب الخمر أو البول جهلاً بالموضوع، وتارك الصوم جهلاً بأن هذا الوقت شهر رمضان</w:t>
      </w:r>
      <w:r>
        <w:rPr>
          <w:rStyle w:val="FootnoteAnchor"/>
          <w:rtl w:val="true"/>
        </w:rPr>
        <w:footnoteReference w:id="1181"/>
      </w:r>
      <w:r>
        <w:rPr>
          <w:rFonts w:ascii="Amiri" w:hAnsi="Amiri" w:eastAsia="Amiri" w:cs="Amiri"/>
          <w:color w:val="111111"/>
          <w:sz w:val="28"/>
          <w:sz w:val="28"/>
          <w:szCs w:val="28"/>
          <w:rtl w:val="true"/>
          <w:lang w:bidi="ar-SA"/>
        </w:rPr>
        <w:t xml:space="preserve">، لم يكن لنا مناص من القول بالوجوب في المعاصي </w:t>
      </w:r>
    </w:p>
    <w:p>
      <w:pPr>
        <w:pStyle w:val="BookText"/>
        <w:rPr/>
      </w:pPr>
      <w:r>
        <w:rPr>
          <w:rFonts w:ascii="Amiri" w:hAnsi="Amiri" w:eastAsia="Amiri" w:cs="Amiri"/>
          <w:color w:val="111111"/>
          <w:sz w:val="28"/>
          <w:sz w:val="28"/>
          <w:szCs w:val="28"/>
          <w:rtl w:val="true"/>
          <w:lang w:bidi="ar-SA"/>
        </w:rPr>
        <w:t>الاجتماعية وما يتعدى إلى الغير، فمن يريد قتل زيد المؤمن متوهماً أنه كافر، يجب الحيلولة دون ذلك، إما بتنبيهه قولاً إلى خطأه أو بتنبيه الطرف الآخر أو الدفاع عملاً</w:t>
      </w:r>
      <w:r>
        <w:rPr>
          <w:rStyle w:val="FootnoteAnchor"/>
          <w:rtl w:val="true"/>
        </w:rPr>
        <w:footnoteReference w:id="1182"/>
      </w:r>
      <w:r>
        <w:rPr>
          <w:rFonts w:ascii="Amiri" w:hAnsi="Amiri" w:eastAsia="Amiri" w:cs="Amiri"/>
          <w:color w:val="111111"/>
          <w:sz w:val="28"/>
          <w:sz w:val="28"/>
          <w:szCs w:val="28"/>
          <w:rtl w:val="true"/>
          <w:lang w:bidi="ar-SA"/>
        </w:rPr>
        <w:t>مع قطع النظر عن العناوين الثانوية، وكذا من يريد منع الناس حقوقهم بتوهم أنها له أو للدولة، كشيوعي أو متأثر بالشيوعية يرى ملكية الدولة للشركات الكبرى وللمعادن وغيرها، وذلك لكون الأحكام تابعة للعناوين الواقعية لا المتوهمة، وليس المنكر والمعروف مقيداً بكونه كذلك في نظر الفاعل والتارك</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يعلل ذلك بكونه مقدمة للواجب، إضافة إلى حكم العقلوبناء العقلاء وأهل الملل على ذلك</w:t>
      </w:r>
      <w:r>
        <w:rPr>
          <w:rStyle w:val="FootnoteAnchor"/>
          <w:rtl w:val="true"/>
        </w:rPr>
        <w:footnoteReference w:id="1183"/>
      </w:r>
      <w:r>
        <w:rPr>
          <w:rFonts w:ascii="Amiri" w:hAnsi="Amiri" w:eastAsia="Amiri" w:cs="Amiri"/>
          <w:color w:val="111111"/>
          <w:sz w:val="28"/>
          <w:sz w:val="28"/>
          <w:szCs w:val="28"/>
          <w:rtl w:val="true"/>
          <w:lang w:bidi="ar-SA"/>
        </w:rPr>
        <w:t>، وكذا يدل عليه ما دل على وجوب حفظ حدود الله، إضافة إلى أن عدم ذلك يؤدي إلى انهدام الدين</w:t>
      </w:r>
      <w:r>
        <w:rPr>
          <w:rFonts w:eastAsia="Amiri" w:cs="Amiri" w:ascii="Amiri" w:hAnsi="Amiri"/>
          <w:color w:val="111111"/>
          <w:sz w:val="28"/>
          <w:szCs w:val="28"/>
          <w:rtl w:val="true"/>
          <w:lang w:bidi="ar-SA"/>
        </w:rPr>
        <w:t xml:space="preserve">. </w:t>
      </w:r>
      <w:bookmarkStart w:id="851" w:name="pg8204_101341"/>
    </w:p>
    <w:p>
      <w:pPr>
        <w:pStyle w:val="Heading4"/>
        <w:numPr>
          <w:ilvl w:val="3"/>
          <w:numId w:val="1"/>
        </w:numPr>
        <w:rPr/>
      </w:pPr>
      <w:bookmarkStart w:id="852" w:name="__RefHeading___Toc8924550_1051229030"/>
      <w:bookmarkStart w:id="853" w:name="_Toc314"/>
      <w:bookmarkEnd w:id="851"/>
      <w:bookmarkEnd w:id="852"/>
      <w:r>
        <w:rPr>
          <w:rtl w:val="true"/>
        </w:rPr>
        <w:t>الحكم فيما لو كان الاختلاف في المعروف والمنكر اجتهادياً</w:t>
      </w:r>
      <w:bookmarkEnd w:id="853"/>
    </w:p>
    <w:p>
      <w:pPr>
        <w:pStyle w:val="Heading5"/>
        <w:numPr>
          <w:ilvl w:val="4"/>
          <w:numId w:val="1"/>
        </w:numPr>
        <w:rPr/>
      </w:pPr>
      <w:bookmarkStart w:id="854" w:name="__RefHeading___Toc8924552_1051229030"/>
      <w:bookmarkStart w:id="855" w:name="_Toc315"/>
      <w:bookmarkEnd w:id="854"/>
      <w:r>
        <w:rPr>
          <w:rtl w:val="true"/>
        </w:rPr>
        <w:t>اشارة</w:t>
      </w:r>
      <w:bookmarkEnd w:id="855"/>
    </w:p>
    <w:p>
      <w:pPr>
        <w:pStyle w:val="BookText"/>
        <w:rPr/>
      </w:pPr>
      <w:r>
        <w:rPr>
          <w:rFonts w:ascii="Amiri" w:hAnsi="Amiri" w:eastAsia="Amiri" w:cs="Amiri"/>
          <w:color w:val="111111"/>
          <w:sz w:val="28"/>
          <w:sz w:val="28"/>
          <w:szCs w:val="28"/>
          <w:rtl w:val="true"/>
          <w:lang w:bidi="ar-SA"/>
        </w:rPr>
        <w:t>وأما لو كان الاختلاف في المنكر والمعروف اجتهادياً، وكان هذا العامي مقلداً لمن يرى أن الخمسة عشرة رضعة هي المحرمة، فتزوج من ارتضعت معه ثلاث عشرة رضعة مثلاً، وذاك مجتهداً أو مقلداً لمن يرى نشرها بعشرة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وجوب النهي في هذه الصورة وأشباهها، إنما هو لدعوى انصراف أدلة النهي عن مثلها، وللسيرة، أو لما دلّ على حجية نظر الفقيه منجزاً أو معذراً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الاختلاف في الأمور العامة، كمن اجتهد أو قلّد من يرى ملكية الدولة للأنفال مثلاً، أو حرمة بعض الشعائر الحسينية مثلاً، فلا انصراف لأدلة الأمر والنهي</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وأما على ذاك المبنى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ذكر من السيرة ومن عمومات الأمر والنهي الحاكمة على أدلة التقليد لناظريتها إليها وكونها مفسرة لها، فتأمل، ولا أقل من التعارض في مادة الاجتماع والتساقط فيرجع إلى الأصل، وهو عدم مانعية رأي فقيه من وجوب الإشارة على الفقيه الآخر أو من جوازها فتأمل، إن عدم جواز العدول أو التبعيض على المقلد لا يلازم عدم جواز ردع المجتهد الآخر له لكونه يرى ما جوزه الآخر أو أوجبه منكراً وما حرمه معروفاً، وذلك لأن التفكيك بين الأحكام الظاهرية غير عزيز، فلا يكون ذلك دليلاً على خلاف ما ادعيناه، فلتدبر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بكون هذا تاماً بالنسبة للمجتهد، إذ قيام الدليل على كون آراء المجتهد الآخر ◄ ►حجة لنفسه ومقلديه مع قيامه على وجوب الأمر بالمعروف والنهي عن المنكر قد يوجبه بأحد الوجوه الثلاثة، أما بالنسبة للمجتهد ومقلده فلا، إذ تكون أدلة حجية فتواه منقحة لموضوع أدلة الأمر بالمعروف والنهي عن المنكر، فتأمل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ولو شك فالأصل العدم، والمرجععمومات وجوب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السيرة على العكس</w:t>
      </w:r>
      <w:r>
        <w:rPr>
          <w:rStyle w:val="FootnoteAnchor"/>
          <w:rtl w:val="true"/>
        </w:rPr>
        <w:footnoteReference w:id="1185"/>
      </w:r>
      <w:r>
        <w:rPr>
          <w:rFonts w:ascii="Amiri" w:hAnsi="Amiri" w:eastAsia="Amiri" w:cs="Amiri"/>
          <w:color w:val="111111"/>
          <w:sz w:val="28"/>
          <w:sz w:val="28"/>
          <w:szCs w:val="28"/>
          <w:rtl w:val="true"/>
          <w:lang w:bidi="ar-SA"/>
        </w:rPr>
        <w:t xml:space="preserve">، ولذا نجد أن بعض الفقهاء حيث كان يرى حرمة الدخول في النار في عاشوراء أو التطبير حاول التأثير على الجميع بل والمنع، والأكثر حيث رأوا جواز بل رجحان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رأى بعضهم وجوبه لكونه شعيرة من شعائر الله ولكونه رمز التشيع وبه إعزاز الحق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أفتوا بذلك، وسعوا للتنفيذ ولإقناع الجميع، وكذا الأمر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اخلتفوا اجتهاداً بين موجب ومجوز ومحرم، وحيث رآه المحرِّم منكراً يجب النهي عنه وردع حتى مقلدي الآخرين عنه، والموجب معروفاً يجب الأمر به، وحيث سعى كل لتطبيق مؤدى اجتهاده حتى في حق مقلدي الآخرين، وكذا الأمر في إباحة الغناء ولو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إخراج ما يعرض في الراديو والتلفزيون عن الغناء موضوعاً بدعوى عدم الصدق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والأمثلة كثيرة قديماً وحديثاً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شمول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xml:space="preserve">لما نحن فيه،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وعدوان في نظره، فعليه الحض والمنع، وليست معذورية الآخر وخطأه سبباً لعدم وجوب الحض والمنع على من يرى الأمر بالعكس، إذ المعذورية رافعة للعقاب</w:t>
      </w:r>
      <w:r>
        <w:rPr>
          <w:rStyle w:val="FootnoteAnchor"/>
          <w:rtl w:val="true"/>
        </w:rPr>
        <w:footnoteReference w:id="1187"/>
      </w:r>
      <w:r>
        <w:rPr>
          <w:rFonts w:ascii="Amiri" w:hAnsi="Amiri" w:eastAsia="Amiri" w:cs="Amiri"/>
          <w:color w:val="111111"/>
          <w:sz w:val="28"/>
          <w:sz w:val="28"/>
          <w:szCs w:val="28"/>
          <w:rtl w:val="true"/>
          <w:lang w:bidi="ar-SA"/>
        </w:rPr>
        <w:t xml:space="preserve">لا لوجوب أمر ونهي من يراه مخطئاً، ولا دليل على كون الأمر والنهي لدفع العقاب عن المأمور والمنهي فقط بحيث لو ارتفع ارتفع وجوبهما، فيكون كمن تصور حيواناً عن بعد غزالاً </w:t>
      </w:r>
    </w:p>
    <w:p>
      <w:pPr>
        <w:pStyle w:val="BookText"/>
        <w:rPr/>
      </w:pPr>
      <w:r>
        <w:rPr>
          <w:rFonts w:ascii="Amiri" w:hAnsi="Amiri" w:eastAsia="Amiri" w:cs="Amiri"/>
          <w:color w:val="111111"/>
          <w:sz w:val="28"/>
          <w:sz w:val="28"/>
          <w:szCs w:val="28"/>
          <w:rtl w:val="true"/>
          <w:lang w:bidi="ar-SA"/>
        </w:rPr>
        <w:t>وهو إنسان فأراد رميه</w:t>
      </w:r>
      <w:r>
        <w:rPr>
          <w:rStyle w:val="FootnoteAnchor"/>
          <w:rtl w:val="true"/>
        </w:rPr>
        <w:footnoteReference w:id="1188"/>
      </w:r>
      <w:r>
        <w:rPr>
          <w:rFonts w:ascii="Amiri" w:hAnsi="Amiri" w:eastAsia="Amiri" w:cs="Amiri"/>
          <w:color w:val="111111"/>
          <w:sz w:val="28"/>
          <w:sz w:val="28"/>
          <w:szCs w:val="28"/>
          <w:rtl w:val="true"/>
          <w:lang w:bidi="ar-SA"/>
        </w:rPr>
        <w:t>، فإنهمعذور، لا أن خطأه واستفراغه الوسع في تحصيل الواقع رافع للتكليف عمن يرى أنه إنسان محقون الدم</w:t>
      </w:r>
      <w:r>
        <w:rPr>
          <w:rStyle w:val="FootnoteAnchor"/>
          <w:rtl w:val="true"/>
        </w:rPr>
        <w:footnoteReference w:id="1189"/>
      </w:r>
      <w:r>
        <w:rPr>
          <w:rFonts w:ascii="Amiri" w:hAnsi="Amiri" w:eastAsia="Amiri" w:cs="Amiri"/>
          <w:color w:val="111111"/>
          <w:sz w:val="28"/>
          <w:sz w:val="28"/>
          <w:szCs w:val="28"/>
          <w:rtl w:val="true"/>
          <w:lang w:bidi="ar-SA"/>
        </w:rPr>
        <w:t>، ولا أقل من عدم وجود دليل على ذلك، وكذا الأمر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وسيرتهم، ولذا نجد أنه لو رجع قريب من أقرباء الطبيب أو مطلقاً إلى طبيب آخر، ورأى الطبيب الأول خطأه في التشخيص مما يؤدي إلى هلاك المريض بنظره، سعى لصرفه عن أدوية الآخر، ولو لم يسع لذلك كان إما لشكه أو لتكاسله ولا مبالاته، ولذا نجد أنه لو مات المريض بأدوية الطبيب الآخر، عاتبه العقلاء وعنفوه، ولو مات بأدوية الأول لم يكن</w:t>
      </w:r>
      <w:r>
        <w:rPr>
          <w:rStyle w:val="FootnoteAnchor"/>
          <w:rtl w:val="true"/>
        </w:rPr>
        <w:footnoteReference w:id="1190"/>
      </w:r>
      <w:r>
        <w:rPr>
          <w:rFonts w:ascii="Amiri" w:hAnsi="Amiri" w:eastAsia="Amiri" w:cs="Amiri"/>
          <w:color w:val="111111"/>
          <w:sz w:val="28"/>
          <w:sz w:val="28"/>
          <w:szCs w:val="28"/>
          <w:rtl w:val="true"/>
          <w:lang w:bidi="ar-SA"/>
        </w:rPr>
        <w:t>عند العقلاء ملوماً إن لم يكن مقصراً متهاوناً متسرعاً، وإلا كان العتاب على التهاون لا على الصرف عن رأي الآخر باجتهاده الذي استفرغ فيه 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نجده في فرع مشابه لما نحن فيه،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كان المتصدي لتفريغ ذمة الغير هو المتبرع أو الولي كالولد الأكبر إذا أراد تفريغ ذمة والده الميت من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مناص من أن يفرغ ذمة الميت بما هو الصحيح عندهما حتى يسوغ لهما الاجتزاء به في تفريغ ذمته وجوباً أو استحباباً</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التعليل المذكور لعدم إجزاء إتيان الوكيل أو الوصي بما هو الصحيح عندهما</w:t>
      </w:r>
      <w:r>
        <w:rPr>
          <w:rStyle w:val="FootnoteAnchor"/>
          <w:rtl w:val="true"/>
        </w:rPr>
        <w:footnoteReference w:id="1192"/>
      </w:r>
      <w:r>
        <w:rPr>
          <w:rFonts w:ascii="Amiri" w:hAnsi="Amiri" w:eastAsia="Amiri" w:cs="Amiri"/>
          <w:color w:val="111111"/>
          <w:sz w:val="28"/>
          <w:sz w:val="28"/>
          <w:szCs w:val="28"/>
          <w:rtl w:val="true"/>
          <w:lang w:bidi="ar-SA"/>
        </w:rPr>
        <w:t>، فهو على فرض تسليم تماميته لا يجري فيما نحن فيه كما لا يخفى</w:t>
      </w:r>
      <w:r>
        <w:rPr>
          <w:rStyle w:val="FootnoteAnchor"/>
          <w:rtl w:val="true"/>
        </w:rPr>
        <w:footnoteReference w:id="1193"/>
      </w:r>
      <w:r>
        <w:rPr>
          <w:rFonts w:ascii="IRNazanin" w:hAnsi="IRNazanin" w:eastAsia="IRNazanin"/>
          <w:color w:val="111111"/>
          <w:sz w:val="28"/>
          <w:sz w:val="28"/>
          <w:szCs w:val="28"/>
          <w:rtl w:val="true"/>
          <w:lang w:bidi="fa-IR"/>
        </w:rPr>
        <w:t xml:space="preserve">، </w:t>
      </w:r>
      <w:bookmarkStart w:id="856" w:name="pg8204_101344"/>
    </w:p>
    <w:p>
      <w:pPr>
        <w:pStyle w:val="BookText"/>
        <w:rPr/>
      </w:pPr>
      <w:bookmarkEnd w:id="856"/>
      <w:r>
        <w:rPr>
          <w:rFonts w:ascii="Amiri" w:hAnsi="Amiri" w:eastAsia="Amiri" w:cs="Amiri"/>
          <w:color w:val="111111"/>
          <w:sz w:val="28"/>
          <w:sz w:val="28"/>
          <w:szCs w:val="28"/>
          <w:rtl w:val="true"/>
          <w:lang w:bidi="ar-SA"/>
        </w:rPr>
        <w:t xml:space="preserve">ويظهر ذلك أكثر بملاحظة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صفحة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قياس الوصي والوكيلبالمتبرع والولي، فإن التكليف من الابتداء متوجه إليهما وجوباً أو استحباباً فلا مناص من مراعاة نظرهما</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وتمامية الكلام في هذا الفرع تستلزم بالأولوية تماميته فيما نحن فيه، بل حتى لو لم نقل به هنا قلنا به هناك، لما سبق تفصيله</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8924554_1051229030"/>
      <w:bookmarkStart w:id="858" w:name="_Toc316"/>
      <w:bookmarkEnd w:id="857"/>
      <w:r>
        <w:rPr>
          <w:rtl w:val="true"/>
        </w:rPr>
        <w:t>هل حجية نظر الفقيه مانعة من الأحكام السبعة؟</w:t>
      </w:r>
      <w:bookmarkEnd w:id="858"/>
    </w:p>
    <w:p>
      <w:pPr>
        <w:pStyle w:val="BookText"/>
        <w:rPr/>
      </w:pPr>
      <w:r>
        <w:rPr>
          <w:rFonts w:ascii="Amiri" w:hAnsi="Amiri" w:eastAsia="Amiri" w:cs="Amiri"/>
          <w:color w:val="111111"/>
          <w:sz w:val="28"/>
          <w:sz w:val="28"/>
          <w:szCs w:val="28"/>
          <w:rtl w:val="true"/>
          <w:lang w:bidi="ar-SA"/>
        </w:rPr>
        <w:t>وأما في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أن اجتهاده مانع دون الأحكام الخمسة السابقة، لأنه إن أصاب فله أجران، وإن أخطأ فله أجر واحد، ولكون فتاواه أحكاماً ظاهرية في حقه، أو حكماً مماثلاً أو أنها منجزة ومعذرة، على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أجر له لا ينافي ما ذكر، إذ الأجر على النية والجهد للوصول إلى الحق، لا على نفس العمل الذي أدّت إليه الفتوى</w:t>
      </w:r>
      <w:r>
        <w:rPr>
          <w:rStyle w:val="FootnoteAnchor"/>
          <w:rtl w:val="true"/>
        </w:rPr>
        <w:footnoteReference w:id="1196"/>
      </w:r>
      <w:r>
        <w:rPr>
          <w:rFonts w:ascii="Amiri" w:hAnsi="Amiri" w:eastAsia="Amiri" w:cs="Amiri"/>
          <w:color w:val="111111"/>
          <w:sz w:val="28"/>
          <w:sz w:val="28"/>
          <w:szCs w:val="28"/>
          <w:rtl w:val="true"/>
          <w:lang w:bidi="ar-SA"/>
        </w:rPr>
        <w:t>، نظير العقوبة في التجري ولا مانعة جمع، إذ ربما يثاب المرء على الموصل لما يجب على الآخرين الردع عنه، أو على نفسه على القول الآخر، كما في من يريد قتل نبي أو مؤمن بتوهم كونه شخصاً آخر واجب القتل، لكونه منقاداً مطيعاً متقلداً قيد العبودية له تعالى</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وجوب النهي عن المنكر كون المعصية فعلية وإن لم تكن فاعلية بالقيد الذي ذكرناه، وبذلك يثبت وجوب الإشارة ووجوب سعي </w:t>
      </w:r>
      <w:bookmarkStart w:id="859" w:name="pg8204_101345"/>
    </w:p>
    <w:p>
      <w:pPr>
        <w:pStyle w:val="BookText"/>
        <w:rPr/>
      </w:pPr>
      <w:bookmarkEnd w:id="859"/>
      <w:r>
        <w:rPr>
          <w:rFonts w:ascii="Amiri" w:hAnsi="Amiri" w:eastAsia="Amiri" w:cs="Amiri"/>
          <w:color w:val="111111"/>
          <w:sz w:val="28"/>
          <w:sz w:val="28"/>
          <w:szCs w:val="28"/>
          <w:rtl w:val="true"/>
          <w:lang w:bidi="ar-SA"/>
        </w:rPr>
        <w:t>المشير لتطبيق محتواها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الثلاثة الأخرى، فإجمال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 في خصوص عدم جواز منع المشير منها بأن ذلك مقتضى فتح باب الاجتهاد وكونهم رواة للحديث منصوبين مراجع، وهل يجوز لراوٍللحديث منع راوٍ آخر منه، لمجرد تخالفهما في الاستنباط مع عمومية الحجية لهما، والبحث هنا حسب القاعدة الأولية، وقد نتطرق لهذا في موضع آخر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طلبها، فتدل عليه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وغيرها مما سبق أو يأتي، إن لم يستفد منها الأكثر وهو وجوب العمل حسب ما أدت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الحكم الظاهري مدفوع إضافة إلى ما في المتن وما في الهامش الآتي، بأن الاستشارة قبل إصدار الحكم والوصول إلى رأي فلا تعارض أصلاً بينها وبين حجية الحكم الظاهري، وذلك ككافة ما يلاحظه الفقيه أثناء عملية الاستنباط من ملاحظة المرجحات السندية والدلالية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هذا ولو دلت الآية على وجوب اتباع مؤدى الاستشارة كان مؤداها هو الحكم الظاهري بأحد إطلاقاته</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8924556_1051229030"/>
      <w:bookmarkStart w:id="861" w:name="_Toc317"/>
      <w:bookmarkEnd w:id="860"/>
      <w:r>
        <w:rPr>
          <w:rtl w:val="true"/>
        </w:rPr>
        <w:t>كون الفتوى حكماً ظاهرياً لا يمنع الأحكام السبعة</w:t>
      </w:r>
      <w:bookmarkEnd w:id="86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الفتوى حكماً ظاهرياً</w:t>
      </w:r>
      <w:r>
        <w:rPr>
          <w:rStyle w:val="FootnoteAnchor"/>
          <w:rtl w:val="true"/>
        </w:rPr>
        <w:footnoteReference w:id="1198"/>
      </w:r>
      <w:r>
        <w:rPr>
          <w:rFonts w:ascii="Amiri" w:hAnsi="Amiri" w:eastAsia="Amiri" w:cs="Amiri"/>
          <w:color w:val="111111"/>
          <w:sz w:val="28"/>
          <w:sz w:val="28"/>
          <w:szCs w:val="28"/>
          <w:rtl w:val="true"/>
          <w:lang w:bidi="ar-SA"/>
        </w:rPr>
        <w:t xml:space="preserve">وإن فسرناه بالمماثل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بجعل المماثل </w:t>
      </w:r>
      <w:r>
        <w:rPr>
          <w:rFonts w:eastAsia="Amiri" w:cs="Amiri" w:ascii="Amiri" w:hAnsi="Amiri"/>
          <w:color w:val="111111"/>
          <w:sz w:val="28"/>
          <w:szCs w:val="28"/>
          <w:rtl w:val="true"/>
          <w:lang w:bidi="ar-SA"/>
        </w:rPr>
        <w:t xml:space="preserve">- </w:t>
      </w:r>
      <w:bookmarkStart w:id="862" w:name="pg8204_101346"/>
    </w:p>
    <w:p>
      <w:pPr>
        <w:pStyle w:val="BookText"/>
        <w:rPr/>
      </w:pPr>
      <w:bookmarkEnd w:id="862"/>
      <w:r>
        <w:rPr>
          <w:rFonts w:ascii="Amiri" w:hAnsi="Amiri" w:eastAsia="Amiri" w:cs="Amiri"/>
          <w:color w:val="111111"/>
          <w:sz w:val="28"/>
          <w:sz w:val="28"/>
          <w:szCs w:val="28"/>
          <w:rtl w:val="true"/>
          <w:lang w:bidi="ar-SA"/>
        </w:rPr>
        <w:t>لايمنع وجوب الإشارة ووجوب السعي للتطبيق على المجتهد الآخر</w:t>
      </w:r>
      <w:r>
        <w:rPr>
          <w:rStyle w:val="FootnoteAnchor"/>
          <w:rtl w:val="true"/>
        </w:rPr>
        <w:footnoteReference w:id="1199"/>
      </w:r>
      <w:r>
        <w:rPr>
          <w:rFonts w:ascii="Amiri" w:hAnsi="Amiri" w:eastAsia="Amiri" w:cs="Amiri"/>
          <w:color w:val="111111"/>
          <w:sz w:val="28"/>
          <w:sz w:val="28"/>
          <w:szCs w:val="28"/>
          <w:rtl w:val="true"/>
          <w:lang w:bidi="ar-SA"/>
        </w:rPr>
        <w:t>، لكون الحكم الظاهري نافذاً في حق الأول دونه،وعلى هذا الأخير العمل وفق ما اقتضته حجته، وعلى ذلك بناء العقلاء وسيرتهم</w:t>
      </w:r>
      <w:r>
        <w:rPr>
          <w:rStyle w:val="FootnoteAnchor"/>
          <w:rtl w:val="true"/>
        </w:rPr>
        <w:footnoteReference w:id="1200"/>
      </w:r>
      <w:r>
        <w:rPr>
          <w:rFonts w:ascii="Amiri" w:hAnsi="Amiri" w:eastAsia="Amiri" w:cs="Amiri"/>
          <w:color w:val="111111"/>
          <w:sz w:val="28"/>
          <w:sz w:val="28"/>
          <w:szCs w:val="28"/>
          <w:rtl w:val="true"/>
          <w:lang w:bidi="ar-SA"/>
        </w:rPr>
        <w:t xml:space="preserve">، ولذا نجد الفقهاء قديماً وحديثاً يعترض أحدهم على الآخر في موقفه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ويحاول تغييره أو تغيير الموقف العام، ويكفينا للتمثيل أن نذكر السيد الطباطبائي اليزدي صاحب العروة الوثقى، والشيخ الآخوند الخراساني صاحب كفاية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الثورة المشروطة، وقد يمثل بالسيد الرضي 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السلاطين، بل ومع غير المسلمين من الشعراء والأدباء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كثيرة تطلب من مظانها، وقد سبق بعضها</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8924558_1051229030"/>
      <w:bookmarkStart w:id="864" w:name="_Toc318"/>
      <w:bookmarkEnd w:id="863"/>
      <w:r>
        <w:rPr>
          <w:rtl w:val="true"/>
        </w:rPr>
        <w:t>سكوت الأدلة عن صورة التعارض</w:t>
      </w:r>
      <w:bookmarkEnd w:id="86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أن نجيب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الأدلة الدالة على حجية رأي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عالماً أو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أزيد من حجيتها لنفسه ولمتبعه، ولا دلالة فيها أصلاً على حكم مورد تخالف الاجتهادين</w:t>
      </w:r>
      <w:r>
        <w:rPr>
          <w:rStyle w:val="FootnoteAnchor"/>
          <w:rtl w:val="true"/>
        </w:rPr>
        <w:footnoteReference w:id="1201"/>
      </w:r>
      <w:r>
        <w:rPr>
          <w:rFonts w:ascii="Amiri" w:hAnsi="Amiri" w:eastAsia="Amiri" w:cs="Amiri"/>
          <w:color w:val="111111"/>
          <w:sz w:val="28"/>
          <w:sz w:val="28"/>
          <w:szCs w:val="28"/>
          <w:rtl w:val="true"/>
          <w:lang w:bidi="ar-SA"/>
        </w:rPr>
        <w:t xml:space="preserve">ومانعية حجية فتوى الفقيه لنفسه ولمن اتبعه عن </w:t>
      </w:r>
    </w:p>
    <w:p>
      <w:pPr>
        <w:pStyle w:val="BookText"/>
        <w:rPr/>
      </w:pPr>
      <w:r>
        <w:rPr>
          <w:rFonts w:ascii="Amiri" w:hAnsi="Amiri" w:eastAsia="Amiri" w:cs="Amiri"/>
          <w:color w:val="111111"/>
          <w:sz w:val="28"/>
          <w:sz w:val="28"/>
          <w:szCs w:val="28"/>
          <w:rtl w:val="true"/>
          <w:lang w:bidi="ar-SA"/>
        </w:rPr>
        <w:t>وجوب عمل سائر الفقهاء والخبراء بمقتضى اجتهادهم ووجوب إشارتهم حسب ما يشخصونه من المعروف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آية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فهي دالة على وجوب أن يسأل العالم من لا يعلم، ولا ربط لها بما نحن فيه من حكم تخالف شخصين من أهل الذكر في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آية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فهي دالة على إنذار من يعلم من لا يعلم، أو من يعلم معانداً، فهي أجنبية عن مورد الكلام، ولو فرض دلالتها على وجوب إنذار من يعلم من يعلم مخالفاً اجتهاداً، كانت دليلاً على ما ارتضيناه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آية 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فهي مختصة مفهوماً بالحسي، على ما ارتضاه جمع، ولو فرض شمولها للحدسي</w:t>
      </w:r>
      <w:r>
        <w:rPr>
          <w:rStyle w:val="FootnoteAnchor"/>
          <w:rtl w:val="true"/>
        </w:rPr>
        <w:footnoteReference w:id="1205"/>
      </w:r>
      <w:r>
        <w:rPr>
          <w:rFonts w:ascii="Amiri" w:hAnsi="Amiri" w:eastAsia="Amiri" w:cs="Amiri"/>
          <w:color w:val="111111"/>
          <w:sz w:val="28"/>
          <w:sz w:val="28"/>
          <w:szCs w:val="28"/>
          <w:rtl w:val="true"/>
          <w:lang w:bidi="ar-SA"/>
        </w:rPr>
        <w:t xml:space="preserve">فهي ظاهرة فيمن أخبر من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من العلم أو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منصرفة إليه قطعاً، وإلا لغى الاجتهاد ووجب أن يقبل كل مجتهد رأي كل مجتهد أخبره باجتهاده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 المجتهد ذا الرأي المخالف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ممتثل قهراً ولا يشمله التعليل،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الآيات جميعاً مبنية للعلقة بين الجاهل والعالم، لا العالم ونظيره،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الآيات والروايات الدالة على حجية ظواهر الكتاب ووجوب العمل بها والأحاديث الدالة على حجية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الأخذ بروايات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Style w:val="FootnoteAnchor"/>
          <w:rtl w:val="true"/>
        </w:rPr>
        <w:footnoteReference w:id="1206"/>
      </w:r>
      <w:r>
        <w:rPr>
          <w:rFonts w:ascii="IRNazanin" w:hAnsi="IRNazanin" w:eastAsia="IRNazanin"/>
          <w:color w:val="111111"/>
          <w:sz w:val="28"/>
          <w:sz w:val="28"/>
          <w:szCs w:val="28"/>
          <w:rtl w:val="true"/>
          <w:lang w:bidi="fa-IR"/>
        </w:rPr>
        <w:t>، بناء على دلالتها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الأدلة الدالة على جواز التقليد بالمعنى الأعم، مثل رواية علي بن المسيب الهمداني،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شقتي بعيدة ولست أصل إليك في كل وقت، فممن آخذ معالم ديني؟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 المأمون على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الحسين بن علي بن يقطين، وحسنة عبد العزيز بنالمهتدي، وصحيحة أحمد بن إسحاق، والتوقيع المبارك</w:t>
      </w:r>
      <w:r>
        <w:rPr>
          <w:rStyle w:val="FootnoteAnchor"/>
          <w:rtl w:val="true"/>
        </w:rPr>
        <w:footnoteReference w:id="1207"/>
      </w:r>
      <w:r>
        <w:rPr>
          <w:rFonts w:ascii="Amiri" w:hAnsi="Amiri" w:eastAsia="Amiri" w:cs="Amiri"/>
          <w:color w:val="111111"/>
          <w:sz w:val="28"/>
          <w:sz w:val="28"/>
          <w:szCs w:val="28"/>
          <w:rtl w:val="true"/>
          <w:lang w:bidi="ar-SA"/>
        </w:rPr>
        <w:t>، وغير ذلك من الروايات الدالة على وجوب الرجوع في الفتوى إلى رواة الشيعة، الظاهرة أو الصريحة في العلقة بين الجاهل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الطائفة الثانية من الأخبار الدالة على جواز الإفتاء، الملازم عرفاً لجواز الأخذ به وتقليد الغير له، مثل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فجواز الإفتاء أو وجوبه لا يدل على عدم وجوب الإشارة عليه بخطأه في رأي وردعه عنه، بأية واحدة من الدلالات الثلاث، خاصة مع لحاظ جواز أو وجوب ذلك للآخر أيضاً، إضافة إلى كون العلقة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الأمر في الطائفة الثالثة أيضاً</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وخلاصة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حجية فتوى الفقيه إن كانت تعبدية تأسيسية فلا يستفاد من أدلتها المنع عن الإشارة أو الردع كما فصلناه، وإن كانت إمضائية وكانت الروايات إرشاداً لحكم العقل وطريقة العقلاء فكذلك أيضاً، كما سيجيء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ونعود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أيضاً على الإرشادية كشف حكم العقل ببرهان الإنّ من بعض الروايات،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وإذا ضممنا جميع ما ذكر إلى متواتر الروايات المفيدة لتحول المعروف منكراً والمنكر معروفاً، استفدنا جواباً آخر سنذكره بعد ذكر بعض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فِي الشُّبُهَاتِ، وَيَسِيرُونَ فِي الشَّهَوَاتِ، الْمَعْرُوفُ فِيهِمْ مَا عَرَفُوا، وَالْمُنْكَرُ عِنْدَهُمْ مَا أَنْكَرُوا، مَفْزَعُهُمْ فِي الْمُعْضِلَاتِ إِلَى أَنْفُسِهِمْ، وَتَعْوِيلُهُمْ فِي الْمُبْهَمَاتِ عَلَى آرَائِهِمْ، كَأَنَّ كُلَّ امْرِئٍ مِنْهُمْ إِمَامُ نَفْسِهِ، قَدْ أَخَذَ مِنْهَا فِيمَا يَرَى بِعُرًىوَثِيقَاتٍ وَأَسْبَابٍ مُحْكَمَاتٍ</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سَيَأْتِي عَلَيْكُمْ مِنْ بَعْدِي زَمَانٌ لَيْسَ فِيهِ شَيْ‌ءٌ أَخْفَى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الْبِلَادِ شَيْ‌ءٌ أَنْكَرَ مِنَ الْمَعْرُوفِ وَ لَا أَعْرَفَ مِنَ الْمُنْكَرِ فَقَدْ نَبَذَ الْكِتَابَ حَمَلَتُهُ وَ تَنَاسَاهُ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أَئِمَّةُ الْكِتَابِ وَ لَيْسَ الْكِتَابُ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مَا مَثَّلُوا بِالصَّالِحِينَ كُلَّ مُثْلَةٍ وَ سَمَّوْا صِدْقَهُمْ عَلَى اللَّهِ فِرْيَةً</w:t>
      </w:r>
      <w:r>
        <w:rPr>
          <w:rFonts w:eastAsia="Amiri" w:cs="Amiri" w:ascii="Amiri" w:hAnsi="Amiri"/>
          <w:color w:val="111111"/>
          <w:sz w:val="28"/>
          <w:szCs w:val="28"/>
          <w:rtl w:val="true"/>
          <w:lang w:bidi="ar-SA"/>
        </w:rPr>
        <w:t>...).</w:t>
      </w:r>
      <w:r>
        <w:rPr>
          <w:rStyle w:val="FootnoteAnchor"/>
          <w:rtl w:val="true"/>
        </w:rPr>
        <w:footnoteReference w:id="1211"/>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الدُّنْيَا قَدْ تَصَرَّمَتْ وَ آذَنَتْ بِانْقِضَاءٍ وَ تَنَكَّرَ مَعْرُوفُهَا</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أَجْوَرُ الناسِ مَنْ عَدَّ جَوْرَهُ عَدْلاً مِنْهُ</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لَتَحْمِلُنَّ ذُنُوبَ سُفَهَائِكُمْ عَلَى عُلَمَائِكُمْ</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وروايات كثيرة جداً حول العالم غير العامل بعلمه، أو الظالم أو المبتدع</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تلازم بين كون الشيء منكراً وقاعياً وبين العلم بكونه كذلك، كما لا تلازم بين كون الشخص مبتدعاً وبين علمه بذلك، أو ظالماً أو تحمله ذنوب السفهاء وبين العلم، ضرورة عدم التلازم بين الثبوت والإثبات، كما لا تلازم بين العدالة ابتداءً واستمراراً، وسيأتي تفصيل ذلك بأجمعه بإذنه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تم ذلك وجبت الإشارة وغيرها عقلاً، وهذا طريق آخر سيأتي إفراده بالاستدلال، خاصة بملاحظة الروايات الكثيرة الدالة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Style w:val="FootnoteAnchor"/>
          <w:rtl w:val="true"/>
        </w:rPr>
        <w:footnoteReference w:id="121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خاب من استشار</w:t>
      </w:r>
      <w:r>
        <w:rPr>
          <w:rFonts w:eastAsia="IRNazanin" w:cs="IRNazanin"/>
          <w:color w:val="111111"/>
          <w:sz w:val="28"/>
          <w:szCs w:val="28"/>
          <w:rtl w:val="true"/>
          <w:lang w:bidi="fa-IR"/>
        </w:rPr>
        <w:t>)</w:t>
      </w:r>
      <w:r>
        <w:rPr>
          <w:rStyle w:val="FootnoteAnchor"/>
          <w:rtl w:val="true"/>
        </w:rPr>
        <w:footnoteReference w:id="12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من جمع عقول الناس إلى عقله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مما سبق التطرق له مما يشمل الخطأ القصوري والتقصيري والمتعمد، حيث إن حجية رأي الفقيه منوطة بالعدالة، وهي غير محرزة إلاّ بالتتبع في ما يتخذه من الرأي والموقف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ذلك</w:t>
      </w:r>
      <w:r>
        <w:rPr>
          <w:rFonts w:eastAsia="Amiri" w:cs="Amiri" w:ascii="Amiri" w:hAnsi="Amiri"/>
          <w:color w:val="111111"/>
          <w:sz w:val="28"/>
          <w:szCs w:val="28"/>
          <w:rtl w:val="true"/>
          <w:lang w:bidi="ar-SA"/>
        </w:rPr>
        <w:t xml:space="preserve">. </w:t>
      </w:r>
      <w:bookmarkStart w:id="865" w:name="pg8204_101351"/>
    </w:p>
    <w:p>
      <w:pPr>
        <w:pStyle w:val="Heading5"/>
        <w:numPr>
          <w:ilvl w:val="4"/>
          <w:numId w:val="1"/>
        </w:numPr>
        <w:rPr/>
      </w:pPr>
      <w:bookmarkStart w:id="866" w:name="__RefHeading___Toc8924560_1051229030"/>
      <w:bookmarkStart w:id="867" w:name="_Toc319"/>
      <w:bookmarkEnd w:id="865"/>
      <w:bookmarkEnd w:id="866"/>
      <w:r>
        <w:rPr>
          <w:rtl w:val="true"/>
        </w:rPr>
        <w:t>نظر الفقيه طريق عقلائي لا يمنع الأحكام السبعة</w:t>
      </w:r>
      <w:bookmarkEnd w:id="867"/>
    </w:p>
    <w:p>
      <w:pPr>
        <w:pStyle w:val="BookText"/>
        <w:rPr/>
      </w:pPr>
      <w:r>
        <w:rPr>
          <w:rFonts w:ascii="Amiri" w:hAnsi="Amiri" w:eastAsia="Amiri" w:cs="Amiri"/>
          <w:color w:val="111111"/>
          <w:sz w:val="28"/>
          <w:sz w:val="28"/>
          <w:szCs w:val="28"/>
          <w:rtl w:val="true"/>
          <w:lang w:bidi="ar-SA"/>
        </w:rPr>
        <w:t>ونعود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الأمارات المعتبرة شرعاً طرق عقلائية يعمل بها العقلاء في أمورهم وقد أمضاها الشارع</w:t>
      </w:r>
      <w:r>
        <w:rPr>
          <w:rStyle w:val="FootnoteAnchor"/>
          <w:rtl w:val="true"/>
        </w:rPr>
        <w:footnoteReference w:id="1217"/>
      </w:r>
      <w:r>
        <w:rPr>
          <w:rFonts w:ascii="Amiri" w:hAnsi="Amiri" w:eastAsia="Amiri" w:cs="Amiri"/>
          <w:color w:val="111111"/>
          <w:sz w:val="28"/>
          <w:sz w:val="28"/>
          <w:szCs w:val="28"/>
          <w:rtl w:val="true"/>
          <w:lang w:bidi="ar-SA"/>
        </w:rPr>
        <w:t>، ومن الأمارات التي أمضاها الشارع رأي الخبير المعبر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الخبير خبيراً في شؤون الدين جامعاً للشرائط</w:t>
      </w:r>
      <w:r>
        <w:rPr>
          <w:rStyle w:val="FootnoteAnchor"/>
          <w:rtl w:val="true"/>
        </w:rPr>
        <w:footnoteReference w:id="1218"/>
      </w:r>
      <w:r>
        <w:rPr>
          <w:rFonts w:ascii="Amiri" w:hAnsi="Amiri" w:eastAsia="Amiri" w:cs="Amiri"/>
          <w:color w:val="111111"/>
          <w:sz w:val="28"/>
          <w:sz w:val="28"/>
          <w:szCs w:val="28"/>
          <w:rtl w:val="true"/>
          <w:lang w:bidi="ar-SA"/>
        </w:rPr>
        <w:t xml:space="preserve">، ومن البيّن أن العقلاء لا يرون مانعية حجية رأي هذا الخبير لنفسه ولمتبعيه عن جواز أو جوب ردع سائر الخبراء له عن معتقده فيما لو رأوا فيه هلاكه، فكيف بما لو كانت مصائرهم مرهونة به مما كان في تطبيق معتقده هلاكهم أجمع، أرأيت لو جاءنا نبأ من بلد ناءٍ بأن أحد الخبراء رأىعدم توجه خطر على البلاد من جهة خاصة، وكان محرزاً عند سائر الخبراء أو عند بعضهم توجه الخطر، فسكتوا فداهمهم العدو أو السيل أو غير ذلك فأهلكهم جميعاً أو أخرب بلادهم، أترى العقلاء يعذرون الساكتين وهل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وصلهم النبأ قبل توجه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 على سائر الخبراء السكوت وعدم الإشارة والنصح لمجرد كون أحد خبرائهم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بيده الأمر وكان له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ذلك؟ ولعل إطلاق الرواية التالية يشمل ذلك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الحارث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المدينة ليلاً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لتحملن ذنوب </w:t>
      </w:r>
      <w:bookmarkStart w:id="868" w:name="pg8204_101352"/>
    </w:p>
    <w:p>
      <w:pPr>
        <w:pStyle w:val="BookText"/>
        <w:rPr/>
      </w:pPr>
      <w:bookmarkEnd w:id="868"/>
      <w:r>
        <w:rPr>
          <w:rFonts w:ascii="Amiri" w:hAnsi="Amiri" w:eastAsia="Amiri" w:cs="Amiri"/>
          <w:color w:val="111111"/>
          <w:sz w:val="28"/>
          <w:sz w:val="28"/>
          <w:szCs w:val="28"/>
          <w:rtl w:val="true"/>
          <w:lang w:bidi="ar-SA"/>
        </w:rPr>
        <w:t>سفهائكم على علمائكم ثم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فاستأذنت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لتحملن ذنوب سفهائكم على علمائكم؟ فقد دخلني من ذلك أمر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يمنعكم إذا بلغكم عن الرجل منكم ما تكرهونه مما يدخل به علينا الأذى والعيب عند الناس أن تأتوه فتأنبوه وتعظوه وتقولوا له قولا بليغا؟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يقبل منا ولا يطيعنا؟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فاهجروه عند ذلك واجتنبوا مجالسته</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تم ذلك ثبت ستة من المسائل السبع السابقة فليتدبر، خاصة وجوب طلب الإشارة، والإشارة، ووجوب ردع الأمة مانعها، لكونها سبباً لانكشاف الأمر أكثر فأكثر، ومعرفة كل أو غالب ما خفي من جوانبه وزواياه،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من جمع عقول الناس إلى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تفصيل ذلك</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8924562_1051229030"/>
      <w:bookmarkStart w:id="870" w:name="_Toc320"/>
      <w:bookmarkEnd w:id="869"/>
      <w:r>
        <w:rPr>
          <w:rtl w:val="true"/>
        </w:rPr>
        <w:t xml:space="preserve">كما يمكن رفع اليد عن الحكم الواقعي يمكن رفعها عن الحكم الظاهري </w:t>
      </w:r>
      <w:r>
        <w:rPr>
          <w:rtl w:val="true"/>
        </w:rPr>
        <w:t>:</w:t>
      </w:r>
      <w:bookmarkEnd w:id="87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الإجابة عن الإشكال بنحو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رفع الشارع اليد عنه</w:t>
      </w:r>
      <w:r>
        <w:rPr>
          <w:rStyle w:val="FootnoteAnchor"/>
          <w:rtl w:val="true"/>
        </w:rPr>
        <w:footnoteReference w:id="1221"/>
      </w:r>
      <w:r>
        <w:rPr>
          <w:rFonts w:ascii="Amiri" w:hAnsi="Amiri" w:eastAsia="Amiri" w:cs="Amiri"/>
          <w:color w:val="111111"/>
          <w:sz w:val="28"/>
          <w:sz w:val="28"/>
          <w:szCs w:val="28"/>
          <w:rtl w:val="true"/>
          <w:lang w:bidi="ar-SA"/>
        </w:rPr>
        <w:t>فيما لو جعلت الحجية للأمارات وأوجب التعبد بها مع أنها قد تؤدي إلى خلاف الواقع</w:t>
      </w:r>
      <w:r>
        <w:rPr>
          <w:rStyle w:val="FootnoteAnchor"/>
          <w:rtl w:val="true"/>
        </w:rPr>
        <w:footnoteReference w:id="1222"/>
      </w:r>
      <w:r>
        <w:rPr>
          <w:rFonts w:ascii="Amiri" w:hAnsi="Amiri" w:eastAsia="Amiri" w:cs="Amiri"/>
          <w:color w:val="111111"/>
          <w:sz w:val="28"/>
          <w:sz w:val="28"/>
          <w:szCs w:val="28"/>
          <w:rtl w:val="true"/>
          <w:lang w:bidi="ar-SA"/>
        </w:rPr>
        <w:t xml:space="preserve">، وذلك لما في الاحتياط من العسر الشديد </w:t>
      </w:r>
    </w:p>
    <w:p>
      <w:pPr>
        <w:pStyle w:val="BookText"/>
        <w:rPr/>
      </w:pPr>
      <w:r>
        <w:rPr>
          <w:rFonts w:ascii="Amiri" w:hAnsi="Amiri" w:eastAsia="Amiri" w:cs="Amiri"/>
          <w:color w:val="111111"/>
          <w:sz w:val="28"/>
          <w:sz w:val="28"/>
          <w:szCs w:val="28"/>
          <w:rtl w:val="true"/>
          <w:lang w:bidi="ar-SA"/>
        </w:rPr>
        <w:t xml:space="preserve">والحرج الأكيد، فكيف لا يمكن رفع اليد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بمعنى جعل المماثل؟ وإذا أمكن رفع اليد عما في الواقع من المصلحة والمفسدة فكيف لا يمكن رفع اليد عما لا مصلحة فيه ولا مفسدة</w:t>
      </w:r>
      <w:r>
        <w:rPr>
          <w:rStyle w:val="FootnoteAnchor"/>
          <w:rtl w:val="true"/>
        </w:rPr>
        <w:footnoteReference w:id="1223"/>
      </w:r>
      <w:r>
        <w:rPr>
          <w:rFonts w:ascii="Amiri" w:hAnsi="Amiri" w:eastAsia="Amiri" w:cs="Amiri"/>
          <w:color w:val="111111"/>
          <w:sz w:val="28"/>
          <w:sz w:val="28"/>
          <w:szCs w:val="28"/>
          <w:rtl w:val="true"/>
          <w:lang w:bidi="ar-SA"/>
        </w:rPr>
        <w:t>؟ بل إن كانت ففي غالبية تأديته للواقع</w:t>
      </w:r>
      <w:r>
        <w:rPr>
          <w:rStyle w:val="FootnoteAnchor"/>
          <w:rtl w:val="true"/>
        </w:rPr>
        <w:footnoteReference w:id="1224"/>
      </w:r>
      <w:r>
        <w:rPr>
          <w:rFonts w:ascii="Amiri" w:hAnsi="Amiri" w:eastAsia="Amiri" w:cs="Amiri"/>
          <w:color w:val="111111"/>
          <w:sz w:val="28"/>
          <w:sz w:val="28"/>
          <w:szCs w:val="28"/>
          <w:rtl w:val="true"/>
          <w:lang w:bidi="ar-SA"/>
        </w:rPr>
        <w:t xml:space="preserve">، حيث كان جعله حجة لمصلحة التحفظ عليه، وكيف لا يمكن رفع اليد عنه إن كان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رأي الأكثرية موجباً لأغلبية المطابقة للواقع</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ولا يخفى أن ما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الواقعي إذا أمكن 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لمرحلة الثبوت، وما ذكرناه سابقاً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 وسيرة الفقهاء ونعود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مرحلة الإثبات، وكذا ما سيأتي من مثال القطع،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وكانت حجية رأيها سبباً للتحفظ عليه بما لا يصل إليه جعل فتوى أحدهم حجة في مورد التعارض</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وتمامية ما ذكرناه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فتوى الفقيه تتوقف حجيتها له ولمقلديه على الاستشارة، وملاحظة آراء الآخرين في الشؤون العامة، إذ لا ريب في أقربية رأي المستشير إلى مطابقة الواقع من غيره، ولكون الاجتهاد استفراغاً للوسع، وليس من لم يلاحظ آراء الآخرين مستفرغاً له، وإذا كان الفقيه في المسألة الأصولية أو الفقهية الواحدة يختلف حاله كثيراً بملاحظة أقوال سائر الفقهاء والأصوليين وعدمها عند الافتاء، ويكون غير مستفرغٍ للوسع إن لم يلاحظ آراء العديد من الفقهاء خاصة في المسائل الخطيرة كالفروج والدماء، أوفي المسائل الصعبة المتشابكة المتكثرة الاحتمالات أو خفية الوجه، فكيف بالشؤون العامة وعظم خطرها وعدم قدرة الواحد على استيعاب واستقصاء منافعها ومضارها للحكم على ضوء التعادل والترجيح في ذلك، فيكون حال من لم يستشر ولم يلاحظ </w:t>
      </w:r>
    </w:p>
    <w:p>
      <w:pPr>
        <w:pStyle w:val="BookText"/>
        <w:rPr/>
      </w:pPr>
      <w:r>
        <w:rPr>
          <w:rFonts w:ascii="Amiri" w:hAnsi="Amiri" w:eastAsia="Amiri" w:cs="Amiri"/>
          <w:color w:val="111111"/>
          <w:sz w:val="28"/>
          <w:sz w:val="28"/>
          <w:szCs w:val="28"/>
          <w:rtl w:val="true"/>
          <w:lang w:bidi="ar-SA"/>
        </w:rPr>
        <w:t>آراء سائر الفقهاء كحال من أفتى دون ملاحظة تمام الأدلة وما له دخل في الاستنباط،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يمكن الأمر بالإشارة والاستشارة لمن كانت فتواه حكماً ظاهرياً في حقه وحق مقلديه، مع لحاظ كونها بالغة ما بلغت غير بالغة مرتبة القطع، لكون حجيته ذاتية وحجيتها مجعولة، ولا يمنع القطع من حكم العقل والعقلاء وشهادة صريح الوجدان بوجوب الإشارة، بل الردع لمن قطع في الشؤون بما نراه ضاراً بالأُمة، بل لو قطع في موضوع جزئي كما لو قطع بكون هذا الشخص كافراً حربياً مع كونه مسلماً أو ذمياً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ذلك من وجوب تنبيهه والإشارة له بذلك، ومحاولة رفع جهله المركب، وإلاّ وجب الحيلولة عملاً دون قتله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 عليهم الراد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إضافة إلى ما ذكرناه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الإشارة قبل الإفتاء ليست رداً، بل إن الإشارة وبيان الوجوه المختلفة وإيراداتها ومؤيداتها بعد الإفتاء ليست رداً أيضاً، إذ الرد هو الإنكار والمخالفة قولاً أو عملاً، أما ابداء الاحتمال المخالف وذكر أدلته مما قد يؤدي إلى تغير رأي المفتي مع التسليم له، إن كان المشير غير مجتهد، أو مجتهداً يرى ولاية الفقيه الحاكم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يكون التسليم عملاً أما رأياً فلا،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على رأيه، فليس رداً عرفاً وعقلاً، بل هو تعاون على البر، ومقربية إلى الواقع، بل قد جرت السيرة من الفقهاء والطلاب على إبداء احتمال الخلاف والاستشهاد له</w:t>
      </w:r>
      <w:r>
        <w:rPr>
          <w:rFonts w:eastAsia="Amiri" w:cs="Amiri" w:ascii="Amiri" w:hAnsi="Amiri"/>
          <w:color w:val="111111"/>
          <w:sz w:val="28"/>
          <w:szCs w:val="28"/>
          <w:rtl w:val="true"/>
          <w:lang w:bidi="ar-SA"/>
        </w:rPr>
        <w:t xml:space="preserve">. </w:t>
      </w:r>
      <w:bookmarkStart w:id="871" w:name="pg8204_101355"/>
    </w:p>
    <w:p>
      <w:pPr>
        <w:pStyle w:val="Heading4"/>
        <w:numPr>
          <w:ilvl w:val="3"/>
          <w:numId w:val="1"/>
        </w:numPr>
        <w:rPr/>
      </w:pPr>
      <w:bookmarkStart w:id="872" w:name="__RefHeading___Toc8924564_1051229030"/>
      <w:bookmarkStart w:id="873" w:name="_Toc321"/>
      <w:bookmarkEnd w:id="871"/>
      <w:bookmarkEnd w:id="872"/>
      <w:r>
        <w:rPr>
          <w:rtl w:val="true"/>
        </w:rPr>
        <w:t>الدليل الثاني</w:t>
      </w:r>
      <w:r>
        <w:rPr>
          <w:rtl w:val="true"/>
        </w:rPr>
        <w:t xml:space="preserve">: </w:t>
      </w:r>
      <w:r>
        <w:rPr>
          <w:rtl w:val="true"/>
        </w:rPr>
        <w:t>الروايات الكثيرة المتنوعة</w:t>
      </w:r>
      <w:bookmarkEnd w:id="873"/>
    </w:p>
    <w:p>
      <w:pPr>
        <w:pStyle w:val="Heading5"/>
        <w:numPr>
          <w:ilvl w:val="4"/>
          <w:numId w:val="1"/>
        </w:numPr>
        <w:rPr/>
      </w:pPr>
      <w:bookmarkStart w:id="874" w:name="__RefHeading___Toc8924566_1051229030"/>
      <w:bookmarkStart w:id="875" w:name="_Toc322"/>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الروايات الشريفة وهي كثيرة جداً، وتواترها الإجمالي محرز لا ريب فيه، إضافة إلى صحة سند بعضها</w:t>
      </w:r>
      <w:r>
        <w:rPr>
          <w:rStyle w:val="FootnoteAnchor"/>
          <w:rtl w:val="true"/>
        </w:rPr>
        <w:footnoteReference w:id="1226"/>
      </w:r>
      <w:r>
        <w:rPr>
          <w:rFonts w:ascii="IRNazanin" w:hAnsi="IRNazanin" w:eastAsia="IRNazanin"/>
          <w:color w:val="111111"/>
          <w:sz w:val="28"/>
          <w:sz w:val="28"/>
          <w:szCs w:val="28"/>
          <w:rtl w:val="true"/>
          <w:lang w:bidi="fa-IR"/>
        </w:rPr>
        <w:t>، فمنها</w:t>
      </w:r>
      <w:r>
        <w:rPr>
          <w:rFonts w:eastAsia="IRNazanin" w:cs="IRNazanin"/>
          <w:color w:val="111111"/>
          <w:sz w:val="28"/>
          <w:szCs w:val="28"/>
          <w:rtl w:val="true"/>
          <w:lang w:bidi="fa-IR"/>
        </w:rPr>
        <w:t>:</w:t>
      </w:r>
    </w:p>
    <w:p>
      <w:pPr>
        <w:pStyle w:val="Heading5"/>
        <w:numPr>
          <w:ilvl w:val="4"/>
          <w:numId w:val="1"/>
        </w:numPr>
        <w:rPr/>
      </w:pPr>
      <w:bookmarkStart w:id="876" w:name="__RefHeading___Toc8924568_1051229030"/>
      <w:bookmarkStart w:id="877" w:name="_Toc323"/>
      <w:bookmarkEnd w:id="876"/>
      <w:r>
        <w:rPr>
          <w:rtl w:val="true"/>
        </w:rPr>
        <w:t>فلا تكفوا عن مقالة بحق</w:t>
      </w:r>
      <w:bookmarkEnd w:id="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 فَإِنِّي لَسْتُ فِي نَفْسِي بِفَوْقِ أَنْ أُخْطِئَ وَلا آمَنُ ذَلِكَ مِنْ فِعْلِي، إِلاّ أَنْ يَكْفِيَ اللَّهُ مِنْ نَفْسِي مَا هُوَ أَمْلَكُ بِهِ مِنِّي</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وهي واضحة في النهي عن عدم الإشارة</w:t>
      </w:r>
      <w:r>
        <w:rPr>
          <w:rStyle w:val="FootnoteAnchor"/>
          <w:rtl w:val="true"/>
        </w:rPr>
        <w:footnoteReference w:id="1228"/>
      </w:r>
      <w:r>
        <w:rPr>
          <w:rFonts w:ascii="Amiri" w:hAnsi="Amiri" w:eastAsia="Amiri" w:cs="Amiri"/>
          <w:color w:val="111111"/>
          <w:sz w:val="28"/>
          <w:sz w:val="28"/>
          <w:szCs w:val="28"/>
          <w:rtl w:val="true"/>
          <w:lang w:bidi="ar-SA"/>
        </w:rPr>
        <w:t>بالعدل، أو المقالة بحق</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الكف الترك، لا خصوص منع النفس وصرفها، ولو بقرينة مناسبة الحكم والموضوع، وعدم وجود خصوصية في ما هو أخص من مطلق </w:t>
      </w:r>
    </w:p>
    <w:p>
      <w:pPr>
        <w:pStyle w:val="BookText"/>
        <w:rPr/>
      </w:pPr>
      <w:r>
        <w:rPr>
          <w:rFonts w:ascii="Amiri" w:hAnsi="Amiri" w:eastAsia="Amiri" w:cs="Amiri"/>
          <w:color w:val="111111"/>
          <w:sz w:val="28"/>
          <w:sz w:val="28"/>
          <w:szCs w:val="28"/>
          <w:rtl w:val="true"/>
          <w:lang w:bidi="ar-SA"/>
        </w:rPr>
        <w:t>الترك، معللاً ذلك باحتمال الخطأ في المشار عليه</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علة وجوب الإشارةاحتمال الخطأ، فكيف في صورة العلم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الرواية وجوب الإشارة عند العلم بالخطأ وما هو الحق أو العدل أو ما هو بمنزلته، وأما صورة احتمال الخطأ فخارج عن مدلولها المطابقي أو الالتزامي، غاية الأمر وجوب الفحص لكونها أمراً خطيراً ولو كانت بدوية،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الكون فوق الخطأ وعدم الأمان منه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المشار عليه لا في المشير، أي إنه محتمل للخطأ في فعله، أما أن المشير محتمل أو عالم فهو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عرفاً عليه لكون مساق الكلام نفياً للبناء على الصحة في كل ما يقوم به الحاكم، إضافة إلى الإطلاق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يآمن الخطأ من نفسه فعليهم المقالة بالحق والمشورة بالعدل، وهو أعم من صورتَي العلم بالخطأ أو قيام العلمي عليه، أما في صورة الشك، أي شك المشير فحيث احتمل الخطأ في المشار إليه وجب الفحص، فتأمل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 بالعدل والمقالة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لزوم الإشارة بما لو قامت لديه الحجة على أنه عدل أو حق أي ما هو عدل وحق إثباتاً، ولا يرتهن الأمر بالعدل والحق الثبوتيين وفي نفس الأمر حتى يقال بعدم علم أحد من المجتهدين بأن ما يراه حقاً هو الحق ثبوتاً كي يشمله هذا الخطاب، وذلك لأنه وإن كانت الأسماء أسماء لمسمياتها الواقعية والأحكام متعلقة بالعناوين الثبوتية فالنهي عن ترك ما هو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إلا أنه </w:t>
      </w:r>
      <w:bookmarkStart w:id="878" w:name="pg8204_101357"/>
    </w:p>
    <w:p>
      <w:pPr>
        <w:pStyle w:val="BookText"/>
        <w:rPr/>
      </w:pPr>
      <w:bookmarkEnd w:id="878"/>
      <w:r>
        <w:rPr>
          <w:rFonts w:ascii="Amiri" w:hAnsi="Amiri" w:eastAsia="Amiri" w:cs="Amiri"/>
          <w:color w:val="111111"/>
          <w:sz w:val="28"/>
          <w:sz w:val="28"/>
          <w:szCs w:val="28"/>
          <w:rtl w:val="true"/>
          <w:lang w:bidi="ar-SA"/>
        </w:rPr>
        <w:t xml:space="preserve">حيث كان العلم والعلمي طريقين عقلائيين لإحراز المعنونات والمتعلقات، كان المحمول ثابتاً لكل ما قامت الحجة على أنه من أفراد الموضوع، فمن قامت عنده الحجة يرى الواقع هو هذا فيرتب المحمول، وإلا لم يستقر حجر على حجر، ولم يثبت محمول لموضوع، بل إن قصر الأمر على العلم لا وجه له لما بيّن مفصلاً في وجه حجية العلمي، كما أن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مسلّم الخطأ وما هو بالضرورة خطأ غير تام وبعيد عن بناء العقلاء وطريقتهم، كما لا يخفى</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8924570_1051229030"/>
      <w:bookmarkStart w:id="880" w:name="_Toc324"/>
      <w:bookmarkEnd w:id="879"/>
      <w:r>
        <w:rPr>
          <w:rtl w:val="true"/>
        </w:rPr>
        <w:t>روايات</w:t>
      </w:r>
      <w:r>
        <w:rPr>
          <w:rtl w:val="true"/>
        </w:rPr>
        <w:t xml:space="preserve">: </w:t>
      </w:r>
      <w:r>
        <w:rPr>
          <w:rtl w:val="true"/>
        </w:rPr>
        <w:t>مشاورة ذوي الرأي واتباعهم و</w:t>
      </w:r>
      <w:r>
        <w:rPr>
          <w:rtl w:val="true"/>
        </w:rPr>
        <w:t>...</w:t>
      </w:r>
      <w:bookmarkEnd w:id="8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 الناس من أطاع العقلاء</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إرشاد إلى ما في إطاعتهم من العقل والسداد والعقال عن الخطأ والزلل، ونظيرها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وأزكى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من أطاع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العقلاء فيما لو أجمعوا، لكون ذلك حملاً له على الفرد النادر، 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ارتضاه أكثريتهم ومشهورهم فيما لم يكفِ فيه عرفاً استشارة الواحد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ارتضاه أحدهم فيما كفى فيه عرفاً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يظهر ذلك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مكان الموضوع، وبملاحظة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المراد حشر مع أكثريتهم ومشهورهم لا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عدم شمول أدلة الحجية للمتعارضين قد أشكلنا عليه في موضع آخر من الكتاب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المصلين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العاقل الناصح يمن وبركة ورشد وتوفيق من الله، فإذا أشار عليك العاقل الناصح فإياك والخلاف، فإن في ذلك العطب</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الحزم أن تستشير ذا الرأي وتطيع أمره</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أشار عليك العاقل الناصح فاقبل، وإياك والخلاف عليه فإن فيه الهلاك</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استرشدوا العاقل ترشدوا، ولا تعصوه فتندموا</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 ذوي العقول تأمن الزلل والندم</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إذا ورد عليه ما لا قبل له به أن يستشير رجلاً عاقلاً له دين وورع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إذا فعل ذلك لم يخذله الله، بل يرفعه الله ورماه بخير الأمور وأقربها إلى الله</w:t>
      </w:r>
      <w:r>
        <w:rPr>
          <w:rFonts w:eastAsia="Amiri" w:cs="Amiri" w:ascii="Amiri" w:hAnsi="Amiri"/>
          <w:color w:val="111111"/>
          <w:sz w:val="28"/>
          <w:szCs w:val="28"/>
          <w:rtl w:val="true"/>
          <w:lang w:bidi="ar-SA"/>
        </w:rPr>
        <w:t>).</w:t>
      </w:r>
      <w:r>
        <w:rPr>
          <w:rStyle w:val="FootnoteAnchor"/>
          <w:rtl w:val="true"/>
        </w:rPr>
        <w:footnoteReference w:id="1238"/>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استشر العاقل من الرجال الورع، فإنه لا يأمر إلاّ </w:t>
      </w:r>
    </w:p>
    <w:p>
      <w:pPr>
        <w:pStyle w:val="BookText"/>
        <w:rPr/>
      </w:pPr>
      <w:r>
        <w:rPr>
          <w:rFonts w:ascii="Amiri" w:hAnsi="Amiri" w:eastAsia="Amiri" w:cs="Amiri"/>
          <w:color w:val="111111"/>
          <w:sz w:val="28"/>
          <w:sz w:val="28"/>
          <w:szCs w:val="28"/>
          <w:rtl w:val="true"/>
          <w:lang w:bidi="ar-SA"/>
        </w:rPr>
        <w:t>بخير، وإياك والخلاف فإن خلاف الورع العاقل مفسدة في الدين والدنيا</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استشر في أمرك الذين يخشون ربهم</w:t>
      </w:r>
      <w:r>
        <w:rPr>
          <w:rFonts w:eastAsia="Amiri" w:cs="Amiri" w:ascii="Amiri" w:hAnsi="Amiri"/>
          <w:color w:val="111111"/>
          <w:sz w:val="28"/>
          <w:szCs w:val="28"/>
          <w:rtl w:val="true"/>
          <w:lang w:bidi="ar-SA"/>
        </w:rPr>
        <w:t>).</w:t>
      </w:r>
      <w:r>
        <w:rPr>
          <w:rStyle w:val="FootnoteAnchor"/>
        </w:rPr>
        <w:footnoteReference w:id="124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جاءكم يريد أن يفرق الجماعة ويغصب الأمة أمرها ويتولى من غير مشورة فاقتلوه، فإن الله قد أذن ذلك</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 من طرق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قسماً آخر منها في موضع آخر من الكتاب، وأما روايات العامة في ذلك فكثيرة لا داعي لذكرها الآن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العقل والحزم، وإطاعة العقلاء</w:t>
      </w:r>
      <w:r>
        <w:rPr>
          <w:rStyle w:val="FootnoteAnchor"/>
          <w:rtl w:val="true"/>
        </w:rPr>
        <w:footnoteReference w:id="1242"/>
      </w:r>
      <w:r>
        <w:rPr>
          <w:rFonts w:ascii="Amiri" w:hAnsi="Amiri" w:eastAsia="Amiri" w:cs="Amiri"/>
          <w:color w:val="111111"/>
          <w:sz w:val="28"/>
          <w:sz w:val="28"/>
          <w:szCs w:val="28"/>
          <w:rtl w:val="true"/>
          <w:lang w:bidi="ar-SA"/>
        </w:rPr>
        <w:t>، وكان الرشد فيها</w:t>
      </w:r>
      <w:r>
        <w:rPr>
          <w:rStyle w:val="FootnoteAnchor"/>
          <w:rtl w:val="true"/>
        </w:rPr>
        <w:footnoteReference w:id="1243"/>
      </w:r>
      <w:r>
        <w:rPr>
          <w:rFonts w:ascii="Amiri" w:hAnsi="Amiri" w:eastAsia="Amiri" w:cs="Amiri"/>
          <w:color w:val="111111"/>
          <w:sz w:val="28"/>
          <w:sz w:val="28"/>
          <w:szCs w:val="28"/>
          <w:rtl w:val="true"/>
          <w:lang w:bidi="ar-SA"/>
        </w:rPr>
        <w:t>، وكانت الرفعة فيها</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في خلافها العطب</w:t>
      </w:r>
      <w:r>
        <w:rPr>
          <w:rStyle w:val="FootnoteAnchor"/>
          <w:rtl w:val="true"/>
        </w:rPr>
        <w:footnoteReference w:id="1245"/>
      </w:r>
      <w:r>
        <w:rPr>
          <w:rFonts w:ascii="Amiri" w:hAnsi="Amiri" w:eastAsia="Amiri" w:cs="Amiri"/>
          <w:color w:val="111111"/>
          <w:sz w:val="28"/>
          <w:sz w:val="28"/>
          <w:szCs w:val="28"/>
          <w:rtl w:val="true"/>
          <w:lang w:bidi="ar-SA"/>
        </w:rPr>
        <w:t>، والهلاك</w:t>
      </w:r>
      <w:r>
        <w:rPr>
          <w:rStyle w:val="FootnoteAnchor"/>
          <w:rtl w:val="true"/>
        </w:rPr>
        <w:footnoteReference w:id="1246"/>
      </w:r>
      <w:r>
        <w:rPr>
          <w:rFonts w:ascii="IRNazanin" w:hAnsi="IRNazanin" w:eastAsia="IRNazanin"/>
          <w:color w:val="111111"/>
          <w:sz w:val="28"/>
          <w:sz w:val="28"/>
          <w:szCs w:val="28"/>
          <w:rtl w:val="true"/>
          <w:lang w:bidi="fa-IR"/>
        </w:rPr>
        <w:t>، والندم</w:t>
      </w:r>
      <w:r>
        <w:rPr>
          <w:rStyle w:val="FootnoteAnchor"/>
          <w:rtl w:val="true"/>
        </w:rPr>
        <w:footnoteReference w:id="1247"/>
      </w:r>
      <w:r>
        <w:rPr>
          <w:rFonts w:ascii="IRNazanin" w:hAnsi="IRNazanin" w:eastAsia="IRNazanin"/>
          <w:color w:val="111111"/>
          <w:sz w:val="28"/>
          <w:sz w:val="28"/>
          <w:szCs w:val="28"/>
          <w:rtl w:val="true"/>
          <w:lang w:bidi="fa-IR"/>
        </w:rPr>
        <w:t>، والزلل</w:t>
      </w:r>
      <w:r>
        <w:rPr>
          <w:rStyle w:val="FootnoteAnchor"/>
          <w:rtl w:val="true"/>
        </w:rPr>
        <w:footnoteReference w:id="1248"/>
      </w:r>
      <w:r>
        <w:rPr>
          <w:rFonts w:ascii="IRNazanin" w:hAnsi="IRNazanin" w:eastAsia="IRNazanin"/>
          <w:color w:val="111111"/>
          <w:sz w:val="28"/>
          <w:sz w:val="28"/>
          <w:szCs w:val="28"/>
          <w:rtl w:val="true"/>
          <w:lang w:bidi="fa-IR"/>
        </w:rPr>
        <w:t>، والخذلان</w:t>
      </w:r>
      <w:r>
        <w:rPr>
          <w:rStyle w:val="FootnoteAnchor"/>
          <w:rtl w:val="true"/>
        </w:rPr>
        <w:footnoteReference w:id="1249"/>
      </w:r>
      <w:r>
        <w:rPr>
          <w:rFonts w:ascii="Amiri" w:hAnsi="Amiri" w:eastAsia="Amiri" w:cs="Amiri"/>
          <w:color w:val="111111"/>
          <w:sz w:val="28"/>
          <w:sz w:val="28"/>
          <w:szCs w:val="28"/>
          <w:rtl w:val="true"/>
          <w:lang w:bidi="ar-SA"/>
        </w:rPr>
        <w:t>، ومفسدة الدين والدنيا</w:t>
      </w:r>
      <w:r>
        <w:rPr>
          <w:rStyle w:val="FootnoteAnchor"/>
          <w:rtl w:val="true"/>
        </w:rPr>
        <w:footnoteReference w:id="1250"/>
      </w:r>
      <w:r>
        <w:rPr>
          <w:rFonts w:ascii="Amiri" w:hAnsi="Amiri" w:eastAsia="Amiri" w:cs="Amiri"/>
          <w:color w:val="111111"/>
          <w:sz w:val="28"/>
          <w:sz w:val="28"/>
          <w:szCs w:val="28"/>
          <w:rtl w:val="true"/>
          <w:lang w:bidi="ar-SA"/>
        </w:rPr>
        <w:t>، كان اتباعهم في الأمور الخطيرة واجباً عقلاً دون ريب</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تستشير ذا الرأي وتطيع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الاستشارة أمر مغاير للعمل بمقتضاها، لظهور العطف في بينونة المعطوف عن المعطوف عليه، وبُعد كونه تفسيرياً، فلا يكفي على هذا إثبات وجوب الاستشارة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لإثبات وجوب الاتباع ووحدة الحكم غير وحدة الموضوع، فينبغي في الآية الشريفة الرجوع إلى الأجوبة الأخرى غير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فليلاحظ</w:t>
      </w:r>
      <w:r>
        <w:rPr>
          <w:rFonts w:eastAsia="Amiri" w:cs="Amiri" w:ascii="Amiri" w:hAnsi="Amiri"/>
          <w:color w:val="111111"/>
          <w:sz w:val="28"/>
          <w:szCs w:val="28"/>
          <w:rtl w:val="true"/>
          <w:lang w:bidi="ar-SA"/>
        </w:rPr>
        <w:t xml:space="preserve">. </w:t>
      </w:r>
      <w:bookmarkStart w:id="881" w:name="pg8204_101361"/>
    </w:p>
    <w:p>
      <w:pPr>
        <w:pStyle w:val="Heading4"/>
        <w:numPr>
          <w:ilvl w:val="3"/>
          <w:numId w:val="1"/>
        </w:numPr>
        <w:rPr/>
      </w:pPr>
      <w:bookmarkStart w:id="882" w:name="__RefHeading___Toc8924572_1051229030"/>
      <w:bookmarkStart w:id="883" w:name="_Toc325"/>
      <w:bookmarkEnd w:id="881"/>
      <w:bookmarkEnd w:id="882"/>
      <w:r>
        <w:rPr>
          <w:rtl w:val="true"/>
        </w:rPr>
        <w:t>وينبغي التنبيه على أمور</w:t>
      </w:r>
      <w:r>
        <w:rPr>
          <w:rtl w:val="true"/>
        </w:rPr>
        <w:t>:</w:t>
      </w:r>
      <w:bookmarkEnd w:id="883"/>
    </w:p>
    <w:p>
      <w:pPr>
        <w:pStyle w:val="Heading5"/>
        <w:numPr>
          <w:ilvl w:val="4"/>
          <w:numId w:val="1"/>
        </w:numPr>
        <w:rPr/>
      </w:pPr>
      <w:bookmarkStart w:id="884" w:name="__RefHeading___Toc8924574_1051229030"/>
      <w:bookmarkStart w:id="885" w:name="_Toc326"/>
      <w:bookmarkEnd w:id="884"/>
      <w:r>
        <w:rPr>
          <w:rtl w:val="true"/>
        </w:rPr>
        <w:t xml:space="preserve">الجمع بين ما دل على استشارة واتباع العاقل وما دل على إطاعة العقلاء </w:t>
      </w:r>
      <w:r>
        <w:rPr>
          <w:rtl w:val="true"/>
        </w:rPr>
        <w:t>:</w:t>
      </w:r>
      <w:bookmarkEnd w:id="8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كالثانية والثالثة والثامنة والحادية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الإرشاد أو الإلزام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واستشارتهم، وأن الحزم ورفع الزلل والندم في ذلك، 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كالرابعة والخامسة والسادسة والسابعة والتاسعة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الاكتفاء باستشارة واتباع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التعارض وصحة الاكتفاء بكل منهما لكونهما مثبتين،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كل عاقل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مبائناً للآخر لا صفةً كما في مؤمنة، غير ضائر بعد إمكان إرجاع ذلك إلى الوصف وشبهه، حالاً أو شرطاً،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منضماً إلى عاقل آخر أو أكثر واجبة استشارته، أو العاقل إذا انضم، أو العاقل المنضم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ادعاء وحدة الملاك، فيكون استشارة الأكثر من الواحد هو الفرد الأكمل، وعليه يحمل، فليس العمل بما دل على الواحد إلغاءً لما دلّ على الأكثر، بل هو مقدم عليه، لكون ظهور ما دلّ على الأكثر في الوجوب أضعف من ظهور ما دلّ على الواحد في الكفاية، فيحمل الأكثر على الفرد الأكمل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عدم مقيدية ذي الوصف لفاقده ليس هو كفاية إتيان </w:t>
      </w:r>
    </w:p>
    <w:p>
      <w:pPr>
        <w:pStyle w:val="BookText"/>
        <w:rPr/>
      </w:pPr>
      <w:r>
        <w:rPr>
          <w:rFonts w:ascii="Amiri" w:hAnsi="Amiri" w:eastAsia="Amiri" w:cs="Amiri"/>
          <w:color w:val="111111"/>
          <w:sz w:val="28"/>
          <w:sz w:val="28"/>
          <w:szCs w:val="28"/>
          <w:rtl w:val="true"/>
          <w:lang w:bidi="ar-SA"/>
        </w:rPr>
        <w:t>فاقد الوصف في امتثال الأمر بذي الوصف، بل المراد كفاية إتيان فاقد الوصف في إسقاط الأمر المتعلق به وعدم حمل الفاقد على الواجد المستلزم لعدم كفاية الفاقد فليدقق، نعم يلزم حمل الواجد على الأفضلية لا الوجوب، ولو أريد به غير ما ذكرناه كانمردوداً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على عدم لزوم استشارة الأكثر إنما هو بمفهوم الوصف، ودلالة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الأكثر بالمنطوق، وهو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الحزم في استشارة ذي الرأي وإطاعته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استشارة وإطاعة المتعدد أولى وأقوى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وإذا كان العطب في مخالفة العاقل الواحد وكذا الهلاك والندم والخذلان ومفسدة الدين 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ذلك في مخالفة المتعدد والأكثرية أقوى وأشد وألزم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بمنزلته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الروايات يستلزم وجوب استشارة الأكثر من الواحد في الأمور الخطيرة، والشؤون العامة منها، لنفس العلة، إذ في عدم استشارة الأكثر العطب والهلاك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أما في غيرها فليس فيه ذلك عرفاً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والطبيعة في مقابل غيره، لا الفرد، فهو منطبق على الكثير والقليل، فتأمل</w:t>
      </w:r>
      <w:r>
        <w:rPr>
          <w:rFonts w:eastAsia="Amiri" w:cs="Amiri" w:ascii="Amiri" w:hAnsi="Amiri"/>
          <w:color w:val="111111"/>
          <w:sz w:val="28"/>
          <w:szCs w:val="28"/>
          <w:rtl w:val="true"/>
          <w:lang w:bidi="ar-SA"/>
        </w:rPr>
        <w:t xml:space="preserve">. </w:t>
      </w:r>
      <w:bookmarkStart w:id="886" w:name="pg8204_101363"/>
    </w:p>
    <w:p>
      <w:pPr>
        <w:pStyle w:val="Heading5"/>
        <w:numPr>
          <w:ilvl w:val="4"/>
          <w:numId w:val="1"/>
        </w:numPr>
        <w:rPr/>
      </w:pPr>
      <w:bookmarkStart w:id="887" w:name="__RefHeading___Toc8924576_1051229030"/>
      <w:bookmarkStart w:id="888" w:name="_Toc327"/>
      <w:bookmarkEnd w:id="886"/>
      <w:bookmarkEnd w:id="887"/>
      <w:r>
        <w:rPr>
          <w:rtl w:val="true"/>
        </w:rPr>
        <w:t>الإشكال بظهور بعضها في الاكتفاء بنفس المشاورة</w:t>
      </w:r>
      <w:bookmarkEnd w:id="88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بعض الروايات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كالثامنة والحادية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المشاورة مؤمّنة من الزلل والندم، فلا تدل على لزوم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w:t>
      </w:r>
      <w:r>
        <w:rPr>
          <w:rStyle w:val="FootnoteAnchor"/>
          <w:rtl w:val="true"/>
        </w:rPr>
        <w:footnoteReference w:id="1254"/>
      </w:r>
      <w:r>
        <w:rPr>
          <w:rFonts w:ascii="Amiri" w:hAnsi="Amiri" w:eastAsia="Amiri" w:cs="Amiri"/>
          <w:color w:val="111111"/>
          <w:sz w:val="28"/>
          <w:sz w:val="28"/>
          <w:szCs w:val="28"/>
          <w:rtl w:val="true"/>
          <w:lang w:bidi="ar-SA"/>
        </w:rPr>
        <w:t>أن المشاورة أو الاستشارة لا تعني صرف سؤال الآخرين عن آرائهم، بل تعني الإطاعة والاتباع أيضاً، فلا يقال لمن سأل عدةً آراءهم ثم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عن 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الاستشارة لغةً وعرفاً تطلق على صرف استعلام الآراء، وأما المثال فعدم الصدق إنما هو إذا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نشوية، أما إذا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عن 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البعدية</w:t>
      </w:r>
      <w:r>
        <w:rPr>
          <w:rStyle w:val="FootnoteAnchor"/>
          <w:rtl w:val="true"/>
        </w:rPr>
        <w:footnoteReference w:id="1255"/>
      </w:r>
      <w:r>
        <w:rPr>
          <w:rFonts w:ascii="IRNazanin" w:hAnsi="IRNazanin" w:eastAsia="IRNazanin"/>
          <w:color w:val="111111"/>
          <w:sz w:val="28"/>
          <w:sz w:val="28"/>
          <w:szCs w:val="28"/>
          <w:rtl w:val="true"/>
          <w:lang w:bidi="fa-IR"/>
        </w:rPr>
        <w:t>صدق الإطلاق عرفاً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ترتيب الأمن من الزلل والندم في الرواية الثامنة على المشاورة، ترتيب على جزء المقتضي وبعض العلة لا تمامها، بقرينة سائر الروايات حيث رتّب الأمن منهما ونظائرهما على المشاورة والإطاعة، فوزانها وزان ما رتب فيه دخول الجنة ووجوبها على الصلاة في بعض الروايات، 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الصَّلَوَاتُ الْخَمْسُ الْمَفْرُوضَاتُ مَنْ أَقَامَهُنَّ وَحَافَظَ عَلَى مَوَاقِيتِهِنَّ لَقِيَ اللَّهَ يَوْمَ الْقِيَامَةِ وَلَهُ عِنْدَهُ عَهْدٌ يُدْخِلُهُ بِهِ الْجَنَّةَ</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xml:space="preserve">، وغيرها كثير، وكذا ما رتّب فيه دخولها على غيرها فيما لو ضم إليها ما رتّب فيه دخولها على </w:t>
      </w:r>
    </w:p>
    <w:p>
      <w:pPr>
        <w:pStyle w:val="BookText"/>
        <w:rPr/>
      </w:pPr>
      <w:r>
        <w:rPr>
          <w:rFonts w:ascii="Amiri" w:hAnsi="Amiri" w:eastAsia="Amiri" w:cs="Amiri"/>
          <w:color w:val="111111"/>
          <w:sz w:val="28"/>
          <w:sz w:val="28"/>
          <w:szCs w:val="28"/>
          <w:rtl w:val="true"/>
          <w:lang w:bidi="ar-SA"/>
        </w:rPr>
        <w:t>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عللاً على سبيل البدل بعيد، ولو فرض ذلك فيها لميصح فيما نحن فيه، بدلالة واضح لسان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بعد إرادة الاستشارة المتبوعة بالإطاعة من الرواية،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استرشدوا العاقل ترشدوا ولا تعصوه فتندموا</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 حيث إن 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تعصوه فتندموا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تفسيرياً بقرينة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استرشدوا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الذيل، فالمراد بالمشاورة الاتباع مجازاً في الكلمة بإرادة اللاحق أو أنه مقدر، فتأمل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ورد في بعض الروايات تعليل لزوم الاستشارة بمعرفة مواقع الخطأ، الكاشف عن كونها لمعرفة الصحيح من الباطل، لا للاتباع، وإن لم يتضح له وجه الأمر وصحة المشورة، وفي بعضها التصريح بكون اختيار أحد الآراء للمستشير،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اضمم آراء الرجال بعضها إلى بعض ثم اختر أقربها من الصواب وأبعدها من الارتياب</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استنبط الصواب بمثل المشاورة</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إضافة إلى حكم العقل فيمن استشار واقتنع بخلاف رأي المشير بلزوم اتباعه رأيه إن كان هو من أهل الخبرة، نعم لو توقف كان عليه الاتباع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تمامية دلالتها على المدعى فهي معارضة بالروايات السابقة وما بمضمونها وهي المقدمة، حيث لا يبعد دعوى قطعية صدور البعض منها لا أقل من الاطمينان إن لم نقل بتواتر مضمونها، هذا إن لم نقل بحكومتها عليها على حسب بعض تفسيرات الحكومة</w:t>
      </w:r>
      <w:r>
        <w:rPr>
          <w:rStyle w:val="FootnoteAnchor"/>
          <w:rtl w:val="true"/>
        </w:rPr>
        <w:footnoteReference w:id="1261"/>
      </w:r>
      <w:r>
        <w:rPr>
          <w:rFonts w:ascii="Amiri" w:hAnsi="Amiri" w:eastAsia="Amiri" w:cs="Amiri"/>
          <w:color w:val="111111"/>
          <w:sz w:val="28"/>
          <w:sz w:val="28"/>
          <w:szCs w:val="28"/>
          <w:rtl w:val="true"/>
          <w:lang w:bidi="ar-SA"/>
        </w:rPr>
        <w:t>، بل وعلى التفسير بالناظرية مما أفاد توسعة الموضوع،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جمعها مع الأدلة التي مضت على لزوم اتباع الأكثرية يقتضي تخصيص هذه الروايات بصورة تعارض آراء المشيرين وتكافئها وعدم وجود مرجح لبعضها، بل ظاهر أولها صورة التعارض، أو صرفها إلى غير الشؤون العامة مما لا تجب فيه الاستشارة واتباع الأكثرية، بل ما ذكر في محله من الدليل على كون رأي الأكثرية أقرب للواقع يكون منقحاً لموضوع الرواية الأولى ولمتعلق الثانية،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حكم العقل، فقد أجبنا عنه بالتفصيل في مكان آخر،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بعضها صورة العلم</w:t>
      </w:r>
      <w:r>
        <w:rPr>
          <w:rStyle w:val="FootnoteAnchor"/>
          <w:rtl w:val="true"/>
        </w:rPr>
        <w:footnoteReference w:id="1262"/>
      </w:r>
      <w:r>
        <w:rPr>
          <w:rFonts w:ascii="Amiri" w:hAnsi="Amiri" w:eastAsia="Amiri" w:cs="Amiri"/>
          <w:color w:val="111111"/>
          <w:sz w:val="28"/>
          <w:sz w:val="28"/>
          <w:szCs w:val="28"/>
          <w:rtl w:val="true"/>
          <w:lang w:bidi="ar-SA"/>
        </w:rPr>
        <w:t>، فيخصص به لزوم الاتباع بكونه في غيرها ويستثنى منه الشورى العامة لحكومة أدلتها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تنافي بين الطائفتين من الروايات، إذ يكمل بعضها بعضاً، إذ أن المستشير يعرف مواقع الخطأ بالمشورة أي بسببها، فيتجنبها </w:t>
      </w:r>
      <w:bookmarkStart w:id="889" w:name="pg8204_101366"/>
    </w:p>
    <w:p>
      <w:pPr>
        <w:pStyle w:val="BookText"/>
        <w:rPr/>
      </w:pPr>
      <w:bookmarkEnd w:id="889"/>
      <w:r>
        <w:rPr>
          <w:rFonts w:ascii="Amiri" w:hAnsi="Amiri" w:eastAsia="Amiri" w:cs="Amiri"/>
          <w:color w:val="111111"/>
          <w:sz w:val="28"/>
          <w:sz w:val="28"/>
          <w:szCs w:val="28"/>
          <w:rtl w:val="true"/>
          <w:lang w:bidi="ar-SA"/>
        </w:rPr>
        <w:t>فيكون متبعاً لها، ويستنبط الصواب بسببها فيتبعه، ويكون بذلك متبعاً لها</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8924578_1051229030"/>
      <w:bookmarkStart w:id="891" w:name="_Toc328"/>
      <w:bookmarkEnd w:id="890"/>
      <w:r>
        <w:rPr>
          <w:rtl w:val="true"/>
        </w:rPr>
        <w:t>إطلاق الروايات وشمولها حتى لما لو لم يقتنع المستشير</w:t>
      </w:r>
      <w:bookmarkEnd w:id="89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إطلاق تلك الروايات وشمولها لما لو لم يقتنع برأي المشير، إضافة إلى عدم الحاجة للتحذير والتهديد على المخالفة فيما لو اقتنع، وإنما يكون لهما مورد فيما لو لم يقتنع، ضرورة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والخلاف عليهم فإن فيه الهلاك</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والخلاف، فإن خلاف الورع العاقل مفسدة في الدين والدنيا</w:t>
      </w:r>
      <w:r>
        <w:rPr>
          <w:rFonts w:eastAsia="Amiri" w:cs="Amiri" w:ascii="Amiri" w:hAnsi="Amiri"/>
          <w:color w:val="111111"/>
          <w:sz w:val="28"/>
          <w:szCs w:val="28"/>
          <w:rtl w:val="true"/>
          <w:lang w:bidi="ar-SA"/>
        </w:rPr>
        <w:t>)</w:t>
      </w:r>
      <w:r>
        <w:rPr>
          <w:rStyle w:val="FootnoteAnchor"/>
          <w:rtl w:val="true"/>
        </w:rPr>
        <w:footnoteReference w:id="1264"/>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في من لم ير رأيهم، خاصة مع تكرار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المشعر بأن مخالفته هو الملاك إثباتاً في ترتب المفسدة،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معلل، والعلة معممة ومخصصة، إضافة 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يأمر إلا بخير</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في تأسيس كبرى كلية، وأن ما يأمر به خير، وإن لم يفهم المستشير وجهها، وفي الردع عن مخالفته لتوهم عدم الصحة</w:t>
      </w:r>
      <w:r>
        <w:rPr>
          <w:rFonts w:eastAsia="Amiri" w:cs="Amiri" w:ascii="Amiri" w:hAnsi="Amiri"/>
          <w:color w:val="111111"/>
          <w:sz w:val="28"/>
          <w:szCs w:val="28"/>
          <w:rtl w:val="true"/>
          <w:lang w:bidi="ar-SA"/>
        </w:rPr>
        <w:t xml:space="preserve">. </w:t>
      </w:r>
      <w:bookmarkStart w:id="892" w:name="pg8204_101367"/>
    </w:p>
    <w:p>
      <w:pPr>
        <w:pStyle w:val="Heading4"/>
        <w:numPr>
          <w:ilvl w:val="3"/>
          <w:numId w:val="1"/>
        </w:numPr>
        <w:rPr/>
      </w:pPr>
      <w:bookmarkStart w:id="893" w:name="__RefHeading___Toc8924580_1051229030"/>
      <w:bookmarkStart w:id="894" w:name="_Toc329"/>
      <w:bookmarkEnd w:id="892"/>
      <w:bookmarkEnd w:id="893"/>
      <w:r>
        <w:rPr>
          <w:rtl w:val="true"/>
        </w:rPr>
        <w:t>الدليل الثالث</w:t>
      </w:r>
      <w:r>
        <w:rPr>
          <w:rtl w:val="true"/>
        </w:rPr>
        <w:t xml:space="preserve">: </w:t>
      </w:r>
      <w:r>
        <w:rPr>
          <w:rtl w:val="true"/>
        </w:rPr>
        <w:t>العقل المستند إلى النقل</w:t>
      </w:r>
      <w:bookmarkEnd w:id="894"/>
    </w:p>
    <w:p>
      <w:pPr>
        <w:pStyle w:val="Heading5"/>
        <w:numPr>
          <w:ilvl w:val="4"/>
          <w:numId w:val="1"/>
        </w:numPr>
        <w:rPr/>
      </w:pPr>
      <w:bookmarkStart w:id="895" w:name="__RefHeading___Toc8924582_1051229030"/>
      <w:bookmarkStart w:id="896" w:name="_Toc330"/>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ويدل على وجوب الإشارة ووجوب ردع الأُمة لمن يمنعها، حاكماً كان أم محكوماً، فقيهاً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وتقريره أن العلماء</w:t>
      </w:r>
      <w:r>
        <w:rPr>
          <w:rStyle w:val="FootnoteAnchor"/>
          <w:rtl w:val="true"/>
        </w:rPr>
        <w:footnoteReference w:id="1266"/>
      </w:r>
      <w:r>
        <w:rPr>
          <w:rFonts w:ascii="IRNazanin" w:hAnsi="IRNazanin" w:eastAsia="IRNazanin"/>
          <w:color w:val="111111"/>
          <w:sz w:val="28"/>
          <w:sz w:val="28"/>
          <w:szCs w:val="28"/>
          <w:rtl w:val="true"/>
          <w:lang w:bidi="fa-IR"/>
        </w:rPr>
        <w:t xml:space="preserve">على أقسام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خارج موضوعاً عن العلماء، لكنه متظاهر بالعلم، قد غرّ جمعاً وخدعهم وأوهمهم أنه عالم، وحينئذٍ يكون إطلاق العالم عليه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الخروج الموضوعي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داخلاً في أحد القسمين اللاحقين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المصلين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قَدْ تَسَمَّى عَالِماً وَلَيْسَ بِهِ، فَاقْتَبَسَ جَهَائِلَ مِنْ جُهَّالٍ، وَأَضَالِيلَ مِنْ ضُلالٍ</w:t>
      </w:r>
      <w:r>
        <w:rPr>
          <w:rStyle w:val="FootnoteAnchor"/>
          <w:rtl w:val="true"/>
        </w:rPr>
        <w:footnoteReference w:id="1268"/>
      </w:r>
      <w:r>
        <w:rPr>
          <w:rFonts w:ascii="Amiri" w:hAnsi="Amiri" w:eastAsia="Amiri" w:cs="Amiri"/>
          <w:color w:val="111111"/>
          <w:sz w:val="28"/>
          <w:sz w:val="28"/>
          <w:szCs w:val="28"/>
          <w:rtl w:val="true"/>
          <w:lang w:bidi="ar-SA"/>
        </w:rPr>
        <w:t xml:space="preserve">، وَنَصَبَ لِلنَّاسِ أَشْرَاكاً مِنْ حَبَائِلِ </w:t>
      </w:r>
    </w:p>
    <w:p>
      <w:pPr>
        <w:pStyle w:val="BookText"/>
        <w:rPr/>
      </w:pPr>
      <w:r>
        <w:rPr>
          <w:rFonts w:ascii="Amiri" w:hAnsi="Amiri" w:eastAsia="Amiri" w:cs="Amiri"/>
          <w:color w:val="111111"/>
          <w:sz w:val="28"/>
          <w:sz w:val="28"/>
          <w:szCs w:val="28"/>
          <w:rtl w:val="true"/>
          <w:lang w:bidi="ar-SA"/>
        </w:rPr>
        <w:t>غُرُورٍ وَقَوْلِ زُورٍ، قَدْ حَمَلَ الْكِتَابَ عَلَى آرَائِهِ، وَعَطَفَ الْحَقَّ عَلَى أَهْوَائِهِ، يُؤْمِنُ النَّاسَ مِنَ الْعَظَائِمِ، وَيُهَوِّنُ كَبِيرَالْجَرَائِمِ، يَقُولُ أَقِفُ عِنْدَ الشُّبُهَاتِ وَفِيهَا وَقَعَ، وَيَقُولُ أَعْتَزِلُ الْبِدَعَ وَبَيْنَهَا اضْطَجَعَ، فَالصُّورَةُ صُورَةُ إِنْسَانٍ وَ الْقَلْبُ قَلْبُ حَيَوَان</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إِلَى اللَّهِ رَجُلَانِ رَجُلٌ وَكَلَهُ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قَمَشَ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أَشْبَاهُ النَّاسِ عَالِماً وَ لَيْسَ بِهِ بَكَّرَ فَاسْتَكْثَرَ مِنْ جَمْعٍ مَا قَلَّ مِنْهُ خَيْرٌ مِمَّا كَثُرَ حَتَّى إِذَا ارْتَوَى مِنْ مَاءٍ آجِنٍ وَ اكْتَثَرَ مِنْ غَيْرِ طَائِلٍ جَلَسَ بَيْنَ النَّاسِ قَاضِياً ضَامِناً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نَزَلَتْ بِهِ إِحْدَى الْمُبْهَمَاتِ هَيَّأَ لَهَا حَشْواً رَثًّا مِنْ رَأْيِهِ ثُمَّ قَطَعَ بِهِ فَهُوَ مِنْ لَبْسِ الشُّبُهَاتِ فِي مِثْلِ نَسْجِ الْعَنْكَبُوتِ لا يَدْرِي أَصَابَ أَمْ أَخْطَأَ فَإِنْ أَصَابَ خَافَ أَنْ يَكُونَ قَدْ أَخْطَأَ وَ 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يَحْسَبُ الْعِلْمَ فِي شَيْ‌ءٍ مِمَّا أَنْكَرَهُ وَ لا يَرَى أَنَّ مِنْ وَرَاءِ مَا بَلَغَ مَذْهَباً لِغَيْرِهِ، وَ إِنْ أَظْلَمَ عَلَيْهِ أَمْرٌ اكْتَتَمَ بِهِ لِمَا يَعْلَمُ مِنْ جَهْلِ نَفْسِهِ</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وأهل الدفاتر ولا يغرنكم الصحفيون</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يكون الرجل عالماً من جهة، جاهلاً من جهة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علمين كانت الجهتان أو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المتصدي 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المتصدون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الفقهاء فقهاً وأصولاً، لا سياسةً واقتصاداً، أو فقيهاً في مسألة سياسية جاهلاً بأخرى، فهو خارج موضوعاً في هذا الباب أو المسألة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فيما نحن بصدده من وجوب الإشارة ووجوب ردع مانعها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التزام البعض بكون الحكومة للفقيه بالغلبة،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من قهر </w:t>
      </w:r>
    </w:p>
    <w:p>
      <w:pPr>
        <w:pStyle w:val="BookText"/>
        <w:rPr/>
      </w:pPr>
      <w:r>
        <w:rPr>
          <w:rFonts w:ascii="Amiri" w:hAnsi="Amiri" w:eastAsia="Amiri" w:cs="Amiri"/>
          <w:color w:val="111111"/>
          <w:sz w:val="28"/>
          <w:sz w:val="28"/>
          <w:szCs w:val="28"/>
          <w:rtl w:val="true"/>
          <w:lang w:bidi="ar-SA"/>
        </w:rPr>
        <w:t>فهو 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له بشرط انتخاب أكثرية الأمة له أو لشورى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ينحرف عن الصواب ويقع في الخطأ في موارد عديدة مع كونه عالماً عادلاً، لكونه منه قصوراً لا تقصيراً، ووقوع ذلك لكل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فيصغير المسائل وكبيرها مما لا ريب فيه، ولو فرض مستثنى من ذلك بأن لا يقع في الخطأ قصوراً، سهواً أو جهلاً، أو خطأً أو نسياناً أو اضطراراً، إلى غير ذلك، فهو نادر جداً ثبوتاً، ولا محرز له اثباتاً،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زَلَّةُ الْعَالِمِ كَانْكِسَارِ السَّفِينَةِ تَغْرِقُ وَتُغْرِق</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كذلك تقصيراً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يسقط العدالة، كالكبائر والإصرار على الصغائر أو لا، والعلل متعددة،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الدنيا والعصبية وحب المدح وقلة الحياء من الله وحب الرئاسة واستنكاف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فيفتي بما لا يعلم،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ما لم يدخلوا في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1273"/>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حرم الخشية لا يكون عالماً وإن شق الشعر في متشابهات العلم،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وآفة العلماء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والبخل، والرياء، والعصبية، وحب المدح، والخوض فيما لم يصلوا إلى حقيقته، والتكليف في تزئين الكلام بزوائد الألفاظ، وقلة الحياء من الله، والافتخار، وترك العمل بما علموا</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bookmarkStart w:id="897" w:name="pg8204_101370"/>
    </w:p>
    <w:p>
      <w:pPr>
        <w:pStyle w:val="BookText"/>
        <w:rPr/>
      </w:pPr>
      <w:bookmarkEnd w:id="897"/>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بغير علم لعنته ملائكة السماء وملائكة الأرض</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أخوف من أخاف على أمتي الأئمة المضلون</w:t>
      </w:r>
      <w:r>
        <w:rPr>
          <w:rFonts w:eastAsia="Amiri" w:cs="Amiri" w:ascii="Amiri" w:hAnsi="Amiri"/>
          <w:color w:val="111111"/>
          <w:sz w:val="28"/>
          <w:szCs w:val="28"/>
          <w:rtl w:val="true"/>
          <w:lang w:bidi="ar-SA"/>
        </w:rPr>
        <w:t>)</w:t>
      </w:r>
      <w:r>
        <w:rPr>
          <w:rStyle w:val="FootnoteAnchor"/>
          <w:rtl w:val="true"/>
        </w:rPr>
        <w:footnoteReference w:id="1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العالم العامل بغير علمه كالجاهل الحائر الذي لا يستفيق من جهله بل الحجة عليه أعظم والحسرة له ألزم وهو عند الله ألوم</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لأربع دخل النار، ليباهي به العلماء، أو يماري به السفهاء، أو ليصرف به وجوه الناس إليه، أو يأخذ به من الأمراء</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منقوصون مدخولون إلا من عصم الله، سائلهم متعنت ومجيبهم متكلف، يكاد أفضلهم رأياً يرده عن فضل رأيه الرضا والسخط، ويكاد أصلبهم عوداً تنكؤه اللحظة وتستحيله الكلمة الواحدة</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8924584_1051229030"/>
      <w:bookmarkStart w:id="899" w:name="_Toc331"/>
      <w:bookmarkEnd w:id="898"/>
      <w:r>
        <w:rPr>
          <w:rtl w:val="true"/>
        </w:rPr>
        <w:t>وجوب الفحص عن كون المتصدي عالماً حقاً أولاً</w:t>
      </w:r>
      <w:bookmarkEnd w:id="899"/>
    </w:p>
    <w:p>
      <w:pPr>
        <w:pStyle w:val="BookText"/>
        <w:rPr/>
      </w:pPr>
      <w:r>
        <w:rPr>
          <w:rFonts w:ascii="Amiri" w:hAnsi="Amiri" w:eastAsia="Amiri" w:cs="Amiri"/>
          <w:color w:val="111111"/>
          <w:sz w:val="28"/>
          <w:sz w:val="28"/>
          <w:szCs w:val="28"/>
          <w:rtl w:val="true"/>
          <w:lang w:bidi="ar-SA"/>
        </w:rPr>
        <w:t>وإذا كان كذلك لزمت الدقة ووجب الفحص</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عالماً أو متظاهراً بالعلم، وأنه ممن يهيؤ للمهمات حشواً رثاً من رأيه أم لا، وأنه يحمل الكتاب على آرائه أم لا، وقد لا يستطاع ذلك إلا بطول المدة وشدة الفحص والتحقيق وسؤال العديد من أهل الخبرة ومن ذوي </w:t>
      </w:r>
    </w:p>
    <w:p>
      <w:pPr>
        <w:pStyle w:val="BookText"/>
        <w:rPr/>
      </w:pPr>
      <w:r>
        <w:rPr>
          <w:rFonts w:ascii="Amiri" w:hAnsi="Amiri" w:eastAsia="Amiri" w:cs="Amiri"/>
          <w:color w:val="111111"/>
          <w:sz w:val="28"/>
          <w:sz w:val="28"/>
          <w:szCs w:val="28"/>
          <w:rtl w:val="true"/>
          <w:lang w:bidi="ar-SA"/>
        </w:rPr>
        <w:t xml:space="preserve">الأذواق المختلفة والخطوط المتعددة لتنكشف بذلك معايبه ومثالبه، ولتعرف بذلك جهاته وهل أنه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أقف عن الشبهات وفيها وقع، ويقول أعتزل الشبهات وبينها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ولا يكتفي بالتعديل من جهة واحدة، فلرب جارح من جهة أخرى، نظير ما يصنع في علم الرجال حيث لا يكتفي بتعديل معدل للراوي، بل يبحث عن جارحه، بل قد يقال بالأولوية هنا، إذ الراوي يرجع إليه في مسألة فقهية أو في عدة مسائل بل حتى في العشرات منها، أما الإمام والقائد والمرجع فإنالشخص يرجع إليه في كل شؤونه أصولاً وفروعاً وحباً وبغضاً وأدباً وسلوكاً،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يقلده دينه، بل الأمر آكد في مثل هذا الزمن الذي كثرت فيه الفتن والضلالات والبدع وعلماء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ترى أن 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من بعده،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وكذا الواقفية والفطحية وغيرهم، معذورون لصرف توثيق من كان يعتقد بأولئك لهم أو كونهم ثقات سابقاً؟</w:t>
      </w:r>
    </w:p>
    <w:p>
      <w:pPr>
        <w:pStyle w:val="BookText"/>
        <w:rPr/>
      </w:pPr>
      <w:r>
        <w:rPr>
          <w:rFonts w:ascii="Amiri" w:hAnsi="Amiri" w:eastAsia="Amiri" w:cs="Amiri"/>
          <w:color w:val="111111"/>
          <w:sz w:val="28"/>
          <w:sz w:val="28"/>
          <w:szCs w:val="28"/>
          <w:rtl w:val="true"/>
          <w:lang w:bidi="ar-SA"/>
        </w:rPr>
        <w:t>واستثناء الجاهل القاصر غير الملتفت إلى احتمال انحراف من يتبعه أو الذي لا سبيل له إلى التحقيق والفحص والسؤال غير ضار بما نحن بصدده من وجوب الفحص على الملتفت، كما في كافة التكاليف حتى ما ينبغي اعتقاده في أصول الدين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يلزم الفحص عن كونه عالماً في هذه المسألة بالخصوص أو هذا العلم أم لا، فلا يكتفى مثلاً بكونه فقهياً متبحراً وأصولياً متعمقاً في الرجوع إلى آرائه في السياسة والاقتصاد مثلاً</w:t>
      </w:r>
      <w:r>
        <w:rPr>
          <w:rFonts w:eastAsia="Amiri" w:cs="Amiri" w:ascii="Amiri" w:hAnsi="Amiri"/>
          <w:color w:val="111111"/>
          <w:sz w:val="28"/>
          <w:szCs w:val="28"/>
          <w:rtl w:val="true"/>
          <w:lang w:bidi="ar-SA"/>
        </w:rPr>
        <w:t xml:space="preserve">. </w:t>
      </w:r>
      <w:bookmarkStart w:id="900" w:name="pg8204_101372"/>
    </w:p>
    <w:p>
      <w:pPr>
        <w:pStyle w:val="Heading5"/>
        <w:numPr>
          <w:ilvl w:val="4"/>
          <w:numId w:val="1"/>
        </w:numPr>
        <w:rPr/>
      </w:pPr>
      <w:bookmarkStart w:id="901" w:name="__RefHeading___Toc8924586_1051229030"/>
      <w:bookmarkStart w:id="902" w:name="_Toc332"/>
      <w:bookmarkEnd w:id="900"/>
      <w:bookmarkEnd w:id="901"/>
      <w:r>
        <w:rPr>
          <w:rtl w:val="true"/>
        </w:rPr>
        <w:t>وجوب الفحص عن علة اتخاذ القائد موقفاً أو رأياً وعن احتمال خطأه</w:t>
      </w:r>
      <w:bookmarkEnd w:id="902"/>
    </w:p>
    <w:p>
      <w:pPr>
        <w:pStyle w:val="BookText"/>
        <w:rPr/>
      </w:pPr>
      <w:r>
        <w:rPr>
          <w:rFonts w:ascii="Amiri" w:hAnsi="Amiri" w:eastAsia="Amiri" w:cs="Amiri"/>
          <w:color w:val="111111"/>
          <w:sz w:val="28"/>
          <w:sz w:val="28"/>
          <w:szCs w:val="28"/>
          <w:rtl w:val="true"/>
          <w:lang w:bidi="ar-SA"/>
        </w:rPr>
        <w:t>ولزم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والتنقيب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إحراز دخوله موضوعاً في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رأيه أو موقفه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فهل أن إصرار هذا الفقيه الحاكم مثلاً على الاستمرار في الحرب نابع من العصبية وهيجان القوة الغضبية</w:t>
      </w:r>
      <w:r>
        <w:rPr>
          <w:rStyle w:val="FootnoteAnchor"/>
          <w:rtl w:val="true"/>
        </w:rPr>
        <w:footnoteReference w:id="1281"/>
      </w:r>
      <w:r>
        <w:rPr>
          <w:rFonts w:ascii="Amiri" w:hAnsi="Amiri" w:eastAsia="Amiri" w:cs="Amiri"/>
          <w:color w:val="111111"/>
          <w:sz w:val="28"/>
          <w:sz w:val="28"/>
          <w:szCs w:val="28"/>
          <w:rtl w:val="true"/>
          <w:lang w:bidi="ar-SA"/>
        </w:rPr>
        <w:t xml:space="preserve">أم لا؟ وهل أن اقتراب هذا العالم من السلطان الجائر وتعاونه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حد كان التعاون ابتداءً من التزاور وإعطاء بعض التسهيلات الحكومية إزاءها، وانتهاءً إلى تأييد الدولة الجائرة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 من تشخيص واقعي للمصلحة، أم 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الحديث الشريف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سببه الطمع وحب المدح وحب الرئاسة، كما في الحديث الآخر، أو سببه الخوف والرعب في غير محلهما؟ وهل محاربته لعالم آخر أو للفئة الأخرى نابعة من الحسد</w:t>
      </w:r>
      <w:r>
        <w:rPr>
          <w:rStyle w:val="FootnoteAnchor"/>
          <w:rtl w:val="true"/>
        </w:rPr>
        <w:footnoteReference w:id="1282"/>
      </w:r>
      <w:r>
        <w:rPr>
          <w:rFonts w:ascii="Amiri" w:hAnsi="Amiri" w:eastAsia="Amiri" w:cs="Amiri"/>
          <w:color w:val="111111"/>
          <w:sz w:val="28"/>
          <w:sz w:val="28"/>
          <w:szCs w:val="28"/>
          <w:rtl w:val="true"/>
          <w:lang w:bidi="ar-SA"/>
        </w:rPr>
        <w:t>، وقد جعل الدين غطاءً أو ستاراً أم لا؟ وهكذك وهلم جراً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ولزم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w:t>
      </w:r>
      <w:r>
        <w:rPr>
          <w:rStyle w:val="FootnoteAnchor"/>
          <w:rtl w:val="true"/>
        </w:rPr>
        <w:footnoteReference w:id="1283"/>
      </w:r>
      <w:r>
        <w:rPr>
          <w:rFonts w:ascii="Amiri" w:hAnsi="Amiri" w:eastAsia="Amiri" w:cs="Amiri"/>
          <w:color w:val="111111"/>
          <w:sz w:val="28"/>
          <w:sz w:val="28"/>
          <w:szCs w:val="28"/>
          <w:rtl w:val="true"/>
          <w:lang w:bidi="ar-SA"/>
        </w:rPr>
        <w:t xml:space="preserve">عما لو كان رأيه وموقفه من الحوادث الواقعة نابعاً من خطأ قصوري، جهلاً أو نسياناً أو سهواً أو غفلةً، أو أنه نابع من الاضطرار والإجبار والإكراه مما يشترك مع الخطأ القصوري في المعذورية، وأن تشخصيه </w:t>
      </w:r>
      <w:bookmarkStart w:id="903" w:name="pg8204_101373"/>
    </w:p>
    <w:p>
      <w:pPr>
        <w:pStyle w:val="BookText"/>
        <w:rPr/>
      </w:pPr>
      <w:bookmarkEnd w:id="903"/>
      <w:r>
        <w:rPr>
          <w:rFonts w:ascii="Amiri" w:hAnsi="Amiri" w:eastAsia="Amiri" w:cs="Amiri"/>
          <w:color w:val="111111"/>
          <w:sz w:val="28"/>
          <w:sz w:val="28"/>
          <w:szCs w:val="28"/>
          <w:rtl w:val="true"/>
          <w:lang w:bidi="ar-SA"/>
        </w:rPr>
        <w:t xml:space="preserve">مثلاً ضرورة حرب هجومية ضد دولة مجاورة نابع من تضخيم متعمد أو غير متعمد لقنواته المعلوماتية عن حجم القوة العسكرية للعدو وإعداداته للهجوممثلاً وعن نواياه الخفية، أو عن تحريف في النقل وغير ذلك، وكذا العكس، وكذا هل أن تشخيصه ضرورة التحالف مع دولة ما نابع عن معلومات صحيحة عن ثقل تلك الدولة الواقعي في موازين القوى العالمية والمحلية، وأرجحية التحالف معها على التحالف مع دولة أخرى معادية لها، وعن مدى التزامها ببنود الاتفاق ووفائها به أم لا؟ وهل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ومحاور قوى خاصة قد صنعت أجواء خاصة وولدت ضغوطاً معينة أم لا؟ وهكذا</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8924588_1051229030"/>
      <w:bookmarkStart w:id="905" w:name="_Toc333"/>
      <w:bookmarkEnd w:id="904"/>
      <w:r>
        <w:rPr>
          <w:rtl w:val="true"/>
        </w:rPr>
        <w:t>ولا يكتفى بإحراز العدالة ابتداءً ولا باستصحابها</w:t>
      </w:r>
      <w:bookmarkEnd w:id="905"/>
    </w:p>
    <w:p>
      <w:pPr>
        <w:pStyle w:val="BookText"/>
        <w:rPr/>
      </w:pPr>
      <w:r>
        <w:rPr>
          <w:rFonts w:ascii="Amiri" w:hAnsi="Amiri" w:eastAsia="Amiri" w:cs="Amiri"/>
          <w:color w:val="111111"/>
          <w:sz w:val="28"/>
          <w:sz w:val="28"/>
          <w:szCs w:val="28"/>
          <w:rtl w:val="true"/>
          <w:lang w:bidi="ar-SA"/>
        </w:rPr>
        <w:t>وأما إحراز عدالته ابتداءً، فلا تكفي لدفع الخطأ القصوري، إذ لا علقة بينهما أصلاً، كما لا يخفى، وأما الانحراف المتعمد فإن الإحراز الابتدائي غير كاف، بل لابد من إحراز استدامة الموقف على التحقيق في كل حادثة واقعة اتخذ فيها موقفاً، إلا أن يكتفى في الإحراز باستصحابها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يقال بعدم جريانه في الأمور الخطيرة مع احتمال الخلاف وإمكان الفحص، ألا ترى أن من كان ممره على منطقة آمنة ثم احتمال احتمالاً عقلائياً مجيء سيل أو كمون عدو أو مفترس، فإنه لا يسلكه إلاّ بعد الفحص، ولو سلكه فذهب به السيل أو قتله العدو أو المفترس لم يكن معذوراً بل كان ملوماً؟ وهل ترى إحدى الدولتين المتحاربتين تبقى عساكرها في مواقعها لاستصحاب إبقاء تلك الدولة الأخرى عسكرها في موضعه السابق، أم تفحص وتبحث؟ ولو فعل </w:t>
      </w:r>
    </w:p>
    <w:p>
      <w:pPr>
        <w:pStyle w:val="BookText"/>
        <w:rPr/>
      </w:pPr>
      <w:r>
        <w:rPr>
          <w:rFonts w:ascii="Amiri" w:hAnsi="Amiri" w:eastAsia="Amiri" w:cs="Amiri"/>
          <w:color w:val="111111"/>
          <w:sz w:val="28"/>
          <w:sz w:val="28"/>
          <w:szCs w:val="28"/>
          <w:rtl w:val="true"/>
          <w:lang w:bidi="ar-SA"/>
        </w:rPr>
        <w:t>ذلك قائد أحد الجيشين معتمداً على استصحاب بقاء جيش العدو في مواضعه أو في بلده فغزي في عقر داره من طريق وثغر آخر، ألا يكون ملوماً مستحقاً للعقاب عند كافة العقلاء، وهل يعده أحدهم معذوراً؟ والأمثلة كثيرة والوجدان بها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قيل بجريانه في الأمور الأخروية في مثل تلك الصورة لم يمكن القول به في الأمور الدنيوية في مثلها، وبناءالعقلاء بذلك شاهد، وإجمال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الاستصحاب في الأمر الخطير الأخروي مع قوة احتمال الخلاف وإمكان الفحص، كما لو احتمل قوياً ارتضاع زوجته الصغيرة ممن يوجب ارتضاعها منها الحرمة كزوجته الكبيرة أو أمه مثلاً، إلا أن يقال بلزوم الفحص مع قوة الاحتمال، بل والاحتمال البدوي لما علم من الشارع من شدة الاحتراس والاحتياط في الفروج والدماء، بل وكذا العقلاء،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استصحب عدالته للصلاة خلفه أو لترتيب سائر ما يتوقف على العدالة من الشرعيات فلا عقوبة حينئذٍ لو بان الخلاف</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 ذلك كون الشريعة مبنية على التسهيل، أو كفاية مؤمّن مثل أدلة الاستصحاب من العقوبة الأخروية أو غير ذلك مما لا يجري في الشؤون الدنيوية، كما في مثال الطريق والجيش السابق في المتن، وهل تكون أدلة الاستصحاب مؤمّنة من خطر القتل أو هجوم العدو وهي تشريعية وتلك تكوينية؟ وتأمينها من العقوبة الأخروية لا يدفع الآثار التكوينية الخارجية للشيء، ومصلحة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يراها العقلاء في شؤونهم الدنيوية الخطيرة، إذ هي نقض للغرض وترجيح للمرجوح عقلاً قطعاً في قبال إلزامه بالفحص لدفع الضرر المحتمل هذا، وذلك واضح على كلا مبنيي كون الدليل على الاستصحاب، بناء العقلاء أو الروايات، لانصراف الأخيرة عن </w:t>
      </w:r>
    </w:p>
    <w:p>
      <w:pPr>
        <w:pStyle w:val="BookText"/>
        <w:rPr/>
      </w:pPr>
      <w:r>
        <w:rPr>
          <w:rFonts w:ascii="Amiri" w:hAnsi="Amiri" w:eastAsia="Amiri" w:cs="Amiri"/>
          <w:color w:val="111111"/>
          <w:sz w:val="28"/>
          <w:sz w:val="28"/>
          <w:szCs w:val="28"/>
          <w:rtl w:val="true"/>
          <w:lang w:bidi="ar-SA"/>
        </w:rPr>
        <w:t>الخطيرة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استلزم رأي الفقيه في الحوادث الواقعة ضرراً كبيراً دنيوياً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أو المال أو العرض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نابعاً حقيقة عن تشخيصه للواقع</w:t>
      </w:r>
      <w:r>
        <w:rPr>
          <w:rStyle w:val="FootnoteAnchor"/>
          <w:rtl w:val="true"/>
        </w:rPr>
        <w:footnoteReference w:id="1284"/>
      </w:r>
      <w:r>
        <w:rPr>
          <w:rFonts w:ascii="Amiri" w:hAnsi="Amiri" w:eastAsia="Amiri" w:cs="Amiri"/>
          <w:color w:val="111111"/>
          <w:sz w:val="28"/>
          <w:sz w:val="28"/>
          <w:szCs w:val="28"/>
          <w:rtl w:val="true"/>
          <w:lang w:bidi="ar-SA"/>
        </w:rPr>
        <w:t>، بل عن أحد العلل السابقة الذكر في القسم الثالث من أقسام العلماء، وحيث احتملت تلك العلل احتمالاً عقلائياً كما أرشدت إليه الأحاديث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العلماء ثمانية</w:t>
      </w:r>
      <w:r>
        <w:rPr>
          <w:rFonts w:eastAsia="Amiri" w:cs="Amiri" w:ascii="Amiri" w:hAnsi="Amiri"/>
          <w:color w:val="111111"/>
          <w:sz w:val="28"/>
          <w:szCs w:val="28"/>
          <w:rtl w:val="true"/>
          <w:lang w:bidi="ar-SA"/>
        </w:rPr>
        <w:t>)</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في حسد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طلب العلم لأربع</w:t>
      </w:r>
      <w:r>
        <w:rPr>
          <w:rFonts w:eastAsia="Amiri" w:cs="Amiri" w:ascii="Amiri" w:hAnsi="Amiri"/>
          <w:color w:val="111111"/>
          <w:sz w:val="28"/>
          <w:szCs w:val="28"/>
          <w:rtl w:val="true"/>
          <w:lang w:bidi="ar-SA"/>
        </w:rPr>
        <w:t>)</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وجب عند العقل والعقلاء الفحص عن سبب موقفه وأنه الهوى وأشباهه أم الورع والعقل؟</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الفحص عن عدالته حينئذٍ وعدمها، واستصحابها على فرضه غير كاف كما مرّ ، إلاّ لدفع العقوبة الأخروية، كما لو استصحب عدالته فصلى خلفه، أو استصحبها فدفع له المال فيما لو نذر دفعه لفقير عادل، أو استصحبها في الشاهدين فحكم على مقتضى شهادتهما أو غير ذلك من الأمثلة، لا الضرر الدنيوي الذي لا مؤمّن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كون هذا الاستصحاب مثبتاً، إذ معلولية هذا الرأي للتشخيص المجرد عن الغضب والحسد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عقلي أو عادي لإبقاء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 بكون اللازم الذي يراد إثباته هو جواز الاتباع، كما تستصحب العدالة لإثبات جواز الاقتداء، فتأمل</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قد يقال بأن جوازه متفرع على صدور الرأي مجرداً عن منافيات العدالة المتفرع عليها، فهو لازم شرعي للازم العقلي</w:t>
      </w:r>
      <w:r>
        <w:rPr>
          <w:rFonts w:eastAsia="Amiri" w:cs="Amiri" w:ascii="Amiri" w:hAnsi="Amiri"/>
          <w:color w:val="111111"/>
          <w:sz w:val="28"/>
          <w:szCs w:val="28"/>
          <w:rtl w:val="true"/>
          <w:lang w:bidi="ar-SA"/>
        </w:rPr>
        <w:t xml:space="preserve">. </w:t>
      </w:r>
      <w:bookmarkStart w:id="906" w:name="pg8204_101376"/>
    </w:p>
    <w:p>
      <w:pPr>
        <w:pStyle w:val="BookText"/>
        <w:rPr/>
      </w:pPr>
      <w:bookmarkEnd w:id="906"/>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 بخفاء الواسطة أو بترتب اللوازم الشرعية للّوازم العقلية مطلقاً، فتأمل</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8924590_1051229030"/>
      <w:bookmarkStart w:id="908" w:name="_Toc334"/>
      <w:bookmarkEnd w:id="907"/>
      <w:r>
        <w:rPr>
          <w:rtl w:val="true"/>
        </w:rPr>
        <w:t>كما يجب الفحص في علم الرجال يجب الفحص عن حال الأحياء</w:t>
      </w:r>
      <w:bookmarkEnd w:id="908"/>
    </w:p>
    <w:p>
      <w:pPr>
        <w:pStyle w:val="BookText"/>
        <w:rPr/>
      </w:pPr>
      <w:r>
        <w:rPr>
          <w:rFonts w:ascii="Amiri" w:hAnsi="Amiri" w:eastAsia="Amiri" w:cs="Amiri"/>
          <w:color w:val="111111"/>
          <w:sz w:val="28"/>
          <w:sz w:val="28"/>
          <w:szCs w:val="28"/>
          <w:rtl w:val="true"/>
          <w:lang w:bidi="ar-SA"/>
        </w:rPr>
        <w:t>وقد يمكن الاستدلال على بعض صور المسألة، وهي ما لو اتُهم الفقيه في رأيه وموقفه من الحوادث الواقعة، بل لو احتمل عقلائياً كونه عن غضب أو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بالمناط المحقق في علم الرجال الموجب للبحث عن الجارح، ولو في من كانت عدالته محرزة فيزمن ثم وجد جارح أو احتمل وجوده احتمالاً عقلائياً في الزمان اللاحق الذي صدرت فيه عن الراوي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كونه منصوباً حاكماً في الحوادث الواقعة فلا يدفع وجوب الفحص عن خطأه القصوري والتقصيري، إذ غيره أيضاً منصوب حاكماً فيها كما بيّناه في محله، كما لا يدفع وجوب الإشارة عليه بخطأه وتنبيهه إليه، كما لا يسبب جواز منع المشير منها ولا عدم وجوب طلبها ولا عدم وجوب ردع الأُمة مانعها، وأما وجوب سعي المشير لتطبيق محتواها ففيه تفصيل تطرقنا له في موضع آخر، ونقول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استلزام ذلك للهرج والمرج واختلال النظام غير تام، إذ كما يرتفع ذلك بنصب الواحد وتحريم مخالفة الآخرين مقتضى حكمه، يرتفع بنصب الجميع وتحريم مخالفة الأقلية رأي الأكثرية، ولا يكون اللازم الأعم دليلاً على أحد الملزومين، إضافة إلى أن السعي نحو ذلك لو كان باللتي هي أحسن لا بالقوة والعنف لم يستلزم ذلك، فتأمل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المنصوب كل واحد منهم بحيث ينفذ حكم أيّ منهم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وكيلي شخص في معاملة جعل لكل منهما الحق في البيع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يستلزم منصوبية الآخر وجوب فحصه، بل لو فحص وبان له الخطأ </w:t>
      </w:r>
    </w:p>
    <w:p>
      <w:pPr>
        <w:pStyle w:val="BookText"/>
        <w:rPr/>
      </w:pPr>
      <w:r>
        <w:rPr>
          <w:rFonts w:ascii="Amiri" w:hAnsi="Amiri" w:eastAsia="Amiri" w:cs="Amiri"/>
          <w:color w:val="111111"/>
          <w:sz w:val="28"/>
          <w:sz w:val="28"/>
          <w:szCs w:val="28"/>
          <w:rtl w:val="true"/>
          <w:lang w:bidi="ar-SA"/>
        </w:rPr>
        <w:t>لم يكن له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يمكن الالتزام به في القضايا الشخصية وموارد القضاء الفردي دون الشؤون العامة والأمور النوعية، كما بيّناه في مكان آخر فليراجع، إضافة إلى ما فصلناه في موضع آخر من أن النصب لهم جميعاً في الشؤون العامة بشرط الانضمام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أيضاً مكلف بإحقاق الحق وإبطال الباطل، وكونه منصوباً لا يستلزم كون الحق ما حكم به لبطلان التصويب، فإذا رأى بطلانه كان له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w:t>
      </w:r>
      <w:r>
        <w:rPr>
          <w:rStyle w:val="FootnoteAnchor"/>
          <w:rtl w:val="true"/>
        </w:rPr>
        <w:footnoteReference w:id="1288"/>
      </w:r>
      <w:r>
        <w:rPr>
          <w:rFonts w:ascii="Amiri" w:hAnsi="Amiri" w:eastAsia="Amiri" w:cs="Amiri"/>
          <w:color w:val="111111"/>
          <w:sz w:val="28"/>
          <w:sz w:val="28"/>
          <w:szCs w:val="28"/>
          <w:rtl w:val="true"/>
          <w:lang w:bidi="ar-SA"/>
        </w:rPr>
        <w:t xml:space="preserve">إلى أن منصوبيته مشروطة بالعدالة ومع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احتمل الانحراف المتعمد أي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للتمسكبمنصوبيته لدفع وجوب الفحص، لكون الشك فيها شكاً فيها، واستصحاب المنصوبية مسببي، واستصحاب العدالة قد مرّ الكلام فيه، بل يجري نظيره في استصحاب المنصوبية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بناء العقلاء على ما ذكرناه في الشؤون الخطيرة حتى في المنصوب، ألا تراهم لو نصبوا خبيراً لإرشادهم إلى الطريق الآمن في متاهة عظيمة، يلزمون أنفسهم أو سائر خبرائهم فيما لو احتملوا احتمالاً عقلائياً خطأ هذا المنصوب قصوراً أو تعمده تقصيراً بالفحص والتحقيق عن صواب ما أشار به وخطئه، وتراهم لو احتملوا ذلك يحققون عن سبب إشارته إلى هذا الطريق الخاص وأنه محض رأي أم نابع عن 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احتمالها كما لو احتمل إرادته هلاك القوم أثر معاقبتهم له في أمر ما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غضب أو هوى أو 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الخبير الآخر لو رأى خطأه ولم يشر ولم ينبه فهلكوا كان ملوماً معاقباً، ولو أراد الإشارة والتنبيه فمنعه مانع فهلكوا كان ملوماً مذموماً، وكذا لو </w:t>
      </w:r>
    </w:p>
    <w:p>
      <w:pPr>
        <w:pStyle w:val="BookText"/>
        <w:rPr/>
      </w:pPr>
      <w:r>
        <w:rPr>
          <w:rFonts w:ascii="Amiri" w:hAnsi="Amiri" w:eastAsia="Amiri" w:cs="Amiri"/>
          <w:color w:val="111111"/>
          <w:sz w:val="28"/>
          <w:sz w:val="28"/>
          <w:szCs w:val="28"/>
          <w:rtl w:val="true"/>
          <w:lang w:bidi="ar-SA"/>
        </w:rPr>
        <w:t>لم يطلبها الخبير المنصوب مع احتماله خطأه قصوراً وأن في القوم من يحتمل معرفته بالطريق وأن استشارته يحتمل كونها منجية من الهلاك، فهلكوا</w:t>
      </w:r>
      <w:r>
        <w:rPr>
          <w:rStyle w:val="FootnoteAnchor"/>
          <w:rtl w:val="true"/>
        </w:rPr>
        <w:footnoteReference w:id="1289"/>
      </w:r>
      <w:r>
        <w:rPr>
          <w:rFonts w:ascii="Amiri" w:hAnsi="Amiri" w:eastAsia="Amiri" w:cs="Amiri"/>
          <w:color w:val="111111"/>
          <w:sz w:val="28"/>
          <w:sz w:val="28"/>
          <w:szCs w:val="28"/>
          <w:rtl w:val="true"/>
          <w:lang w:bidi="ar-SA"/>
        </w:rPr>
        <w:t>كان ملوماً، وكذا لو لم يردع القوم مانع الإشارة فهلكوا كانوا ملومين مذمومين</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يسع الخبير الذي يرى خطأ الطريق الذي دلّ عليه الخبير المنصوب، لحمل الناس على سلوك الطريق الآخر الذي يراه منجياً، كان أيضاً ملوماً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المنصوبين من قبل العقلاء، والمنصوب من قبل حجة الله، لما سبق قبل صفحة</w:t>
      </w:r>
      <w:r>
        <w:rPr>
          <w:rStyle w:val="FootnoteAnchor"/>
          <w:rtl w:val="true"/>
        </w:rPr>
        <w:footnoteReference w:id="1291"/>
      </w:r>
      <w:r>
        <w:rPr>
          <w:rFonts w:ascii="Amiri" w:hAnsi="Amiri" w:eastAsia="Amiri" w:cs="Amiri"/>
          <w:color w:val="111111"/>
          <w:sz w:val="28"/>
          <w:sz w:val="28"/>
          <w:szCs w:val="28"/>
          <w:rtl w:val="true"/>
          <w:lang w:bidi="ar-SA"/>
        </w:rPr>
        <w:t>تقريباً، ولفرض عدمعصمته</w:t>
      </w:r>
      <w:r>
        <w:rPr>
          <w:rStyle w:val="FootnoteAnchor"/>
          <w:rtl w:val="true"/>
        </w:rPr>
        <w:footnoteReference w:id="1292"/>
      </w:r>
      <w:r>
        <w:rPr>
          <w:rFonts w:ascii="Amiri" w:hAnsi="Amiri" w:eastAsia="Amiri" w:cs="Amiri"/>
          <w:color w:val="111111"/>
          <w:sz w:val="28"/>
          <w:sz w:val="28"/>
          <w:szCs w:val="28"/>
          <w:rtl w:val="true"/>
          <w:lang w:bidi="ar-SA"/>
        </w:rPr>
        <w:t>، إذ الكلام في مراجع التقليد</w:t>
      </w:r>
      <w:r>
        <w:rPr>
          <w:rStyle w:val="FootnoteAnchor"/>
          <w:rtl w:val="true"/>
        </w:rPr>
        <w:footnoteReference w:id="1293"/>
      </w:r>
      <w:r>
        <w:rPr>
          <w:rFonts w:ascii="Amiri" w:hAnsi="Amiri" w:eastAsia="Amiri" w:cs="Amiri"/>
          <w:color w:val="111111"/>
          <w:sz w:val="28"/>
          <w:sz w:val="28"/>
          <w:szCs w:val="28"/>
          <w:rtl w:val="true"/>
          <w:lang w:bidi="ar-SA"/>
        </w:rPr>
        <w:t xml:space="preserve">، ولكون الدال على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تنزيله منزلة الحاكم العرفي في نفوذ حكمه لا أكثر، فيكون مثله، وليس الحاكم العرفي لو أخطأ أو احتمل خطأه في القضايا الخطيرة بحيث يحكم العقل بلزوم اتباعه ويبني العقلاء على لزوم طاعته وعدم الفحص عن خطئه وعدم الردع عنه بل الأمر بالعكس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رأيه حجة لنفسه ولمن تبعه لا يمنع وجوب الفحص والإشارة ووجوب ردع مانعها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كما بيّناه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عدم الفرق في جميع ما ذكرناه بين ما لو التزمنا بولاية الفقيه الواحد، وهو الأعلم أو من بيده السلطة مثلاً، أو بولاية كل الفقهاء ونفوذ حكم </w:t>
      </w:r>
      <w:bookmarkStart w:id="909" w:name="pg8204_101379"/>
    </w:p>
    <w:p>
      <w:pPr>
        <w:pStyle w:val="BookText"/>
        <w:rPr/>
      </w:pPr>
      <w:bookmarkEnd w:id="909"/>
      <w:r>
        <w:rPr>
          <w:rFonts w:ascii="Amiri" w:hAnsi="Amiri" w:eastAsia="Amiri" w:cs="Amiri"/>
          <w:color w:val="111111"/>
          <w:sz w:val="28"/>
          <w:sz w:val="28"/>
          <w:szCs w:val="28"/>
          <w:rtl w:val="true"/>
          <w:lang w:bidi="ar-SA"/>
        </w:rPr>
        <w:t>الأكثرية، فيجب على سائر المجتهدين والخبراء الفحص وتجب الإشارة ويحرم منعها ويجب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لجريان بعض الأدلة السابقة، فتدبر</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8924592_1051229030"/>
      <w:bookmarkStart w:id="911" w:name="_Toc335"/>
      <w:bookmarkEnd w:id="910"/>
      <w:r>
        <w:rPr>
          <w:rtl w:val="true"/>
        </w:rPr>
        <w:t>الاستدلال بمجموع الأحكام السابقة على لزوم العمل بالأكثرية</w:t>
      </w:r>
      <w:bookmarkEnd w:id="911"/>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ما ذكر من وجوب الإشارة ووجوب الاستشارة وحرمة منعها ووجوب سعي المشير لتطبيق محتواها</w:t>
      </w:r>
      <w:r>
        <w:rPr>
          <w:rStyle w:val="FootnoteAnchor"/>
          <w:rtl w:val="true"/>
        </w:rPr>
        <w:footnoteReference w:id="1295"/>
      </w:r>
      <w:r>
        <w:rPr>
          <w:rFonts w:ascii="Amiri" w:hAnsi="Amiri" w:eastAsia="Amiri" w:cs="Amiri"/>
          <w:color w:val="111111"/>
          <w:sz w:val="28"/>
          <w:sz w:val="28"/>
          <w:szCs w:val="28"/>
          <w:rtl w:val="true"/>
          <w:lang w:bidi="ar-SA"/>
        </w:rPr>
        <w:t>يدل بالدلالة الالتزامية عرفاً على وجوب الالتزام برأي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الإشارة ووجوب طلبها مقدمة طبيعية للعمل برأي الأكثرية، فيكون إرادتها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وسائر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له بالالتزام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تؤدي إلى ذلك عادة، فيكون طلبها طلبها، فالمرجع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استشار في شؤونه العامة سائر المراجعوأشاروا عليه أدّى بلورة الآراء وتبادل وجهات النظر إلى وجود أكثرية اقتناعاً أحياناً، كما يؤدي ضغطهم العملي وإعمال الفقيه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أحياناً أخرى، حيث يرى عدم العمل بآرائهم مشتملاً على ضرر أكبر من ضرر العمل بما يرى أنه الأصلح لو خلى وطبعه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العمل بما أدى إليه نظره لكونه مخالفاً لآراء أكثرية الفقهاء أكبر من ضرر العمل بما أدت إليه آراؤهم وإن كان يرى حسب تشخيصه الخاص الضرر في مؤدّى نظرهم بما هو هو</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برأيه راجح في حدّ ذاته، مرجوح بالنظر إلى مخالفتهم له بحد الحرمة،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يرى الحرب وهم يرون الصلح، فهل يا ترى لو استشار ابتداءً واستدامةً يلتزم بما رآه مع رؤيته مخالفة الأكثرية لها مع ما يرى من </w:t>
      </w:r>
    </w:p>
    <w:p>
      <w:pPr>
        <w:pStyle w:val="BookText"/>
        <w:rPr/>
      </w:pPr>
      <w:r>
        <w:rPr>
          <w:rFonts w:ascii="Amiri" w:hAnsi="Amiri" w:eastAsia="Amiri" w:cs="Amiri"/>
          <w:color w:val="111111"/>
          <w:sz w:val="28"/>
          <w:sz w:val="28"/>
          <w:szCs w:val="28"/>
          <w:rtl w:val="true"/>
          <w:lang w:bidi="ar-SA"/>
        </w:rPr>
        <w:t>ضعف شوكته وقلّة قدرته بمخالفتهم لها ودعوتهم للصلح مما يستلزم هزيمته في الحرب لو أقدم عليها</w:t>
      </w:r>
      <w:r>
        <w:rPr>
          <w:rStyle w:val="FootnoteAnchor"/>
          <w:rtl w:val="true"/>
        </w:rPr>
        <w:footnoteReference w:id="1296"/>
      </w:r>
      <w:r>
        <w:rPr>
          <w:rFonts w:ascii="Amiri" w:hAnsi="Amiri" w:eastAsia="Amiri" w:cs="Amiri"/>
          <w:color w:val="111111"/>
          <w:sz w:val="28"/>
          <w:sz w:val="28"/>
          <w:szCs w:val="28"/>
          <w:rtl w:val="true"/>
          <w:lang w:bidi="ar-SA"/>
        </w:rPr>
        <w:t xml:space="preserve">، فإنه لو تجرد عن سيطرة القوة الغضبية والعصبية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من كون العصبية آفة للعلماء</w:t>
      </w:r>
      <w:r>
        <w:rPr>
          <w:rStyle w:val="FootnoteAnchor"/>
          <w:rtl w:val="true"/>
        </w:rPr>
        <w:footnoteReference w:id="1297"/>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عنها وعدل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التمثيل لذلك بما مرّ أوائل الكتاب من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رأيه إلى رأي الأكثرية في تلك المعركة، مع ما استلزمه اتباع آرائهم من الضرر، وقد مر تفصيله ولسنا بحاجة إلى إثبات صحة السند، لكون ما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 مطابقاًللقاعدة العقلية</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كما يؤدّي إلى ذلك أحياناً أخرى محاولته كسب الأكثرية إلى جانبه، حيث وجب عليه طلب إشارتهم وحرم عليه منعهم منها، ووجب عليهم الإشارة عليه، وحيث رأى ما في انعقاد الأكثرية ضدّه من الضرر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لا يخفى ما فيما ذكرناه من أوجه التأمل،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النسبة بين ما ادعيناه من وجوب اتباع الأكثرية وبين الدليل عموماً من وجه، وعدم </w:t>
      </w:r>
    </w:p>
    <w:p>
      <w:pPr>
        <w:pStyle w:val="BookText"/>
        <w:rPr/>
      </w:pPr>
      <w:r>
        <w:rPr>
          <w:rFonts w:ascii="Amiri" w:hAnsi="Amiri" w:eastAsia="Amiri" w:cs="Amiri"/>
          <w:color w:val="111111"/>
          <w:sz w:val="28"/>
          <w:sz w:val="28"/>
          <w:szCs w:val="28"/>
          <w:rtl w:val="true"/>
          <w:lang w:bidi="ar-SA"/>
        </w:rPr>
        <w:t>التلازم بينهما لا عقلاً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الفقيه حيث دار بين الاحتمالات الثلاثة المتقدمة، وحيث كان المحتمل من الأمور الهامة، وجب عقد مجلس شورى من الفقهاء واتباع أكثريتهم، لكون تلك الثلاثة في أكثرية الفقهاء أضعف بكثير من الواحد</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وجود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الاعتبار الرسمي والعرفي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يخولهم سلطة اعتبارية في الحكومة أقوى مما لو لم يكونوا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لردع أحدهم عن اتخاذ موقف خاطئ قصوراً</w:t>
      </w:r>
      <w:r>
        <w:rPr>
          <w:rStyle w:val="FootnoteAnchor"/>
          <w:rtl w:val="true"/>
        </w:rPr>
        <w:footnoteReference w:id="1301"/>
      </w:r>
      <w:r>
        <w:rPr>
          <w:rFonts w:ascii="Amiri" w:hAnsi="Amiri" w:eastAsia="Amiri" w:cs="Amiri"/>
          <w:color w:val="111111"/>
          <w:sz w:val="28"/>
          <w:sz w:val="28"/>
          <w:szCs w:val="28"/>
          <w:rtl w:val="true"/>
          <w:lang w:bidi="ar-SA"/>
        </w:rPr>
        <w:t>وتقصيراً</w:t>
      </w:r>
      <w:r>
        <w:rPr>
          <w:rStyle w:val="FootnoteAnchor"/>
          <w:rtl w:val="true"/>
        </w:rPr>
        <w:footnoteReference w:id="1302"/>
      </w:r>
      <w:r>
        <w:rPr>
          <w:rFonts w:ascii="Amiri" w:hAnsi="Amiri" w:eastAsia="Amiri" w:cs="Amiri"/>
          <w:color w:val="111111"/>
          <w:sz w:val="28"/>
          <w:sz w:val="28"/>
          <w:szCs w:val="28"/>
          <w:rtl w:val="true"/>
          <w:lang w:bidi="ar-SA"/>
        </w:rPr>
        <w:t>، إذ من المسلّم أن من يرى نداً في قبالهيحاول سدّ نواقصه وجبرها وتحسين عمله كماً وكيفاً حسب قانون التنافس</w:t>
      </w:r>
      <w:r>
        <w:rPr>
          <w:rStyle w:val="FootnoteAnchor"/>
          <w:rtl w:val="true"/>
        </w:rPr>
        <w:footnoteReference w:id="1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الفقيه في المسائل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انفرد بالنظر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حاله عما لو طرح المسألة في مجمع علمي يشترك فيه فحول العلماء، </w:t>
      </w:r>
    </w:p>
    <w:p>
      <w:pPr>
        <w:pStyle w:val="BookText"/>
        <w:rPr/>
      </w:pPr>
      <w:r>
        <w:rPr>
          <w:rFonts w:ascii="Amiri" w:hAnsi="Amiri" w:eastAsia="Amiri" w:cs="Amiri"/>
          <w:color w:val="111111"/>
          <w:sz w:val="28"/>
          <w:sz w:val="28"/>
          <w:szCs w:val="28"/>
          <w:rtl w:val="true"/>
          <w:lang w:bidi="ar-SA"/>
        </w:rPr>
        <w:t>وتطرقوا لها بالمناقشة والإشكال والجواب والأخذ والرد،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بذله مزيداً من الدقة والفكر والوقت والجهد في تحقيق المسألة وتنقيحها، وذلك أمر طبيعي وبديهي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من الآخرين في جرح وتعديل ما يراه، ولربما انصرف عن معتقده إلى معتقد الآخر، أو قال بالتفصيل، أو تردد</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ومعرفة هذه الجهة كافية للحكم في الشؤون العامة بما في الإشارة والاستشارة من الفائدة الكبيرة في بذل كل منهم جهده لتقديم الأطروحة الأكثر تكاملاً والأنفع للعباد والبلاد، وفي بذل قصارى جهده لتنجنب الخطأ والنقص في النظرية أو التطبيق</w:t>
      </w:r>
      <w:r>
        <w:rPr>
          <w:rStyle w:val="FootnoteAnchor"/>
          <w:rtl w:val="true"/>
        </w:rPr>
        <w:footnoteReference w:id="1308"/>
      </w:r>
      <w:r>
        <w:rPr>
          <w:rFonts w:ascii="Amiri" w:hAnsi="Amiri" w:eastAsia="Amiri" w:cs="Amiri"/>
          <w:color w:val="111111"/>
          <w:sz w:val="28"/>
          <w:sz w:val="28"/>
          <w:szCs w:val="28"/>
          <w:rtl w:val="true"/>
          <w:lang w:bidi="ar-SA"/>
        </w:rPr>
        <w:t>، وبكونها لازمة وإن لم تكفِ للحكم بوجوب اتباع أكثرية الفقهاء إلاّ من الطريق الذي تطرقنا له تفصيلاً في أماكن أخرى من الكتاب</w:t>
      </w:r>
      <w:r>
        <w:rPr>
          <w:rFonts w:eastAsia="Amiri" w:cs="Amiri" w:ascii="Amiri" w:hAnsi="Amiri"/>
          <w:color w:val="111111"/>
          <w:sz w:val="28"/>
          <w:szCs w:val="28"/>
          <w:rtl w:val="true"/>
          <w:lang w:bidi="ar-SA"/>
        </w:rPr>
        <w:t xml:space="preserve">. </w:t>
      </w:r>
      <w:bookmarkStart w:id="912" w:name="pg8204_101383"/>
    </w:p>
    <w:p>
      <w:pPr>
        <w:pStyle w:val="Heading3"/>
        <w:numPr>
          <w:ilvl w:val="2"/>
          <w:numId w:val="1"/>
        </w:numPr>
        <w:rPr/>
      </w:pPr>
      <w:bookmarkStart w:id="913" w:name="__RefHeading___Toc8924594_1051229030"/>
      <w:bookmarkStart w:id="914" w:name="_Toc336"/>
      <w:bookmarkEnd w:id="912"/>
      <w:bookmarkEnd w:id="913"/>
      <w:r>
        <w:rPr>
          <w:rtl w:val="true"/>
        </w:rPr>
        <w:t>الفصل الثاني</w:t>
      </w:r>
      <w:r>
        <w:rPr>
          <w:rtl w:val="true"/>
        </w:rPr>
        <w:t xml:space="preserve">: </w:t>
      </w:r>
      <w:r>
        <w:rPr>
          <w:rtl w:val="true"/>
        </w:rPr>
        <w:t>في بيان وجوب الاستشارة والاتباع</w:t>
      </w:r>
      <w:bookmarkEnd w:id="914"/>
    </w:p>
    <w:p>
      <w:pPr>
        <w:pStyle w:val="Heading4"/>
        <w:numPr>
          <w:ilvl w:val="3"/>
          <w:numId w:val="1"/>
        </w:numPr>
        <w:rPr/>
      </w:pPr>
      <w:bookmarkStart w:id="915" w:name="__RefHeading___Toc8924596_1051229030"/>
      <w:bookmarkStart w:id="916" w:name="_Toc337"/>
      <w:bookmarkEnd w:id="915"/>
      <w:r>
        <w:rPr>
          <w:rtl w:val="true"/>
        </w:rPr>
        <w:t>اشارة</w:t>
      </w:r>
      <w:bookmarkEnd w:id="916"/>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لو لم ير سائر الفقهاء ذلك ومسائل أخرى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7" w:name="pg8204_101385"/>
      <w:bookmarkStart w:id="918" w:name="pg8204_101385"/>
      <w:bookmarkEnd w:id="918"/>
    </w:p>
    <w:p>
      <w:pPr>
        <w:pStyle w:val="Heading4"/>
        <w:numPr>
          <w:ilvl w:val="3"/>
          <w:numId w:val="1"/>
        </w:numPr>
        <w:rPr/>
      </w:pPr>
      <w:bookmarkStart w:id="919" w:name="pg8204_101385"/>
      <w:bookmarkStart w:id="920" w:name="__RefHeading___Toc8924598_1051229030"/>
      <w:bookmarkStart w:id="921" w:name="_Toc338"/>
      <w:bookmarkEnd w:id="919"/>
      <w:bookmarkEnd w:id="920"/>
      <w:r>
        <w:rPr>
          <w:rtl w:val="true"/>
        </w:rPr>
        <w:t>وجوب الاستشارة والاتباع مطلقاً وعدمه</w:t>
      </w:r>
      <w:bookmarkEnd w:id="921"/>
    </w:p>
    <w:p>
      <w:pPr>
        <w:pStyle w:val="Heading5"/>
        <w:numPr>
          <w:ilvl w:val="4"/>
          <w:numId w:val="1"/>
        </w:numPr>
        <w:rPr/>
      </w:pPr>
      <w:bookmarkStart w:id="922" w:name="__RefHeading___Toc8924600_1051229030"/>
      <w:bookmarkStart w:id="923" w:name="_Toc339"/>
      <w:bookmarkEnd w:id="922"/>
      <w:r>
        <w:rPr>
          <w:rtl w:val="true"/>
        </w:rPr>
        <w:t>هل تجب استشارة الفقيه الذي لا يرى وجوبها أو يرى حرمة الحكومة؟</w:t>
      </w:r>
      <w:bookmarkEnd w:id="923"/>
    </w:p>
    <w:p>
      <w:pPr>
        <w:pStyle w:val="BookText"/>
        <w:rPr/>
      </w:pPr>
      <w:r>
        <w:rPr>
          <w:rFonts w:ascii="Amiri" w:hAnsi="Amiri" w:eastAsia="Amiri" w:cs="Amiri"/>
          <w:color w:val="111111"/>
          <w:sz w:val="28"/>
          <w:sz w:val="28"/>
          <w:szCs w:val="28"/>
          <w:rtl w:val="true"/>
          <w:lang w:bidi="ar-SA"/>
        </w:rPr>
        <w:t>إذا لم ير بعض الفقهاء أو أكثرهم جواز تولي أمر الحكومة، أو رأوا ذلك ولم يروا كونها شورى، بل رأوا صحة تولي الفقيه الواحد، فهل على الفقيه الحاكم أو الفقهاء الحاكمين إذا كانوا ممن يرون وجوب الشورى استشارتهم واتباع رأي الأكثرية حينئذٍ أم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تكليفاً، لإطلاقات الأدلة، وعدم اعتقاده بوجوب استشارة الفقيه الحاكم منه لا يغير حكم من يعتقد بالوجوب، وذلك كمن رأى أنَّ لزيد عليه حقاً مثلاً ولم يرَ زيد ذلك فإن عليه إيصاله إليه، أو رأى اجتهاداً عمل زيد منكراً أو بدعةً أو ضاراً بالإسلام والمسلمين ولم يره زيد كذلك اجتهاداً، فإن عليه النهي</w:t>
      </w:r>
      <w:r>
        <w:rPr>
          <w:rStyle w:val="FootnoteAnchor"/>
          <w:rtl w:val="true"/>
        </w:rPr>
        <w:footnoteReference w:id="1309"/>
      </w:r>
      <w:r>
        <w:rPr>
          <w:rFonts w:ascii="Amiri" w:hAnsi="Amiri" w:eastAsia="Amiri" w:cs="Amiri"/>
          <w:color w:val="111111"/>
          <w:sz w:val="28"/>
          <w:sz w:val="28"/>
          <w:szCs w:val="28"/>
          <w:rtl w:val="true"/>
          <w:lang w:bidi="ar-SA"/>
        </w:rPr>
        <w:t>، إذ على كل أن يعمل بوظيفته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نفوذ حكمه وضعاً، إن لم يستشر أو استشار ولم يشيروا لكون انضمام آراء الأكثرية إليه شرط نفوذ الرأي، وذلك كما لو وكل أحدهم خمسة أشخاص على سبيل الاجتماع بأن يكون الرأي لأكثريتهم أو لكلهم أو لأحدهم مشروطاً بانضمام الآخرين بعضاً أو كلاً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يمثل لذلك بالولي إذا لم يعتقد هو بولاية نفسه موضوعاً، بأن لم يكن </w:t>
      </w:r>
    </w:p>
    <w:p>
      <w:pPr>
        <w:pStyle w:val="BookText"/>
        <w:rPr/>
      </w:pPr>
      <w:r>
        <w:rPr>
          <w:rFonts w:ascii="Amiri" w:hAnsi="Amiri" w:eastAsia="Amiri" w:cs="Amiri"/>
          <w:color w:val="111111"/>
          <w:sz w:val="28"/>
          <w:sz w:val="28"/>
          <w:szCs w:val="28"/>
          <w:rtl w:val="true"/>
          <w:lang w:bidi="ar-SA"/>
        </w:rPr>
        <w:t>يعتقد بكونه جداً لهذا الطفل، أو حكماً</w:t>
      </w:r>
      <w:r>
        <w:rPr>
          <w:rStyle w:val="FootnoteAnchor"/>
          <w:rtl w:val="true"/>
        </w:rPr>
        <w:footnoteReference w:id="1310"/>
      </w:r>
      <w:r>
        <w:rPr>
          <w:rFonts w:ascii="Amiri" w:hAnsi="Amiri" w:eastAsia="Amiri" w:cs="Amiri"/>
          <w:color w:val="111111"/>
          <w:sz w:val="28"/>
          <w:sz w:val="28"/>
          <w:szCs w:val="28"/>
          <w:rtl w:val="true"/>
          <w:lang w:bidi="ar-SA"/>
        </w:rPr>
        <w:t>، فلا ينفذ حكم غيره دون إذنه، وكذا لو كان أولياء متعددون لم ير أحدهم كونه ولياً موضوعاً أو اجتهاداً،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عدم اختصاص أكثر الحِكَم المذكورة في روايات الاستشارة بغير الصور المذكورة في السؤال، وعدم تحقق بعضها فيها غير ضار بعد كونها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تكليفاً، لانصراف الأدلة عن مثل هذه الصورة، وقد يلتزم في مسألة تغاير الاجتهادين في المعروف والمنكر بعدم الوجوب، للانصراف أيضاً، وهل يلتزم أحد بوجوب ردع من يرى اجتهاداً محرمية الرضعات العشر، لمن تزوج من ارتضعت معه عشر رضعات، لكونه يرى اجتهاداً أو تقليداً عدم نشرها للحرمة؟ وهل له أن يردعه لساناً فإن لم ينفع فباليد؟</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 تم في أدلة المنكر فلا يتم في أدلة البدعة والإضرار بالإسلام والمسلمين، ومطلق ما علم من الشارع إرادة عدم وقوعه في الخارج، حيث يمكن أن يدعى أن بناء العقلاء أيضاً على ذلك، فمن رأى اجتهاداً أو تقليداً أن في ما يعمله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كإجراء معاهدة دولية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البالغ على الدولة والأُمة، كان عليه عقلاً وعقلائياً الردع القولي والعملي إن استطاع، وإن كان رأي الآخر أن في العدم الضرر البالغ، وقد سبق أن المستفاد من الروايات وغيرها أن في ترك الشورى والاستشارة ضرراً خطيراً</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ونفوذ الحكم وضعاً، فيما لو تعذرت الاستشارة، أو استشار ولم يشيروا، دون ما لو لم يستشر تشهياً، وذلك لكون توقف النفوذ على الحكم بالشورى من </w:t>
      </w:r>
    </w:p>
    <w:p>
      <w:pPr>
        <w:pStyle w:val="BookText"/>
        <w:rPr/>
      </w:pPr>
      <w:r>
        <w:rPr>
          <w:rFonts w:ascii="Amiri" w:hAnsi="Amiri" w:eastAsia="Amiri" w:cs="Amiri"/>
          <w:color w:val="111111"/>
          <w:sz w:val="28"/>
          <w:sz w:val="28"/>
          <w:szCs w:val="28"/>
          <w:rtl w:val="true"/>
          <w:lang w:bidi="ar-SA"/>
        </w:rPr>
        <w:t>باب تعدد المطلوب، فإن تعذَّرَ حكمُ الفقيه بالشورى، لا بتقصير منه، وجب حكمه ونفذ دونها، وذلك كما لو تعذر الفقيه حيث يجب على آحاد المؤمنين القيام بشؤون الحسبة، وما يلزم من تركه الهرج والمرج واختلال النظام، كما فصلناه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يستند في ذلك إلى قاعدة الميسور، إذ يجب استشارة سائرالفقهاء، فإن تعذر وجب استشارة الباقين، وكذا يتوقف النفوذ على موافقة الأكثرية، فإن تعذر توقف على ما بقي، كما لو جعل المولى الولاية لمجموعة ثم مات بعضهم أو تعذر الوصول إليه فينفذ رأي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تابع لنحو جعله الولاية، لكن المنصرف منها إثباتاً الارتباطية والعدم عند العدم،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قاعدة الميسور، فإن الاستدلال بها مبني على البحث مبنىً في عمومية رواياتها للأفراد والأجزاء، أو كونها للأفراد فقط بقرينة المورد في بعضها، وعلى اختصاصها بغير ما علمت ارتباطيته، أو عمومها لما لم تعلم ارتباطيته، أو حتى لما علمت أيضاً</w:t>
      </w:r>
      <w:r>
        <w:rPr>
          <w:rStyle w:val="FootnoteAnchor"/>
          <w:rtl w:val="true"/>
        </w:rPr>
        <w:footnoteReference w:id="1312"/>
      </w:r>
      <w:r>
        <w:rPr>
          <w:rFonts w:ascii="Amiri" w:hAnsi="Amiri" w:eastAsia="Amiri" w:cs="Amiri"/>
          <w:color w:val="111111"/>
          <w:sz w:val="28"/>
          <w:sz w:val="28"/>
          <w:szCs w:val="28"/>
          <w:rtl w:val="true"/>
          <w:lang w:bidi="ar-SA"/>
        </w:rPr>
        <w:t>، كما أن الظاهر دلالة روايات القاعدة على عدم سقوط الميسور عما كان للمعسور من الحكم وجوباً أو ندباً، وهذا ظاهر ما يثبت الحكم بلسان إثبات الموضوع، أو ينفي انتفاءه بلسان عدم انتفاء موضوعه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يستشر تشهياً، فالظاهر عدم نفوذ حكمه مع تقييد ولايته بها</w:t>
      </w:r>
      <w:r>
        <w:rPr>
          <w:rStyle w:val="FootnoteAnchor"/>
          <w:rtl w:val="true"/>
        </w:rPr>
        <w:footnoteReference w:id="1313"/>
      </w:r>
      <w:r>
        <w:rPr>
          <w:rFonts w:ascii="Amiri" w:hAnsi="Amiri" w:eastAsia="Amiri" w:cs="Amiri"/>
          <w:color w:val="111111"/>
          <w:sz w:val="28"/>
          <w:sz w:val="28"/>
          <w:szCs w:val="28"/>
          <w:rtl w:val="true"/>
          <w:lang w:bidi="ar-SA"/>
        </w:rPr>
        <w:t xml:space="preserve">، وكون الغبطة والمصلحة فيها، والمفسدة في عدمها على ما فصلنا الكلام فيه، فهو </w:t>
      </w:r>
    </w:p>
    <w:p>
      <w:pPr>
        <w:pStyle w:val="BookText"/>
        <w:rPr/>
      </w:pPr>
      <w:r>
        <w:rPr>
          <w:rFonts w:ascii="Amiri" w:hAnsi="Amiri" w:eastAsia="Amiri" w:cs="Amiri"/>
          <w:color w:val="111111"/>
          <w:sz w:val="28"/>
          <w:sz w:val="28"/>
          <w:szCs w:val="28"/>
          <w:rtl w:val="true"/>
          <w:lang w:bidi="ar-SA"/>
        </w:rPr>
        <w:t xml:space="preserve">أولى مما لو تصرف الولي في أموال المولى عليه دون غبطة أو مع المفسدة، والأصل عدم ولايته بدونها، والقدر المتيقن بل المنصرف من أدلة الولاية ونفوذ التصرف ما كان معها، لو لم نقل بقيام الدليل على ذلك، إضافة إلى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الأحاديث التي ذكرناها، كالمقبولة وكالتوقيع المبارك، كون الولاية لمجموعهم، كما لو 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إلى مصر حكاماً حيث يكون الظاهر عدمنفوذ حكم أحدهم دون انضمام الآخرين،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فيها</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كقول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من الشرائط كذا وكذا من أولادي فله الولاية على عبيدي وبيوتي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تكون لكل من جمع الشرائط الولاية ولا ينفذ تصرف أحدهم دون الانضمام، كما هو المستفاد عرفاً من هذا الكلام، وقد فصلنا الكلام في موضع آخر، وقاعدة الميسور لا تجري مع تعمد ترك المقدور، بل في صورة التعذر أو التعسر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عدم وجوب استشارة كل الفقهاء بل يكفي استشارة البعض، لاندفاع الضرر المحتمل احتمالاً عقلائياً بذلك، وصدق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وغير ذلك من الروايات، بذلك</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xml:space="preserve">في الرجوع إلى كل المؤمنين، فإن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أحياناً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وجب استشارة كافة من ترجع إليهم الأمة أمورها فتكون استشارتهم استشارة الأمة لكونهم وكلاءها</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ما رجع إليه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فأمر المؤمنين شورى بين أولئك المؤمنين لا بين بعضهم،ولا يتحقق ذلك باستشارة بعض من يمثل الأمة، نعم للأمة أن تنتخب مجموعة تفوض إليها رأيها، وتكون هي المستشارة للفقيه الحاكم، فتكون أكثريتها المحكمة، ويشترط فيها ما يشترط في حاكم الشرع من الشرائط، فتصدق الآيتان الشريفتان</w:t>
      </w:r>
      <w:r>
        <w:rPr>
          <w:rFonts w:eastAsia="Amiri" w:cs="Amiri" w:ascii="Amiri" w:hAnsi="Amiri"/>
          <w:color w:val="111111"/>
          <w:sz w:val="28"/>
          <w:szCs w:val="28"/>
          <w:rtl w:val="true"/>
          <w:lang w:bidi="ar-SA"/>
        </w:rPr>
        <w:t xml:space="preserve">. </w:t>
      </w:r>
      <w:bookmarkStart w:id="924" w:name="pg8204_101390"/>
    </w:p>
    <w:p>
      <w:pPr>
        <w:pStyle w:val="Heading4"/>
        <w:numPr>
          <w:ilvl w:val="3"/>
          <w:numId w:val="1"/>
        </w:numPr>
        <w:rPr/>
      </w:pPr>
      <w:bookmarkStart w:id="925" w:name="__RefHeading___Toc8924602_1051229030"/>
      <w:bookmarkStart w:id="926" w:name="_Toc340"/>
      <w:bookmarkEnd w:id="924"/>
      <w:bookmarkEnd w:id="925"/>
      <w:r>
        <w:rPr>
          <w:rtl w:val="true"/>
        </w:rPr>
        <w:t>مسائل عديدة أخرى</w:t>
      </w:r>
      <w:r>
        <w:rPr>
          <w:rtl w:val="true"/>
        </w:rPr>
        <w:t>:</w:t>
      </w:r>
      <w:bookmarkEnd w:id="926"/>
    </w:p>
    <w:p>
      <w:pPr>
        <w:pStyle w:val="BookText"/>
        <w:rPr/>
      </w:pPr>
      <w:r>
        <w:rPr>
          <w:rFonts w:ascii="Amiri" w:hAnsi="Amiri" w:eastAsia="Amiri" w:cs="Amiri"/>
          <w:color w:val="111111"/>
          <w:sz w:val="28"/>
          <w:sz w:val="28"/>
          <w:szCs w:val="28"/>
          <w:rtl w:val="true"/>
          <w:lang w:bidi="ar-SA"/>
        </w:rPr>
        <w:t>وهل لمن رشحته الأمة عدم القبول؟</w:t>
      </w:r>
    </w:p>
    <w:p>
      <w:pPr>
        <w:pStyle w:val="BookText"/>
        <w:rPr/>
      </w:pPr>
      <w:r>
        <w:rPr>
          <w:rFonts w:ascii="Amiri" w:hAnsi="Amiri" w:eastAsia="Amiri" w:cs="Amiri"/>
          <w:color w:val="111111"/>
          <w:sz w:val="28"/>
          <w:sz w:val="28"/>
          <w:szCs w:val="28"/>
          <w:rtl w:val="true"/>
          <w:lang w:bidi="ar-SA"/>
        </w:rPr>
        <w:t>الظاهر ذلك في صورة وجود من به الكفاية، إلا إذا قيل بكون الجامعية للشرائط مع انتخاب الأمة علة تامة لثبوت المنصب، وأن كونه حاكماً حكم غير قابل للإسقاط وليس بحق</w:t>
      </w:r>
      <w:r>
        <w:rPr>
          <w:rStyle w:val="FootnoteAnchor"/>
          <w:rtl w:val="true"/>
        </w:rPr>
        <w:footnoteReference w:id="1321"/>
      </w:r>
      <w:r>
        <w:rPr>
          <w:rFonts w:ascii="Amiri" w:hAnsi="Amiri" w:eastAsia="Amiri" w:cs="Amiri"/>
          <w:color w:val="111111"/>
          <w:sz w:val="28"/>
          <w:sz w:val="28"/>
          <w:szCs w:val="28"/>
          <w:rtl w:val="true"/>
          <w:lang w:bidi="ar-SA"/>
        </w:rPr>
        <w:t>، حتى وإن وجد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انضمام رضاه إلى ذينك جزء العلة لثبوت المنصب، لكونه الأصل في الكفائي، والعدم في صورة الانحصار،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قبل فهل له بعد ذلك الاستقالة؟</w:t>
      </w:r>
    </w:p>
    <w:p>
      <w:pPr>
        <w:pStyle w:val="BookText"/>
        <w:rPr/>
      </w:pPr>
      <w:r>
        <w:rPr>
          <w:rFonts w:ascii="Amiri" w:hAnsi="Amiri" w:eastAsia="Amiri" w:cs="Amiri"/>
          <w:color w:val="111111"/>
          <w:sz w:val="28"/>
          <w:sz w:val="28"/>
          <w:szCs w:val="28"/>
          <w:rtl w:val="true"/>
          <w:lang w:bidi="ar-SA"/>
        </w:rPr>
        <w:t>مبني على كونها حقاً فهي قابلة للإسقاط، أو حكماً فلا تقبل، كولاية الأب والجد على الابن غير القابلة للإسقاط، لكن التحقيق الفرق بين الترك وبين الإسقاط، فإن الحقوق منها ما لا يقبل الإسقاط لكنه يقبل الترك</w:t>
      </w:r>
      <w:r>
        <w:rPr>
          <w:rStyle w:val="FootnoteAnchor"/>
          <w:rtl w:val="true"/>
        </w:rPr>
        <w:footnoteReference w:id="1322"/>
      </w:r>
      <w:r>
        <w:rPr>
          <w:rFonts w:ascii="Amiri" w:hAnsi="Amiri" w:eastAsia="Amiri" w:cs="Amiri"/>
          <w:color w:val="111111"/>
          <w:sz w:val="28"/>
          <w:sz w:val="28"/>
          <w:szCs w:val="28"/>
          <w:rtl w:val="true"/>
          <w:lang w:bidi="ar-SA"/>
        </w:rPr>
        <w:t>، والاستقالة ترك وليست إسقاطاً، فتأمل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اعتبرنا ذلك عقداً جديداً بين الأُمة والحاكم كان تابعاً لما يشترط في ضمن العقد ولو ارتكازاً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لو لم يتصد الفقهاء للحكومة ولم يعينوا أحداً لها، سقط اعتبار إذنهم، لما مرّ في موضع آخر من حكم العقل بالحاجة للحكومة، وتوقف نظام النوع عليها، فلو تعذر الفاضل وجبالمفضول، ووجهه ما سبق من كون حكومة الفقيه من باب تعدد المطلوب، وللأولوية مما ذكروه في كتاب النكاح من سقوط اعتبار إذن الولي إن غاب أو سجن، وكان على الأمة انتخاب أحد عدول المؤمنين بأكثرية الآراء، لكون الناس مسلطين على أموالهم وأنفسهم، فلهم انتخاب من شاؤوا، وقد خرجت صورة وجود الفقيه وتيّسر تسلمه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سلطة لهم، بناءً على ولاية الفقيه المنجزة</w:t>
      </w:r>
      <w:r>
        <w:rPr>
          <w:rStyle w:val="FootnoteAnchor"/>
          <w:rtl w:val="true"/>
        </w:rPr>
        <w:footnoteReference w:id="1323"/>
      </w:r>
      <w:r>
        <w:rPr>
          <w:rFonts w:ascii="Amiri" w:hAnsi="Amiri" w:eastAsia="Amiri" w:cs="Amiri"/>
          <w:color w:val="111111"/>
          <w:sz w:val="28"/>
          <w:sz w:val="28"/>
          <w:szCs w:val="28"/>
          <w:rtl w:val="true"/>
          <w:lang w:bidi="ar-SA"/>
        </w:rPr>
        <w:t xml:space="preserve">، لانتخاب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الباقي على مقتضى الأصل، هذا لكن ذلك لا يفيد المنصب لمن انتخبوه، بل يكون كما بحثناه في موضع آخر، مبيناً على أنه وكالة أو جعالة أو إذن أو عقد مستأنف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المستند توقف نظام النوع، أفاد حكومته بهذا المقدار لا أكثر، فليس له التصرف كما يتصرف الحكام العرفيون من حيث سعة الدائرة، فتدبر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يشترك أكثرية الناس في الانتخابات، فإن أدى ذلك إلى تعطل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حكومة</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وزوالها كان محرماً، لكونه سبباً لاختلال النظام والهرج والمرج، ووجب على الفقيه وغيره نهيهم عن المنكر لساناً، ثم فرض الانتخاب إن أمكن ولم يترتب محذور أهم، وإن لم يؤد إلى تلك المحاذير بأن شكلت الأقلية حكومة فلا حرمة لعدم اشتراك الأكثرية في الانتخابات، ونفذت أحكامها</w:t>
      </w:r>
      <w:r>
        <w:rPr>
          <w:rStyle w:val="FootnoteAnchor"/>
          <w:rtl w:val="true"/>
        </w:rPr>
        <w:footnoteReference w:id="1325"/>
      </w:r>
      <w:r>
        <w:rPr>
          <w:rFonts w:ascii="Amiri" w:hAnsi="Amiri" w:eastAsia="Amiri" w:cs="Amiri"/>
          <w:color w:val="111111"/>
          <w:sz w:val="28"/>
          <w:sz w:val="28"/>
          <w:szCs w:val="28"/>
          <w:rtl w:val="true"/>
          <w:lang w:bidi="ar-SA"/>
        </w:rPr>
        <w:t xml:space="preserve">ووجبت إطاعتها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الأكثرية غير متصدية لتشكيل حكومة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نفوذ الأحكام ووجوب الطاعة إنما هو في حدود ما يدفع اختلال النظام والهرج والمرج، فتأمل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المسألة كنظائرها مما مر وسيجيء، بحاجة إلى تحقيق أكثر وتأمل وتدبر أكبر، نوكله إلى الجزء الثاني، والله المستعان</w:t>
      </w:r>
      <w:r>
        <w:rPr>
          <w:rFonts w:eastAsia="Amiri" w:cs="Amiri" w:ascii="Amiri" w:hAnsi="Amiri"/>
          <w:color w:val="111111"/>
          <w:sz w:val="28"/>
          <w:szCs w:val="28"/>
          <w:rtl w:val="true"/>
          <w:lang w:bidi="ar-SA"/>
        </w:rPr>
        <w:t xml:space="preserve">. </w:t>
      </w:r>
      <w:bookmarkStart w:id="927" w:name="pg8204_101393"/>
    </w:p>
    <w:p>
      <w:pPr>
        <w:pStyle w:val="Heading3"/>
        <w:numPr>
          <w:ilvl w:val="2"/>
          <w:numId w:val="1"/>
        </w:numPr>
        <w:rPr/>
      </w:pPr>
      <w:bookmarkStart w:id="928" w:name="__RefHeading___Toc8924604_1051229030"/>
      <w:bookmarkStart w:id="929" w:name="_Toc341"/>
      <w:bookmarkEnd w:id="927"/>
      <w:bookmarkEnd w:id="928"/>
      <w:r>
        <w:rPr>
          <w:rtl w:val="true"/>
        </w:rPr>
        <w:t>الفصل الثالث</w:t>
      </w:r>
      <w:r>
        <w:rPr>
          <w:rtl w:val="true"/>
        </w:rPr>
        <w:t xml:space="preserve">: </w:t>
      </w:r>
      <w:r>
        <w:rPr>
          <w:rtl w:val="true"/>
        </w:rPr>
        <w:t>الولاية لكل مجتهد أو للمؤهل</w:t>
      </w:r>
      <w:bookmarkEnd w:id="929"/>
    </w:p>
    <w:p>
      <w:pPr>
        <w:pStyle w:val="Heading4"/>
        <w:numPr>
          <w:ilvl w:val="3"/>
          <w:numId w:val="1"/>
        </w:numPr>
        <w:rPr/>
      </w:pPr>
      <w:bookmarkStart w:id="930" w:name="__RefHeading___Toc8924606_1051229030"/>
      <w:bookmarkStart w:id="931" w:name="_Toc342"/>
      <w:bookmarkEnd w:id="930"/>
      <w:r>
        <w:rPr>
          <w:rtl w:val="true"/>
        </w:rPr>
        <w:t>اشارة</w:t>
      </w:r>
      <w:bookmarkEnd w:id="93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للمجتهد الحاكم أو المقلَّد فحسب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2" w:name="pg8204_101395"/>
      <w:bookmarkStart w:id="933" w:name="pg8204_101395"/>
      <w:bookmarkEnd w:id="933"/>
    </w:p>
    <w:p>
      <w:pPr>
        <w:pStyle w:val="Heading4"/>
        <w:numPr>
          <w:ilvl w:val="3"/>
          <w:numId w:val="1"/>
        </w:numPr>
        <w:rPr/>
      </w:pPr>
      <w:bookmarkStart w:id="934" w:name="pg8204_101395"/>
      <w:bookmarkStart w:id="935" w:name="__RefHeading___Toc8924608_1051229030"/>
      <w:bookmarkStart w:id="936" w:name="_Toc343"/>
      <w:bookmarkEnd w:id="934"/>
      <w:bookmarkEnd w:id="935"/>
      <w:r>
        <w:rPr>
          <w:rtl w:val="true"/>
        </w:rPr>
        <w:t>الولاية لكل الفقهاء</w:t>
      </w:r>
      <w:bookmarkEnd w:id="936"/>
    </w:p>
    <w:p>
      <w:pPr>
        <w:pStyle w:val="Heading5"/>
        <w:numPr>
          <w:ilvl w:val="4"/>
          <w:numId w:val="1"/>
        </w:numPr>
        <w:rPr/>
      </w:pPr>
      <w:bookmarkStart w:id="937" w:name="__RefHeading___Toc8924610_1051229030"/>
      <w:bookmarkStart w:id="938" w:name="_Toc344"/>
      <w:bookmarkEnd w:id="937"/>
      <w:r>
        <w:rPr>
          <w:rtl w:val="true"/>
        </w:rPr>
        <w:t xml:space="preserve">الولاية </w:t>
      </w:r>
      <w:r>
        <w:rPr>
          <w:rtl w:val="true"/>
        </w:rPr>
        <w:t xml:space="preserve">- </w:t>
      </w:r>
      <w:r>
        <w:rPr>
          <w:rtl w:val="true"/>
        </w:rPr>
        <w:t xml:space="preserve">على فرضها </w:t>
      </w:r>
      <w:r>
        <w:rPr>
          <w:rtl w:val="true"/>
        </w:rPr>
        <w:t xml:space="preserve">- </w:t>
      </w:r>
      <w:r>
        <w:rPr>
          <w:rtl w:val="true"/>
        </w:rPr>
        <w:t>لكل مجتهد جامع للشرائط لا للحاكم أو المقلّد فقط</w:t>
      </w:r>
      <w:bookmarkEnd w:id="9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المستظهر من الأدلة على 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الولاية لكل مجتهد جامع للشرائط، لا للمجتهد الحاكم ولا للمجتهد المقلَّد فقط، بمعنى أن المقتضي في كل مجتهد تام، ولا تتوقف فعليته إلاّ على رضا الناس به، فتكون ولايته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يتوقف على رجوع المتنازعين له على القول بنفوذ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لكل مجتهد جامع للشرائط، ومن جملتها رضى الناس به حاكماً في الشؤون العامة، أو في هذا الشأن العام خاصة، وانتخابهم له، كما فصلناه في موضعه وفصله السيد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ولنشر إلى احداها إشارة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فَارْضَوْا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 إذ لا تلازم بين الحكمين التكليفي والوضعي، فيجب عليهم الرضا به، لكنهم لو لم يرضوا فلا فعلية لولايته، وذلك نظير الوصية العهدية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الوصية التمليكية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أوصى بأن تعطى هذه الدار لزيد أو توقف مسجداً، وكانت ثلث ماله أو أقل، وجب على الورثة ذلك، لكنهم لو لم يفعلوا فإنها لا تنتقل إلى ملكيته، وتفصيل الأخذ والرد موكول لمحل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لم نعتبر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الولاية بالفعل لجميع المجتهدين، فإن تعذر أو تعسر كانت لأكثريتهم، فلابد لهم من مجلس يتداولون فيه الأمور العامة بما يصدق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شاورهم في الأمر</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ليست لخصوص من صدق عليه أنه مرجع تقليد،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ولاية الفقيه وعدم وجود المقيد بكونه مقلَّداً، نعم التقليد قد يكون دليلاً على رضاهم به قائداً في الشؤون العامة، لكنه لا إطلاق له، فلا بد من محرز ولو بكون ارتكاز الناس في بعض الاعصار أو البلاد أو ارتكاز بعضهم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إطلاقها فظاهر، إذ الأدلة التي استدل بها على ولاية الفقيه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مقبولة عمر بن حنظلة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 قد روى حديثنا ونظر في حلالنا وحرامنا وعرف أحكامنا فارضوا به حكماً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1329"/>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حصون الإسلام</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 والتوقيع المبارك</w:t>
      </w:r>
      <w:r>
        <w:rPr>
          <w:rStyle w:val="FootnoteAnchor"/>
          <w:rtl w:val="true"/>
        </w:rPr>
        <w:footnoteReference w:id="1334"/>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حكام على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1335"/>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والأحكام على أيدي العلماءبالله</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ثبوت الولاية والحكومة على سبيل البدل أو الاجتماع أو غير ذلك، لكل من روى الحديث، ونظر في الحلال والحرام، ولكل عالم وفيقه، وأن المنصوب من قبلهم مطلق المجتهد، ولا دليل على تخصيص هذه الولاية بمن قلده الناس، كما لا دليل على تخصيصها بالمجتهد المتصدي أو الحاكم وإن كان جامعاً للشرائط، خاصة مع كون المقبولة بياناً في موضع الحاجة الفعلية، ولو كان الرجوع إلى المقلَّد شرطاً لكان الإطلاق 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الحاجة كان شأن القضاء فقط لا الحكم، لعدم القدرة مع تسلط طغاة بني أمية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إطلاق له، إضافة إلى أن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في إطلاقها الحاجة الفعلية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وضوح كون غير المقلَّد أيضاً حصناً للإسلام، ووارثاً للأنبياء، وأميناً للرسل،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تحقق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بالشكل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صدور هذه الروايات، بل كان كل شخص يرجع لأي راوٍ للحديث ممن نظر في الحلال والحرام إذا اطمئن به، حتى يقال بانصراف الروايات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 المتداول في ما بعد تلك الأعصار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قلناه في موضع آخر من أجنبية التقليد عن الحكم، كأجنبيته عن القضاء، 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مناصب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الإفتاء </w:t>
      </w:r>
    </w:p>
    <w:p>
      <w:pPr>
        <w:pStyle w:val="BookText"/>
        <w:rPr/>
      </w:pPr>
      <w:r>
        <w:rPr>
          <w:rFonts w:ascii="Amiri" w:hAnsi="Amiri" w:eastAsia="Amiri" w:cs="Amiri"/>
          <w:color w:val="111111"/>
          <w:sz w:val="28"/>
          <w:sz w:val="28"/>
          <w:szCs w:val="28"/>
          <w:rtl w:val="true"/>
          <w:lang w:bidi="ar-SA"/>
        </w:rPr>
        <w:t>والقضاء والولاية، فلمن له الإفتاء الولاية</w:t>
      </w:r>
      <w:r>
        <w:rPr>
          <w:rStyle w:val="FootnoteAnchor"/>
          <w:rtl w:val="true"/>
        </w:rPr>
        <w:footnoteReference w:id="1337"/>
      </w:r>
      <w:r>
        <w:rPr>
          <w:rFonts w:ascii="Amiri" w:hAnsi="Amiri" w:eastAsia="Amiri" w:cs="Amiri"/>
          <w:color w:val="111111"/>
          <w:sz w:val="28"/>
          <w:sz w:val="28"/>
          <w:szCs w:val="28"/>
          <w:rtl w:val="true"/>
          <w:lang w:bidi="ar-SA"/>
        </w:rPr>
        <w:t>، لا أنها لمن استفتاه الناس فقط، كما أن لمن له القضاء الإفتاء، لا لمن استقضاه الناس، كما أن لمن له الولاية الإفتاء والقضاء، لا لمن استولاه الناس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حكومة أحد المجتهدين دليلاً على ارتضاء الناس له كما هو واضح، كما أنه ليس تقليد الناس لأحد مستلزماً لارتضائهم إياهوالياً، كما هو واضح خارجاً، كما أن تقليدهم لشخص غير مستلزم لرجوعهم إليه في القضاء،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ارتكاز بعض الناس أو أكثرهم في بعض البلاد أو أكثرها، في بعض الأمصار أو أكثرها على ذلك، فمن كان ارتكازه على ذلك كان تقليده لمرجعٍ نوع انتخاب له، ليكون المرجع في الشؤون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التلازم بين أهليته للإفتاء وأهليته لإدارة الحكومة أو لإدارة هذا الشأن العام أو ذاك خاصة، فقد يكون محققاً مدققاً في الأحكام الشرعية غير عالم بشؤون الحكم والسياسة، كما قد يكون حاكماً ومتصدياً لكن من غير أن يكون أهل خبرة حقاً فيما تصدى له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يمكن أن يكون مراجع التقليد خمسة مثلاً، ويكون اختيار الناس لخمسة آخرين ممن جمع الشرائط لإدارة شؤونهم، ولعله فرض نادر أو بعيد لكنه ممكن، كما يمكن أن يكون المجتهدون الحكام خمسة يمسكون بمقاليد الحكم لكن يكون رأي الناس مع غيرهم</w:t>
      </w:r>
      <w:r>
        <w:rPr>
          <w:rFonts w:eastAsia="Amiri" w:cs="Amiri" w:ascii="Amiri" w:hAnsi="Amiri"/>
          <w:color w:val="111111"/>
          <w:sz w:val="28"/>
          <w:szCs w:val="28"/>
          <w:rtl w:val="true"/>
          <w:lang w:bidi="ar-SA"/>
        </w:rPr>
        <w:t xml:space="preserve">. </w:t>
      </w:r>
      <w:bookmarkStart w:id="939" w:name="pg8204_101399"/>
    </w:p>
    <w:p>
      <w:pPr>
        <w:pStyle w:val="Heading5"/>
        <w:numPr>
          <w:ilvl w:val="4"/>
          <w:numId w:val="1"/>
        </w:numPr>
        <w:rPr/>
      </w:pPr>
      <w:bookmarkStart w:id="940" w:name="__RefHeading___Toc8924612_1051229030"/>
      <w:bookmarkStart w:id="941" w:name="_Toc345"/>
      <w:bookmarkEnd w:id="939"/>
      <w:bookmarkEnd w:id="940"/>
      <w:r>
        <w:rPr>
          <w:rtl w:val="true"/>
        </w:rPr>
        <w:t>انتخاب الفقهاء حسب التخصصات</w:t>
      </w:r>
      <w:bookmarkEnd w:id="941"/>
    </w:p>
    <w:p>
      <w:pPr>
        <w:pStyle w:val="BookText"/>
        <w:rPr/>
      </w:pPr>
      <w:r>
        <w:rPr>
          <w:rFonts w:ascii="Amiri" w:hAnsi="Amiri" w:eastAsia="Amiri" w:cs="Amiri"/>
          <w:color w:val="111111"/>
          <w:sz w:val="28"/>
          <w:sz w:val="28"/>
          <w:szCs w:val="28"/>
          <w:rtl w:val="true"/>
          <w:lang w:bidi="ar-SA"/>
        </w:rPr>
        <w:t xml:space="preserve">ومما سبق من أن المعتبر في الحاكم جامعيته للشرائط إضافة إلى رضى الأمة، يظهر أنه يجوز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مجموعة من الفقهاء لتشكيل شورى الحكومة على أن يكون رأي أحدهم نافذاً في الاقتصاديات لكونه أخبر بها، والآخر في السياسيات، والثالث في شؤون الحرب والسلم، وهكذا، ويجب على كل منهم الاستشارة من جميع الفقهاء أو أكثرهم أو مجموعة من الفقهاء تنتخبهم الأمة أو ينتخبهم هو إن فوضت الأمة إليه ذلك، واتباع آراء أكثريتهم؛ وذلك جمعاً بين أدلة ثلاثة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اشتراط رضى الله وأن المنصوب من قبله هو المجتهد الجامع للشرائط بناءً على ولاية الفقيه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اعتبار رضى الأمة،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 وحقوقهم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يختاروا لأنفسهم</w:t>
      </w:r>
      <w:r>
        <w:rPr>
          <w:rFonts w:eastAsia="Amiri" w:cs="Amiri" w:ascii="Amiri" w:hAnsi="Amiri"/>
          <w:color w:val="111111"/>
          <w:sz w:val="28"/>
          <w:szCs w:val="28"/>
          <w:rtl w:val="true"/>
          <w:lang w:bidi="ar-SA"/>
        </w:rPr>
        <w:t xml:space="preserve">...) </w:t>
      </w:r>
      <w:r>
        <w:rPr>
          <w:rStyle w:val="FootnoteAnchor"/>
          <w:rtl w:val="true"/>
        </w:rPr>
        <w:footnoteReference w:id="1339"/>
      </w:r>
      <w:r>
        <w:rPr>
          <w:rFonts w:ascii="IRNazanin" w:hAnsi="IRNazanin" w:eastAsia="IRNazanin"/>
          <w:color w:val="111111"/>
          <w:sz w:val="28"/>
          <w:sz w:val="28"/>
          <w:szCs w:val="28"/>
          <w:rtl w:val="true"/>
          <w:lang w:bidi="fa-IR"/>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الشورى،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لم يكن المستشارون مجتهدين، فلا يلزم اتباع أكثريتهم، وإلاّ لزم تحكيم من ليس منصوباً من قبله جل وعلا، إلاّ لو لم نقل بولاية الفقيه مطلقاً فيشترط رضا الناس والشورى، وأن لا يكون المستشار أو المنتخَب ممن علم عدم رضا الله تعالى به، ككونه ظالماً جائراً، أو كونه ملحداً كافراً، أو شبه ذلك</w:t>
      </w:r>
      <w:r>
        <w:rPr>
          <w:rFonts w:eastAsia="Amiri" w:cs="Amiri" w:ascii="Amiri" w:hAnsi="Amiri"/>
          <w:color w:val="111111"/>
          <w:sz w:val="28"/>
          <w:szCs w:val="28"/>
          <w:rtl w:val="true"/>
          <w:lang w:bidi="ar-SA"/>
        </w:rPr>
        <w:t xml:space="preserve">. </w:t>
      </w:r>
      <w:bookmarkStart w:id="942" w:name="pg8204_101400"/>
    </w:p>
    <w:p>
      <w:pPr>
        <w:pStyle w:val="Heading5"/>
        <w:numPr>
          <w:ilvl w:val="4"/>
          <w:numId w:val="1"/>
        </w:numPr>
        <w:rPr/>
      </w:pPr>
      <w:bookmarkStart w:id="943" w:name="__RefHeading___Toc8924614_1051229030"/>
      <w:bookmarkStart w:id="944" w:name="_Toc346"/>
      <w:bookmarkEnd w:id="942"/>
      <w:bookmarkEnd w:id="943"/>
      <w:r>
        <w:rPr>
          <w:rtl w:val="true"/>
        </w:rPr>
        <w:t>الولاية لأهل الخبرة من المؤمنين</w:t>
      </w:r>
      <w:bookmarkEnd w:id="944"/>
    </w:p>
    <w:p>
      <w:pPr>
        <w:pStyle w:val="BookText"/>
        <w:rPr/>
      </w:pPr>
      <w:r>
        <w:rPr>
          <w:rFonts w:ascii="Amiri" w:hAnsi="Amiri" w:eastAsia="Amiri" w:cs="Amiri"/>
          <w:color w:val="111111"/>
          <w:sz w:val="28"/>
          <w:sz w:val="28"/>
          <w:szCs w:val="28"/>
          <w:rtl w:val="true"/>
          <w:lang w:bidi="ar-SA"/>
        </w:rPr>
        <w:t>بل لعامة المكلفين المؤهلين، لا للمجتهد خاصة</w:t>
      </w:r>
    </w:p>
    <w:p>
      <w:pPr>
        <w:pStyle w:val="BookText"/>
        <w:rPr/>
      </w:pPr>
      <w:r>
        <w:rPr>
          <w:rFonts w:ascii="Amiri" w:hAnsi="Amiri" w:eastAsia="Amiri" w:cs="Amiri"/>
          <w:color w:val="111111"/>
          <w:sz w:val="28"/>
          <w:sz w:val="28"/>
          <w:szCs w:val="28"/>
          <w:rtl w:val="true"/>
          <w:lang w:bidi="ar-SA"/>
        </w:rPr>
        <w:t>وهناك احتمالان، بل أقوال</w:t>
      </w:r>
      <w:r>
        <w:rPr>
          <w:rStyle w:val="FootnoteAnchor"/>
          <w:rtl w:val="true"/>
        </w:rPr>
        <w:footnoteReference w:id="1342"/>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الولاية</w:t>
      </w:r>
      <w:r>
        <w:rPr>
          <w:rStyle w:val="FootnoteAnchor"/>
          <w:rtl w:val="true"/>
        </w:rPr>
        <w:footnoteReference w:id="1343"/>
      </w:r>
      <w:r>
        <w:rPr>
          <w:rFonts w:ascii="Amiri" w:hAnsi="Amiri" w:eastAsia="Amiri" w:cs="Amiri"/>
          <w:color w:val="111111"/>
          <w:sz w:val="28"/>
          <w:sz w:val="28"/>
          <w:szCs w:val="28"/>
          <w:rtl w:val="true"/>
          <w:lang w:bidi="ar-SA"/>
        </w:rPr>
        <w:t>لأهل الخبرة من المؤمنين وإن لم يكونوا مجتهدين، إن انتخبتهم الأمة، بناءً على اشتراط رضاها واعتباره، أو دون انتخاب إن لم نعتبر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للمؤمنين وإن لم يكونوا مجتهدين ولا من أهل الخبرة، وهنا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لهم إذا انتخبهم الناس</w:t>
      </w:r>
      <w:r>
        <w:rPr>
          <w:rStyle w:val="FootnoteAnchor"/>
          <w:rtl w:val="true"/>
        </w:rPr>
        <w:footnoteReference w:id="1344"/>
      </w:r>
      <w:r>
        <w:rPr>
          <w:rFonts w:ascii="Amiri" w:hAnsi="Amiri" w:eastAsia="Amiri" w:cs="Amiri"/>
          <w:color w:val="111111"/>
          <w:sz w:val="28"/>
          <w:sz w:val="28"/>
          <w:szCs w:val="28"/>
          <w:rtl w:val="true"/>
          <w:lang w:bidi="ar-SA"/>
        </w:rPr>
        <w:t>، فهي ولاية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لهم لا بهذا القيد، أي الولاية للمؤمنين إذا تصدوا لإحقاق الحق وإقامة العدل وكانوا مؤهلين لذلك حقاً، شرط إحراز صلاحيتهم لذلك</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ولاية لأحد على أحد، بل مجرد صحة وجواز أو وجوب القيام بإدارة شؤون الحكم ومصالح العباد والبلاد وإقامة العدل وإحقاق الحق وإبطال الباطل لأي شخص مؤهل أو جهة مؤهلة لذلك شرط رضا الناس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ذلك للمؤمن المؤهل لذلك، أو للمؤمن العادل المؤهل لذلك مع رضا الناس</w:t>
      </w:r>
      <w:r>
        <w:rPr>
          <w:rFonts w:eastAsia="Amiri" w:cs="Amiri" w:ascii="Amiri" w:hAnsi="Amiri"/>
          <w:color w:val="111111"/>
          <w:sz w:val="28"/>
          <w:szCs w:val="28"/>
          <w:rtl w:val="true"/>
          <w:lang w:bidi="ar-SA"/>
        </w:rPr>
        <w:t xml:space="preserve">. </w:t>
      </w:r>
      <w:bookmarkStart w:id="945" w:name="pg8204_101401"/>
    </w:p>
    <w:p>
      <w:pPr>
        <w:pStyle w:val="Heading5"/>
        <w:numPr>
          <w:ilvl w:val="4"/>
          <w:numId w:val="1"/>
        </w:numPr>
        <w:rPr/>
      </w:pPr>
      <w:bookmarkStart w:id="946" w:name="__RefHeading___Toc8924616_1051229030"/>
      <w:bookmarkStart w:id="947" w:name="_Toc347"/>
      <w:bookmarkEnd w:id="945"/>
      <w:bookmarkEnd w:id="946"/>
      <w:r>
        <w:rPr>
          <w:rtl w:val="true"/>
        </w:rPr>
        <w:t>الأدلة على أن لكل مؤمن بل لكل مؤهل</w:t>
      </w:r>
      <w:bookmarkEnd w:id="947"/>
    </w:p>
    <w:p>
      <w:pPr>
        <w:pStyle w:val="BookText"/>
        <w:rPr/>
      </w:pPr>
      <w:r>
        <w:rPr>
          <w:rFonts w:ascii="Amiri" w:hAnsi="Amiri" w:eastAsia="Amiri" w:cs="Amiri"/>
          <w:color w:val="111111"/>
          <w:sz w:val="28"/>
          <w:sz w:val="28"/>
          <w:szCs w:val="28"/>
          <w:rtl w:val="true"/>
          <w:lang w:bidi="ar-SA"/>
        </w:rPr>
        <w:t>التصدي بشروط للحكومة، لا الفقيه فقط</w:t>
      </w:r>
    </w:p>
    <w:p>
      <w:pPr>
        <w:pStyle w:val="BookText"/>
        <w:rPr/>
      </w:pPr>
      <w:r>
        <w:rPr>
          <w:rFonts w:ascii="Amiri" w:hAnsi="Amiri" w:eastAsia="Amiri" w:cs="Amiri"/>
          <w:color w:val="111111"/>
          <w:sz w:val="28"/>
          <w:sz w:val="28"/>
          <w:szCs w:val="28"/>
          <w:rtl w:val="true"/>
          <w:lang w:bidi="ar-SA"/>
        </w:rPr>
        <w:t>وهذا الاحتمال الأخير يستند إلى الأدلة التالية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الآيات والروايات الشريفة التي يستفاد منها صحة الحكم بالعدل والقسط من كل مؤمن،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 xml:space="preserve">، وهذه الآية وإن لم يكن 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من شأن الوالي، لكونها ظاهرة في المنازعات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أعم من كونها فردية واجتماعية وعقائدية نظراً لمورد الآية</w:t>
      </w:r>
      <w:r>
        <w:rPr>
          <w:rStyle w:val="FootnoteAnchor"/>
          <w:rtl w:val="true"/>
        </w:rPr>
        <w:footnoteReference w:id="1347"/>
      </w:r>
      <w:r>
        <w:rPr>
          <w:rFonts w:ascii="Amiri" w:hAnsi="Amiri" w:eastAsia="Amiri" w:cs="Amiri"/>
          <w:color w:val="111111"/>
          <w:sz w:val="28"/>
          <w:sz w:val="28"/>
          <w:szCs w:val="28"/>
          <w:rtl w:val="true"/>
          <w:lang w:bidi="ar-SA"/>
        </w:rPr>
        <w:t xml:space="preserve">، إلاّ أنها تشمل بعض شؤون الحاكم لكون فض الفتن الاجتماعية من شأنه،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لكنها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كون الحكم بين الناس للكل، إذ الخطاب عام، ولمسبوقيته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عدم التخصص بفئة معينة، فلا وجه لما ذكره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حَكَمْتُمْ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كالتصريح بأنه ليس لجميع الناس أن يشرعوا في الحكم</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 نعم القضية الشرطية كما لا تتكفل وجود مقدمها لا تتكفل شروطه، فلا يجدي التمسك بكون الخطاب للكل إلاّ مع ضميمة الإطلاق بعد ثبوت أصل الجواز، فتدبر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كُونُوا قَوَّامينَ لِلَّهِ شُهَداءَ بِالْقِسْطِ وَلا </w:t>
      </w:r>
    </w:p>
    <w:p>
      <w:pPr>
        <w:pStyle w:val="BookText"/>
        <w:rPr/>
      </w:pPr>
      <w:r>
        <w:rPr>
          <w:rFonts w:ascii="Amiri" w:hAnsi="Amiri" w:eastAsia="Amiri" w:cs="Amiri"/>
          <w:color w:val="111111"/>
          <w:sz w:val="28"/>
          <w:sz w:val="28"/>
          <w:szCs w:val="28"/>
          <w:rtl w:val="true"/>
          <w:lang w:bidi="ar-SA"/>
        </w:rPr>
        <w:t>يَجْرِمَنَّكُمْ شَنَآنُ قَوْمٍ عَلى أَلاَّ تَعْدِلُوا</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 xml:space="preserve">،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فالمأمور هو المؤمنون كافة، والمأمور به هو القوامية بكلأمر خير وبكل معروف لأجل الله، لا خصوص القوامية في الشهادة، لكون حذف المتعلق مفيداً للعموم، والجملة اللاحقة من باب ذكر الخاص بعد العام، والوالي العادل قائم بالخير والمعروف لله، فلا يشترط فيه الاجتهاد، ولا يستفاد من الآية ولايته، بل مجرد أداء وظيفة وواجب وهو القيام لله بإحقاق الحق وإقامة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وَالأَقْرَبينَ</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 xml:space="preserve">، وهذه الآية أوضح دلالة من سابقاتها، فوجب على جميع المؤمنين القيام في الناس بالقسط المتوقف على جواز ذلك لهم، فلهم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عليهم ذلك، فإن شأن الحكومة العادلة القيام بالقسط وقد أمر الجميع بذلك، وحيث لا يمكن الاجتماع وجبت الاستنابة والانتخاب، اللهم إلا أن يدعى أنه واجب كفائي فإذا قام به من به الكفاية سقط عن الآخرين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فلا يضر ذلك بالمقصود هنا، إذ المقصود أن للكل صلاحية القيام بالقسط في الناس، بل على الكل ذلك، فالولاية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 لا للبعض، وإن لم يتم الاستدلال فالحكومة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 أي جائزة للكل، أي لكل مؤهل، نعم مع قيام البعض بالقسط تسقط ولاية الآخرين عليه، أي على ما قد قاموا به، أو صلاحية التصدي له إذا كان مما قد مضى من باب السالبة بانتفاء الموضوع، وتبقى على سائر الأمور الآتية وعلى ما تصدوا له في علته المبقية إن لم يؤد إلى الهرج والمرج واختلال النظام، ولا يحقّ لأولئك منع </w:t>
      </w:r>
    </w:p>
    <w:p>
      <w:pPr>
        <w:pStyle w:val="BookText"/>
        <w:rPr/>
      </w:pPr>
      <w:r>
        <w:rPr>
          <w:rFonts w:ascii="Amiri" w:hAnsi="Amiri" w:eastAsia="Amiri" w:cs="Amiri"/>
          <w:color w:val="111111"/>
          <w:sz w:val="28"/>
          <w:sz w:val="28"/>
          <w:szCs w:val="28"/>
          <w:rtl w:val="true"/>
          <w:lang w:bidi="ar-SA"/>
        </w:rPr>
        <w:t>هؤلاء من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لو لم نقل أن الحكومة هي وكالة أو شبهها، وإلاّ فالأمر على حسب شرائط الموكلين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قد فصلناه في فصل آخر،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الوالي الحاكم العادل قائم بالقسط، بعكس الحاكم الجائر، فالحاكم إذا أثقل كاهل الأُمة بالضرائب بالباطل ومنع الناس من التجارة ومن السفر والإقامة ومن تملُّك سائر المسلمين الدار والعقار في مختلف بلاد الإسلام بذريعة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 غير المتجنس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 ومن الزواج بامرأة مسلمة من بلدة أخرى، وسلَب الناس حرية إبداء الرأي، وصادر أموال الناس ومنعهم من حيازة المباحات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قائماً بالجور، وإلاّ كان قائماً بالقسط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كون القوامية بالقسط مشترطة بالإذن، بحيث لولاه لما كان قياماً بالقسط، فبعيد جداً، نعم لو كان الإذن شرطاً كان قيامه بالحكم غصباً محرماً، لا أن تلك الأعمال لم تكن قياماً بالقسط، وبالجملة خصوصيات الفاعل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القائم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وماهية المتعلق أمر آخر، ولا مدخل لأحدهما في الآخر إلاّ في النادر مما 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على عموم الولاية أو عموم جواز التصدي بمفهوم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 حكم الله وحكم الجاهلية، فمن أخطأ حكم الله حكم بحكم الجاهلية</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 حكم الله وحكم الجاهلية،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 وأشهدوا على زيد بن ثابت لقد حكم في الفرائض بحكم الجاهلية</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غير ذلك من النصوص البالغة بالتعاضد أعلى مراتب القطع الدالة على أن المدار الحكم بالحق الذي هو عند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لا ريب في اندراج من سمع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خاصة وحكم فيها بين الناس وإن لم يكن لهمرتبة الاجتهاد والتصرف</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ذلك من النصوص الظاهرة والصريحة في الإذن بالحكم بالحق والعدل وهو الذي عندهم، وشيعتهم أجمع نواب عنهم في ذلك، لأن المدار على الحكم بين الناس بحكمهم</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فدعوى قصور من علم جملة من الأحكام مشافهة أو بتقليد لمجتهد عن منصب القضاء بما علمه خالية عن الدليل، بل ظاهر الأدلة خلافها، بل يمكن دعوى القطع بخلافها، ونصب خصوص المجتهد في زمان الغيبة بناءً على ظهور النصوص فيه لا يقتضي عدم جواز نصب الغير</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يرى المقام من المطلق والمقيد المثبتين، وأنه لا يقيد أحدهما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إلاّ أن يقال بأن النصوص دالة على الإذن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المتمسكين بحبلهم الحافظين لأحكامهم في الحكم بين الناس بأحكامهم الواصلة إليهم بقطع أو اجتهاد صحيح أو تقليد كذلك، فإنهم العلماء وشيعتهم المتعلمون، وباقي الناس غثاء</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أن الحكام والولاة الذين نصبهم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كلهم من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بشمول بعض أدلة ولاية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أدلة جواز تصدي الفقيه، لا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المؤمنين غير المجتهدين، لصدق العالم والفقيه وراوي الحديث على المقلد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الآيات المتضمنة لإقامة العبادات والقيام بأمر الجهاد وإجراء الحدود والقصاص والأمر بالمعروف والنهيعن المنكر قد وجهت الخطاب إلى عامة المؤمنين، دون فئة خاصة منهم كالمجتهدين،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 ولا ريب أن في حكومة الحق حفظ حدود الله، بل هي أهم ما تحفظ به الحدود، وقد جعل الحفظ صفة للمؤمنين، وكذا الأمر بالمعروف والنهي عن المنكر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سَبيلِهِ</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فِيالْقِصاصِ حَياةٌ</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ويستفاد من الجميع أن الدين صبغة اجتماعية حمله الله على الناس، ولا يرضى لعباده الكفر ولم يرد إقامته إلاّ منهم بأجمعهم، فالمجتمع المتكون منهم أمره إليهم من غير مزية في ذلك لبعضهم، ولا اختصاص منهم ببعضهم</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استثنى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الحكومة </w:t>
      </w:r>
    </w:p>
    <w:p>
      <w:pPr>
        <w:pStyle w:val="BookText"/>
        <w:rPr/>
      </w:pPr>
      <w:r>
        <w:rPr>
          <w:rFonts w:ascii="Amiri" w:hAnsi="Amiri" w:eastAsia="Amiri" w:cs="Amiri"/>
          <w:color w:val="111111"/>
          <w:sz w:val="28"/>
          <w:sz w:val="28"/>
          <w:szCs w:val="28"/>
          <w:rtl w:val="true"/>
          <w:lang w:bidi="ar-SA"/>
        </w:rPr>
        <w:t>لهما،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على أي حال، أمر الحكومة إلى المسلمين من غير إشكال، والذي يمكن أن يستفاد من الكتاب في ذلك أن عليهم تعيين الحاكم في المجتمع على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الإمامة دون الملوكية والامبراطورية، والسير فيهم بحافظة الأحكام من غير تغيير، والتولي بالشور في غير الأحكام من حوادث الوقت والمحل كما تقدم، والدليل على ذلك كله جميع ما تقدم من الآيات في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خفي أن الكلام عن زمن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على جواز تولي الآحاد مع تعذر الحكام، آحاد التصرفات الحكمية كدفع ضرورة اليتيم،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 التَّقْوى‌</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تعالى في عون العبد ما كان العبد في عون أخيه</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1379"/>
      </w:r>
      <w:r>
        <w:rPr>
          <w:rFonts w:ascii="IRNazanin" w:hAnsi="IRNazanin" w:eastAsia="IRNazanin"/>
          <w:color w:val="111111"/>
          <w:sz w:val="28"/>
          <w:sz w:val="28"/>
          <w:szCs w:val="28"/>
          <w:rtl w:val="true"/>
          <w:lang w:bidi="fa-IR"/>
        </w:rPr>
        <w:t xml:space="preserve">، </w:t>
      </w:r>
      <w:r>
        <w:rPr>
          <w:rStyle w:val="FootnoteAnchor"/>
          <w:rtl w:val="true"/>
        </w:rPr>
        <w:footnoteReference w:id="1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خفي أن مقتضى أدلته</w:t>
      </w:r>
      <w:r>
        <w:rPr>
          <w:rStyle w:val="FootnoteAnchor"/>
          <w:rtl w:val="true"/>
        </w:rPr>
        <w:footnoteReference w:id="1381"/>
      </w:r>
      <w:r>
        <w:rPr>
          <w:rFonts w:ascii="Amiri" w:hAnsi="Amiri" w:eastAsia="Amiri" w:cs="Amiri"/>
          <w:color w:val="111111"/>
          <w:sz w:val="28"/>
          <w:sz w:val="28"/>
          <w:szCs w:val="28"/>
          <w:rtl w:val="true"/>
          <w:lang w:bidi="ar-SA"/>
        </w:rPr>
        <w:t xml:space="preserve">جواز تولي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الآحاد على سبيل البدل ككل واجب كفائي، أو الآحاد التي انتخبتها الأمة إن تمّ الدليل على اعتبار رضاها، أو غير ذلك حسب ما يستفاد من جمع الأدلة، مع تعذر الحكام، أو مع </w:t>
      </w:r>
      <w:bookmarkStart w:id="948" w:name="pg8204_101408"/>
    </w:p>
    <w:p>
      <w:pPr>
        <w:pStyle w:val="BookText"/>
        <w:rPr/>
      </w:pPr>
      <w:bookmarkEnd w:id="948"/>
      <w:r>
        <w:rPr>
          <w:rFonts w:ascii="Amiri" w:hAnsi="Amiri" w:eastAsia="Amiri" w:cs="Amiri"/>
          <w:color w:val="111111"/>
          <w:sz w:val="28"/>
          <w:sz w:val="28"/>
          <w:szCs w:val="28"/>
          <w:rtl w:val="true"/>
          <w:lang w:bidi="ar-SA"/>
        </w:rPr>
        <w:t xml:space="preserve">وجود الفقيه الجامع للشرائط وعدم تمامية أدلة 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شؤون الحكومة لشمول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لذلك، لوضوح أن مثل إجراء معاهدة دولية تكون لنفع المسلمين هو تعاون على البر والتقوى، إلى غير ذلك من الأمثلة</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8924618_1051229030"/>
      <w:bookmarkStart w:id="950" w:name="_Toc348"/>
      <w:bookmarkEnd w:id="949"/>
      <w:r>
        <w:rPr>
          <w:rtl w:val="true"/>
        </w:rPr>
        <w:t>مناقشة الأدلة والردود</w:t>
      </w:r>
      <w:bookmarkEnd w:id="950"/>
    </w:p>
    <w:p>
      <w:pPr>
        <w:pStyle w:val="Heading5"/>
        <w:numPr>
          <w:ilvl w:val="4"/>
          <w:numId w:val="1"/>
        </w:numPr>
        <w:rPr/>
      </w:pPr>
      <w:bookmarkStart w:id="951" w:name="__RefHeading___Toc8924620_1051229030"/>
      <w:bookmarkStart w:id="952" w:name="_Toc349"/>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وربما يورد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الآيات وإن كانت ظاهرة في كون القيام بالقسط والحكم بالعدل واجباً كفائياً لكل مؤمن، إلا أن روايات 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كون الحكومة للفقيه الجامع للشرائط، فهي مخصصة لها ومقيدة لإطلاقاتها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لم تتم عنده أدلة ولاية الفقيه يسلم الإطلاق عنده عن المخصص، وكذا لو تمت عنده ولكن ذهب إلى ما ذهب إليه بعض الأصوليين من عدم مقيدية أحد المثبتين للآخر،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يكتفي بإكرام مطلق العالم، ويكون إكرامه امتثالاً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ذو الوصف على الاستحباب، وكذا ما نحن فيه، إذ تدل بعض الأدلة على وجوب التصدي للحكم بالعدل لكل مؤمن، وبعضها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للمجتهد الجامع للشرائط، وذلك عكس ما لو قلنا بمقيدية أحد المثبتين للآخر عرفاً، وكون ظهور المقيد في الإلزام بالقيد والوجوب التعييني أقوىمن ظهور المطلق في الإطلاق والوجوب التخييري المقتضي هذا الأخير لحمل المقيد على الاستحباب لو كان هو الأقوى</w:t>
      </w:r>
      <w:r>
        <w:rPr>
          <w:rFonts w:eastAsia="Amiri" w:cs="Amiri" w:ascii="Amiri" w:hAnsi="Amiri"/>
          <w:color w:val="111111"/>
          <w:sz w:val="28"/>
          <w:szCs w:val="28"/>
          <w:rtl w:val="true"/>
          <w:lang w:bidi="ar-SA"/>
        </w:rPr>
        <w:t xml:space="preserve">. </w:t>
      </w:r>
      <w:bookmarkStart w:id="953" w:name="pg8204_101409"/>
    </w:p>
    <w:p>
      <w:pPr>
        <w:pStyle w:val="Heading5"/>
        <w:numPr>
          <w:ilvl w:val="4"/>
          <w:numId w:val="1"/>
        </w:numPr>
        <w:rPr/>
      </w:pPr>
      <w:bookmarkStart w:id="954" w:name="__RefHeading___Toc8924622_1051229030"/>
      <w:bookmarkStart w:id="955" w:name="_Toc350"/>
      <w:bookmarkEnd w:id="953"/>
      <w:bookmarkEnd w:id="954"/>
      <w:r>
        <w:rPr>
          <w:rtl w:val="true"/>
        </w:rPr>
        <w:t>وحدة المطلوب أو تعدده؟</w:t>
      </w:r>
      <w:bookmarkEnd w:id="955"/>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وحدة الحكم وكون الأمر بالمقيد من باب وحدة المطلوب، بل قد يدعى إطلاق ذلك فيكون إكرام العالم حينئذٍ غير مسقط حتى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الفرض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المراد به، فلا يكون امتثالاً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فعند تعذر إكرام العالم العادل يسقط الوجوب عن العالم الفاسق، ألا ترى المولى لو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اللحم،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لحم الغنم، فاشترى غيره كان له عقابه،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 طباخاً أو مهندساً،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 طباخاً رجلاً أو مهندساً دارساً في الجامعة الكذائية أو غير ذلك، فاستأجر امرأة طباخة، أو مهندساً دارساً في جامعة أخرى، ذمه العقلاء واستحق العقاب، ويؤكد وجوب الحمل والتقييد ملاحظة تدريجية الأحكام وورود المطلقات أولاً ثم بيان القيود بالتدريج</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في المقام هو العكس، وهو تعدد المطلوب، لوضوح أنه لا يسقط الأمر بإقامة العدل والقسط بعدم قيام الفقيه به، نعم مع ثبوت أدلة ولايته ومع القول بتعدد المطلوب والقول بأن المطلوب الثاني واجب في ضمن واجب</w:t>
      </w:r>
      <w:r>
        <w:rPr>
          <w:rStyle w:val="FootnoteAnchor"/>
          <w:rtl w:val="true"/>
        </w:rPr>
        <w:footnoteReference w:id="1384"/>
      </w:r>
      <w:r>
        <w:rPr>
          <w:rFonts w:ascii="Amiri" w:hAnsi="Amiri" w:eastAsia="Amiri" w:cs="Amiri"/>
          <w:color w:val="111111"/>
          <w:sz w:val="28"/>
          <w:sz w:val="28"/>
          <w:szCs w:val="28"/>
          <w:rtl w:val="true"/>
          <w:lang w:bidi="ar-SA"/>
        </w:rPr>
        <w:t>، لا يجوز للغير القيام به مع إرادته التصدي، أما لو قلنا بتعدد المطلوب وقلنا بأن المطلوب الثاني مستحب في واجب</w:t>
      </w:r>
      <w:r>
        <w:rPr>
          <w:rStyle w:val="FootnoteAnchor"/>
          <w:rtl w:val="true"/>
        </w:rPr>
        <w:footnoteReference w:id="1385"/>
      </w:r>
      <w:r>
        <w:rPr>
          <w:rFonts w:ascii="Amiri" w:hAnsi="Amiri" w:eastAsia="Amiri" w:cs="Amiri"/>
          <w:color w:val="111111"/>
          <w:sz w:val="28"/>
          <w:sz w:val="28"/>
          <w:szCs w:val="28"/>
          <w:rtl w:val="true"/>
          <w:lang w:bidi="ar-SA"/>
        </w:rPr>
        <w:t>فيجوز للغير التصدي</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أن يعلم بوحدة الحكم ووحدة المطلوب، وإما أن يعلم </w:t>
      </w:r>
      <w:bookmarkStart w:id="956" w:name="pg8204_101410"/>
    </w:p>
    <w:p>
      <w:pPr>
        <w:pStyle w:val="BookText"/>
        <w:rPr/>
      </w:pPr>
      <w:bookmarkEnd w:id="956"/>
      <w:r>
        <w:rPr>
          <w:rFonts w:ascii="Amiri" w:hAnsi="Amiri" w:eastAsia="Amiri" w:cs="Amiri"/>
          <w:color w:val="111111"/>
          <w:sz w:val="28"/>
          <w:sz w:val="28"/>
          <w:szCs w:val="28"/>
          <w:rtl w:val="true"/>
          <w:lang w:bidi="ar-SA"/>
        </w:rPr>
        <w:t>بتعددهما، وإما أن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بالوحدة، فلا ريب في مقيدية أحد المثبتين للآخر، فينبغي حمل المطلق على المقيد والالتزام بعدم حصول امتثال المطلق بإتيان فاقد القيد، لأن المراد الجدي منه لم يكن إلاّ المقيد، لكن انفصل عنه، سبقاً أو لحوقاً، لوجهٍ أو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علم بالتعدد، فلا مجال للقول بحمل أحدهما على الآخر، ويجزي إتيان فاقد القيد في امتثال المطلق لا المقيد، اللهم إلاّ لو علمت الارتباطية بين المطلوبين فلا يجزي حتى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تعدد المطلوب واتحد الحكم، فتأمل</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 xml:space="preserve">، أو لو علم أنه بنحو الواجب في الواجب، 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تعدد المطلوب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في وحدة الحكم والمطلوب وتعددهما، كان مقتضى تدرجية نزول الأحكام حمل أحدهما على الآخر والتقييد به، ثم هو مقتضى قاعدة الدوران بين التعيين والتخيير</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8924624_1051229030"/>
      <w:bookmarkStart w:id="958" w:name="_Toc351"/>
      <w:bookmarkEnd w:id="957"/>
      <w:r>
        <w:rPr>
          <w:rtl w:val="true"/>
        </w:rPr>
        <w:t>التفصيل بين العنوان والمحصل وغيره</w:t>
      </w:r>
      <w:bookmarkEnd w:id="958"/>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آخر، وهو أن الشك إن كان في العنوان والمحصل فلا مجال للحمل على الاستحباب وغيره، بل لا بد من الإتيان بواجد القيد، وإن لم يكن فإن سبق صدور المطلق كان ورود المقيد فيما بعد سبباً للشك في تعلق تكليف جديد</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حدوث تضييق جديد</w:t>
      </w:r>
      <w:r>
        <w:rPr>
          <w:rStyle w:val="FootnoteAnchor"/>
          <w:rtl w:val="true"/>
        </w:rPr>
        <w:footnoteReference w:id="1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تعدد المطلوب أو على وحدته وحمل المطلق على المقيد</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والأصل عدمهما، لكنهما متعارضان كتعارض المسبب عنهما، فإن أصالة عدم التعدد معارضة بأصالة عدم التوحد، كما أن أصالة عدم حمل هذا على ذاكمعارضة بأصالة عدم إرادة خلاف الظاهر من ذاك، فالمرجع قاعدة الدوران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تأخر المطلق فقد يقال باستظهار عدم حمل المطلق على المقيد، فيكون للندب، إلاّ أن يقال بكون السابق قرينة على تقيد اللاحق بالقيد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مقام الفتوى فلا يحمل المطلق على المقيد، ومقام التعليم فيحمل سابقاً كان المطلق أم لاحقاً، وحيث إن الأصل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كان المقام الأول هو المحتاج للدليل فتأمل</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ظهور بعض روايات ولاية الفقيه في الانحصار،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في حلالنا وحرامنا وعرف أحكامنا</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في المجتهد، ومن المستبعد جداً كون هذا القيد غير لازم التحقق بالنظر إلى سياق الكلام، إلا أن يناقش في ظهوره في المجتهد، فتأمل</w:t>
      </w:r>
      <w:r>
        <w:rPr>
          <w:rFonts w:eastAsia="Amiri" w:cs="Amiri" w:ascii="Amiri" w:hAnsi="Amiri"/>
          <w:color w:val="111111"/>
          <w:sz w:val="28"/>
          <w:szCs w:val="28"/>
          <w:rtl w:val="true"/>
          <w:lang w:bidi="ar-SA"/>
        </w:rPr>
        <w:t xml:space="preserve">. </w:t>
      </w:r>
      <w:bookmarkStart w:id="959" w:name="pg8204_101412"/>
    </w:p>
    <w:p>
      <w:pPr>
        <w:pStyle w:val="Heading5"/>
        <w:numPr>
          <w:ilvl w:val="4"/>
          <w:numId w:val="1"/>
        </w:numPr>
        <w:rPr/>
      </w:pPr>
      <w:bookmarkStart w:id="960" w:name="__RefHeading___Toc8924626_1051229030"/>
      <w:bookmarkStart w:id="961" w:name="_Toc352"/>
      <w:bookmarkEnd w:id="959"/>
      <w:bookmarkEnd w:id="960"/>
      <w:r>
        <w:rPr>
          <w:rtl w:val="true"/>
        </w:rPr>
        <w:t>بحث حول دلالة الآيات والروايات على الولاية العامة</w:t>
      </w:r>
      <w:bookmarkEnd w:id="961"/>
    </w:p>
    <w:p>
      <w:pPr>
        <w:pStyle w:val="BookText"/>
        <w:rPr/>
      </w:pPr>
      <w:r>
        <w:rPr>
          <w:rFonts w:ascii="Amiri" w:hAnsi="Amiri" w:eastAsia="Amiri" w:cs="Amiri"/>
          <w:color w:val="111111"/>
          <w:sz w:val="28"/>
          <w:sz w:val="28"/>
          <w:szCs w:val="28"/>
          <w:rtl w:val="true"/>
          <w:lang w:bidi="ar-SA"/>
        </w:rPr>
        <w:t xml:space="preserve">وربما يدعى انصراف الآيات عن الحكومة والولاية العامة، لكنه إن صح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حَكَمْتُمْ بَيْنَ النَّاسِ</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 xml:space="preserve">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يصح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أو يقال بمخصَّصية آيات القوامية بالقسط،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وشبهها، لكونها أخص منها مطلقاً، إن لم نقل بحكومتها عليها، لتطرقها إلى ما لم تتطرق له من الحيثيات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قلنا بتمامية سند ودلالة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استظهرنا كون العلماء أعم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المراد من الحكام الأعم من الحاكمية في الأحكام الشرعية، وأنه ليس منصرفه الحكومة المعنوية أو الفكرية أو الأخلاقية، وأن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يحق لغيرهم الحكومة عليهم، وأن القضية إنشائية وليست خبرية، فإن تمّ ذلك كله تمّ الاستدلال بها من باب الحكومة، لكن بعضها قد يناقش فيه، فتأمل جداً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بأجنبية بعض الآيات والروايات عن المدعى أصلاً، ففي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 xml:space="preserve">لأن المقدم في القضية الشرطية لا يتكفل بيان من له الحكم </w:t>
      </w:r>
    </w:p>
    <w:p>
      <w:pPr>
        <w:pStyle w:val="BookText"/>
        <w:rPr/>
      </w:pPr>
      <w:r>
        <w:rPr>
          <w:rFonts w:ascii="Amiri" w:hAnsi="Amiri" w:eastAsia="Amiri" w:cs="Amiri"/>
          <w:color w:val="111111"/>
          <w:sz w:val="28"/>
          <w:sz w:val="28"/>
          <w:szCs w:val="28"/>
          <w:rtl w:val="true"/>
          <w:lang w:bidi="ar-SA"/>
        </w:rPr>
        <w:t xml:space="preserve">ولا تحقق الشروط من عدمه،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w:t>
      </w:r>
      <w:r>
        <w:rPr>
          <w:rFonts w:eastAsia="Amiri" w:cs="Amiri" w:ascii="Amiri" w:hAnsi="Amiri"/>
          <w:color w:val="111111"/>
          <w:sz w:val="28"/>
          <w:szCs w:val="28"/>
          <w:rtl w:val="true"/>
          <w:lang w:bidi="ar-SA"/>
        </w:rPr>
        <w:t>)</w:t>
      </w:r>
      <w:r>
        <w:rPr>
          <w:rStyle w:val="FootnoteAnchor"/>
          <w:rtl w:val="true"/>
        </w:rPr>
        <w:footnoteReference w:id="1396"/>
      </w:r>
      <w:r>
        <w:rPr>
          <w:rFonts w:ascii="Amiri" w:hAnsi="Amiri" w:eastAsia="Amiri" w:cs="Amiri"/>
          <w:color w:val="111111"/>
          <w:sz w:val="28"/>
          <w:sz w:val="28"/>
          <w:szCs w:val="28"/>
          <w:rtl w:val="true"/>
          <w:lang w:bidi="ar-SA"/>
        </w:rPr>
        <w:t xml:space="preserve">، وكذا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 لأنتصدي غير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الجامع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بنفسه حكم الجاهلية، لأن نفس التصدي للحكم لمن لم يثبت مشروعية ذلك له، صغرى هذه الكبرى، إضافة إلى كون المراد من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يخطئ ممن له التصدي للحكم فقد حكم بحكم الله، وذلك للقرينة العقلية، ولا يعلم كون المؤمن مطلقاً ممن له التصدي، ولكن لا يخفى التأمل فيما ذكر</w:t>
      </w:r>
      <w:r>
        <w:rPr>
          <w:rStyle w:val="FootnoteAnchor"/>
          <w:rtl w:val="true"/>
        </w:rPr>
        <w:footnoteReference w:id="139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أية حال، فإذا تمت أدلة ولاية الفقيه فالمدار أولاً يكون هو الحكم بالحق من شخص خاص هو الفقيه أو مجموعة الفقهاء أو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ينفِ ذلك اشتراط شروط خاصة فيهم كرضا الناس على ما ذكرناه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بفقده تصل النوبة إلى ولاية عدول المؤمنين، بل مطلقهم لو كانت الآيات السابقة هي المستند</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الجواب عن الوجه الرابع أيضاً</w:t>
      </w:r>
      <w:r>
        <w:rPr>
          <w:rFonts w:eastAsia="Amiri" w:cs="Amiri" w:ascii="Amiri" w:hAnsi="Amiri"/>
          <w:color w:val="111111"/>
          <w:sz w:val="28"/>
          <w:szCs w:val="28"/>
          <w:rtl w:val="true"/>
          <w:lang w:bidi="ar-SA"/>
        </w:rPr>
        <w:t xml:space="preserve">. </w:t>
      </w:r>
      <w:bookmarkStart w:id="962" w:name="pg8204_101414"/>
    </w:p>
    <w:p>
      <w:pPr>
        <w:pStyle w:val="Heading5"/>
        <w:numPr>
          <w:ilvl w:val="4"/>
          <w:numId w:val="1"/>
        </w:numPr>
        <w:rPr/>
      </w:pPr>
      <w:bookmarkStart w:id="963" w:name="__RefHeading___Toc8924628_1051229030"/>
      <w:bookmarkStart w:id="964" w:name="_Toc353"/>
      <w:bookmarkEnd w:id="962"/>
      <w:bookmarkEnd w:id="963"/>
      <w:r>
        <w:rPr>
          <w:rtl w:val="true"/>
        </w:rPr>
        <w:t xml:space="preserve">الاجتهاد خفيف المؤونة زمن المعصومين </w:t>
      </w:r>
      <w:r>
        <w:rPr>
          <w:rtl w:val="true"/>
        </w:rPr>
        <w:t>(</w:t>
      </w:r>
      <w:r>
        <w:rPr>
          <w:rtl w:val="true"/>
        </w:rPr>
        <w:t>عليهم السلام</w:t>
      </w:r>
      <w:r>
        <w:rPr>
          <w:rtl w:val="true"/>
        </w:rPr>
        <w:t>)</w:t>
      </w:r>
      <w:bookmarkEnd w:id="964"/>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الاجتهاد خفيف المؤونة في تلك الأزمنة، فلا يبعد 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ولاهم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مجتهدين ولو متجزئين، والاحتمال غير كافٍ في 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الكلام في جواز تولي غير المجتهد الحكم دون إذن خاص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استناداً للأدلة العامة الدالة على الولاية، فلو فرض عدم كونهم مجتهدين لكن حيث كانت ولايتهم بإذن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الاستدلال بها على المقام، أي لا يصح الاستدلال بتولي غير المجتهد مع إذن خاص على صحة التولي دونه، اللهم إلاّ أن يثبت ببعض الأدلة السابقة ونظائرها الإذن العام دون مقيد، أو يصار إلى عدم الفصل، فتأمل</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8924630_1051229030"/>
      <w:bookmarkStart w:id="966" w:name="_Toc354"/>
      <w:bookmarkEnd w:id="965"/>
      <w:r>
        <w:rPr>
          <w:rtl w:val="true"/>
        </w:rPr>
        <w:t>هل يصدق راوي الحديث أو الفقيه على المقلد؟</w:t>
      </w:r>
      <w:bookmarkEnd w:id="966"/>
    </w:p>
    <w:p>
      <w:pPr>
        <w:pStyle w:val="BookText"/>
        <w:rPr/>
      </w:pPr>
      <w:r>
        <w:rPr>
          <w:rFonts w:ascii="Amiri" w:hAnsi="Amiri" w:eastAsia="Amiri" w:cs="Amiri"/>
          <w:color w:val="111111"/>
          <w:sz w:val="28"/>
          <w:sz w:val="28"/>
          <w:szCs w:val="28"/>
          <w:rtl w:val="true"/>
          <w:lang w:bidi="ar-SA"/>
        </w:rPr>
        <w:t>ويرد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أنه لا ريب في صدق راوي الحديث على المقلد الراوي للحديث، لكون الرواية أمراً حسياً، أنه إن سلم صدق العالم على المقلد المطلع</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الفقه ليس بالرواية بل بالدراية، فتأمل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أنه يرد عليه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الأول والرابع، من مقيدية المقبولة لا باعتبار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الفرض تسليم الأعمية، بل </w:t>
      </w:r>
      <w:bookmarkStart w:id="967" w:name="pg8204_101415"/>
    </w:p>
    <w:p>
      <w:pPr>
        <w:pStyle w:val="BookText"/>
        <w:rPr/>
      </w:pPr>
      <w:bookmarkEnd w:id="967"/>
      <w:r>
        <w:rPr>
          <w:rFonts w:ascii="Amiri" w:hAnsi="Amiri" w:eastAsia="Amiri" w:cs="Amiri"/>
          <w:color w:val="111111"/>
          <w:sz w:val="28"/>
          <w:sz w:val="28"/>
          <w:szCs w:val="28"/>
          <w:rtl w:val="true"/>
          <w:lang w:bidi="ar-SA"/>
        </w:rPr>
        <w:t xml:space="preserve">باعتبار الإرجاع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مع معلومية توقف ذلك على الاجتهاد، إذ لا يمكن معرفة حكم الحادثة الواقعة إلا بعد معرفة مختلف الكليات التي يمكن أن تنطبق عليها، ومعرفة تزاحمها أو تعارضها ومرجحاتها إلى غير ذلك، بل هذا جارٍ في مثل العالم في صورة إرجاع الحادثة الواقعة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 أخذ الحكم والانطباق من الفقيه لا يلازم مرجعيته في الموضوع نفسه، بل قد تكون الولاية في الموضوع الخاص كالوقف، أو العام كالحكومة لشخص أو أشخاص، لكن يجب عليهم الرجوع في معرفة الحكم كلما جهل إلى الفقيه، وأين هذا من ولاية الفقيه؟ وتفصيله عند التطرق لهذه المقبولة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وغيرها، إن تمت دلالتها</w:t>
      </w:r>
      <w:r>
        <w:rPr>
          <w:rStyle w:val="FootnoteAnchor"/>
          <w:rtl w:val="true"/>
        </w:rPr>
        <w:footnoteReference w:id="1402"/>
      </w:r>
      <w:r>
        <w:rPr>
          <w:rFonts w:ascii="Amiri" w:hAnsi="Amiri" w:eastAsia="Amiri" w:cs="Amiri"/>
          <w:color w:val="111111"/>
          <w:sz w:val="28"/>
          <w:sz w:val="28"/>
          <w:szCs w:val="28"/>
          <w:rtl w:val="true"/>
          <w:lang w:bidi="ar-SA"/>
        </w:rPr>
        <w:t>، فتأمل جداً</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8924632_1051229030"/>
      <w:bookmarkStart w:id="969" w:name="_Toc355"/>
      <w:bookmarkEnd w:id="968"/>
      <w:r>
        <w:rPr>
          <w:rtl w:val="true"/>
        </w:rPr>
        <w:t>أصالة عدم مشروعية الرجوع لغير الفقيه</w:t>
      </w:r>
      <w:bookmarkEnd w:id="96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لم تتم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على تقييد الولاية وجواز تولي الحكم بالمجتهد، فإن احتمال كون مطلوبيته مختصة بالفقيه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مصحح للرجوع إلى أصالة عدم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عدم مشروعية الرجوع لغير الفقيه وإن كان راوياً للحديث أو كان من المؤمنين العدول، كما ادعاه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مجال للأصل مع وجود الإطلاقات والعمومات </w:t>
      </w:r>
      <w:bookmarkStart w:id="970" w:name="pg8204_101416"/>
    </w:p>
    <w:p>
      <w:pPr>
        <w:pStyle w:val="BookText"/>
        <w:rPr/>
      </w:pPr>
      <w:bookmarkEnd w:id="970"/>
      <w:r>
        <w:rPr>
          <w:rFonts w:ascii="Amiri" w:hAnsi="Amiri" w:eastAsia="Amiri" w:cs="Amiri"/>
          <w:color w:val="111111"/>
          <w:sz w:val="28"/>
          <w:sz w:val="28"/>
          <w:szCs w:val="28"/>
          <w:rtl w:val="true"/>
          <w:lang w:bidi="ar-SA"/>
        </w:rPr>
        <w:t>الكثيرة التي ذكرت في الوجه الأول والرابع، وهي المخرجة عن الأصل الأولي الحاكم بعدم صحة أي تصرف في مال الغير ونفسه وحقه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احتمال كون مطلوبيته مشروطة بالإذن يحتمل 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بالقسط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حفظاً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بتلك المطلقات والعمومات، لكونه فرع 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صدق تلك العناوين على من حكمفعدل عرفاً، غاية الأمر في فرض عدم الإذن عدم مشروعية قيامه بالأمر وحفظه للحدود وحكمه بما أنزل الله، إذ كان هذا الحق لغيره، وهذه المطلقات والعمومات تدل على المشروعية ولا مقيد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الإذن وعدمه دخيلان في الحكم لا الموضوع، فإن كانت معصية ففاعلية لا فعلية، ولا ريب في صحة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بالقسط وحفظ حدود الله والحكم بما أنزل الله واجب على الفئة الفلانية ومحرم على الفئة الكذائية مع وجود الفئة الأولى وعدم إذنها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والعمومات متكفلة بعدم اختصاص الإذن بفئة خاصة</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8924634_1051229030"/>
      <w:bookmarkStart w:id="972" w:name="_Toc356"/>
      <w:bookmarkEnd w:id="971"/>
      <w:r>
        <w:rPr>
          <w:rtl w:val="true"/>
        </w:rPr>
        <w:t>مناقشة مع المحقق الإيرواني</w:t>
      </w:r>
      <w:bookmarkEnd w:id="972"/>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ظهر وجه الإشكال على ما ذكره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يحتمل اختصاص التكليف به بأشخاص معينة أو طائفة خاصة كالعدول مثلاً تولاه كل أحد بلا ما يرجح بعضاً على بعض، وإن احتمل ذاك تولاه خصوص أولئك الأشخاص وتلك الطائفة المحتملة، لأنها المتيقن من مشروعية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لم يقطع ببقاء التكليف كان الأصل البراءة ولم </w:t>
      </w:r>
      <w:bookmarkStart w:id="973" w:name="pg8204_101417"/>
    </w:p>
    <w:p>
      <w:pPr>
        <w:pStyle w:val="BookText"/>
        <w:rPr/>
      </w:pPr>
      <w:bookmarkEnd w:id="973"/>
      <w:r>
        <w:rPr>
          <w:rFonts w:ascii="Amiri" w:hAnsi="Amiri" w:eastAsia="Amiri" w:cs="Amiri"/>
          <w:color w:val="111111"/>
          <w:sz w:val="28"/>
          <w:sz w:val="28"/>
          <w:szCs w:val="28"/>
          <w:rtl w:val="true"/>
          <w:lang w:bidi="ar-SA"/>
        </w:rPr>
        <w:t xml:space="preserve">يجر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لعدم إحراز موضوع المعروف، وكون الفعل من كل أحد معروفاً أول الكلام</w:t>
      </w:r>
      <w:r>
        <w:rPr>
          <w:rFonts w:eastAsia="Amiri" w:cs="Amiri" w:ascii="Amiri" w:hAnsi="Amiri"/>
          <w:color w:val="111111"/>
          <w:sz w:val="28"/>
          <w:szCs w:val="28"/>
          <w:rtl w:val="true"/>
          <w:lang w:bidi="ar-SA"/>
        </w:rPr>
        <w:t>).</w:t>
      </w:r>
      <w:r>
        <w:rPr>
          <w:rStyle w:val="FootnoteAnchor"/>
          <w:rtl w:val="true"/>
        </w:rPr>
        <w:footnoteReference w:id="1405"/>
      </w:r>
    </w:p>
    <w:p>
      <w:pPr>
        <w:pStyle w:val="Heading5"/>
        <w:numPr>
          <w:ilvl w:val="4"/>
          <w:numId w:val="1"/>
        </w:numPr>
        <w:rPr/>
      </w:pPr>
      <w:bookmarkStart w:id="974" w:name="__RefHeading___Toc8924636_1051229030"/>
      <w:bookmarkStart w:id="975" w:name="_Toc357"/>
      <w:bookmarkEnd w:id="974"/>
      <w:r>
        <w:rPr>
          <w:rtl w:val="true"/>
        </w:rPr>
        <w:t xml:space="preserve">بحث عن صدق </w:t>
      </w:r>
      <w:r>
        <w:rPr>
          <w:rtl w:val="true"/>
        </w:rPr>
        <w:t>(</w:t>
      </w:r>
      <w:r>
        <w:rPr>
          <w:rtl w:val="true"/>
        </w:rPr>
        <w:t>المعروف</w:t>
      </w:r>
      <w:r>
        <w:rPr>
          <w:rtl w:val="true"/>
        </w:rPr>
        <w:t xml:space="preserve">) </w:t>
      </w:r>
      <w:r>
        <w:rPr>
          <w:rtl w:val="true"/>
        </w:rPr>
        <w:t>على الحكم بالعدل مطلقاً</w:t>
      </w:r>
      <w:bookmarkEnd w:id="975"/>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بالعدل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وإنقاذ الإسلام والمسلمين من الهلكة، بإجراء معاهدة دولية مثلاً، وإطلاق حريات التجارة والصناعة وغيرها للناس، ولذا لا يقول أحد بأن أدلة الأمر بالمعروف تقتصر دلالتها على أمر الحكام الظلمة بتسليم الحكم إلى أهله، وأنه لا يستفادمنها وجوب أمر الحكام بحفظ الثغور قبال هجمات الكفار، وأمرهم بمنع اللصوص والقتلة والتصدي لهم وبحفظ النظام، وأمرهم بإغاثة المسلمين المعتدى عليهم في دولة كافرة مجاورة، وغير ذلك، بدعوى عدم كون ذلك معروفاً عند عدم الإذن لغير جامع الشرائط بالتصدي للحكم، أو عدم العلم بكون ذلك معروفاً عند احتمال اشتراط تولي أشخاص معينين</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يمكن أن يقال باستفادة وجوب ردع الحاكم الفاسق عن إجرائه معاهدة دولية مع دولة كافرة تكون تلك المعاهدة مقدمة لسيطرتهم، أو عن تعاونه مع عصابات المهربين للمخدرات وغيرها، وعن تمهيده السبيل للفئات الضالة المنحرفة إسلامية أم غيرها كالوهابية والشيوعية، لتغلغلها داخل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أدلة وجوب النهي عن المنكر، من حيث أن منشأ كونه منكراً كونه ممن ليس له تصدي الحكم لا كون ما قام به</w:t>
      </w:r>
      <w:r>
        <w:rPr>
          <w:rStyle w:val="FootnoteAnchor"/>
          <w:rtl w:val="true"/>
        </w:rPr>
        <w:footnoteReference w:id="1407"/>
      </w:r>
      <w:r>
        <w:rPr>
          <w:rFonts w:ascii="Amiri" w:hAnsi="Amiri" w:eastAsia="Amiri" w:cs="Amiri"/>
          <w:color w:val="111111"/>
          <w:sz w:val="28"/>
          <w:sz w:val="28"/>
          <w:szCs w:val="28"/>
          <w:rtl w:val="true"/>
          <w:lang w:bidi="ar-SA"/>
        </w:rPr>
        <w:t>ضاراً بالإسلام والمسلمين</w:t>
      </w:r>
      <w:r>
        <w:rPr>
          <w:rFonts w:eastAsia="Amiri" w:cs="Amiri" w:ascii="Amiri" w:hAnsi="Amiri"/>
          <w:color w:val="111111"/>
          <w:sz w:val="28"/>
          <w:szCs w:val="28"/>
          <w:rtl w:val="true"/>
          <w:lang w:bidi="ar-SA"/>
        </w:rPr>
        <w:t xml:space="preserve">. </w:t>
      </w:r>
      <w:bookmarkStart w:id="976" w:name="pg8204_101418"/>
    </w:p>
    <w:p>
      <w:pPr>
        <w:pStyle w:val="BookText"/>
        <w:rPr/>
      </w:pPr>
      <w:bookmarkEnd w:id="976"/>
      <w:r>
        <w:rPr>
          <w:rFonts w:ascii="Amiri" w:hAnsi="Amiri" w:eastAsia="Amiri" w:cs="Amiri"/>
          <w:color w:val="111111"/>
          <w:sz w:val="28"/>
          <w:sz w:val="28"/>
          <w:szCs w:val="28"/>
          <w:rtl w:val="true"/>
          <w:lang w:bidi="ar-SA"/>
        </w:rPr>
        <w:t>وإذا كان كذلك كان مقابله وهو النافع للإسلام والمسلمين معروفاً، لكونهما ضدين لا ثالث لهما مطلقاً في الأفعال أو في غير المباح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للقول بكفاية عدم تحقق أحد القيدين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ممن له الأمر شرعاً، مع كون الفعل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منكراً، واشتراط تحققهما في كونه معروفاً، إلاّ بلحاظ تعدد الجهة، فيكون واجد أحدهما معروفاً من جهته منكراً من الجهة الأخرى،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تسليم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حكماً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صدق الموضوع شملت الإطلاقات الجميع، فلا معنى للقدر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سبق مبني على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منه في لسان هذه الأدلة، أما لو قيل بالحقيقة الشرعية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بإرادة المعروف والعدل الواقعي كما هو مقتضى كون الأسماء أسماءلمسمياتها الثبوتية، فلا يعلم مع احتمال المنع كونه معروفاً وعدلاً واقعاً، إذ كما يحتمل المنع لكونه معروفاً وعدلاً مزاحماً بالأقوى يحتمل عدم كونه معروفاً وعدلاً وتخطئة الشارع للعرف في توهمه ذلك، فلا إحراز للموضوع، فتأمل</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8924638_1051229030"/>
      <w:bookmarkStart w:id="978" w:name="_Toc358"/>
      <w:bookmarkEnd w:id="977"/>
      <w:r>
        <w:rPr>
          <w:rtl w:val="true"/>
        </w:rPr>
        <w:t xml:space="preserve">مناقشة مع المحقق الأصفهاني </w:t>
      </w:r>
      <w:r>
        <w:rPr>
          <w:rtl w:val="true"/>
        </w:rPr>
        <w:t>(</w:t>
      </w:r>
      <w:r>
        <w:rPr>
          <w:rtl w:val="true"/>
        </w:rPr>
        <w:t>قدس سره</w:t>
      </w:r>
      <w:r>
        <w:rPr>
          <w:rtl w:val="true"/>
        </w:rPr>
        <w:t>)</w:t>
      </w:r>
      <w:bookmarkEnd w:id="978"/>
    </w:p>
    <w:p>
      <w:pPr>
        <w:pStyle w:val="BookText"/>
        <w:rPr/>
      </w:pPr>
      <w:r>
        <w:rPr>
          <w:rFonts w:ascii="Amiri" w:hAnsi="Amiri" w:eastAsia="Amiri" w:cs="Amiri"/>
          <w:color w:val="111111"/>
          <w:sz w:val="28"/>
          <w:sz w:val="28"/>
          <w:szCs w:val="28"/>
          <w:rtl w:val="true"/>
          <w:lang w:bidi="ar-SA"/>
        </w:rPr>
        <w:t xml:space="preserve">وأما قول الكمباني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المعروف والإحسان ونحوهما عنوان للواجبات والمستحبات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أراد به جعله لهما شرعاً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عدم ذلك، فلا حقيقة شرعية، وإن أراد مساواة المعروف للواجبات والمستحبات فغير بعيد، فتأمل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هذا البحث مجال آخر، ويمكن الاستفادة أيضاً من التحقيق حول </w:t>
      </w:r>
      <w:bookmarkStart w:id="979" w:name="pg8204_101419"/>
    </w:p>
    <w:p>
      <w:pPr>
        <w:pStyle w:val="BookText"/>
        <w:rPr/>
      </w:pPr>
      <w:bookmarkEnd w:id="9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 والخبائث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فليراجع الجواهر كتاب الأطعمة والأشربة 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8924640_1051229030"/>
      <w:bookmarkStart w:id="981" w:name="_Toc359"/>
      <w:bookmarkEnd w:id="980"/>
      <w:r>
        <w:rPr>
          <w:rtl w:val="true"/>
        </w:rPr>
        <w:t xml:space="preserve">مناقشة مع الشيخ </w:t>
      </w:r>
      <w:r>
        <w:rPr>
          <w:rtl w:val="true"/>
        </w:rPr>
        <w:t>(</w:t>
      </w:r>
      <w:r>
        <w:rPr>
          <w:rtl w:val="true"/>
        </w:rPr>
        <w:t>قدس سره</w:t>
      </w:r>
      <w:r>
        <w:rPr>
          <w:rtl w:val="true"/>
        </w:rPr>
        <w:t>)</w:t>
      </w:r>
      <w:bookmarkEnd w:id="981"/>
    </w:p>
    <w:p>
      <w:pPr>
        <w:pStyle w:val="BookText"/>
        <w:rPr/>
      </w:pPr>
      <w:r>
        <w:rPr>
          <w:rFonts w:ascii="Amiri" w:hAnsi="Amiri" w:eastAsia="Amiri" w:cs="Amiri"/>
          <w:color w:val="111111"/>
          <w:sz w:val="28"/>
          <w:sz w:val="28"/>
          <w:szCs w:val="28"/>
          <w:rtl w:val="true"/>
          <w:lang w:bidi="ar-SA"/>
        </w:rPr>
        <w:t xml:space="preserve">هذا، إضافة إلى بداهة صحة التصرف في مال الغير ونفسه وحقه بإذنه، فلمن انتخبته الأُمة ذلك، وبهذا ظهر عدم ورود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فمجرد كون التصرف معروفاً لا ينهض في تقييد ما دل على عدم ولاية أحد على أحد أو نفسه، ولهذا لا يلزم عقد الفضولي على المعقود له بمجرد كونه معروفاً ومصلحةً، ولا يفهم من أدلة المعروف ولاية للفضولي على المعقود عليه، لأن المعروف هو التصرف في المال أو النفس على الوجه المأذون فيه من المالك أو العقل أو الشرع من غير جهة نفس أدلة المعروف</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 إذ قد اعتبرنا رضى الأمة في تولي آحاد المؤمنين للحكم، نعم خصوص هذا الدليل غير دال على الولاية بل الوكالة وشبهها، أما ما سبقه فدال على الولاية كما لا يخفى وكذا ما لحقه، فتأمل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وضوح ضرورة وجود الحكومة والاحتياج المبرمإليها، كما ذكره أول المكاسب، فليست مطلوبية الحكومة إذن مختصة بوجود الإمام أو الفقيه وقدرتهما على التصدي بحيث لو تعذرا كانت الحكومة غير مطلوبة،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للناس من أمير بر أو فاجر</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حاكم ظلوم خير من فتنة تدوم</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 xml:space="preserve">، إلى غير ذلك من الروايات الكثيرة جداً، ومع حكم العقل بذلك لتوقف نظام </w:t>
      </w:r>
    </w:p>
    <w:p>
      <w:pPr>
        <w:pStyle w:val="BookText"/>
        <w:rPr/>
      </w:pPr>
      <w:r>
        <w:rPr>
          <w:rFonts w:ascii="Amiri" w:hAnsi="Amiri" w:eastAsia="Amiri" w:cs="Amiri"/>
          <w:color w:val="111111"/>
          <w:sz w:val="28"/>
          <w:sz w:val="28"/>
          <w:szCs w:val="28"/>
          <w:rtl w:val="true"/>
          <w:lang w:bidi="ar-SA"/>
        </w:rPr>
        <w:t xml:space="preserve">النوع عليها، لا مجال لهذا الاحتمال أصلاً، ولا يبعد عدم إرادة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احتمل كون مطلوبيته مختصة بالفقيه أو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الحكومة، نعم ذلك خاص بما يتوقف عليه حفظ النظام ودفع الهرج والمرج والضرر، فلا يدل على جواز الأكثر مما تتصدى له الحكومات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فالقيام بأمر الحكومة وإن كان مطلوباً أولاً وبالذات من الفقيه إذا تمت أدلة ولاية الفقيه، إلاّ أنه مطلوب عند تعذره من غيره قطعاً في تلك الحدود</w:t>
      </w:r>
      <w:r>
        <w:rPr>
          <w:rStyle w:val="FootnoteAnchor"/>
          <w:rtl w:val="true"/>
        </w:rPr>
        <w:footnoteReference w:id="1411"/>
      </w:r>
      <w:r>
        <w:rPr>
          <w:rFonts w:ascii="Amiri" w:hAnsi="Amiri" w:eastAsia="Amiri" w:cs="Amiri"/>
          <w:color w:val="111111"/>
          <w:sz w:val="28"/>
          <w:sz w:val="28"/>
          <w:szCs w:val="28"/>
          <w:rtl w:val="true"/>
          <w:lang w:bidi="ar-SA"/>
        </w:rPr>
        <w:t xml:space="preserve">، فنظارته شرط مع إمكانه، لا شرط مطلق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أخذ الزكوات والأخماس من الممتنع وتفريقها في أربابها، وكذا بقية وظائف الحكام غير ما يتعلق بالدعاوي،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 ما ذكرناه، ولأنه لو منع من ذلك لفاتت مصالح صرف تلك الأموال وهي مطلوبة لله تعالى، وقال بعض متأخري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القيام بهذه المصالح أهم من ترك تلك الأموال بأيدي الظلمة يأكلونها بغير حقها ويصرفونها إلى غير مستحقها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تُوقّع إمام يصرف ذلك في وجهه حفظ المتمكن تلك الأموال إلى حين تمكنه من صرفها إليه، وإن يئس من ذلك كما في هذا الزمان تعين صرفه على الفور في مصارفه لما في إبقائه من التغرير وحرمان مستحقيه من تعجيل أخذه مع مسيس حاجتهم إليه، ولو ظفر بأموال مغصوبة حفظها لأربابهاحتى يصل إليهم، ومع اليأس يتصدق بها عنهم وعند العامة تصرف في المصارف العامة</w:t>
      </w:r>
      <w:r>
        <w:rPr>
          <w:rFonts w:eastAsia="Amiri" w:cs="Amiri" w:ascii="Amiri" w:hAnsi="Amiri"/>
          <w:color w:val="111111"/>
          <w:sz w:val="28"/>
          <w:szCs w:val="28"/>
          <w:rtl w:val="true"/>
          <w:lang w:bidi="ar-SA"/>
        </w:rPr>
        <w:t>).</w:t>
      </w:r>
      <w:r>
        <w:rPr>
          <w:rStyle w:val="FootnoteAnchor"/>
          <w:rtl w:val="true"/>
        </w:rPr>
        <w:footnoteReference w:id="1412"/>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ان هذا البحث بحاجة إلى مزيد من التحقيق والتدبر والتأمل، وليس ما ذكر وافياً بالمطلب، ولعلنا نوفق لذلك في وقت آخر، والله الهادي</w:t>
      </w:r>
      <w:r>
        <w:rPr>
          <w:rFonts w:eastAsia="Amiri" w:cs="Amiri" w:ascii="Amiri" w:hAnsi="Amiri"/>
          <w:color w:val="111111"/>
          <w:sz w:val="28"/>
          <w:szCs w:val="28"/>
          <w:rtl w:val="true"/>
          <w:lang w:bidi="ar-SA"/>
        </w:rPr>
        <w:t xml:space="preserve">. </w:t>
      </w:r>
      <w:bookmarkStart w:id="982" w:name="pg8204_101421"/>
    </w:p>
    <w:p>
      <w:pPr>
        <w:pStyle w:val="Heading3"/>
        <w:numPr>
          <w:ilvl w:val="2"/>
          <w:numId w:val="1"/>
        </w:numPr>
        <w:rPr/>
      </w:pPr>
      <w:bookmarkStart w:id="983" w:name="__RefHeading___Toc8924642_1051229030"/>
      <w:bookmarkStart w:id="984" w:name="_Toc360"/>
      <w:bookmarkEnd w:id="982"/>
      <w:bookmarkEnd w:id="983"/>
      <w:r>
        <w:rPr>
          <w:rtl w:val="true"/>
        </w:rPr>
        <w:t>الفصل الرابع</w:t>
      </w:r>
      <w:r>
        <w:rPr>
          <w:rtl w:val="true"/>
        </w:rPr>
        <w:t xml:space="preserve">: </w:t>
      </w:r>
      <w:r>
        <w:rPr>
          <w:rtl w:val="true"/>
        </w:rPr>
        <w:t>في حكم تخالف رأي أكثرية شورى الفقهاء مع أكثرية الأمة</w:t>
      </w:r>
      <w:bookmarkEnd w:id="984"/>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5" w:name="__RefHeading___Toc8924644_1051229030"/>
      <w:bookmarkStart w:id="986" w:name="_Toc361"/>
      <w:bookmarkEnd w:id="985"/>
      <w:r>
        <w:rPr>
          <w:rtl w:val="true"/>
        </w:rPr>
        <w:t>اشارة</w:t>
      </w:r>
      <w:bookmarkEnd w:id="98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7" w:name="pg8204_101423"/>
      <w:bookmarkStart w:id="988" w:name="pg8204_101423"/>
      <w:bookmarkEnd w:id="988"/>
    </w:p>
    <w:p>
      <w:pPr>
        <w:pStyle w:val="Heading4"/>
        <w:numPr>
          <w:ilvl w:val="3"/>
          <w:numId w:val="1"/>
        </w:numPr>
        <w:rPr/>
      </w:pPr>
      <w:bookmarkStart w:id="989" w:name="pg8204_101423"/>
      <w:bookmarkStart w:id="990" w:name="__RefHeading___Toc8924646_1051229030"/>
      <w:bookmarkStart w:id="991" w:name="_Toc362"/>
      <w:bookmarkEnd w:id="989"/>
      <w:bookmarkEnd w:id="990"/>
      <w:r>
        <w:rPr>
          <w:rtl w:val="true"/>
        </w:rPr>
        <w:t>تخالف آراء الفقهاء مع الأمة على المباني في الحكومة</w:t>
      </w:r>
      <w:bookmarkEnd w:id="991"/>
    </w:p>
    <w:p>
      <w:pPr>
        <w:pStyle w:val="Heading5"/>
        <w:numPr>
          <w:ilvl w:val="4"/>
          <w:numId w:val="1"/>
        </w:numPr>
        <w:rPr/>
      </w:pPr>
      <w:bookmarkStart w:id="992" w:name="__RefHeading___Toc8924648_1051229030"/>
      <w:bookmarkStart w:id="993" w:name="_Toc363"/>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إذا تخالف رأي الفقيه الحاكم أو أكثرية شورى الفقهاء مع رأي أكثرية الأمة فأيهما المقدم؟</w:t>
      </w:r>
    </w:p>
    <w:p>
      <w:pPr>
        <w:pStyle w:val="BookText"/>
        <w:rPr/>
      </w:pPr>
      <w:r>
        <w:rPr>
          <w:rFonts w:ascii="Amiri" w:hAnsi="Amiri" w:eastAsia="Amiri" w:cs="Amiri"/>
          <w:color w:val="111111"/>
          <w:sz w:val="28"/>
          <w:sz w:val="28"/>
          <w:szCs w:val="28"/>
          <w:rtl w:val="true"/>
          <w:lang w:bidi="ar-SA"/>
        </w:rPr>
        <w:t>ذلك منوط بالمبنى في منشأ ولاية الحاكم أو سلطته</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8924650_1051229030"/>
      <w:bookmarkStart w:id="995" w:name="_Toc364"/>
      <w:bookmarkEnd w:id="994"/>
      <w:r>
        <w:rPr>
          <w:rtl w:val="true"/>
        </w:rPr>
        <w:t>الحكومة وكالة أو جُعالة أو إِذن</w:t>
      </w:r>
      <w:bookmarkEnd w:id="995"/>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حكومة الحاكم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توكله الأُمة في إدارة شؤونها، كان الرأي للأمة، إذ لا رأي للوكيل مع معارضته للأصيل، وأما مع مخالفة بعض الأمة للحاكم فالرأي له وإن كان وكيلاً عن المجموع، كي لا يلزم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ذكرنا في موضع آخر ما يبعد كون الحكومة وكالة وقد يكون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حكمه على الأقلية المعارضة في مسألة معينة وإن انتخبته كحاكم، رغم كونه وكيلاً عنها كغيرها، مع أن الوكيل لا ينفذ حكمه على الموكل أو على الموكلين أو على بعضهم دون قبولهم، وكذا نفوذ حكمه على الأقلية التي لم تنتخبه رغم عدم توكليها إياه وانتخابها له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قد يكون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أكثرية الوكلاء يشرعون لا كل الوكلاء</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توكيل الأمة لهم على هذا النحو، بأن يكون نفوذ حكم </w:t>
      </w:r>
      <w:bookmarkStart w:id="996" w:name="pg8204_101424"/>
    </w:p>
    <w:p>
      <w:pPr>
        <w:pStyle w:val="BookText"/>
        <w:rPr/>
      </w:pPr>
      <w:bookmarkEnd w:id="996"/>
      <w:r>
        <w:rPr>
          <w:rFonts w:ascii="Amiri" w:hAnsi="Amiri" w:eastAsia="Amiri" w:cs="Amiri"/>
          <w:color w:val="111111"/>
          <w:sz w:val="28"/>
          <w:sz w:val="28"/>
          <w:szCs w:val="28"/>
          <w:rtl w:val="true"/>
          <w:lang w:bidi="ar-SA"/>
        </w:rPr>
        <w:t>الوكلاء مشروطاً بانعقاد أكثريتهم عليه لا كلهم، كما هو كذلك خارجاً</w:t>
      </w:r>
      <w:r>
        <w:rPr>
          <w:rStyle w:val="FootnoteAnchor"/>
          <w:rtl w:val="true"/>
        </w:rPr>
        <w:footnoteReference w:id="1414"/>
      </w:r>
      <w:r>
        <w:rPr>
          <w:rFonts w:ascii="Amiri" w:hAnsi="Amiri" w:eastAsia="Amiri" w:cs="Amiri"/>
          <w:color w:val="111111"/>
          <w:sz w:val="28"/>
          <w:sz w:val="28"/>
          <w:szCs w:val="28"/>
          <w:rtl w:val="true"/>
          <w:lang w:bidi="ar-SA"/>
        </w:rPr>
        <w:t>وارتكازاً،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تصحيح تقدم رأي الوكيل عند التعارض بالاشتراط،فخلاف مقتضى الوكالة، إلا إذا كان شرطاً في ضمن عقد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الوكالة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أذنت لشخص بأداء مسؤوليات معينة؛ إذ يضعفه ما يضعفها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إلا أوسط الإشكالات الثلاثة السابقة، 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الجعالة عقد لازم لا يحق لأحد الطرفين فسخه، مع أن الرئاسة مما يحق فيها للأمة إقالة الحاكم، كما له حق أن يستقيل إلا أن يلتزم بالعدم، نعم ذهب بعض الفقهاء إلى أن الجعالة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فلا إلزام فيه، وعقد فهو ملزم، وعلى أية حال فالحكومة عرفاً ليست جعالة</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8924652_1051229030"/>
      <w:bookmarkStart w:id="998" w:name="_Toc365"/>
      <w:bookmarkEnd w:id="997"/>
      <w:r>
        <w:rPr>
          <w:rtl w:val="true"/>
        </w:rPr>
        <w:t>الحكومة عقد مستقل</w:t>
      </w:r>
      <w:bookmarkEnd w:id="998"/>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عقداً مستقلاً بين الأمة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عقد معتبر عند العقلاء فتشمله أدلة لزوم 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طبق ما تعوقد عليه، فإن تم ولو ارتكازاً على أن يكون الأمر للأمة عند التعارض مطلقاً، أو في الجملة في بعض الأمور ووفق ضوابط</w:t>
      </w:r>
      <w:r>
        <w:rPr>
          <w:rStyle w:val="FootnoteAnchor"/>
          <w:rtl w:val="true"/>
        </w:rPr>
        <w:footnoteReference w:id="1415"/>
      </w:r>
      <w:r>
        <w:rPr>
          <w:rFonts w:ascii="Amiri" w:hAnsi="Amiri" w:eastAsia="Amiri" w:cs="Amiri"/>
          <w:color w:val="111111"/>
          <w:sz w:val="28"/>
          <w:sz w:val="28"/>
          <w:szCs w:val="28"/>
          <w:rtl w:val="true"/>
          <w:lang w:bidi="ar-SA"/>
        </w:rPr>
        <w:t>، كان لها، وإلا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مدة ولايته تابعة لما تعوقد عليه، كما لأحد الطرفين الفسخ بالشرط</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يلزم من التعاقد على أن يقدم رأي أكثرية الأمة أو أكثرية أهل الحل </w:t>
      </w:r>
      <w:bookmarkStart w:id="999" w:name="pg8204_101425"/>
    </w:p>
    <w:p>
      <w:pPr>
        <w:pStyle w:val="BookText"/>
        <w:rPr/>
      </w:pPr>
      <w:bookmarkEnd w:id="999"/>
      <w:r>
        <w:rPr>
          <w:rFonts w:ascii="Amiri" w:hAnsi="Amiri" w:eastAsia="Amiri" w:cs="Amiri"/>
          <w:color w:val="111111"/>
          <w:sz w:val="28"/>
          <w:sz w:val="28"/>
          <w:szCs w:val="28"/>
          <w:rtl w:val="true"/>
          <w:lang w:bidi="ar-SA"/>
        </w:rPr>
        <w:t>والعقد الذين ارتضتهم الأمة، الهرج والمرج واختلال النظام، كما نرى ذلك</w:t>
      </w:r>
      <w:r>
        <w:rPr>
          <w:rStyle w:val="FootnoteAnchor"/>
          <w:rtl w:val="true"/>
        </w:rPr>
        <w:footnoteReference w:id="1416"/>
      </w:r>
      <w:r>
        <w:rPr>
          <w:rFonts w:ascii="Amiri" w:hAnsi="Amiri" w:eastAsia="Amiri" w:cs="Amiri"/>
          <w:color w:val="111111"/>
          <w:sz w:val="28"/>
          <w:sz w:val="28"/>
          <w:szCs w:val="28"/>
          <w:rtl w:val="true"/>
          <w:lang w:bidi="ar-SA"/>
        </w:rPr>
        <w:t>في كل الحكومات الديموقراطية التي يحق لأكثرية الأمة فيها نقض ورفض ما قرره الحاكم، إضافة إلى أن ذلك لا يحدث إلاّ نادراً، وعلى أي فإنه يمكن دفعه بضوابط خاصة</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8924654_1051229030"/>
      <w:bookmarkStart w:id="1001" w:name="_Toc366"/>
      <w:bookmarkEnd w:id="1000"/>
      <w:r>
        <w:rPr>
          <w:rtl w:val="true"/>
        </w:rPr>
        <w:t>بحث حول أن الحكومة منصب منجز أو معلّق</w:t>
      </w:r>
      <w:bookmarkEnd w:id="1001"/>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منصباً من قبل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واستظهرنا كونه منجزاً غير مشروط بشيء، كان رأي أكثرية شورى الفقهاء هو المقدم، وكلا الأمرين قد استظهرهما جمع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وَالْأَحْكَامِ عَلَى أَيْدِي الْعُلَمَاءِ بِاللَّهِ الأُمْنَاءِ عَلَى حَلَالِهِ وَحَرَامِ</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هو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عَلَيْهِمْ قَيِّماً يَمْنَعُهُمْ مِنَ الْفَسَادِ وَيُقِيمُ فِيهِمُ الْحُدُودَ وَالْأَحْكَام</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أَنَّهُ لَوْ لَمْ يَجْعَلْ لَهُمْ إِمَاماً قَيِّماً أَمِيناً</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xml:space="preserve">، إن قلنا بشمولها للفقهاء وعدم اختصاصها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ومكان القيم بالأمر مكان النظام</w:t>
      </w:r>
      <w:r>
        <w:rPr>
          <w:rStyle w:val="FootnoteAnchor"/>
          <w:rtl w:val="true"/>
        </w:rPr>
        <w:footnoteReference w:id="1421"/>
      </w:r>
      <w:r>
        <w:rPr>
          <w:rFonts w:ascii="Amiri" w:hAnsi="Amiri" w:eastAsia="Amiri" w:cs="Amiri"/>
          <w:color w:val="111111"/>
          <w:sz w:val="28"/>
          <w:sz w:val="28"/>
          <w:szCs w:val="28"/>
          <w:rtl w:val="true"/>
          <w:lang w:bidi="ar-SA"/>
        </w:rPr>
        <w:t xml:space="preserve">من الخرز، يجمعه ويضمه، فإذا انقطع النظام تفرق الخرز وذهب ثم لم يجتمع بحذافيره </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خاصة بالقضاء، كما يظهر من صدر الرواية، وأن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القائم بالأمر، فلا دلالة فيه على جعل المنصب، قال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مقيمه، والقيّم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وسائس الأمر، وقيم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يقومهم ويسوسأمرهم</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يجاب باستفادة المنصبية منه عرفاً،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الصغار وشبهه، بل ولغةً،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يقومهم ويسوس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ذو المنصب الذي ينفذ كلامه على غيره، إذ هذا شأن المقوم والسائس، وإلا لما كان مقوِّماً بل مقوَّماً، ولما كان سائساً بل مسوساً، وكذا ظاهر كلمة السيد، وبأن تقديم أكثرية الفقهاء لا يتوقف على المنصب، بل يكفي دلالتها على نفوذ حكمه والنفوذ أعم من المنصبية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حددت مسؤوليته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يمنعهم من الفساد ويقيم فيهم الحدود والأحكام</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 وليس الكلام عن ذلك، بل الكلام عن تشخيص الموضوع في الشأن العام، وأن أكثرية الفقهاء لو رأت في المعاهدة الدولية أو إشعال نار الحرب الفساد للبلاد، ورأى أكثرية الناس وأهل الخبرة فيها الصلاح للبلاد وفي عكسها الفساد فأيهما المقدم؟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دلالة للرواية على ذلك، بل التمسك بها تمسك بالعام في الشبهة المصداقية، ثم إن كونه قيّماً لا ينفي اشتراط شروط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xml:space="preserve">وكون </w:t>
      </w:r>
    </w:p>
    <w:p>
      <w:pPr>
        <w:pStyle w:val="BookText"/>
        <w:rPr/>
      </w:pPr>
      <w:r>
        <w:rPr>
          <w:rFonts w:ascii="Amiri" w:hAnsi="Amiri" w:eastAsia="Amiri" w:cs="Amiri"/>
          <w:color w:val="111111"/>
          <w:sz w:val="28"/>
          <w:sz w:val="28"/>
          <w:szCs w:val="28"/>
          <w:rtl w:val="true"/>
          <w:lang w:bidi="ar-SA"/>
        </w:rPr>
        <w:t xml:space="preserve">الأمر 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في إعماله قيمومته بل في تنجزها وفعليتها،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حقي عليكم 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إذ مقتضى الوفاء بالبيعة الإطاعة وتنفيذ الأوامر، إضافة إلى الالتزام بالأصل وعدم العزل، وقد أجبنا عنه في مبحث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والإجابة حين أدعوكم والطاعة حين آمركم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إطلاق، فيشمل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التكاسل والتثاقل وحالة اجتهادهم بخلاف رأي الحاكم</w:t>
      </w:r>
      <w:r>
        <w:rPr>
          <w:rStyle w:val="FootnoteAnchor"/>
          <w:rtl w:val="true"/>
        </w:rPr>
        <w:footnoteReference w:id="1429"/>
      </w:r>
      <w:r>
        <w:rPr>
          <w:rFonts w:ascii="Amiri" w:hAnsi="Amiri" w:eastAsia="Amiri" w:cs="Amiri"/>
          <w:color w:val="111111"/>
          <w:sz w:val="28"/>
          <w:sz w:val="28"/>
          <w:szCs w:val="28"/>
          <w:rtl w:val="true"/>
          <w:lang w:bidi="ar-SA"/>
        </w:rPr>
        <w:t>، ورؤيتهم أمره ودعوته غير صحيحة، إلاّ أن يقال بالانصراف للأول، ويدل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والنصيحة في المشهد والمغيب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يشمل حالتي وضوح الأمر وتخالف الاجتهاد،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بيان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منصوب من قبل الله وإمام معصوم، لا بما هو حاكم، وحينئذٍ فالإطلاق مسلّم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يستدل أو يؤيد بما عن دعائم الإسلام،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أهل العدل الذين أمر الله بولايتهم وتوليتهم وقبولها والعمل لهم فرض من الله وطاعتهم واجبة ولا يحل لمن أمروه بالعمل لهم أن يتخلف عن أمرهم</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 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مغاير لمحل البحث تماماً، فتدبر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كما قد يعضد بأن اشتراط رضى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w:t>
      </w:r>
    </w:p>
    <w:p>
      <w:pPr>
        <w:pStyle w:val="BookText"/>
        <w:rPr/>
      </w:pPr>
      <w:r>
        <w:rPr>
          <w:rFonts w:ascii="Amiri" w:hAnsi="Amiri" w:eastAsia="Amiri" w:cs="Amiri"/>
          <w:color w:val="111111"/>
          <w:sz w:val="28"/>
          <w:sz w:val="28"/>
          <w:szCs w:val="28"/>
          <w:rtl w:val="true"/>
          <w:lang w:bidi="ar-SA"/>
        </w:rPr>
        <w:t>بأصل ولايته لا في أحكامه بعد ولايته، إذ ذلك هو مقتضى المنصبية، وللزوم الهرج والمرج لولاه، كما هو الحال في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ذلك مقتضى المنصبية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المنصب أعم من نفوذ الحكم مطلقاً، أي ولو لم يرض الطرف الآخر به، إذ قد يكون المنصب ثابتاً مع كون نفوذ الحكم مشترطاً بالرضا، إذ ليس جعل المنصب علة تامة لنفوذ الحكم، إذ كما يكون نفوذه مقيداً بالغبطة مثلاً، كما في ولي النكاح، كذلك قد يكون مقيداً بالرضا، وذلك كما في ولي البكر الرشيدة قول</w:t>
      </w:r>
      <w:r>
        <w:rPr>
          <w:rStyle w:val="FootnoteAnchor"/>
          <w:rtl w:val="true"/>
        </w:rPr>
        <w:footnoteReference w:id="1431"/>
      </w:r>
      <w:r>
        <w:rPr>
          <w:rFonts w:ascii="Amiri" w:hAnsi="Amiri" w:eastAsia="Amiri" w:cs="Amiri"/>
          <w:color w:val="111111"/>
          <w:sz w:val="28"/>
          <w:sz w:val="28"/>
          <w:szCs w:val="28"/>
          <w:rtl w:val="true"/>
          <w:lang w:bidi="ar-SA"/>
        </w:rPr>
        <w:t>، حيث التزم باشتراط رضاها في نفوذ تزويجه، استناداً إلى موثقة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اسْتَشَارَ عَبْدُ الرَّحْمَنِ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ابْنَتِهِ لِابْنِأَخِيهِ،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وَيَكُونَ ذَلِكَ بِرِضَاهَا، فَإِنَّ لَهَا فِي نَفْسِهَا نَصِيباً،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فَاسْتَشَارَ خَالِدُ بْنُ دَاوُدَ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ابْنَتِهِ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وَيَكُونَ ذَلِكَ بِرِضَاهَا فَإِنَّ لَهَا فِي نَفْسِهَا حَظّا</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 xml:space="preserve">، ولا يخفى ما في تعليل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معممة ومخصصة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الدلالة على اشتراط نفوذ حكم الفقيه في الأمة برضاها، لأن لهم في أنفسهم حظاً ونصيباً، بل الحكم هنا أولى، فتأمل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كون نفوذ الحكم لذي المنصب مقيداً بالرضا مدفوع بالأصل، إضافة إلى أن المدار ليس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ورودها في الروايات بل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ومن الواضح أن ظاهرها كون الأمر للفقيه ونفوذ حكمه وإن لم ترتضه الأمة على ما هو شأن</w:t>
      </w:r>
      <w:r>
        <w:rPr>
          <w:rStyle w:val="FootnoteAnchor"/>
          <w:rtl w:val="true"/>
        </w:rPr>
        <w:footnoteReference w:id="1433"/>
      </w:r>
      <w:r>
        <w:rPr>
          <w:rFonts w:ascii="Amiri" w:hAnsi="Amiri" w:eastAsia="Amiri" w:cs="Amiri"/>
          <w:color w:val="111111"/>
          <w:sz w:val="28"/>
          <w:sz w:val="28"/>
          <w:szCs w:val="28"/>
          <w:rtl w:val="true"/>
          <w:lang w:bidi="ar-SA"/>
        </w:rPr>
        <w:t>الحاكم ومن بيده مجرى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حاكمة على أدلة المنصب، كما فصلناه في موضع آخر، فتكون الآية دليلاً على اشتراط نفوذ حكمه بالمشورة وموافقة الأكثرية، بل وكذا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435"/>
      </w:r>
      <w:r>
        <w:rPr>
          <w:rFonts w:ascii="Amiri" w:hAnsi="Amiri" w:eastAsia="Amiri" w:cs="Amiri"/>
          <w:color w:val="111111"/>
          <w:sz w:val="28"/>
          <w:sz w:val="28"/>
          <w:szCs w:val="28"/>
          <w:rtl w:val="true"/>
          <w:lang w:bidi="ar-SA"/>
        </w:rPr>
        <w:t xml:space="preserve">، لوجوه منها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إذا عزمت على ما اقتضته المشورة،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 الطبيب فإذا عزمت فتوكل على الله، الظاهر في العزم على ما أشار إليه الطبيب، إلا أن يورد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في لزوم العزم ووجوبه، وإن كان متعلق العزم هو ما ارتضته أكثرية المشيرين، وذلك لأن تعليق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وجوب تحقيق المقدم وإن وقعت الجملة عقيب أمر،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السوق فإن اشتريت اللحم فادخره، حيث لا يدل على وجوب شراء اللحم،وكذا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 وكما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 فَاسْعَوْا إِلى ذِكْرِ اللهِ وَذَرُوا الْبَيْعَ</w:t>
      </w:r>
      <w:r>
        <w:rPr>
          <w:rFonts w:eastAsia="Amiri" w:cs="Amiri" w:ascii="Amiri" w:hAnsi="Amiri"/>
          <w:color w:val="111111"/>
          <w:sz w:val="28"/>
          <w:szCs w:val="28"/>
          <w:rtl w:val="true"/>
          <w:lang w:bidi="ar-SA"/>
        </w:rPr>
        <w:t>)</w:t>
      </w:r>
      <w:r>
        <w:rPr>
          <w:rStyle w:val="FootnoteAnchor"/>
          <w:rtl w:val="true"/>
        </w:rPr>
        <w:footnoteReference w:id="1437"/>
      </w:r>
      <w:r>
        <w:rPr>
          <w:rFonts w:ascii="Amiri" w:hAnsi="Amiri" w:eastAsia="Amiri" w:cs="Amiri"/>
          <w:color w:val="111111"/>
          <w:sz w:val="28"/>
          <w:sz w:val="28"/>
          <w:szCs w:val="28"/>
          <w:rtl w:val="true"/>
          <w:lang w:bidi="ar-SA"/>
        </w:rPr>
        <w:t>فتأمل، وراجع تمام الكلام في مبحث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يقال بكونه ظاهراً في وجوب تحقيق المقدم عرفاً، وبملاحظة الجملة كلها، أو يقال بلزوم نقض الغرض من وجوب الاستشارة لو لم تتبع، ولغير ذلك</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 xml:space="preserve">، إذ لو نفذ أمر الفقيه أو </w:t>
      </w:r>
    </w:p>
    <w:p>
      <w:pPr>
        <w:pStyle w:val="BookText"/>
        <w:rPr/>
      </w:pPr>
      <w:r>
        <w:rPr>
          <w:rFonts w:ascii="Amiri" w:hAnsi="Amiri" w:eastAsia="Amiri" w:cs="Amiri"/>
          <w:color w:val="111111"/>
          <w:sz w:val="28"/>
          <w:sz w:val="28"/>
          <w:szCs w:val="28"/>
          <w:rtl w:val="true"/>
          <w:lang w:bidi="ar-SA"/>
        </w:rPr>
        <w:t xml:space="preserve">مجموعة الفقهاء مطلقاً لم يكن أمر الأمة شورى بينهم، بل كان أمر الأمة بيد الفقيه أو شورى الفقهاء، فإنه لو كان الحكم شورى بين الفقهاء ونفذ حكمهم مطلقاً لم يكن أمر الأمة شورى بين الأمة بل بين الفقهاء، والظاهر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 ما عاد إليه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وكونه شورى بينهم يتحقق بانتخابهم مجموعة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لاشتراط 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للتشاور ورضا المنتخبين إجمالاً أو تفصيلاً بما انتهى إليه، فإن لم يرضوا بحكم وأنفذه الفقهاء لم يصدق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آية الشورى ونظائرها حاكمة على روايات ولاية الفقيه أو الفقهاء</w:t>
      </w:r>
      <w:r>
        <w:rPr>
          <w:rStyle w:val="FootnoteAnchor"/>
          <w:rtl w:val="true"/>
        </w:rPr>
        <w:footnoteReference w:id="1440"/>
      </w:r>
      <w:r>
        <w:rPr>
          <w:rFonts w:ascii="Amiri" w:hAnsi="Amiri" w:eastAsia="Amiri" w:cs="Amiri"/>
          <w:color w:val="111111"/>
          <w:sz w:val="28"/>
          <w:sz w:val="28"/>
          <w:szCs w:val="28"/>
          <w:rtl w:val="true"/>
          <w:lang w:bidi="ar-SA"/>
        </w:rPr>
        <w:t>، بل لو قيل بالعكس</w:t>
      </w:r>
      <w:r>
        <w:rPr>
          <w:rStyle w:val="FootnoteAnchor"/>
          <w:rtl w:val="true"/>
        </w:rPr>
        <w:footnoteReference w:id="1441"/>
      </w:r>
      <w:r>
        <w:rPr>
          <w:rFonts w:ascii="Amiri" w:hAnsi="Amiri" w:eastAsia="Amiri" w:cs="Amiri"/>
          <w:color w:val="111111"/>
          <w:sz w:val="28"/>
          <w:sz w:val="28"/>
          <w:szCs w:val="28"/>
          <w:rtl w:val="true"/>
          <w:lang w:bidi="ar-SA"/>
        </w:rPr>
        <w:t>لكانت النتيجة واحدة،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يتمسك بسائر الأدلة على اعتبار رضا الناس، كما سيأتي تفصيله بعد ملاحظة النسبة بينها وبينها بدعوى إباء لسانها عن التخصيص أو انصراف أدلة الولاية لغير صورة رفض الناس،بدعوى أن الأمر كذلك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ولاية لو لم يرضوا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تغاير مع حكمه التكليفي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وجب عليهم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 الانفكاك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المنصب والحكومة إن اشترط في ثبوته أو فعليته رضا الناس كما بيّنا ذلك في موضع آخر، اشترط في نفوذ الحكم ذلك أيضاً، لكون الفرع أولى بكونه تحت الاختيار بعد كون الأصل تحته، كما في الوكيل والوصي، فتأمل</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منصب الحكومة مجعول 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لمجموعة تصدق عليهم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جمع الشرائط على سبيل البدل، فللأمة أن ترجع في كل واقعة إلى </w:t>
      </w:r>
      <w:bookmarkStart w:id="1002" w:name="pg8204_101431"/>
    </w:p>
    <w:p>
      <w:pPr>
        <w:pStyle w:val="BookText"/>
        <w:rPr/>
      </w:pPr>
      <w:bookmarkEnd w:id="1002"/>
      <w:r>
        <w:rPr>
          <w:rFonts w:ascii="Amiri" w:hAnsi="Amiri" w:eastAsia="Amiri" w:cs="Amiri"/>
          <w:color w:val="111111"/>
          <w:sz w:val="28"/>
          <w:sz w:val="28"/>
          <w:szCs w:val="28"/>
          <w:rtl w:val="true"/>
          <w:lang w:bidi="ar-SA"/>
        </w:rPr>
        <w:t xml:space="preserve">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هذه المجموعة دون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القاضي وكما في مرجع التقليد على ما التزمنا به من جواز التبعيض في التقليد، وكما في الحجج المتعددة المجعولة في المورد الواحد المستلزمة للتخيير، وقد تحدثنا تفصيلاً حول كل ذلك في مواضع أخرى من الكتاب،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الهرج والمرج فلا يلزم من اشتراط نفوذ حكمهم برضا الأمة الهرج والمرج، كما لا يخفى وقد سبق، والقياس على القاضي مع الفارق جداً، هذا</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8924656_1051229030"/>
      <w:bookmarkStart w:id="1004" w:name="_Toc367"/>
      <w:bookmarkEnd w:id="1003"/>
      <w:r>
        <w:rPr>
          <w:rtl w:val="true"/>
        </w:rPr>
        <w:t xml:space="preserve">مناقشة مع السيد الوالد </w:t>
      </w:r>
      <w:r>
        <w:rPr>
          <w:rtl w:val="true"/>
        </w:rPr>
        <w:t>(</w:t>
      </w:r>
      <w:r>
        <w:rPr>
          <w:rtl w:val="true"/>
        </w:rPr>
        <w:t>قدس سره</w:t>
      </w:r>
      <w:r>
        <w:rPr>
          <w:rtl w:val="true"/>
        </w:rPr>
        <w:t>)</w:t>
      </w:r>
      <w:bookmarkEnd w:id="1004"/>
    </w:p>
    <w:p>
      <w:pPr>
        <w:pStyle w:val="BookText"/>
        <w:rPr/>
      </w:pPr>
      <w:r>
        <w:rPr>
          <w:rFonts w:ascii="Amiri" w:hAnsi="Amiri" w:eastAsia="Amiri" w:cs="Amiri"/>
          <w:color w:val="111111"/>
          <w:sz w:val="28"/>
          <w:sz w:val="28"/>
          <w:szCs w:val="28"/>
          <w:rtl w:val="true"/>
          <w:lang w:bidi="ar-SA"/>
        </w:rPr>
        <w:t>وقال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المشورة في أمور الناس بعد مجيئه إلى الحكم، فلأن للحاكم بقدر تخويل الناس له الصلاحية، ففي غيره يحتاج إلى إذنهم، والحاصل أن ما كان من شأن الناس يحتاج إليها ابتداءً واستدامةً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مرجع التقليد منصوباً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فاتباعه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هذا المرجع دون ذاك بيد الناس، كاختيار إمام الجماعة والقاضي وما أشبه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مراجع اختارهم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 لتنفيذرأيه على مقلديه بالقسر، سواء القسر الظاهر أو المغلف، إذ انتخاب المقلدين له في هيئة للحكومة ليس معناه تخويلهم له الصلاحية المطلقة لتصرفه في أموالهم ودمائهم وأنفسهم، بل بقدر ما يرى المقلدون، فإذا رأى هو الحرب والمقلدون السلم فلا حق له في إدخال الناس في الحرب،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 على نفوذ رأيه إذا لم ير المقلدون أنه بحكمهم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بالمقلدين له أو بالمراجع الأكثرية، لأن دليل الشورى حاكم على دليل التقليد، وإلاّ لم يبق لدليل الشورى مجال، كما ذكروا في العناوين الثانوية الحاكمة على العناوين الأولية</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وقد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الأول جواب عن إشكال آخر، إذ الكلام عن نفوذ حكمه بعد ثبوت المنصب لا عن أصل ثبوت المنصب له حتى يقال بكونه بيد الناس، واشتراط ثبوته له برضاهم، فعلى تقدير تسليم الاشتراط لا يدل على عدم النفوذ بعد الانتخاب، إلا أن يتمم بما ذكرناه قبل 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يقال بأن المنصب والحكومة إن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يورد عليه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قد جعل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للشرائط ومنها انتخاب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له ما للحاكم من النفوذ حتى وإن عارضته الأكثرية، فأيّ منهم انتخبته الأمة كان له ما للحاكم بجعل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تحدثنا في موضع آخر</w:t>
      </w:r>
      <w:r>
        <w:rPr>
          <w:rStyle w:val="FootnoteAnchor"/>
          <w:rtl w:val="true"/>
        </w:rPr>
        <w:footnoteReference w:id="1443"/>
      </w:r>
      <w:r>
        <w:rPr>
          <w:rFonts w:ascii="Amiri" w:hAnsi="Amiri" w:eastAsia="Amiri" w:cs="Amiri"/>
          <w:color w:val="111111"/>
          <w:sz w:val="28"/>
          <w:sz w:val="28"/>
          <w:szCs w:val="28"/>
          <w:rtl w:val="true"/>
          <w:lang w:bidi="ar-SA"/>
        </w:rPr>
        <w:t>عن كون مقتضى جعله حاكماً تنزيله منزلة الحكام العرفيين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يناقش بأنه لا يعلم كون الحكام العرفيين كذلك</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الحكام أنواع والحكومات مختلفة، والعقلاء مختلفون ولا إجماع منهم، بل ولا أكثرية، على شرعية تقدم رأي الحاكم وإن اختلفت معه أكثرية أهل الحل والعقد، أو أهل الخبرة، أو الأمة في تشخيص الموضوع في الشأن العام، وكانوا قادرين علىردعه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ردع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قد يكون جري العرف العام على الخضوع للحاكم وإن اختلفوا معه، لكنه فعل والفعل لا جهة له، فلعله للخوف أو لعدم القدرة على الرفض والمعارضة أو غير ذلك، وليس لأنهم يرون شرعية حكمه ولزوم إطاعته، وعلى فرضه فقد يقال بانصراف روايات </w:t>
      </w:r>
    </w:p>
    <w:p>
      <w:pPr>
        <w:pStyle w:val="BookText"/>
        <w:rPr/>
      </w:pPr>
      <w:r>
        <w:rPr>
          <w:rFonts w:ascii="Amiri" w:hAnsi="Amiri" w:eastAsia="Amiri" w:cs="Amiri"/>
          <w:color w:val="111111"/>
          <w:sz w:val="28"/>
          <w:sz w:val="28"/>
          <w:szCs w:val="28"/>
          <w:rtl w:val="true"/>
          <w:lang w:bidi="ar-SA"/>
        </w:rPr>
        <w:t>جعل الولاية على فرض تماميتها، عن صورة تشخيص الأكثرية الموضوع على خلاف ما شخصه الولي،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انتخاب المقلدين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أن تكون الحكومة وكالةً أو جعالةً أو عقداً جديداً مشترطاً فيه ولو ارتكازاً كون الرأي للأمة عند التعارض دون العكس، حتى يكون للفقيه من الصلاحية بقدر ما أعطي، أما بناءً على كونها منصباً من قبل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في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وسلمه في الجواب حيث لم يرده وكما هو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فليس معطي الصلاحية هو الأمة حتى تتبع سعةً وضيفاً إرادتها، بل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يجاب بما ذكرناه قبل صفحتين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قد يكون المنصب ثابتاً مع كون نفوذ الحكم مشترطاً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مذيلاً بما ذكرناه قبل 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يقال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دليلاً على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مما ذكرناه في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نفوذ رأيه إذا لم ير المقلدون أنه حكمهم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ظن المقلد بأن هذا حكمهم وذاك ليس بحكمهم ليس بحجة في قبال ظن المجتهد، اللهم إلا أن يحصل لهم القطع وهو حجة ذاتاً، لكنه نادر، أو يكونوا من أهل الخبرة في الشؤون العامة فيكون ظنهم ظن الخبير وهو حجة، إذ مرجع البحث في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معاهدة 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أم لا، إلى أن فيه مصلحة الأمة أم لا، وظن الخبير في هذا حجة، فإذا توضح المقدم اتضح التالي</w:t>
      </w:r>
      <w:r>
        <w:rPr>
          <w:rStyle w:val="FootnoteAnchor"/>
          <w:rtl w:val="true"/>
        </w:rPr>
        <w:footnoteReference w:id="1445"/>
      </w:r>
      <w:r>
        <w:rPr>
          <w:rFonts w:ascii="Amiri" w:hAnsi="Amiri" w:eastAsia="Amiri" w:cs="Amiri"/>
          <w:color w:val="111111"/>
          <w:sz w:val="28"/>
          <w:sz w:val="28"/>
          <w:szCs w:val="28"/>
          <w:rtl w:val="true"/>
          <w:lang w:bidi="ar-SA"/>
        </w:rPr>
        <w:t xml:space="preserve">، وأن الحكم بإجراء المعاهدة مثلاً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مصلحة، أم لا إن لميكن</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ينقض</w:t>
      </w:r>
      <w:r>
        <w:rPr>
          <w:rStyle w:val="FootnoteAnchor"/>
          <w:rtl w:val="true"/>
        </w:rPr>
        <w:footnoteReference w:id="1446"/>
      </w:r>
      <w:r>
        <w:rPr>
          <w:rFonts w:ascii="Amiri" w:hAnsi="Amiri" w:eastAsia="Amiri" w:cs="Amiri"/>
          <w:color w:val="111111"/>
          <w:sz w:val="28"/>
          <w:sz w:val="28"/>
          <w:szCs w:val="28"/>
          <w:rtl w:val="true"/>
          <w:lang w:bidi="ar-SA"/>
        </w:rPr>
        <w:t xml:space="preserve">بالقاضي، حيث ينفذ حكمه في المتحاكمين مطلقاً، أي </w:t>
      </w:r>
    </w:p>
    <w:p>
      <w:pPr>
        <w:pStyle w:val="BookText"/>
        <w:rPr/>
      </w:pPr>
      <w:r>
        <w:rPr>
          <w:rFonts w:ascii="Amiri" w:hAnsi="Amiri" w:eastAsia="Amiri" w:cs="Amiri"/>
          <w:color w:val="111111"/>
          <w:sz w:val="28"/>
          <w:sz w:val="28"/>
          <w:szCs w:val="28"/>
          <w:rtl w:val="true"/>
          <w:lang w:bidi="ar-SA"/>
        </w:rPr>
        <w:t>وإن رأى المحكوم عليه خطأه، 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واللازم على المترافعين تنفيذ حكمه إلا في صورة القطع، وذلك لأنه يصدق أنه حكم بحكمهم وأن الراد عليهم كالراد عليهم، عليهم السلام</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يرد عليه نفس ما ذكره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نفوذ رأيه إذا لم ير المقلدون أن حكمهم عليهم السلام</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xml:space="preserve">، فما الفارق بين البابين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الشؤون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في كليهما لا يرى المقلد والمحكوم عليه أن هذا مما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حكمنا</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 xml:space="preserve">، وربما لأجل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ألحق باب الحكومة بباب القضاء في نفوذ حكم الحاكم فيه أيضاً، وإن لم يره المحكوم صحيحاً، استناداً إلى نفس هذه الرواية الشريفة</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وحدة الحكم في البابين، بناءً على فرض شمولها لهما، فإن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وإن لم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 على الشعب في باب الحكومة والدولة، وعلى المترافعين في باب القضاء التسليم، وإلاّ لم يجب في كلا البابين</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الالتزام بالنفوذ في باب القضاء بأدلة أخرى لا يمكن تعديتها للمقام، أو إذا أمكن فبتنقيح المناط الظني، ككونهموضوعاً لأجل فصل الخصومات، وأن فصلها موقوف على جعل حكم القاضي نافذاً مطلقاً حتى إن </w:t>
      </w:r>
    </w:p>
    <w:p>
      <w:pPr>
        <w:pStyle w:val="BookText"/>
        <w:rPr/>
      </w:pPr>
      <w:r>
        <w:rPr>
          <w:rFonts w:ascii="Amiri" w:hAnsi="Amiri" w:eastAsia="Amiri" w:cs="Amiri"/>
          <w:color w:val="111111"/>
          <w:sz w:val="28"/>
          <w:sz w:val="28"/>
          <w:szCs w:val="28"/>
          <w:rtl w:val="true"/>
          <w:lang w:bidi="ar-SA"/>
        </w:rPr>
        <w:t>رأى المحكوم عليه خطأه، عكس الشؤون العامة إذ أن فصلها لا يكون بجعل نفوذ حكم الحاكم مطلقاً حتى إن رأى أكثر الناس خطأه، بل جعله كذلك مستلزم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وكصحيحة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ممن عرف حلالنا وحرامنا، فإني قد جعلته قاضياً</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 مع تلك الضميمة</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يجاب عما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كون حكمه مستنداً للأدلة، رأى المقلد صدقه أم لا، في قبال ما لو كان مستنداً للأهواء، لا إلى كون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عند المقلد، أي 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فإذا حكم بما هو حكمنا عند المقلد والمحكوم عليه،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بحكمنا حسب ما استنبطه من الأدلة، ولذا 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حكم بحكمنا، الحكم الصادر عن الأدلة المستندة إليهم، لا معرفة أنه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الأسماء والعناوين موضوعة للمعنون الثبوتي، لا لما يرى ويعتقد أنه المعنون، بل الرؤية والاعتقاد كاشف، وحينئذٍ فلا يجب على المقلد القبول مع رؤيته عدم انطباق رأي الفقيه على المعنون الثبوتي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يرى رأيه المرآة للواقع لا رأي الفقيه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المقصود المقلد غير الخبير في الشؤون العامة، فظنه غير </w:t>
      </w:r>
    </w:p>
    <w:p>
      <w:pPr>
        <w:pStyle w:val="BookText"/>
        <w:rPr/>
      </w:pPr>
      <w:r>
        <w:rPr>
          <w:rFonts w:ascii="Amiri" w:hAnsi="Amiri" w:eastAsia="Amiri" w:cs="Amiri"/>
          <w:color w:val="111111"/>
          <w:sz w:val="28"/>
          <w:sz w:val="28"/>
          <w:szCs w:val="28"/>
          <w:rtl w:val="true"/>
          <w:lang w:bidi="ar-SA"/>
        </w:rPr>
        <w:t>معتبر عقلائياً ولا شرعياً، وإن كان المقصود المقلد الخبير بها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هذا الحديث وأشباهه في كونالكاشف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شرعاً هو نظر الفقيه، فتكون هذه الأحاديث مخصصة بل حاكمة على ما دل على أن رأي الخبير حجة، نعم يبقى أنه لا بد من لحاظ نسبتها مع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ادعاء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في الحكم المستند للأدلة عرفاً، كما في قول المولى لعبيده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 زيداً حاكماً عليكم فإذا حكم بحكمي فأطيعوه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استند زيد في معرفة حكمه إلى الطرق التي وضعها المولى لم يكن للعبيد الاعتذار عن عدم الاتباع بعدم معلومية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التفسير الآخر يستلزم تخصيص لزوم الاتباع بصورة علم المقلد أو قيام علمي لديه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خلاف المنساق من الحديث وإطلاقه، ومستلزم لتخصيص الكثير أو الأكثر، وخلاف مقتضى جعله حاكماً، إلاّ أن يجاب الأول بأنه لا يلزم تخصيص الأكثر إلاّ لو اشترطنا الموافقة، أما لو اشترطنا فقط صورة عدم قيام علمي للناس على الخلاف فلا، وأما جواب الأخير</w:t>
      </w:r>
      <w:r>
        <w:rPr>
          <w:rStyle w:val="FootnoteAnchor"/>
          <w:rtl w:val="true"/>
        </w:rPr>
        <w:footnoteReference w:id="1457"/>
      </w:r>
      <w:r>
        <w:rPr>
          <w:rFonts w:ascii="IRNazanin" w:hAnsi="IRNazanin" w:eastAsia="IRNazanin"/>
          <w:color w:val="111111"/>
          <w:sz w:val="28"/>
          <w:sz w:val="28"/>
          <w:szCs w:val="28"/>
          <w:rtl w:val="true"/>
          <w:lang w:bidi="fa-IR"/>
        </w:rPr>
        <w:t>فواضح، فتأمل</w:t>
      </w:r>
    </w:p>
    <w:p>
      <w:pPr>
        <w:pStyle w:val="BookText"/>
        <w:rPr/>
      </w:pPr>
      <w:r>
        <w:rPr>
          <w:rFonts w:ascii="Amiri" w:hAnsi="Amiri" w:eastAsia="Amiri" w:cs="Amiri"/>
          <w:color w:val="111111"/>
          <w:sz w:val="28"/>
          <w:sz w:val="28"/>
          <w:szCs w:val="28"/>
          <w:rtl w:val="true"/>
          <w:lang w:bidi="ar-SA"/>
        </w:rPr>
        <w:t>ثم إن عدم بقاء مجال لدليل الشورى أعم من الحكومة، إذ الأمر في المخصص أيضاً كذلك، وكذا الوارد، إلا أن يقصد بذلك الناظرية، فتدبر</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يورد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بكل موارد تخالف اجتهاد مجتهد مع حكم الحاكم الجامع للشرائط، أو مع حكم أكثرية شورى الفقهاء، إذ لا يرى هذا المجتهد ما حكم به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اللهم إلا أن يلتزم </w:t>
      </w:r>
    </w:p>
    <w:p>
      <w:pPr>
        <w:pStyle w:val="BookText"/>
        <w:rPr/>
      </w:pPr>
      <w:r>
        <w:rPr>
          <w:rFonts w:ascii="Amiri" w:hAnsi="Amiri" w:eastAsia="Amiri" w:cs="Amiri"/>
          <w:color w:val="111111"/>
          <w:sz w:val="28"/>
          <w:sz w:val="28"/>
          <w:szCs w:val="28"/>
          <w:rtl w:val="true"/>
          <w:lang w:bidi="ar-SA"/>
        </w:rPr>
        <w:t>في ثاني الموردين بل وأولهما أيضاً بعدم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القول بعدم النفوذ إلاّ إذا لزم الهرج والمرج واختلال النظام، أو ترتب محذور أهم،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أصل الإشكال بأن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يرجع إلى الحاكم الجامع للشرائط، المذكور بعضها في صدر الرواية وبعضها في أدلة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كالذكورة والعدالة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موافقة الأكثرية، حسب ما دل على ذلك مما ذكرناه بالتفصيل، فلا يلزم الالتزام بحكم من فقد أحدها، إضافة إلى الإشكال في أصل الاستدلال بالرواية على المقام لكونها في شؤون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الاستدلال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رأي الأكثرية فيما يتعلق بها على رأي الفقيه أو شورى الفقهاء؟</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العدم،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محكوماً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على أيدي العلماء بالله الأمناء على حلاله وحرامه</w:t>
      </w:r>
      <w:r>
        <w:rPr>
          <w:rFonts w:eastAsia="Amiri" w:cs="Amiri" w:ascii="Amiri" w:hAnsi="Amiri"/>
          <w:color w:val="111111"/>
          <w:sz w:val="28"/>
          <w:szCs w:val="28"/>
          <w:rtl w:val="true"/>
          <w:lang w:bidi="ar-SA"/>
        </w:rPr>
        <w:t xml:space="preserve">) </w:t>
      </w:r>
      <w:r>
        <w:rPr>
          <w:rStyle w:val="FootnoteAnchor"/>
          <w:rtl w:val="true"/>
        </w:rPr>
        <w:footnoteReference w:id="1461"/>
      </w:r>
      <w:r>
        <w:rPr>
          <w:rFonts w:ascii="IRNazanin" w:hAnsi="IRNazanin" w:eastAsia="IRNazanin"/>
          <w:color w:val="111111"/>
          <w:sz w:val="28"/>
          <w:sz w:val="28"/>
          <w:szCs w:val="28"/>
          <w:rtl w:val="true"/>
          <w:lang w:bidi="fa-IR"/>
        </w:rPr>
        <w:t>وشبهها</w:t>
      </w:r>
      <w:r>
        <w:rPr>
          <w:rFonts w:eastAsia="IRNazanin" w:cs="IRNazanin"/>
          <w:color w:val="111111"/>
          <w:sz w:val="28"/>
          <w:szCs w:val="28"/>
          <w:rtl w:val="true"/>
          <w:lang w:bidi="fa-IR"/>
        </w:rPr>
        <w:t xml:space="preserve">. </w:t>
      </w:r>
      <w:bookmarkStart w:id="1005" w:name="pg8204_101438"/>
    </w:p>
    <w:p>
      <w:pPr>
        <w:pStyle w:val="Heading4"/>
        <w:numPr>
          <w:ilvl w:val="3"/>
          <w:numId w:val="1"/>
        </w:numPr>
        <w:rPr/>
      </w:pPr>
      <w:bookmarkStart w:id="1006" w:name="__RefHeading___Toc8924658_1051229030"/>
      <w:bookmarkStart w:id="1007" w:name="_Toc368"/>
      <w:bookmarkEnd w:id="1005"/>
      <w:bookmarkEnd w:id="1006"/>
      <w:r>
        <w:rPr>
          <w:rtl w:val="true"/>
        </w:rPr>
        <w:t>مناقشة مع بعض الأعلام</w:t>
      </w:r>
      <w:r>
        <w:rPr>
          <w:rtl w:val="true"/>
        </w:rPr>
        <w:t>:</w:t>
      </w:r>
      <w:bookmarkEnd w:id="1007"/>
    </w:p>
    <w:p>
      <w:pPr>
        <w:pStyle w:val="Heading5"/>
        <w:numPr>
          <w:ilvl w:val="4"/>
          <w:numId w:val="1"/>
        </w:numPr>
        <w:rPr/>
      </w:pPr>
      <w:bookmarkStart w:id="1008" w:name="__RefHeading___Toc8924660_1051229030"/>
      <w:bookmarkStart w:id="1009" w:name="_Toc369"/>
      <w:bookmarkEnd w:id="1008"/>
      <w:r>
        <w:rPr>
          <w:rtl w:val="true"/>
        </w:rPr>
        <w:t>طبع ولاية الأمر يقتضي الإطاعة</w:t>
      </w:r>
      <w:bookmarkEnd w:id="1009"/>
    </w:p>
    <w:p>
      <w:pPr>
        <w:pStyle w:val="BookText"/>
        <w:rPr/>
      </w:pPr>
      <w:r>
        <w:rPr>
          <w:rFonts w:ascii="Amiri" w:hAnsi="Amiri" w:eastAsia="Amiri" w:cs="Amiri"/>
          <w:color w:val="111111"/>
          <w:sz w:val="28"/>
          <w:sz w:val="28"/>
          <w:szCs w:val="28"/>
          <w:rtl w:val="true"/>
          <w:lang w:bidi="ar-SA"/>
        </w:rPr>
        <w:t>وأما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أن الوجدان يلزمنا بإطاعة الإمام المنصوب يلزمنا بإطاعة الإمام المنتخب أيضاً، فإن طبع ولاية الأمر إذا كانت عن حق يقتضي الإطاعة، وإلا لما تم الأمر وحصل النظام والشرع أيضاً بإمضائه للانتخاب يلزمنا بالإطاعة</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فقد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بعدم ثبوت كونه ولاية للأمر، إذ قد يكون وكالة الأمر أو عقداً جديداً عليه، نعم مع تمامية أدلة ولاية الفقيه ربما يتم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وكبرىً أن جعل هذه الولاية لو كان بيد الأمة استقلالاً أو كانت فعليتها مشترطة بالانتخاب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مقتضى الانتخاب</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تابعاً سعةً وضيقاً لكيفية جعلها وحدوده كما سبق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سبق من أن الولاية أعم، كما في البكر الرشيدة، فليس طبع مطلق ولاية الأمر ما ذكر</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لما تم الأمر وحصل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ما سبق تفصيلاً</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الإمضاء فهو أعم، كما في إمضاء الشارع للوكالة، فهو تابع لكيفية الممضى ونوعه، فإن كان الانتخاب وكالة أو جعالة أوولاية مقيدة وقد أمضاه الشارع كذلك فلا تلزم الإطاعة، وإن كان ولاية مطلقة لمن جمع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لمن جمعوا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وإن كان عقداً جديداً فعلى حسب ما تعوقد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إيكال الأمر إلى الغير قد يكون بالإذن له فقط، وقد يكون بالاستنابة بأن يكون النائب وجوداً تنزيلياً للمنوب عنه، وكان العمل عمل المنوب عنه، وقد يكون بإحداث الولاية والسلطة المستقلة للغير مع قبوله، والأول ليس عقداً، والثاني عقد جائز على ما ادعوه من الإجماع، وأما الثالث فلا دليل على جوازه</w:t>
      </w:r>
      <w:r>
        <w:rPr>
          <w:rStyle w:val="FootnoteAnchor"/>
          <w:rtl w:val="true"/>
        </w:rPr>
        <w:footnoteReference w:id="1465"/>
      </w:r>
      <w:r>
        <w:rPr>
          <w:rFonts w:ascii="Amiri" w:hAnsi="Amiri" w:eastAsia="Amiri" w:cs="Amiri"/>
          <w:color w:val="111111"/>
          <w:sz w:val="28"/>
          <w:sz w:val="28"/>
          <w:szCs w:val="28"/>
          <w:rtl w:val="true"/>
          <w:lang w:bidi="ar-SA"/>
        </w:rPr>
        <w:t>، بل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يقتضي لزومه</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دليل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الجواز مقابل الحرمة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الأشياء والأفعال الإباحة، والحرمة هي المحتاجة للدليل، ثم إن الدليل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الجواز مقابل اللزوم،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إيجاد السلطة للغير على النفس إن أمكنت وصحت شرعاً كان نوعها على حسب ما أوجده، فإن أوجدها لازمةً لزمت، أو جائزةً جازت،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حسب ما وقعت عليه، فإن وقعت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الوفاء به </w:t>
      </w:r>
    </w:p>
    <w:p>
      <w:pPr>
        <w:pStyle w:val="BookText"/>
        <w:rPr/>
      </w:pPr>
      <w:r>
        <w:rPr>
          <w:rFonts w:ascii="Amiri" w:hAnsi="Amiri" w:eastAsia="Amiri" w:cs="Amiri"/>
          <w:color w:val="111111"/>
          <w:sz w:val="28"/>
          <w:sz w:val="28"/>
          <w:szCs w:val="28"/>
          <w:rtl w:val="true"/>
          <w:lang w:bidi="ar-SA"/>
        </w:rPr>
        <w:t>بحسبه، فلا يصح الاستدلال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العقد في حد ذاته لازماً أو جائزاً، نعم لو قيل بانصراف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 العهد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اللازمة وجبت، لكنه يكون من التمسك بالعام في الشبهة المصداقية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وسيرة العقلاء أيضاً استقرت على ترتيب آثار اللزوم عليها بحيث يذمون الناقض لها</w:t>
      </w:r>
      <w:r>
        <w:rPr>
          <w:rFonts w:eastAsia="Amiri" w:cs="Amiri" w:ascii="Amiri" w:hAnsi="Amiri"/>
          <w:color w:val="111111"/>
          <w:sz w:val="28"/>
          <w:szCs w:val="28"/>
          <w:rtl w:val="true"/>
          <w:lang w:bidi="ar-SA"/>
        </w:rPr>
        <w:t>).</w:t>
      </w:r>
      <w:r>
        <w:rPr>
          <w:rStyle w:val="FootnoteAnchor"/>
          <w:rtl w:val="true"/>
        </w:rPr>
        <w:footnoteReference w:id="1470"/>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غير ثابتة في حالة مخالفة حكم الحاكم، لما يرونه الصالح مع قدرتهم على النقض، بل هم يذمون حينئذٍ الموافق، والسيرة الموجودة إنما هي حالة عدم القدرة على التخلف أو ترتب محذور أهم عليه، وهي غير مفيدة كما لا يخفى، وعلى الأقل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المتيقن منها هو ذلك فقط</w:t>
      </w:r>
      <w:r>
        <w:rPr>
          <w:rFonts w:eastAsia="Amiri" w:cs="Amiri" w:ascii="Amiri" w:hAnsi="Amiri"/>
          <w:color w:val="111111"/>
          <w:sz w:val="28"/>
          <w:szCs w:val="28"/>
          <w:rtl w:val="true"/>
          <w:lang w:bidi="ar-SA"/>
        </w:rPr>
        <w:t xml:space="preserve">. </w:t>
      </w:r>
      <w:bookmarkStart w:id="1010" w:name="pg8204_101441"/>
    </w:p>
    <w:p>
      <w:pPr>
        <w:pStyle w:val="Heading3"/>
        <w:numPr>
          <w:ilvl w:val="2"/>
          <w:numId w:val="1"/>
        </w:numPr>
        <w:rPr/>
      </w:pPr>
      <w:bookmarkStart w:id="1011" w:name="__RefHeading___Toc8924662_1051229030"/>
      <w:bookmarkStart w:id="1012" w:name="_Toc370"/>
      <w:bookmarkEnd w:id="1010"/>
      <w:bookmarkEnd w:id="1011"/>
      <w:r>
        <w:rPr>
          <w:rtl w:val="true"/>
        </w:rPr>
        <w:t>الفصل الخامس</w:t>
      </w:r>
      <w:r>
        <w:rPr>
          <w:rtl w:val="true"/>
        </w:rPr>
        <w:t xml:space="preserve">: </w:t>
      </w:r>
      <w:r>
        <w:rPr>
          <w:rtl w:val="true"/>
        </w:rPr>
        <w:t>في عزل الأمة للحاكم أو انعزاله بفقد الشرائط قهراً وفروع أخرى</w:t>
      </w:r>
      <w:bookmarkEnd w:id="1012"/>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3" w:name="__RefHeading___Toc8924664_1051229030"/>
      <w:bookmarkStart w:id="1014" w:name="_Toc371"/>
      <w:bookmarkEnd w:id="1013"/>
      <w:r>
        <w:rPr>
          <w:rtl w:val="true"/>
        </w:rPr>
        <w:t>اشارة</w:t>
      </w:r>
      <w:bookmarkEnd w:id="1014"/>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5" w:name="pg8204_101443"/>
      <w:bookmarkStart w:id="1016" w:name="pg8204_101443"/>
      <w:bookmarkEnd w:id="1016"/>
    </w:p>
    <w:p>
      <w:pPr>
        <w:pStyle w:val="Heading4"/>
        <w:numPr>
          <w:ilvl w:val="3"/>
          <w:numId w:val="1"/>
        </w:numPr>
        <w:rPr/>
      </w:pPr>
      <w:bookmarkStart w:id="1017" w:name="pg8204_101443"/>
      <w:bookmarkStart w:id="1018" w:name="__RefHeading___Toc8924666_1051229030"/>
      <w:bookmarkStart w:id="1019" w:name="_Toc372"/>
      <w:bookmarkEnd w:id="1017"/>
      <w:bookmarkEnd w:id="1018"/>
      <w:r>
        <w:rPr>
          <w:rtl w:val="true"/>
        </w:rPr>
        <w:t>عزل الحاكم وانعزاله القهري</w:t>
      </w:r>
      <w:bookmarkEnd w:id="1019"/>
    </w:p>
    <w:p>
      <w:pPr>
        <w:pStyle w:val="Heading5"/>
        <w:numPr>
          <w:ilvl w:val="4"/>
          <w:numId w:val="1"/>
        </w:numPr>
        <w:rPr/>
      </w:pPr>
      <w:bookmarkStart w:id="1020" w:name="__RefHeading___Toc8924668_1051229030"/>
      <w:bookmarkStart w:id="1021" w:name="_Toc373"/>
      <w:bookmarkEnd w:id="1020"/>
      <w:r>
        <w:rPr>
          <w:rtl w:val="true"/>
        </w:rPr>
        <w:t>اشارة</w:t>
      </w:r>
      <w:bookmarkEnd w:id="1021"/>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عزل الحاكم أو شورى الفقهاء الحاكمين عن الحكومة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ينعزل الحاكم بفقدانه للشرائط قهراً؟</w:t>
      </w:r>
    </w:p>
    <w:p>
      <w:pPr>
        <w:pStyle w:val="Heading5"/>
        <w:numPr>
          <w:ilvl w:val="4"/>
          <w:numId w:val="1"/>
        </w:numPr>
        <w:rPr/>
      </w:pPr>
      <w:bookmarkStart w:id="1022" w:name="__RefHeading___Toc8924670_1051229030"/>
      <w:bookmarkStart w:id="1023" w:name="_Toc374"/>
      <w:bookmarkEnd w:id="1022"/>
      <w:r>
        <w:rPr>
          <w:rtl w:val="true"/>
        </w:rPr>
        <w:t>المسألة الأولى</w:t>
      </w:r>
      <w:r>
        <w:rPr>
          <w:rtl w:val="true"/>
        </w:rPr>
        <w:t>:</w:t>
      </w:r>
      <w:bookmarkEnd w:id="1023"/>
    </w:p>
    <w:p>
      <w:pPr>
        <w:pStyle w:val="Heading6"/>
        <w:numPr>
          <w:ilvl w:val="5"/>
          <w:numId w:val="1"/>
        </w:numPr>
        <w:rPr/>
      </w:pPr>
      <w:bookmarkStart w:id="1024" w:name="__RefHeading___Toc8924672_1051229030"/>
      <w:bookmarkStart w:id="1025" w:name="_Toc375"/>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هل للأمة عزل الفقيه الحاكم أو شورى الفقهاء؟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رأيان في هذه المسألة</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8924674_1051229030"/>
      <w:bookmarkStart w:id="1027" w:name="_Toc376"/>
      <w:bookmarkEnd w:id="1026"/>
      <w:r>
        <w:rPr>
          <w:rtl w:val="true"/>
        </w:rPr>
        <w:t>أدلة القول بأنه لا يحق للأمة عزل الفقيه أو شورى الفقهاء</w:t>
      </w:r>
      <w:bookmarkEnd w:id="1027"/>
    </w:p>
    <w:p>
      <w:pPr>
        <w:pStyle w:val="BookText"/>
        <w:rPr/>
      </w:pPr>
      <w:r>
        <w:rPr>
          <w:rFonts w:ascii="Amiri" w:hAnsi="Amiri" w:eastAsia="Amiri" w:cs="Amiri"/>
          <w:color w:val="111111"/>
          <w:sz w:val="28"/>
          <w:sz w:val="28"/>
          <w:szCs w:val="28"/>
          <w:rtl w:val="true"/>
          <w:lang w:bidi="ar-SA"/>
        </w:rPr>
        <w:t>قد يقال بالعدم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لئن كانت الإمامة لا تنعقد حتى تحضرها عامة الناس فما إلى ذلك سبيل، ولكن أهلها يحكمون على من غاب، ثم ليس للشاهد أن يرجع ولا للغائب أن يختار</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حقي عليكم 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w:t>
      </w:r>
      <w:r>
        <w:rPr>
          <w:rStyle w:val="FootnoteAnchor"/>
          <w:rtl w:val="true"/>
        </w:rPr>
        <w:footnoteReference w:id="1472"/>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فارق جماعة المسلمين ونكث </w:t>
      </w:r>
      <w:bookmarkStart w:id="1028" w:name="pg8204_101444"/>
    </w:p>
    <w:p>
      <w:pPr>
        <w:pStyle w:val="BookText"/>
        <w:rPr/>
      </w:pPr>
      <w:bookmarkEnd w:id="1028"/>
      <w:r>
        <w:rPr>
          <w:rFonts w:ascii="Amiri" w:hAnsi="Amiri" w:eastAsia="Amiri" w:cs="Amiri"/>
          <w:color w:val="111111"/>
          <w:sz w:val="28"/>
          <w:sz w:val="28"/>
          <w:szCs w:val="28"/>
          <w:rtl w:val="true"/>
          <w:lang w:bidi="ar-SA"/>
        </w:rPr>
        <w:t>صفقة الإمام جاء إلى الله أجذم</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وللزوم الهرج والمرج لو كان نصب الحاكم وعزله بيد الأمة، ولكون الفقيه منصوباً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روايات عديدة، والعزل بيد من بيده النصب</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8924676_1051229030"/>
      <w:bookmarkStart w:id="1030" w:name="_Toc377"/>
      <w:bookmarkEnd w:id="1029"/>
      <w:r>
        <w:rPr>
          <w:rtl w:val="true"/>
        </w:rPr>
        <w:t xml:space="preserve">المناقشات </w:t>
      </w:r>
      <w:r>
        <w:rPr>
          <w:rtl w:val="true"/>
        </w:rPr>
        <w:t>:</w:t>
      </w:r>
      <w:bookmarkEnd w:id="1030"/>
    </w:p>
    <w:p>
      <w:pPr>
        <w:pStyle w:val="BookText"/>
        <w:rPr/>
      </w:pPr>
      <w:r>
        <w:rPr>
          <w:rFonts w:ascii="Amiri" w:hAnsi="Amiri" w:eastAsia="Amiri" w:cs="Amiri"/>
          <w:color w:val="111111"/>
          <w:sz w:val="28"/>
          <w:sz w:val="28"/>
          <w:szCs w:val="28"/>
          <w:rtl w:val="true"/>
          <w:lang w:bidi="ar-SA"/>
        </w:rPr>
        <w:t>وقد يورد على الاستدلال بالرواية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ضعف السند على بعض المباني، بأن عدم الرجوع كان شرطاً ارتكازياً في ضمن عقد البيعة، إذ كان مبنى البيعة على ثبوتها مدة الحياة ما دام قائماً بشرائط الإمامة، فلا يدل على عدم جواز الرجوع لو لم يشترط ذلك، أو اشترط صحة الرجوع، كما هو الشرط الارتكازي في انتخابات عالم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ليس للشاهد أن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ليس لأكثرية أهلها أن يرجعوا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يدل نفي ذاك على نفي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إذ ليس للشاهد أن يرجع سواء كان من أهل الحل والعقد، أم لا، وسواء انضم إليه أكثرية أهلها أم لا، اللهم إلاّ إذا ثبت وجود مقيد لهذا الإطلاق، فليس للشاهد أن يرجع إلاّ إذا انضم إليه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ليست في مقام البيان من جهة رجوع أكثرية أهل الحل والعقد وعدمه، بل ظاهرها مخالفة الأفراد بعد اجتماع أهل الحل والعقد</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جدلي، أي مبني على إلزام </w:t>
      </w:r>
    </w:p>
    <w:p>
      <w:pPr>
        <w:pStyle w:val="BookText"/>
        <w:rPr/>
      </w:pPr>
      <w:r>
        <w:rPr>
          <w:rFonts w:ascii="Amiri" w:hAnsi="Amiri" w:eastAsia="Amiri" w:cs="Amiri"/>
          <w:color w:val="111111"/>
          <w:sz w:val="28"/>
          <w:sz w:val="28"/>
          <w:szCs w:val="28"/>
          <w:rtl w:val="true"/>
          <w:lang w:bidi="ar-SA"/>
        </w:rPr>
        <w:t xml:space="preserve">القوم بما التزموا به؛ وذلك لوضوح أن الإمامة عندنا بنصب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وإرادة الحكومةوالسلطة الزمنية من الإمامة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الإمامة من باب الإلزام لا غير، لوضوح أنه يرى الإمامة بالنص الإلهي الصريح،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مبناكم فالأمر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فقد يورد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سبق</w:t>
      </w:r>
      <w:r>
        <w:rPr>
          <w:rStyle w:val="FootnoteAnchor"/>
          <w:rtl w:val="true"/>
        </w:rPr>
        <w:footnoteReference w:id="1474"/>
      </w:r>
      <w:r>
        <w:rPr>
          <w:rFonts w:ascii="Amiri" w:hAnsi="Amiri" w:eastAsia="Amiri" w:cs="Amiri"/>
          <w:color w:val="111111"/>
          <w:sz w:val="28"/>
          <w:sz w:val="28"/>
          <w:szCs w:val="28"/>
          <w:rtl w:val="true"/>
          <w:lang w:bidi="ar-SA"/>
        </w:rPr>
        <w:t xml:space="preserve">، بأن الاستدلال بها يتوقف على إثبات كون الوفاء بالبيعة حقاً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حاكم، وأنّ كونه حاكماً هو تمام الملاك حتى يكون الوفاء بالبيعة حقاً لكل حاكم بما هو حاكم لا بما هو إمام منصوب معصوم، لكنه لا يعدو كونه تنقيح مناط، لأن نص كلام الإمام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حقي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فتعدية هذا الحق إلى غيره مبني على تنقيح مناطه، وأن هذا الحق كان له بما هو حاكم لا بما هو إمام، ولا دليل عليه، بل الثابت أن هذا الحق كان له بما هو إمام حينئذٍ، ولا دليل على الأكثر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إضافة إلى أنه بمادته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الابتناء على حسب ما تعوقد عليه، فإنه لو فرض أنهم بايعوا على شرط كذا أو إلى زمن كذا، فما دام الشرط والزمن فيصدق الوفاء والنقض، وأما خارجهما فلا يصدق الوفاء على الاستمرار، ولا النقض على عدمه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الثالثة فيرد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إرادة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الإمام المعهود، بل يكفي احتماله فيكون الإمام مجملاً مردداً بين الأخص والأعم، والأخص متيقن فيؤخذ به فقط، إضافة إلى ظهور كون الناكث مخالفاً لأكثرية المسلمين وجماعتهم،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ونكث صفقة الإمام</w:t>
      </w:r>
      <w:r>
        <w:rPr>
          <w:rFonts w:eastAsia="Amiri" w:cs="Amiri" w:ascii="Amiri" w:hAnsi="Amiri"/>
          <w:color w:val="111111"/>
          <w:sz w:val="28"/>
          <w:szCs w:val="28"/>
          <w:rtl w:val="true"/>
          <w:lang w:bidi="ar-SA"/>
        </w:rPr>
        <w:t xml:space="preserve">) </w:t>
      </w:r>
      <w:bookmarkStart w:id="1031" w:name="pg8204_101446"/>
    </w:p>
    <w:p>
      <w:pPr>
        <w:pStyle w:val="BookText"/>
        <w:rPr/>
      </w:pPr>
      <w:bookmarkEnd w:id="1031"/>
      <w:r>
        <w:rPr>
          <w:rFonts w:ascii="Amiri" w:hAnsi="Amiri" w:eastAsia="Amiri" w:cs="Amiri"/>
          <w:color w:val="111111"/>
          <w:sz w:val="28"/>
          <w:sz w:val="28"/>
          <w:szCs w:val="28"/>
          <w:rtl w:val="true"/>
          <w:lang w:bidi="ar-SA"/>
        </w:rPr>
        <w:t>عطفاً تفسيرياً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جماعة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من عطف الخاص على العام أو أنه متفرع عليه، دون ما لو كان موافقاً لها</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8924678_1051229030"/>
      <w:bookmarkStart w:id="1033" w:name="_Toc378"/>
      <w:bookmarkEnd w:id="1032"/>
      <w:r>
        <w:rPr>
          <w:rtl w:val="true"/>
        </w:rPr>
        <w:t>أدلة القول بأن للأمة حق عزل الفقيه الحاكم</w:t>
      </w:r>
      <w:bookmarkEnd w:id="1033"/>
    </w:p>
    <w:p>
      <w:pPr>
        <w:pStyle w:val="BookText"/>
        <w:rPr/>
      </w:pPr>
      <w:r>
        <w:rPr>
          <w:rFonts w:ascii="Amiri" w:hAnsi="Amiri" w:eastAsia="Amiri" w:cs="Amiri"/>
          <w:color w:val="111111"/>
          <w:sz w:val="28"/>
          <w:sz w:val="28"/>
          <w:szCs w:val="28"/>
          <w:rtl w:val="true"/>
          <w:lang w:bidi="ar-SA"/>
        </w:rPr>
        <w:t>وقد يلتزم بأن للأُمة ذلك استناداً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 حيث يشمل بإطلاقه أمر الحكم، فيكون نصب الحاكم كعزله مما تدخله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 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لا تدل على الشورى في تعيين الحاكم، بل على الشورى على نفس الحاكم، فمن أين وجوب الشورى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تدل بالملاك الأولوي على الشورى في تعيين الحاكم بعد أن لم يكن المنصوب عن الله حاضراً، كما في الحال الحاضر حيث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وجوب الشورى في الأمور العامة وعدم وجوبها في تعيين القيادة التي هي الأصل، والأولوية بعد وضوحها عرفاً وهم الملقى إليهم الكلام</w:t>
      </w:r>
      <w:r>
        <w:rPr>
          <w:rFonts w:eastAsia="Amiri" w:cs="Amiri" w:ascii="Amiri" w:hAnsi="Amiri"/>
          <w:color w:val="111111"/>
          <w:sz w:val="28"/>
          <w:szCs w:val="28"/>
          <w:rtl w:val="true"/>
          <w:lang w:bidi="ar-SA"/>
        </w:rPr>
        <w:t>...).</w:t>
      </w:r>
      <w:r>
        <w:rPr>
          <w:rStyle w:val="FootnoteAnchor"/>
          <w:rtl w:val="true"/>
        </w:rPr>
        <w:footnoteReference w:id="1477"/>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متوقف إما على كون الاستشارة بمعنى الشورى، أو على استلزامها للشورى والحكم حسب الأكثرية، وقد جرى تفصيل الكلام عن ذلك لدى الحديث عن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الروايات السابقة إن تمت سنداً ودلالةً كانت مخصصة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478"/>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الشؤون العامة وهي كثيرة، ومنها نصب الحاكم وكذا عزله، والروايات السابقة مختصة بالعزل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يستند إلى قاعدة السلطنة أيضاً، إذ الحكومة تصرف في أموال الناس وأنفسهم وحقوقهم، فليس للحاكم أن يحكم إلاّ ما دام الرضا والإذن موجوداً، ولا يخفى كونها محكومة للروايات السابقة على فرض تماميتها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يدعى التلازم بين كون حدوث الحكومة بالانتخاب وكون بقائها كذلك، والأصح ابتناء ذلك على نوع العقد وكيفية التعاقدوالشروط المصرح بها أو الضمنية التي بني عليها الانتخاب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يستند إلى وحدة الملاك بين باب الحكومة وباب القضاء، حيث للرجل أن يرجع في مجموعة من قضاياه إلى قاضٍ معين، ثم يعدل عنه في قضاياه اللاحقة إلى قاض آخر، بل قد يقال بأن لسان البابين واحد، لوحدة اللسان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في مقبولة عمر بن حنظلة،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w:t>
      </w:r>
      <w:r>
        <w:rPr>
          <w:rStyle w:val="FootnoteAnchor"/>
          <w:rtl w:val="true"/>
        </w:rPr>
        <w:footnoteReference w:id="1480"/>
      </w:r>
      <w:r>
        <w:rPr>
          <w:rFonts w:ascii="Amiri" w:hAnsi="Amiri" w:eastAsia="Amiri" w:cs="Amiri"/>
          <w:color w:val="111111"/>
          <w:sz w:val="28"/>
          <w:sz w:val="28"/>
          <w:szCs w:val="28"/>
          <w:rtl w:val="true"/>
          <w:lang w:bidi="ar-SA"/>
        </w:rPr>
        <w:t>في مشهورة أبي خديجة،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مقتضى نصب مجموعة يجب الرجوع إلى أحدهم على سبيل البدل، أو إلى المتعدد منهم ممن تصدق عليه الشورى على سبيل البدل أيضاً، إذ يكون المكلف حينئذٍ بالخيار في الرجوع إلى أي واحدٍ أو أية مجموعة كانت، وكما أن التخيير ابتدائي كذلك هو استمراري على ما بحث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التخيير 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وأما ما ذكر من الوجه للتعيين فقد سبق رده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لأجل ما ذكر جميعاً أو بعضاً، 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مدة بقاء </w:t>
      </w:r>
    </w:p>
    <w:p>
      <w:pPr>
        <w:pStyle w:val="BookText"/>
        <w:rPr/>
      </w:pPr>
      <w:r>
        <w:rPr>
          <w:rFonts w:ascii="Amiri" w:hAnsi="Amiri" w:eastAsia="Amiri" w:cs="Amiri"/>
          <w:color w:val="111111"/>
          <w:sz w:val="28"/>
          <w:sz w:val="28"/>
          <w:szCs w:val="28"/>
          <w:rtl w:val="true"/>
          <w:lang w:bidi="ar-SA"/>
        </w:rPr>
        <w:t>الرئيس في منصبه وسائر الخصوصيات فترجع إلى رضاية الأمة، كما أن الرئيس يعزل بمجرد خروجه عن الأهلية، كما ذكروه في باب التقليد، كذلك بانتهاء مدته لفقده حينئذٍ شرط رضاية الأمة</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المبحث كله مبني على المبنى المختار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الحكومة إن كانت وكالة انعزل الحاكم بعزل الأمة كما لا يخفى، وأولى منه لو كانت إذناً، ولو كان جعالة فعلى حسبها، وإن كانت عقداً مستأنفاً كان إمكان عزله وعدمه تابعاً لما بني عليه العقد من الشرط، وإن كانت منصباً كان الأمر للأمة أيضاً، بناءً على جعل هذا المنصب لمتعدد اقتضاءً قد وجب على الأمة الرجوع إلى أحدهم على سبيل البدل فبه كانت فعليته، كما في القاضي، وقد فصلنا الكلام عنه في فصل آخر</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مما يبعد كون الحكومة وكالة عدم نفوذ حكم الوكيل علىالموكل أو على أحد الموكلين إلاّ برضاهم، بينما تنفذ حكومة الحاكم على المحكومين في بعض الأمور وإن لم يرضوا،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لهم عزله حينئذٍ ولكن ضمن ضوابط أيضاً، كما في بعض دول عالم اليوم حيث للرئيس حق النقض لأحكام مجلس الأمة أو البرلمان وإن انعقدت عليه الأكثرية ما لم تبلغ حداً معيناً أو مطلقاً، كما لهم عزله وفق ضوابط، لكنه مادام غير معزول فحكمه في عدد من القضايا نافذ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من المبعِّدات أنه لا تنفذ أحكام الوكيل على أحد موكليه وإن وافقته أكثرية الموكلين بينما تنفذ أحكام منتخب الأكثرية على الأقلية أيضاً، وقد بحثنا ذلك وغيره في موضع آخر</w:t>
      </w:r>
      <w:r>
        <w:rPr>
          <w:rFonts w:eastAsia="Amiri" w:cs="Amiri" w:ascii="Amiri" w:hAnsi="Amiri"/>
          <w:color w:val="111111"/>
          <w:sz w:val="28"/>
          <w:szCs w:val="28"/>
          <w:rtl w:val="true"/>
          <w:lang w:bidi="ar-SA"/>
        </w:rPr>
        <w:t xml:space="preserve">. </w:t>
      </w:r>
      <w:bookmarkStart w:id="1034" w:name="pg8204_101449"/>
    </w:p>
    <w:p>
      <w:pPr>
        <w:pStyle w:val="Heading5"/>
        <w:numPr>
          <w:ilvl w:val="4"/>
          <w:numId w:val="1"/>
        </w:numPr>
        <w:rPr/>
      </w:pPr>
      <w:bookmarkStart w:id="1035" w:name="__RefHeading___Toc8924680_1051229030"/>
      <w:bookmarkStart w:id="1036" w:name="_Toc379"/>
      <w:bookmarkEnd w:id="1034"/>
      <w:bookmarkEnd w:id="1035"/>
      <w:r>
        <w:rPr>
          <w:rtl w:val="true"/>
        </w:rPr>
        <w:t>المسألة الثانية</w:t>
      </w:r>
      <w:r>
        <w:rPr>
          <w:rtl w:val="true"/>
        </w:rPr>
        <w:t xml:space="preserve">: </w:t>
      </w:r>
      <w:r>
        <w:rPr>
          <w:rtl w:val="true"/>
        </w:rPr>
        <w:t>انعزال الفقيه الحاكم بفقده لبعض الشرائط</w:t>
      </w:r>
      <w:bookmarkEnd w:id="1036"/>
    </w:p>
    <w:p>
      <w:pPr>
        <w:pStyle w:val="BookText"/>
        <w:rPr/>
      </w:pPr>
      <w:r>
        <w:rPr>
          <w:rFonts w:ascii="Amiri" w:hAnsi="Amiri" w:eastAsia="Amiri" w:cs="Amiri"/>
          <w:color w:val="111111"/>
          <w:sz w:val="28"/>
          <w:sz w:val="28"/>
          <w:szCs w:val="28"/>
          <w:rtl w:val="true"/>
          <w:lang w:bidi="ar-SA"/>
        </w:rPr>
        <w:t>إذا فقد الحاكم أو شورى الحكام الشرائط المعتبرة في الحاكم، كالعدالة والأمانة</w:t>
      </w:r>
      <w:r>
        <w:rPr>
          <w:rStyle w:val="FootnoteAnchor"/>
          <w:rtl w:val="true"/>
        </w:rPr>
        <w:footnoteReference w:id="1482"/>
      </w:r>
      <w:r>
        <w:rPr>
          <w:rFonts w:ascii="Amiri" w:hAnsi="Amiri" w:eastAsia="Amiri" w:cs="Amiri"/>
          <w:color w:val="111111"/>
          <w:sz w:val="28"/>
          <w:sz w:val="28"/>
          <w:szCs w:val="28"/>
          <w:rtl w:val="true"/>
          <w:lang w:bidi="ar-SA"/>
        </w:rPr>
        <w:t>، والاجتهاد بناءً على اشتراطه، أو فقد رضا الناس بناءً على اشتراطه أيضاً، فإنه سينعزل قهراً، ويدل عليه إضافة إلى الأولوية القطعية من باب الإفتاء والقضاء، العديد من الروايات</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مشهورة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إذا وقعت بينكم خصومة أو تداري بينكم في شيء من الأخذ والعطاء أن تتحاكموا إلى أحد من هؤلاء الفساق</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 إذ لا فرق بين كونه فاسقاً أو صيرورته كذلك، لصدق التحاكم إلى الفاسق عند الرجوع في قضية مستأنفة إلى من صار فاسقاً وإن كان عادلاً قبل ذلك، ولصدق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إذا تحوّل ظالماً، فيشمله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أن يخاصم بعضكم بعضاً إلى السطان الجائر</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 وذلك لبداهة أن صحة التحاكم وجوازه متفرع على كونه ذا ولاية أو ذا صلاحية للقضاء أو للحكومة شرعاً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بينكم رجلاً من قد عرف حلالنا </w:t>
      </w:r>
    </w:p>
    <w:p>
      <w:pPr>
        <w:pStyle w:val="BookText"/>
        <w:rPr/>
      </w:pPr>
      <w:r>
        <w:rPr>
          <w:rFonts w:ascii="Amiri" w:hAnsi="Amiri" w:eastAsia="Amiri" w:cs="Amiri"/>
          <w:color w:val="111111"/>
          <w:sz w:val="28"/>
          <w:sz w:val="28"/>
          <w:szCs w:val="28"/>
          <w:rtl w:val="true"/>
          <w:lang w:bidi="ar-SA"/>
        </w:rPr>
        <w:t>وحرامنا فإني قد جعلته عليكم قاضياً وإياكم</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 حيث إنمن لم يعرف الحلال والحرام أو كان فاسقاً غير مجعول حدوثاً واستمراراً، ويرد عليه أن الرواية مختصة بباب القضاء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يؤخذ سحتاً وإن كان حقاً ثابتاً له، لأنه أخذه بحكم الطاغوت وقد أمر الله أن يكفر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صريحة في الحكم التكليفي، والاستدلال بهذه الرواية كسابقها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الشائع الصناعي على من تلبس به بالفعل وإن كان في الماضي عادلاً، ولصدق الجاهل بالفعل على من كان قد عرف 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نسيها بعد ذلك</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xml:space="preserve">، وهذا هو الأصل، وحيث إن الحكومة لنبي أو وصيه فله أن يعين غيره نائباً عنه، ولكنه يحتاج إلى دليل، فإذا وجد دلّ على الولاية له بحسب الحدود التي قررها النبي أو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مجاري الأمور والأحكام على أيدي العلماء بالله الأمناء على حلاله وحرامه</w:t>
      </w:r>
      <w:r>
        <w:rPr>
          <w:rFonts w:eastAsia="Amiri" w:cs="Amiri" w:ascii="Amiri" w:hAnsi="Amiri"/>
          <w:color w:val="111111"/>
          <w:sz w:val="28"/>
          <w:szCs w:val="28"/>
          <w:rtl w:val="true"/>
          <w:lang w:bidi="ar-SA"/>
        </w:rPr>
        <w:t>).</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وقول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حضور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الخليفة من سار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وليسالخليفة من سار بالجور</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هذه الرواية وما سبقها وما سيأتي بين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فلعمري ما الإمام إلا الحاكم بالكتاب القائم بالقسط الدائن بدين الحق الحابس نفسه على ذات الله</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 كل رعية في الإسلام دانت بولاية إمام جائر ظالم ليس من الله، وإن كانت الرعية عند الله بارة تقية، ولأعفون عن كل رعية في الإسلام دانت بولاية كل إمام عادل من الله، وإن كانت الرعية في أعمالها ظالمة مسيئة</w:t>
      </w:r>
      <w:r>
        <w:rPr>
          <w:rFonts w:eastAsia="Amiri" w:cs="Amiri" w:ascii="Amiri" w:hAnsi="Amiri"/>
          <w:color w:val="111111"/>
          <w:sz w:val="28"/>
          <w:szCs w:val="28"/>
          <w:rtl w:val="true"/>
          <w:lang w:bidi="ar-SA"/>
        </w:rPr>
        <w:t>).</w:t>
      </w:r>
      <w:r>
        <w:rPr>
          <w:rStyle w:val="FootnoteAnchor"/>
          <w:rtl w:val="true"/>
        </w:rPr>
        <w:footnoteReference w:id="1493"/>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أهل العدل الذين أمر الله بولايتهم وتوليتهم وقبولها والعمل لها فرض من الله عز وجل وطاعتهم واجبة، ولا يحل لمن أمروه بالعمل لهم أن يتخلف عن أمرهم، وولاية أهل الجور واتباعهم والعاملون لهم في معصية الله غير جائزة لمن دعوه إلى خدمتهم والعمل لهم وعونهم ولا القبول منهم</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رواية تحف العقول</w:t>
      </w:r>
      <w:r>
        <w:rPr>
          <w:rStyle w:val="FootnoteAnchor"/>
          <w:rtl w:val="true"/>
        </w:rPr>
        <w:footnoteReference w:id="1495"/>
      </w:r>
      <w:r>
        <w:rPr>
          <w:rFonts w:ascii="Amiri" w:hAnsi="Amiri" w:eastAsia="Amiri" w:cs="Amiri"/>
          <w:color w:val="111111"/>
          <w:sz w:val="28"/>
          <w:sz w:val="28"/>
          <w:szCs w:val="28"/>
          <w:rtl w:val="true"/>
          <w:lang w:bidi="ar-SA"/>
        </w:rPr>
        <w:t>، وغيرها روايات كثيرة جداً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 xml:space="preserve">، وإثبات الحكومة للحاكم المسلم بعد كفره جعل سبيل لهم عليهم، وكذاقوله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 وقد استدل بهما في الجواهر على اشتراط الإسلام في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بأية النبأ على اعتبار العدالة حدوثاً وبقاءً بالأولوية، بتقريب أن الحكومة أهم من النبأ، فإذا كان قبول الخبر مشروطاً بالعدالة، كانت الحكومة مشروطة بها بطريق أولى، كما استدل بذلك على اعتبار العدالة في القاضي</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من باب صلاة الجماعة المعتبر فيها العدالة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 ولا ريب في أن تحكيم الحاكم الجائر أو الفاسق ركوناً للذين ظلموا، بضميمة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المستوعب في هذا المقام مما يطول به الكلام، فلنكتف بهذا المقدار</w:t>
      </w:r>
      <w:r>
        <w:rPr>
          <w:rFonts w:eastAsia="Amiri" w:cs="Amiri" w:ascii="Amiri" w:hAnsi="Amiri"/>
          <w:color w:val="111111"/>
          <w:sz w:val="28"/>
          <w:szCs w:val="28"/>
          <w:rtl w:val="true"/>
          <w:lang w:bidi="ar-SA"/>
        </w:rPr>
        <w:t xml:space="preserve">. </w:t>
      </w:r>
      <w:bookmarkStart w:id="1037" w:name="pg8204_101453"/>
    </w:p>
    <w:p>
      <w:pPr>
        <w:pStyle w:val="Heading4"/>
        <w:numPr>
          <w:ilvl w:val="3"/>
          <w:numId w:val="1"/>
        </w:numPr>
        <w:rPr/>
      </w:pPr>
      <w:bookmarkStart w:id="1038" w:name="__RefHeading___Toc8924682_1051229030"/>
      <w:bookmarkStart w:id="1039" w:name="_Toc380"/>
      <w:bookmarkEnd w:id="1037"/>
      <w:bookmarkEnd w:id="1038"/>
      <w:r>
        <w:rPr>
          <w:rtl w:val="true"/>
        </w:rPr>
        <w:t>فروع عديدة</w:t>
      </w:r>
      <w:bookmarkEnd w:id="1039"/>
    </w:p>
    <w:p>
      <w:pPr>
        <w:pStyle w:val="Heading5"/>
        <w:numPr>
          <w:ilvl w:val="4"/>
          <w:numId w:val="1"/>
        </w:numPr>
        <w:rPr/>
      </w:pPr>
      <w:bookmarkStart w:id="1040" w:name="__RefHeading___Toc8924684_1051229030"/>
      <w:bookmarkStart w:id="1041" w:name="_Toc381"/>
      <w:bookmarkEnd w:id="1040"/>
      <w:r>
        <w:rPr>
          <w:rtl w:val="true"/>
        </w:rPr>
        <w:t>هل أحكام الفقيه نافذة لو ظهر فقده للشرائط لاحقاً؟</w:t>
      </w:r>
      <w:bookmarkEnd w:id="1041"/>
    </w:p>
    <w:p>
      <w:pPr>
        <w:pStyle w:val="BookText"/>
        <w:rPr/>
      </w:pPr>
      <w:r>
        <w:rPr>
          <w:rFonts w:ascii="Amiri" w:hAnsi="Amiri" w:eastAsia="Amiri" w:cs="Amiri"/>
          <w:color w:val="111111"/>
          <w:sz w:val="28"/>
          <w:sz w:val="28"/>
          <w:szCs w:val="28"/>
          <w:rtl w:val="true"/>
          <w:lang w:bidi="ar-SA"/>
        </w:rPr>
        <w:t>لو سقط الحاكم عن العدالة أو الاجتهاد أو سائر الشرائط ثبوتاً، وظهر ذلك بعد مدة من الزمان، فالظاهر أن كل أحكامه في فترة فقدانه للشرائط غير نافذة، لأن الظاهر أن هذه الشروط واقعية لا علمية، لكون ظاهر تعليق أمرٍ على عنوانٍ كونه بوجوده الواقعي شرطاً، وكون توهم وجوده جهلاً مركباً، وذلك لكون الأسماء مجعولة لمسمياتها الثبوتية، وللأولوية من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للاستصحاب، لظهور أدلة شرطية ما اشترط في الحدوث والبقاء فركنه الأول مختل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هو بفقدانه الشرائط ومع ذلك حكم، فقد فعل محرماً، والظاهر استحقاقه للتعزير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كتصرف كل شخص في مال غيره ونفسه 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ضمانه ما تلف بحكمه من نفس أو مال أو حق، نعم للحاكم اللاحق الإمضاء كما في كل فضولي وكل ولي</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يعلم هو بالفقدان وعلم المحكوم له، كان عليه الضمان أو قراره</w:t>
      </w:r>
      <w:r>
        <w:rPr>
          <w:rFonts w:eastAsia="Amiri" w:cs="Amiri" w:ascii="Amiri" w:hAnsi="Amiri"/>
          <w:color w:val="111111"/>
          <w:sz w:val="28"/>
          <w:szCs w:val="28"/>
          <w:rtl w:val="true"/>
          <w:lang w:bidi="ar-SA"/>
        </w:rPr>
        <w:t xml:space="preserve">. </w:t>
      </w:r>
      <w:bookmarkStart w:id="1042" w:name="pg8204_101454"/>
    </w:p>
    <w:p>
      <w:pPr>
        <w:pStyle w:val="Heading5"/>
        <w:numPr>
          <w:ilvl w:val="4"/>
          <w:numId w:val="1"/>
        </w:numPr>
        <w:rPr/>
      </w:pPr>
      <w:bookmarkStart w:id="1043" w:name="__RefHeading___Toc8924686_1051229030"/>
      <w:bookmarkStart w:id="1044" w:name="_Toc382"/>
      <w:bookmarkEnd w:id="1042"/>
      <w:bookmarkEnd w:id="1043"/>
      <w:r>
        <w:rPr>
          <w:rtl w:val="true"/>
        </w:rPr>
        <w:t>هل يجوز عصيان أمر الفقيه قبل عزله إذا علم بفقده للشرائط؟</w:t>
      </w:r>
      <w:bookmarkEnd w:id="1044"/>
    </w:p>
    <w:p>
      <w:pPr>
        <w:pStyle w:val="BookText"/>
        <w:rPr/>
      </w:pPr>
      <w:r>
        <w:rPr>
          <w:rFonts w:ascii="Amiri" w:hAnsi="Amiri" w:eastAsia="Amiri" w:cs="Amiri"/>
          <w:color w:val="111111"/>
          <w:sz w:val="28"/>
          <w:sz w:val="28"/>
          <w:szCs w:val="28"/>
          <w:rtl w:val="true"/>
          <w:lang w:bidi="ar-SA"/>
        </w:rPr>
        <w:t>ثم إنه لو علم بعض أعضاء الحكومة بفقدانه الشرائط، سواءً حدوثاً أو بقاءً، وسواء مع علمه هو بفقدانه الشرائط أم جهله وتوهمه وجدانه لها، فهل لهم الإعراض عن أوامره، أم تجب عليهم إطاعته ما دام لم يعزل رسمياً؟ فلو أمره بإجراء معاهدة دولية أو نقضها أو شن حرب أو إقامة صلح أو غير ذلك فهل عليه الامتثال أم يحرم؟ وهل على من علم من الأمة ذلك المخالفة، أم تجب عليه الإطاعة؟</w:t>
      </w:r>
    </w:p>
    <w:p>
      <w:pPr>
        <w:pStyle w:val="BookText"/>
        <w:rPr/>
      </w:pPr>
      <w:r>
        <w:rPr>
          <w:rFonts w:ascii="Amiri" w:hAnsi="Amiri" w:eastAsia="Amiri" w:cs="Amiri"/>
          <w:color w:val="111111"/>
          <w:sz w:val="28"/>
          <w:sz w:val="28"/>
          <w:szCs w:val="28"/>
          <w:rtl w:val="true"/>
          <w:lang w:bidi="ar-SA"/>
        </w:rPr>
        <w:t>قد يدعى بوجوب الإطاعة والامتثال، للزوم الهرج والمرج واختلال النظام لولا ذلك، إذ ليس هناك حاكم تجمع الأمة على عدالته وسائر الصفات المشترطة فيه إلاّ نادراً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وجوبها، لأن الأدلة دلت على ولاية الجامع للشرائط، وهذا الحاكم ليس جامعاً للشرائط بنظر هذا العالم بفقده للشرائط، ولشمول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 وَيُرِيدُ الشَّيْطَانُ أَنْ يُضِلَّهُمْ ضَلالاً بَعِيداً</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بعد شمول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هذه المسألة ما قاله الفقهاء في باب القضاء فيمن علم أن حكم القاضي باطل لاستناده مثلاً إلى شاهدين علم هذا الشخص فسقهما، فإن له أن لا يرتب الأثر، بل عليه أن يرتب آثار ما علم، فلو علم بأنها زوجة زيد وقد </w:t>
      </w:r>
    </w:p>
    <w:p>
      <w:pPr>
        <w:pStyle w:val="BookText"/>
        <w:rPr/>
      </w:pPr>
      <w:r>
        <w:rPr>
          <w:rFonts w:ascii="Amiri" w:hAnsi="Amiri" w:eastAsia="Amiri" w:cs="Amiri"/>
          <w:color w:val="111111"/>
          <w:sz w:val="28"/>
          <w:sz w:val="28"/>
          <w:szCs w:val="28"/>
          <w:rtl w:val="true"/>
          <w:lang w:bidi="ar-SA"/>
        </w:rPr>
        <w:t>حكم الحاكم بعدمها لم يكن له تزويجها، ولو علم بأنها زوجته وحكم الحاكم بعدم الزوجية كان عليه دفع مهرها ونفقتها،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قاله الفقهاء فيما لو علم القاضي خطأ حكمه موضوعاً، كما إذا عرف فسق الشاهدين، أو حكماً كما لو قطع بخطأ استدلاله،فإن النقض واجب في هاتين الصورتين،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الظّالِمُونَ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الْفاسِقُونَ</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 ولأنه منكر استند إليه، فالواجب إزالته، فإن المنكر وإن وجب على كل أحد إزالته إلا أن فاعله أولى بإزالته شرعاً وعقلاً، كما ذكروا ذلك في مسألة تنجيس الإنسان المسجد حيث إنه أولى بالإزالة وإن وجب على الجميع</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لو علم المجتهد الآخر خطأ الحاكم الأول، فإن له النقض، وقد ادعي على ذلك الإجماع</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صدق العلم، وغالب الأدلة مشتركة مع صورة قيام العلمي، فتدبر</w:t>
      </w:r>
      <w:r>
        <w:rPr>
          <w:rFonts w:eastAsia="Amiri" w:cs="Amiri" w:ascii="Amiri" w:hAnsi="Amiri"/>
          <w:color w:val="111111"/>
          <w:sz w:val="28"/>
          <w:szCs w:val="28"/>
          <w:rtl w:val="true"/>
          <w:lang w:bidi="ar-SA"/>
        </w:rPr>
        <w:t xml:space="preserve">. </w:t>
      </w:r>
      <w:bookmarkStart w:id="1045" w:name="pg8204_101456"/>
    </w:p>
    <w:p>
      <w:pPr>
        <w:pStyle w:val="Heading5"/>
        <w:numPr>
          <w:ilvl w:val="4"/>
          <w:numId w:val="1"/>
        </w:numPr>
        <w:rPr/>
      </w:pPr>
      <w:bookmarkStart w:id="1046" w:name="__RefHeading___Toc8924688_1051229030"/>
      <w:bookmarkStart w:id="1047" w:name="_Toc383"/>
      <w:bookmarkEnd w:id="1045"/>
      <w:bookmarkEnd w:id="1046"/>
      <w:r>
        <w:rPr>
          <w:rtl w:val="true"/>
        </w:rPr>
        <w:t>هل مطلق ما يوجب الهرج والمرج حرام</w:t>
      </w:r>
      <w:bookmarkEnd w:id="1047"/>
    </w:p>
    <w:p>
      <w:pPr>
        <w:pStyle w:val="BookText"/>
        <w:rPr/>
      </w:pPr>
      <w:r>
        <w:rPr>
          <w:rFonts w:ascii="Amiri" w:hAnsi="Amiri" w:eastAsia="Amiri" w:cs="Amiri"/>
          <w:color w:val="111111"/>
          <w:sz w:val="28"/>
          <w:sz w:val="28"/>
          <w:szCs w:val="28"/>
          <w:rtl w:val="true"/>
          <w:lang w:bidi="ar-SA"/>
        </w:rPr>
        <w:t>وأما لزوم الهرج والمرج واختلال النظام، فقد 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أخصية الدليل من المدعى جداً، إذ ليس كلما لم يمتثل بعض أفراد الأُمة أو بعض أعضاء الحكومة أمر الحاكم لزم الهرج والمرج واختلال النظام في حده القبيح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دليل على حرمة ما يوجبها مطلقاً</w:t>
      </w:r>
      <w:r>
        <w:rPr>
          <w:rStyle w:val="FootnoteAnchor"/>
          <w:rtl w:val="true"/>
        </w:rPr>
        <w:footnoteReference w:id="1507"/>
      </w:r>
      <w:r>
        <w:rPr>
          <w:rFonts w:ascii="Amiri" w:hAnsi="Amiri" w:eastAsia="Amiri" w:cs="Amiri"/>
          <w:color w:val="111111"/>
          <w:sz w:val="28"/>
          <w:sz w:val="28"/>
          <w:szCs w:val="28"/>
          <w:rtl w:val="true"/>
          <w:lang w:bidi="ar-SA"/>
        </w:rPr>
        <w:t xml:space="preserve">، خاصة إذا كان به التوصل إلى إحقاق الحق وإبطال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كانت مصلحته أهم من مصلحة عدم إخلال النظام على ما هو مقتضى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لوجب على كل حاكم بالحق أن يتخلى عن حكمه إذا ثارت ضده مجموعة من البغاة حيث إن مواجهته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إذا كانوا أقوياء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للهرج والمرج واختلال النظام ولو في بعض المناطق، ولحرم السعي لتولي الحاكم العادل شؤون البلاد لاستلزام تبدل الحكومة عادة الهرج والمرج واختلال النظام كما في ثورة المختار وثورة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ولكان سعي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الحكومة الإسلامية بما استلزم من أكثر من ثمانين حرباً واختلال نظام دولة المشركين غير صحيح، ومن البديهي صحته كتاليه، ولكانت مواجهة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في صفين غير صحيحة، ولكان عليه أن يسلم له مقاليد الحكم لئلا يلزم الهرج والمرج واختلال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التأمل في إطلاق دعوى التلازم، والفيصل أهم المتزاحمين، فتدبر</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تسليم وجوب الإطاعة لئلا يلزم الهرج والمرج واختلال </w:t>
      </w:r>
    </w:p>
    <w:p>
      <w:pPr>
        <w:pStyle w:val="BookText"/>
        <w:rPr/>
      </w:pPr>
      <w:r>
        <w:rPr>
          <w:rFonts w:ascii="Amiri" w:hAnsi="Amiri" w:eastAsia="Amiri" w:cs="Amiri"/>
          <w:color w:val="111111"/>
          <w:sz w:val="28"/>
          <w:sz w:val="28"/>
          <w:szCs w:val="28"/>
          <w:rtl w:val="true"/>
          <w:lang w:bidi="ar-SA"/>
        </w:rPr>
        <w:t>النظام مستلزم للغوية الآيات والروايات الدالة على النهي عن التحاكم إلى أئمة الجور والركون إليهم وإطاعتهم أو تقييدها بها،</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تقييدها بما هو الظاهر فيما لو كانت أهم حسب موازين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استلزام ذلك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استلزامه له أيضاً في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الأدلة الدالة على عدم جواز الركون إلى أئمة الجور وعدم جواز التحاكم للطاغوت وعدم جواز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جواز إطاعة من علم فقده للشرائط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الأمر بإطاعة من علم فسقه أو فقدانه لسائر الشرائط مستلزم لتجرّيه أكثر فأكثر، كما نجده في الخلفاء الجائرين الذين روّج علماء السنة لوجوب إطاعتهم مطلقاً، كما أن الأمر بعدم إطاعته 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لارتداعه عن المنكر، فلو علم الحاكم أن الأُمة لا تطيعه فيما لو أعلن الحرب على دولة أخرى ظلماً مثلاً، لما أعلنها لعلمه بهزيمته حينئذٍ، ولو لم تطعه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لاضطر إما إلى إصلاح نفسه أو الاستقالة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إطاعة هذا الحاكم محرمة، وإن كان ما أمر به بمصلحة الأمة في رأي المأمور به أيضاً، وذلك لنص مقبولة عمر بن حنظلة في الموضوعية في نظير المسألة، والتعميم إما للملاك أو لعموم التعليل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لأنه أخذه بحكم الطاغوت وقد أمر الله أن يكفر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وبذلك كله يعلم أن الأصل الأولي هو وجوب السعي لإزالة حكم من علم فسقه وظلمه لأنه حاكم بالجور، حتى وإن لم نقل بأن الولي المنصوب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بأن لم تتم لدينا أدلة ولاية الفقيه أو ولاية عدول المؤمنين، إحقاقاً للحق وإبطالاً للباطل وأمراً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لساناً 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ونهياً عن المنكر، فيكون حكم من غصب حكومة الفقيه العادل المنصوب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بها، أو من اعتلى سدة الحكومة بقهر الناس وجبرهم، حكم من غصب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 xml:space="preserve">، وكما يجب علىالمسلمين كفايةً ردع غير ولي الطفل وغير القيّم على الوقف، إذا نصب نفسه ولياً وقيماً، يجب الردع بالأولوية لمن نصب نفسه ولياً على المسلمين وهو غير جامع للشرائط التي اشترطها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الثورة ضد الحكومة الجائرة حيث كانت من الشؤون العامة، كان اللازم الاستشارة فيها والعمل طبقاً للشورى،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ولغيره، وإذن الفقيه لأن الشأن العام منوط بإذن الفقيه، على بعض المسالك فإنه ولي على ما لا 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كله بعد مناقشة أدلة القائلين بحرمة القيام ضد الحكومات الجائرة زمن الغيبة، استناداً إلى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قِيَامُهُ زِيَادَةً فِي مَكْرُوهِنَا</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 مما يستدعي النظر في تلك الأدلة وجرحها وتعديلها عقد مبحث خاص ليس هذا محله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ولنرجع إلى ما كنا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أو يدل على ما ذكرناه من انعزال الحاكم قهراً بفقده للشرائط، الإطلاق الموجود في كلمات الفقهاء في باب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وحدة الملاك في البابين بل أولويته في باب الحكومة وبعد استفادة </w:t>
      </w:r>
      <w:bookmarkStart w:id="1048" w:name="pg8204_101459"/>
    </w:p>
    <w:p>
      <w:pPr>
        <w:pStyle w:val="BookText"/>
        <w:rPr/>
      </w:pPr>
      <w:bookmarkEnd w:id="1048"/>
      <w:r>
        <w:rPr>
          <w:rFonts w:ascii="Amiri" w:hAnsi="Amiri" w:eastAsia="Amiri" w:cs="Amiri"/>
          <w:color w:val="111111"/>
          <w:sz w:val="28"/>
          <w:sz w:val="28"/>
          <w:szCs w:val="28"/>
          <w:rtl w:val="true"/>
          <w:lang w:bidi="ar-SA"/>
        </w:rPr>
        <w:t>الحكم في كلا البابين من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 xml:space="preserve">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 ما يمنع الانعقاد انعزل وإن لم يشهد الإمام بعزله كالجنون والفسق ولو حكم لم ينفذ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على ذلك الجواهر</w:t>
      </w:r>
      <w:r>
        <w:rPr>
          <w:rStyle w:val="FootnoteAnchor"/>
          <w:rtl w:val="true"/>
        </w:rPr>
        <w:footnoteReference w:id="1513"/>
      </w:r>
      <w:r>
        <w:rPr>
          <w:rFonts w:ascii="Amiri" w:hAnsi="Amiri" w:eastAsia="Amiri" w:cs="Amiri"/>
          <w:color w:val="111111"/>
          <w:sz w:val="28"/>
          <w:sz w:val="28"/>
          <w:szCs w:val="28"/>
          <w:rtl w:val="true"/>
          <w:lang w:bidi="ar-SA"/>
        </w:rPr>
        <w:t>والمسالك</w:t>
      </w:r>
      <w:r>
        <w:rPr>
          <w:rStyle w:val="FootnoteAnchor"/>
          <w:rtl w:val="true"/>
        </w:rPr>
        <w:footnoteReference w:id="1514"/>
      </w:r>
      <w:r>
        <w:rPr>
          <w:rFonts w:ascii="Amiri" w:hAnsi="Amiri" w:eastAsia="Amiri" w:cs="Amiri"/>
          <w:color w:val="111111"/>
          <w:sz w:val="28"/>
          <w:sz w:val="28"/>
          <w:szCs w:val="28"/>
          <w:rtl w:val="true"/>
          <w:lang w:bidi="ar-SA"/>
        </w:rPr>
        <w:t>وغيرهما، وهذا شامل بإطلاقه لما لو علم كل أهل الخبرة ذلك أو بعضهم، وكذا لو علمت كل الأمة بذلك أو بعضها</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8924690_1051229030"/>
      <w:bookmarkStart w:id="1050" w:name="_Toc384"/>
      <w:bookmarkEnd w:id="1049"/>
      <w:r>
        <w:rPr>
          <w:rtl w:val="true"/>
        </w:rPr>
        <w:t>المرجع هو القضاء لدى اتهام الفقيه الحاكم بما يسقطه عن العدالة</w:t>
      </w:r>
      <w:bookmarkEnd w:id="1050"/>
    </w:p>
    <w:p>
      <w:pPr>
        <w:pStyle w:val="BookText"/>
        <w:rPr/>
      </w:pPr>
      <w:r>
        <w:rPr>
          <w:rFonts w:ascii="Amiri" w:hAnsi="Amiri" w:eastAsia="Amiri" w:cs="Amiri"/>
          <w:color w:val="111111"/>
          <w:sz w:val="28"/>
          <w:sz w:val="28"/>
          <w:szCs w:val="28"/>
          <w:rtl w:val="true"/>
          <w:lang w:bidi="ar-SA"/>
        </w:rPr>
        <w:t>هذا، ولو اتهم الحاكم أو بعض أعضاء شورى الحكومة بما يسقطه عن العدالة، واختلف فيه أهل الخبرة، كان المرجع هو القاضي، لشمول إطلاقات أدلة القضاء لذلك، لكونها دعوى مقتضاها عدم ولاية هذا عليه وعلى الأُمة وعدم نفوذ تصرفاته، كما لو ادعى المولى عليه عدم مراعاة الولي للغبطة مثلاً</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نظام نوع الإنسان عليه، ولأن الظلم من طبائع هذه الأشخاص واختلاف نفوسهم المجبولة على محبة الترفع والتغلب وإرادة العلو والفساد في الأرض، ولو لا دفع الله الناس بعضهم ببعض لفسدت الأرض، وأن كثيراً من الخلطاء ليبغى بعضهم على بعض، فلابد من حاكم بينهم ينتصف من الظالم للمظلوم ويردعه عن ظلمه، ولما يترتب عليه من الأمر بالمعروف والنهي عن المنكر، وللأمر به في الكتاب والسنة،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1515"/>
      </w:r>
      <w:r>
        <w:rPr>
          <w:rFonts w:ascii="IRNazanin" w:hAnsi="IRNazanin" w:eastAsia="IRNazanin"/>
          <w:color w:val="111111"/>
          <w:sz w:val="28"/>
          <w:sz w:val="28"/>
          <w:szCs w:val="28"/>
          <w:rtl w:val="true"/>
          <w:lang w:bidi="fa-IR"/>
        </w:rPr>
        <w:t xml:space="preserve">، </w:t>
      </w:r>
      <w:bookmarkStart w:id="1051" w:name="pg8204_101460"/>
    </w:p>
    <w:p>
      <w:pPr>
        <w:pStyle w:val="BookText"/>
        <w:rPr/>
      </w:pPr>
      <w:bookmarkEnd w:id="1051"/>
      <w:r>
        <w:rPr>
          <w:rFonts w:ascii="Amiri" w:hAnsi="Amiri" w:eastAsia="Amiri" w:cs="Amiri"/>
          <w:color w:val="111111"/>
          <w:sz w:val="28"/>
          <w:sz w:val="28"/>
          <w:szCs w:val="28"/>
          <w:rtl w:val="true"/>
          <w:lang w:bidi="ar-SA"/>
        </w:rPr>
        <w:t>وقال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الأئمة أن يحكموا بالعدل وأمر الناس أن يتبعوهم</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وهذه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بإطلاقها أو بملاكها وبالأولوية،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تطرق الفقهاء في كتاب القضاء لمبحث ما لو ادعىفسق الحاكم ورجوعهما إلى حاكم آخر، فليراجع</w:t>
      </w:r>
      <w:r>
        <w:rPr>
          <w:rFonts w:eastAsia="Amiri" w:cs="Amiri" w:ascii="Amiri" w:hAnsi="Amiri"/>
          <w:color w:val="111111"/>
          <w:sz w:val="28"/>
          <w:szCs w:val="28"/>
          <w:rtl w:val="true"/>
          <w:lang w:bidi="ar-SA"/>
        </w:rPr>
        <w:t>.</w:t>
      </w:r>
      <w:r>
        <w:rPr>
          <w:rStyle w:val="FootnoteAnchor"/>
          <w:rtl w:val="true"/>
        </w:rPr>
        <w:footnoteReference w:id="1519"/>
      </w:r>
    </w:p>
    <w:p>
      <w:pPr>
        <w:pStyle w:val="Heading5"/>
        <w:numPr>
          <w:ilvl w:val="4"/>
          <w:numId w:val="1"/>
        </w:numPr>
        <w:rPr/>
      </w:pPr>
      <w:bookmarkStart w:id="1052" w:name="__RefHeading___Toc8924692_1051229030"/>
      <w:bookmarkStart w:id="1053" w:name="_Toc385"/>
      <w:bookmarkEnd w:id="1052"/>
      <w:r>
        <w:rPr>
          <w:rtl w:val="true"/>
        </w:rPr>
        <w:t>حكم تغاير الاجتهاد في صلاحية هذا الفقيه للحكم</w:t>
      </w:r>
      <w:bookmarkEnd w:id="1053"/>
    </w:p>
    <w:p>
      <w:pPr>
        <w:pStyle w:val="BookText"/>
        <w:rPr/>
      </w:pPr>
      <w:r>
        <w:rPr>
          <w:rFonts w:ascii="Amiri" w:hAnsi="Amiri" w:eastAsia="Amiri" w:cs="Amiri"/>
          <w:color w:val="111111"/>
          <w:sz w:val="28"/>
          <w:sz w:val="28"/>
          <w:szCs w:val="28"/>
          <w:rtl w:val="true"/>
          <w:lang w:bidi="ar-SA"/>
        </w:rPr>
        <w:t xml:space="preserve">وقد ذكرنا في مسألة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فصل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تغاير الاجتهاد بأن كان أكثرية الفقهاء يرون للعدالة معنى أعم، وكان هذا الفقيه يرى لها معنى أخص</w:t>
      </w:r>
      <w:r>
        <w:rPr>
          <w:rStyle w:val="FootnoteAnchor"/>
          <w:rtl w:val="true"/>
        </w:rPr>
        <w:footnoteReference w:id="1520"/>
      </w:r>
      <w:r>
        <w:rPr>
          <w:rFonts w:ascii="Amiri" w:hAnsi="Amiri" w:eastAsia="Amiri" w:cs="Amiri"/>
          <w:color w:val="111111"/>
          <w:sz w:val="28"/>
          <w:sz w:val="28"/>
          <w:szCs w:val="28"/>
          <w:rtl w:val="true"/>
          <w:lang w:bidi="ar-SA"/>
        </w:rPr>
        <w:t>، أو كانوا لا يرون اشتراط الاجتهاد في الحاكم وكان يرى ذلك، فهل عليه وعلى مقلديه الاتباع إن انتخب حاكم أو انتخبت شورى لا تتصف بالعدالة بالمعنى الأخص أو الاجتهاد أم لا؟</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إذ لا يراه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الأمناء على </w:t>
      </w:r>
    </w:p>
    <w:p>
      <w:pPr>
        <w:pStyle w:val="BookText"/>
        <w:rPr/>
      </w:pPr>
      <w:r>
        <w:rPr>
          <w:rFonts w:ascii="IRNazanin" w:hAnsi="IRNazanin" w:eastAsia="IRNazanin"/>
          <w:color w:val="111111"/>
          <w:sz w:val="28"/>
          <w:sz w:val="28"/>
          <w:szCs w:val="28"/>
          <w:rtl w:val="true"/>
          <w:lang w:bidi="fa-IR"/>
        </w:rPr>
        <w:t>حلاله وحرامه</w:t>
      </w:r>
      <w:r>
        <w:rPr>
          <w:rFonts w:eastAsia="IRNazanin" w:cs="IRNazanin"/>
          <w:color w:val="111111"/>
          <w:sz w:val="28"/>
          <w:szCs w:val="28"/>
          <w:rtl w:val="true"/>
          <w:lang w:bidi="fa-IR"/>
        </w:rPr>
        <w:t xml:space="preserve">) </w:t>
      </w:r>
      <w:r>
        <w:rPr>
          <w:rStyle w:val="FootnoteAnchor"/>
          <w:rtl w:val="true"/>
        </w:rPr>
        <w:footnoteReference w:id="1521"/>
      </w:r>
      <w:r>
        <w:rPr>
          <w:rFonts w:ascii="Amiri" w:hAnsi="Amiri" w:eastAsia="Amiri" w:cs="Amiri"/>
          <w:color w:val="111111"/>
          <w:sz w:val="28"/>
          <w:sz w:val="28"/>
          <w:szCs w:val="28"/>
          <w:rtl w:val="true"/>
          <w:lang w:bidi="ar-SA"/>
        </w:rPr>
        <w:t xml:space="preserve">مثلاً، حتى يترتب عليه المحمول الذي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مجاري الأمور بيده، أو لا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نظر في حلالنا وحرامنا</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 xml:space="preserve">ليكون هو المجعول حاكماً، فليست وظيفته الإطاعة، وإن كان للحاكم إلزامه بها حيث يرى نفسه جامعاً للشرائط منصوباً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مختاراً من قبل الناس، فعليه الإطاعة فيما اضطر إليه فقط، وفيما لزم من عدمها اختلال النظام أو ترتب محذور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حكم أحد المتخالفين في الاجتهاد نافذاً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المجتهدين المترافعين إلى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كان معنى ذلك إلغاء حجية ظنه في هذه الصورة هذا من حيث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البدائل والخيارات الثبوتية أكثر، كما فصلناها في فصل آخر،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يدور الأمر بين جعل رأي أكثرية الفقهاء في تشخيص الموضوع العام حجة أو أقليتهم في صورة التخالف، فلابد من جعل أحدهما الحجة اللازم 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اختلال النظام ونقض الغرض من جعل القاضي والحاكم الذي هو فصل الخصومات وبت الأمر وإدارة شؤون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وأيهما جعل كان ظن الآخر غير حجة وغير متبع، وقد فصلنا في موضع آخر أن الأولى بالحجية ثبوتاً والدال عليه العقل والنقل إثباتاً هو تقديم رأي الأكثرية، لكونه ترجيحاً للراجح، فتأمل</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الأمر إلى القاضي، كما ذكرناه في المسألة السابقة، حيث إن بناء العقلاء في نزاع الحاكم والمحكوم وسيرتهم على ذلك، فتأمل</w:t>
      </w:r>
      <w:r>
        <w:rPr>
          <w:rFonts w:eastAsia="Amiri" w:cs="Amiri" w:ascii="Amiri" w:hAnsi="Amiri"/>
          <w:color w:val="111111"/>
          <w:sz w:val="28"/>
          <w:szCs w:val="28"/>
          <w:rtl w:val="true"/>
          <w:lang w:bidi="ar-SA"/>
        </w:rPr>
        <w:t xml:space="preserve">. </w:t>
      </w:r>
      <w:bookmarkStart w:id="1054" w:name="pg8204_101462"/>
    </w:p>
    <w:p>
      <w:pPr>
        <w:pStyle w:val="Heading5"/>
        <w:numPr>
          <w:ilvl w:val="4"/>
          <w:numId w:val="1"/>
        </w:numPr>
        <w:rPr/>
      </w:pPr>
      <w:bookmarkStart w:id="1055" w:name="__RefHeading___Toc8924694_1051229030"/>
      <w:bookmarkStart w:id="1056" w:name="_Toc386"/>
      <w:bookmarkEnd w:id="1054"/>
      <w:bookmarkEnd w:id="1055"/>
      <w:r>
        <w:rPr>
          <w:rtl w:val="true"/>
        </w:rPr>
        <w:t>لو فقد بعض الشرائط ثم عادت فهل تعود له الولاية؟</w:t>
      </w:r>
      <w:bookmarkEnd w:id="1056"/>
    </w:p>
    <w:p>
      <w:pPr>
        <w:pStyle w:val="BookText"/>
        <w:rPr/>
      </w:pPr>
      <w:r>
        <w:rPr>
          <w:rFonts w:ascii="Amiri" w:hAnsi="Amiri" w:eastAsia="Amiri" w:cs="Amiri"/>
          <w:color w:val="111111"/>
          <w:sz w:val="28"/>
          <w:sz w:val="28"/>
          <w:szCs w:val="28"/>
          <w:rtl w:val="true"/>
          <w:lang w:bidi="ar-SA"/>
        </w:rPr>
        <w:t>هذا، ولو فقد الحاكم بعض الشرائط كالعدالة مثلاً، ثم رجع عادلاً، فهل تعود ولايته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بسقوطه عن المنصب فعوده يحتاج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النصب حالة وجود الشرائط،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ففسق أحدهم ثم رجع عادلاً، إذ تشمله بعد العود العمومات والإطلاقات، ولا مجال مع الدليل للأصل، والزمان وإن كان ظرفاً للنصب بالنسبة للشخص الواحد فهناك نصب واحد ممتد بامتداد الزمان ما دام عادلاً، لا أفراد متعددة منه، إلاّ أنه بفسقه ارتفع هذا الفرد وبعوده عادلاً تحقق مرة أخرى لتحقق الموضوع،كما في كل محمول تحقق تمام موضوعه في زمن ثم ارتفع ثم عاد كما في المفتي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لم نشترط رضاية الأمة في فعلية التولي، وإلا فإن اشترط أو ارتكز أحد الطرفين فيها فوجهان، من كون الزمان ظرفاً للرضا بالولاية، أو مفرّداً، وعلى الثاني استفادة الإطلاق من الرضا أم لا، فتأمل</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البحوث بحاجة إلى تحقيق وتدبر، ولقد كان طرحها في هذا الجزء أشبه بالاستطراد، إذ إنه معقود لبحث أصل مبحث الشورى دون مختلف فروعها، وسنفصل الحديث عن ذلك في الجزء الثاني من الكتاب، فيما لو وفقنا الله تعالى لذلك</w:t>
      </w:r>
      <w:r>
        <w:rPr>
          <w:rFonts w:eastAsia="Amiri" w:cs="Amiri" w:ascii="Amiri" w:hAnsi="Amiri"/>
          <w:color w:val="111111"/>
          <w:sz w:val="28"/>
          <w:szCs w:val="28"/>
          <w:rtl w:val="true"/>
          <w:lang w:bidi="ar-SA"/>
        </w:rPr>
        <w:t xml:space="preserve">.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7" w:name="pg8204_101464"/>
      <w:bookmarkStart w:id="1058" w:name="pg8204_101464"/>
      <w:bookmarkEnd w:id="1058"/>
    </w:p>
    <w:p>
      <w:pPr>
        <w:pStyle w:val="Heading3"/>
        <w:numPr>
          <w:ilvl w:val="2"/>
          <w:numId w:val="1"/>
        </w:numPr>
        <w:rPr/>
      </w:pPr>
      <w:bookmarkStart w:id="1059" w:name="pg8204_101464"/>
      <w:bookmarkStart w:id="1060" w:name="__RefHeading___Toc8924696_1051229030"/>
      <w:bookmarkStart w:id="1061" w:name="_Toc387"/>
      <w:bookmarkEnd w:id="1059"/>
      <w:bookmarkEnd w:id="1060"/>
      <w:r>
        <w:rPr>
          <w:rtl w:val="true"/>
        </w:rPr>
        <w:t>الفصل السادس</w:t>
      </w:r>
      <w:r>
        <w:rPr>
          <w:rtl w:val="true"/>
        </w:rPr>
        <w:t xml:space="preserve">: </w:t>
      </w:r>
      <w:r>
        <w:rPr>
          <w:rtl w:val="true"/>
        </w:rPr>
        <w:t>في استقلال القوة القضائية</w:t>
      </w:r>
      <w:bookmarkEnd w:id="1061"/>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2" w:name="__RefHeading___Toc8924698_1051229030"/>
      <w:bookmarkStart w:id="1063" w:name="_Toc388"/>
      <w:bookmarkEnd w:id="1062"/>
      <w:r>
        <w:rPr>
          <w:rtl w:val="true"/>
        </w:rPr>
        <w:t>اشارة</w:t>
      </w:r>
      <w:bookmarkEnd w:id="1063"/>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4" w:name="pg8204_101466"/>
      <w:bookmarkStart w:id="1065" w:name="pg8204_101466"/>
      <w:bookmarkEnd w:id="1065"/>
    </w:p>
    <w:p>
      <w:pPr>
        <w:pStyle w:val="Heading4"/>
        <w:numPr>
          <w:ilvl w:val="3"/>
          <w:numId w:val="1"/>
        </w:numPr>
        <w:rPr/>
      </w:pPr>
      <w:bookmarkStart w:id="1066" w:name="pg8204_101466"/>
      <w:bookmarkStart w:id="1067" w:name="__RefHeading___Toc8924700_1051229030"/>
      <w:bookmarkStart w:id="1068" w:name="_Toc389"/>
      <w:bookmarkEnd w:id="1066"/>
      <w:bookmarkEnd w:id="1067"/>
      <w:r>
        <w:rPr>
          <w:rtl w:val="true"/>
        </w:rPr>
        <w:t>استقلال القضاء</w:t>
      </w:r>
      <w:bookmarkEnd w:id="1068"/>
    </w:p>
    <w:p>
      <w:pPr>
        <w:pStyle w:val="Heading5"/>
        <w:numPr>
          <w:ilvl w:val="4"/>
          <w:numId w:val="1"/>
        </w:numPr>
        <w:rPr/>
      </w:pPr>
      <w:bookmarkStart w:id="1069" w:name="__RefHeading___Toc8924702_1051229030"/>
      <w:bookmarkStart w:id="1070" w:name="_Toc390"/>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 xml:space="preserve">هل القضاء سلطة مستقلة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لابد لتحقيق ذلك من التطرق لمسائل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تسمع دعوى أحد الرعية على الحاكم إذا اشتكى عليه ظلماً شخصياً أو نوعياً، وهل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نصبه بيد الفقيه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الحاكم إذا ادعى عليه أحد الرعية أم لا؟</w:t>
      </w:r>
    </w:p>
    <w:p>
      <w:pPr>
        <w:pStyle w:val="BookText"/>
        <w:rPr/>
      </w:pPr>
      <w:r>
        <w:rPr>
          <w:rFonts w:ascii="Amiri" w:hAnsi="Amiri" w:eastAsia="Amiri" w:cs="Amiri"/>
          <w:color w:val="111111"/>
          <w:sz w:val="28"/>
          <w:sz w:val="28"/>
          <w:szCs w:val="28"/>
          <w:rtl w:val="true"/>
          <w:lang w:bidi="ar-SA"/>
        </w:rPr>
        <w:t>ويجري البحث في القاضي والسلطة القضائية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سماع الشكوى عليه وعليها، ومن حكم قاض آخر عليه أو عليها، وحيث طرح الفقهاء مبحث سماع الدعوى على القاضي، نطرحه كما طرحوه، ويستفاد منه في مبحث سماع الدعوى على الحاكم؛ نظراً لاشتراك غالب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القاضي هل هو بيد الفقيه الحاكم أو مرجع التقليد أم لا؟ وهل هو محتاج إلى إذنه، أم أن كل مجتهد جامع للشرائط له القضاء بين الناس وأحكامه نافذة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أن يعزله مطلقاً، أو فيما كان له وجه ولم يكن اقتراحاً وتشهياً؟ أم ليس له عزله مطلقاً؟ </w:t>
      </w:r>
      <w:bookmarkStart w:id="1071" w:name="pg8204_101467"/>
    </w:p>
    <w:p>
      <w:pPr>
        <w:pStyle w:val="Heading5"/>
        <w:numPr>
          <w:ilvl w:val="4"/>
          <w:numId w:val="1"/>
        </w:numPr>
        <w:rPr/>
      </w:pPr>
      <w:bookmarkStart w:id="1072" w:name="__RefHeading___Toc8924704_1051229030"/>
      <w:bookmarkStart w:id="1073" w:name="_Toc391"/>
      <w:bookmarkEnd w:id="1071"/>
      <w:bookmarkEnd w:id="1072"/>
      <w:r>
        <w:rPr>
          <w:rtl w:val="true"/>
        </w:rPr>
        <w:t>المسألة الأولى</w:t>
      </w:r>
      <w:r>
        <w:rPr>
          <w:rtl w:val="true"/>
        </w:rPr>
        <w:t xml:space="preserve">: </w:t>
      </w:r>
      <w:r>
        <w:rPr>
          <w:rtl w:val="true"/>
        </w:rPr>
        <w:t>سماع الدعوى على القاضي والحاكم</w:t>
      </w:r>
      <w:bookmarkEnd w:id="1073"/>
    </w:p>
    <w:p>
      <w:pPr>
        <w:pStyle w:val="BookText"/>
        <w:rPr/>
      </w:pPr>
      <w:r>
        <w:rPr>
          <w:rFonts w:ascii="Amiri" w:hAnsi="Amiri" w:eastAsia="Amiri" w:cs="Amiri"/>
          <w:color w:val="111111"/>
          <w:sz w:val="28"/>
          <w:sz w:val="28"/>
          <w:szCs w:val="28"/>
          <w:rtl w:val="true"/>
          <w:lang w:bidi="ar-SA"/>
        </w:rPr>
        <w:t>المشهور في القاضي على سماع الدعوى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 ممزوجاً مع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ادعى أحد الرعية على القاضي سُمِعت، كما تُسمع على غيره، لإطلاق الأدلة السالم عن معارضة منافاة ذلك لرئاسة القضاة، بعد حضور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يهودي مجلس القضاء، وحضور عمر مع زيد بن ثابت، والمنصور مع جمال، فإن كان هناك إمام رافعه إليه، وإن لم يكن وكان في غير ولايته رافعه إلى قاضي تلك الولاية لاندراجه حينئذٍ في المولى عليه من الحاضرين في تلك الولاية، وإن كان في ولايته وكان له خليفة رافعه إلى خليفته</w:t>
      </w:r>
      <w:r>
        <w:rPr>
          <w:rFonts w:eastAsia="Amiri" w:cs="Amiri" w:ascii="Amiri" w:hAnsi="Amiri"/>
          <w:color w:val="111111"/>
          <w:sz w:val="28"/>
          <w:szCs w:val="28"/>
          <w:rtl w:val="true"/>
          <w:lang w:bidi="ar-SA"/>
        </w:rPr>
        <w:t>).</w:t>
      </w:r>
      <w:r>
        <w:rPr>
          <w:rStyle w:val="FootnoteAnchor"/>
          <w:rtl w:val="true"/>
        </w:rPr>
        <w:footnoteReference w:id="1523"/>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أحد من الرعية على القاضي سمعت الدعوى بلا إشكال ولا خلاف، كما يظهر من إرسالهم المسألة إرسال المسلمات، وذلك لإطلاق الأدلة، ولا يتوهم أنه مناف لهيبة القاضي، إذ احترام هيبة الحق أولى من احترام هيبة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المسالك والجواهر وغيرهما حيث ذكروا في المقام حضور عمر مع زيد بن ثابت، والمنصور مع الجمال، أرادوا بيان أنه كذلك عند العامة أيضاً، كما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زوجته حضرا عند القاضي، ومع محمد بن الحنيفية تحاكما، وكذلك ورد الحضور مع الخصم بالنسبة إلى بعض الأئمة عليهم السلام</w:t>
      </w:r>
      <w:r>
        <w:rPr>
          <w:rFonts w:eastAsia="Amiri" w:cs="Amiri" w:ascii="Amiri" w:hAnsi="Amiri"/>
          <w:color w:val="111111"/>
          <w:sz w:val="28"/>
          <w:szCs w:val="28"/>
          <w:rtl w:val="true"/>
          <w:lang w:bidi="ar-SA"/>
        </w:rPr>
        <w:t>).</w:t>
      </w:r>
      <w:r>
        <w:rPr>
          <w:rStyle w:val="FootnoteAnchor"/>
          <w:rtl w:val="true"/>
        </w:rPr>
        <w:footnoteReference w:id="1524"/>
      </w:r>
      <w:bookmarkStart w:id="1074" w:name="pg8204_101468"/>
    </w:p>
    <w:p>
      <w:pPr>
        <w:pStyle w:val="Heading5"/>
        <w:numPr>
          <w:ilvl w:val="4"/>
          <w:numId w:val="1"/>
        </w:numPr>
        <w:rPr/>
      </w:pPr>
      <w:bookmarkStart w:id="1075" w:name="__RefHeading___Toc8924706_1051229030"/>
      <w:bookmarkStart w:id="1076" w:name="_Toc392"/>
      <w:bookmarkEnd w:id="1074"/>
      <w:bookmarkEnd w:id="1075"/>
      <w:r>
        <w:rPr>
          <w:rtl w:val="true"/>
        </w:rPr>
        <w:t>أدلة القائلين بعد سماع الدعوى ومناقشتها</w:t>
      </w:r>
      <w:bookmarkEnd w:id="1076"/>
    </w:p>
    <w:p>
      <w:pPr>
        <w:pStyle w:val="BookText"/>
        <w:rPr/>
      </w:pPr>
      <w:r>
        <w:rPr>
          <w:rFonts w:ascii="Amiri" w:hAnsi="Amiri" w:eastAsia="Amiri" w:cs="Amiri"/>
          <w:color w:val="111111"/>
          <w:sz w:val="28"/>
          <w:sz w:val="28"/>
          <w:szCs w:val="28"/>
          <w:rtl w:val="true"/>
          <w:lang w:bidi="ar-SA"/>
        </w:rPr>
        <w:t xml:space="preserve">وأما النادر فذهبوا إلى عدم سماع الدعوى، فقد احتج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سماع البينة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القاضي أمين الإمام، وفتح هذا الباب موجب لعدم إجراء الأحكام والطعن في الحكام فلا يقبلون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سماع الدعوى أمر وإقامة البينة وسماعها أمر آخر، وأن مجرد سماع الدعوى بأن يستمع القاضي له ويباشر التحقيق وإحضار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لا يستلزم المحذور الذي ذكره، فإنه لا تسقط عدالته بذلك، ولا تلغى أو تجمد أحكامه بمجرد ذلك، وأما سماع البينة عليه فعلى القاعدة، أن القاضي الجامع للشرائط أمين الإمام، والبينة تثبت فسقه، فليس جامعاً للشرائط ليكون أمين الإمام، فالبينة حاكمة أو واردة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أمين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القاضي الجامع للشرائط أميناً والبينة منقحة للموضوع، هذا فيما لو قامت بينة على فسقه كما هو ظاهر كلامه، لا في صورة صرف الدعوى عليه بذلك، وأما فيها فالأمر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الواضح أنه في هذه الصورة لا يلزم المحذور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إلى أنه لا يمتنع على أمين الإمام تعمد الانحراف، كما في الواقفية وكثير من أصحاب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كبني فضال والشلمغاني وغيرهم، ومرجع هذا إلى وضوح عدم التلازم بين حدوث الأمانة وبقائها، وليس جعله أمينه إلا دليلاً على كونه أميناً لا على بقائه كذلك، إلاّ لو دل دليل على العلة المبقية أيضاً، ولا يجدي الاستصحاب مع وجود الدعوى في نفي لزوم الفحص، فتأمل</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أخصية الدليل من المدعى، إذ لا مانعة جمع بين الأمانة </w:t>
      </w:r>
    </w:p>
    <w:p>
      <w:pPr>
        <w:pStyle w:val="BookText"/>
        <w:rPr/>
      </w:pPr>
      <w:r>
        <w:rPr>
          <w:rFonts w:ascii="Amiri" w:hAnsi="Amiri" w:eastAsia="Amiri" w:cs="Amiri"/>
          <w:color w:val="111111"/>
          <w:sz w:val="28"/>
          <w:sz w:val="28"/>
          <w:szCs w:val="28"/>
          <w:rtl w:val="true"/>
          <w:lang w:bidi="ar-SA"/>
        </w:rPr>
        <w:t>وبين كونه مشتبهاً في الحكم أو في مستنده، إذ على فرض تسليم إحراز عدم تعمد الانحراف والحكم بالباطل مطلقاً لفرض كونه أميناً، فلا يحرز عدم السهو والخطأ، ومن الواضح أن الدعوى على القاضي أو الحاكم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اشتباهه في الحكم،ومنها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تعمده الحكم بالباطل،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وإطلاقات أدلة سماع الدعوى تشملهما، ودليله لو تم أفاد استثناء الثاني فيبقى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المنصوب بالخصوص المستكشف أمانته بالخصوص من ذلك النصب، وأما المنصوب بالنصب العام فالأمر فيه أوضح بل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هذا الباب موجب لعدم إجراء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عدم إجراء الأحكام الحقة ثبوتاً فهو أول الكلام، إذ النزاع في أن هذا الحكم حق أو جور، على أنه لا يستلزمه، وإن أريد عدم إجراء الأحكام المحتمل حقيتها أو التي يراها هذا القاضي حقةً فلا بأس فيه، فانه مؤقت ريثما يحقق في حال القاضي، على أنه يمكن إحالة أمر المترافعين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رفع أحدهما الدعوى على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 هذا الباب غير موجب لما ذكره، إذ بعد سماع الدعوى والتحقيق إن ثبت بطلانها ثبت كونه قاضياً جامعاً للشرائط فينفذ حكمه على المترافعين، وإن ثبت صحتها فغاية الأمر بعد سماع الدعوى وثبوتها الرجوع إلى حاكم آخر وهو من يعينه المدعي أو من يتراضيان به، حكم بالحكم السابق أو غيره بعدئذٍ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التسلسل صغرى، بأن ينقل المحكوم عليه الدعوى إلى الحاكم الآخر وهكذا، فنادر الوقوع أو غير واقع أبداً، إضافة إلى الالتزام بعدم سماعها لو خرجت عن الحد المتعارف فينقطع التسلسل</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التزم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نظير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في جميع الدعاوي المذكورة إن كان هناك حاكم يقبله الخصمان يتحاكمان إليه، وإلا </w:t>
      </w:r>
    </w:p>
    <w:p>
      <w:pPr>
        <w:pStyle w:val="BookText"/>
        <w:rPr/>
      </w:pPr>
      <w:r>
        <w:rPr>
          <w:rFonts w:ascii="Amiri" w:hAnsi="Amiri" w:eastAsia="Amiri" w:cs="Amiri"/>
          <w:color w:val="111111"/>
          <w:sz w:val="28"/>
          <w:sz w:val="28"/>
          <w:szCs w:val="28"/>
          <w:rtl w:val="true"/>
          <w:lang w:bidi="ar-SA"/>
        </w:rPr>
        <w:t>فيكون كسائر الدعاوي التي لا حكم فيها، فلا تسلط لمن عليه الإثبات على خصمه بل يعمل بالأصل حتى يظهر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فتح هذا الباب موجب للطعن في الحكام وتفسيقهم فلا يقبلون القضاء</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أنه مزاحَم بأن إغلاقه موجب لتضييع كثير من الحقوق وكونه موجباً لتجري الحكام، عدم ترتب المحذور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يقبلون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فتح هذا الباب، كما نشاهد ذلك في فتح هذا الباب في الأزمنة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تكشف عنه قصص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وكذا في الجهة الأخرى قصص عمر والمنصور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نشهده في هذه الأزمنة في العديد من الدول، مضافاً إلى إمكان رفع المحذور بأن يؤخذ الإقرار من كلا المترافعين قبل الحكم على عدالة القاضي،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ذكره المرحوم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سد باب تفسيق ساير الحكام بتعزير المدعي حيث أهان العلماء، مع أن العدول والحاكم الآخر أيضاً أمناء الله، فإن كان الحاكم الأول أميناً لا يقدحون فيه ولا يضر القدح، بل ذلك موجب لسعي القضاة في الاجتناب عن العيوب أو سترها فهو أيضاً مصلحة تامة</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للمدعي أن يدعي أنه لم يهن العلماء، بل ادعى ما قام عليه العلمي وهو البينة، أو ادعى ما اطمأن به، ولم يكن القصد إلا إحقاق الحق وإبطال </w:t>
      </w:r>
    </w:p>
    <w:p>
      <w:pPr>
        <w:pStyle w:val="BookText"/>
        <w:rPr/>
      </w:pPr>
      <w:r>
        <w:rPr>
          <w:rFonts w:ascii="Amiri" w:hAnsi="Amiri" w:eastAsia="Amiri" w:cs="Amiri"/>
          <w:color w:val="111111"/>
          <w:sz w:val="28"/>
          <w:sz w:val="28"/>
          <w:szCs w:val="28"/>
          <w:rtl w:val="true"/>
          <w:lang w:bidi="ar-SA"/>
        </w:rPr>
        <w:t>الباطل بمعونة أصالة الصحة، فإن عدّ هذا إهانة موضوعاً فليس بمحرم حكماً، بل جايز أو واجب، نعم لو كان المراد هو أنه ادعى دون بيّنة بل بمجرد دعوى الاطمئنان ولم يستطع الإثبات وكان في مظان التهمة تمّ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لعدم السماع بدون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الفساد</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فساد يلزم؟ إذ غاية ما يتوهم لزوم هتك حرمة القاضي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ثبت بعد التحاكم ما ادعى عليه كان هتكه في محله، ولم تكن له عند الله حرمة، وإن ثبت عدمه كان له في ذلك رفعه، إضافة إلى النقض بالدعوى على العلماء غير القضاة، وعلى أئمة الجماعة مثلاً، بل على كل مؤمن، بل في عدم السماع الفساد لاستلزامه ضياع الحقوق</w:t>
      </w:r>
      <w:r>
        <w:rPr>
          <w:rFonts w:eastAsia="Amiri" w:cs="Amiri" w:ascii="Amiri" w:hAnsi="Amiri"/>
          <w:color w:val="111111"/>
          <w:sz w:val="28"/>
          <w:szCs w:val="28"/>
          <w:rtl w:val="true"/>
          <w:lang w:bidi="ar-SA"/>
        </w:rPr>
        <w:t xml:space="preserve">. </w:t>
      </w:r>
      <w:bookmarkStart w:id="1077" w:name="pg8204_101472"/>
    </w:p>
    <w:p>
      <w:pPr>
        <w:pStyle w:val="Heading5"/>
        <w:numPr>
          <w:ilvl w:val="4"/>
          <w:numId w:val="1"/>
        </w:numPr>
        <w:rPr/>
      </w:pPr>
      <w:bookmarkStart w:id="1078" w:name="__RefHeading___Toc8924708_1051229030"/>
      <w:bookmarkStart w:id="1079" w:name="_Toc393"/>
      <w:bookmarkEnd w:id="1077"/>
      <w:bookmarkEnd w:id="1078"/>
      <w:r>
        <w:rPr>
          <w:rtl w:val="true"/>
        </w:rPr>
        <w:t>المسألة الثانية</w:t>
      </w:r>
      <w:r>
        <w:rPr>
          <w:rtl w:val="true"/>
        </w:rPr>
        <w:t xml:space="preserve">: </w:t>
      </w:r>
      <w:r>
        <w:rPr>
          <w:rtl w:val="true"/>
        </w:rPr>
        <w:t>هل نصب القاضي بيد الفقيه الحاكم؟</w:t>
      </w:r>
      <w:bookmarkEnd w:id="1079"/>
    </w:p>
    <w:p>
      <w:pPr>
        <w:pStyle w:val="BookText"/>
        <w:rPr/>
      </w:pPr>
      <w:r>
        <w:rPr>
          <w:rFonts w:ascii="Amiri" w:hAnsi="Amiri" w:eastAsia="Amiri" w:cs="Amiri"/>
          <w:color w:val="111111"/>
          <w:sz w:val="28"/>
          <w:sz w:val="28"/>
          <w:szCs w:val="28"/>
          <w:rtl w:val="true"/>
          <w:lang w:bidi="ar-SA"/>
        </w:rPr>
        <w:t xml:space="preserve">فالظاهر أن نصب القاضي ليس بيد الفقيه الحاكم أو مجلس شورى الفقهاء الحكام أو مراجع التقليد، وليس محتاجاً إلى إذن أحدهم، بل لكل من جمع الشرائط أن يقضي بين الناس، وذلك لعمومية أدلة النصب الدالة على جعل هذا المنصب لكل من جمع شرائط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لغيره أيضاً في الجملة على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كروايتي أبي خديجة ومقبولة عمر بن حنظلة، وخبر داود بن الحصين، وخبر النميري، ومرسلة الفقيه، والمروي في الفقه الرضوي، والمروي في تحف العقول، وكل ما استدل به أو أيد به ثبوت الإذن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بالقضاء</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وهذه الأدلة المستدل بها على ثبوت منصب القضاء للفقيه، هي الأدلة المستدل بها على ثبوت منصب الحكومة والولاية العامة له، فليس القضاة في طول الحكام، وليست ولايتهم مكتسبة منهم، فليس نصبهم بيدهم، بل ولاية القضاة في عرض ولاية الحكام، كلتاهما مكتسبتان من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الأدلة العامة، فالفقيه منصوب قاضياً بهذه الروايات، رضي به الفقيه الحاكم أم لا، كالعكس، للإطلاق</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كله نظير ما قاله صاحب الجواهر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 ذكره فيها يجري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أدنى تغيير، قال</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يظهر من الروضة اعتبار جميع هذه الشرائط في الفتوى أيضاً، وهو مبني على انحصار دليل قبولها بدليل قبول الحكم، فيعتبر فيها حينئذ ما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ما فيها، ضرورة منع انحصار دليلها في ذلك، بل هو العقل بعد كون الفتوى الصحيحة مماأنزل الله ومن القسط والعدل والحق وغير ذلك مما وجب على الناس قبوله عقلاً ونقلاً، فجميع ما دل على الأمر بالمعروف والأخذ بما أنزل الله والقيام بالعدل دال عليه، وإن فقد شرط منصب القضاء بعدم الكتابة مثلاً أو بالعمى أو بالذكورة أو نحو ذلك مما لا مدخلية لاندراج فتواه فيما عرفت قطعاً، كما هو واضح بأدنى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شرائط الفتوى غير شرائط القضاء، كما لا يخفى على من لاحظ كتب أصحابنا في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مما ذكرنا يظهر أن قبول الفتوى بعد اندراجها في الحق والعدل والقسط ونحو ذلك لا يحتاج إلى إذن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الكتاب والسنة بل والعقل متطابقة على وجوب الأخذ بها، وحينئذ فدليل التقليد غير دليل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من دليل الثاني أن الفتوى بكلي الواقعة المخصوصة من الحق ومما أنزل الله ومن حكمهم ومن العدل والقسط ونحو ذلك، ضرورة التلازم بين كون الحكم بالخصوصية كذلك وبين كون الحكم الشرعي في كلي تلك الخصوصية الذي هو فتوى المجتهد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لك أن دليل التقليد حينئذ هو جميع ما في الكتاب والسنة من الأمر بأخذ ما أنزل الله تعالى والقيام بالقسط والعدل ونحو ذلك، واختلاف المجتهدين بسبب اختلاف الموازين التي قررها صاحب الشرع لمعرفة الأحكام غير قادح في كون الجميع مما أنزل الله تعالى شأنه من الحكم، فإن ظنية الطريق لا تنافي قطعية الحكم كما هو مقرر في محله</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الجواهر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فمع عدم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الزمان، ينفذ قضاء الفقيه من فقهاء أهل البيت الجامع للصفات </w:t>
      </w:r>
      <w:bookmarkStart w:id="1080" w:name="pg8204_101474"/>
    </w:p>
    <w:p>
      <w:pPr>
        <w:pStyle w:val="BookText"/>
        <w:rPr/>
      </w:pPr>
      <w:bookmarkEnd w:id="1080"/>
      <w:r>
        <w:rPr>
          <w:rFonts w:ascii="Amiri" w:hAnsi="Amiri" w:eastAsia="Amiri" w:cs="Amiri"/>
          <w:color w:val="111111"/>
          <w:sz w:val="28"/>
          <w:sz w:val="28"/>
          <w:szCs w:val="28"/>
          <w:rtl w:val="true"/>
          <w:lang w:bidi="ar-SA"/>
        </w:rPr>
        <w:t>المشترطة في الفتوى المذكورة في كتب الأصول وبعض كتب الفروع بلا خلاف أجده فيه، بل الإجماع بقسميه عليه</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وقال بعد استعراضه روايات أبي خديجة وابن حنظلة وداود بن الحصين والنميري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حينئذ مأذون منهم ومنصوب من قبلهم في الحكم بين الناس بحكمهم، لا أن هذا الشرط ساقط في زمن الغيبة، كما توهمه عبارة المسالك، بل ظاهر خبر أبي خديجة الاكتفاءبتجزي الاجتهاد في الحكومة، لصدق معرفة شي‌ء من قضائهم</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8924710_1051229030"/>
      <w:bookmarkStart w:id="1082" w:name="_Toc394"/>
      <w:bookmarkEnd w:id="1081"/>
      <w:r>
        <w:rPr>
          <w:rtl w:val="true"/>
        </w:rPr>
        <w:t>أدلة الاحتياج إلى النصب ومناقشاتها</w:t>
      </w:r>
      <w:bookmarkEnd w:id="1082"/>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ينبغي أن يتكلم في أنه إذا كان فقيه مبسوط اليد مستول على البلاد ينصب الولاة والقضاة ويجبي الأموال ويقوم بشؤون الحرب والسلم إلى غير ذلك من الشؤون العامة للأُمة، فهل يحق لمتخاصمين أن يتحاكما إلى مجتهد آخر ليس منصوباً للقضاء من جانب الفقيه المبسوط اليد؟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أدلة التحاكم إلى الجامع للشرائط فأي تأثير بعد ذلك لمبسوط اليد، ومن أن مثل ذلك يوجب الهرج والمرج وأن الإذن بالرجوع إلى كل جامع للشرائط لا يشمل المقام، لانصرافه عما إذا كان حكم قائم بإذنهم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إعطاءهم الولاية العامة للفقيه المستولي يلازم عرفاً شمول إذنهم الإذن العام لكل جامع للشرائط في حال استيلاء الفقيه، وإلا جاز أن يقاطع الناس قاضي الفقيه المستولي وينصرفوا إلى قاض آخر، وفي ذلك تضعيف لمقام الدولة الشرعية، وهذا وإن كان أقرب للاعتبار خصوصاً مع ملاحظة أن المستولي حاله حال الإمام المبسوط اليد؛ لأنهم حجتهم على الناس </w:t>
      </w:r>
      <w:bookmarkStart w:id="1083" w:name="pg8204_101475"/>
    </w:p>
    <w:p>
      <w:pPr>
        <w:pStyle w:val="BookText"/>
        <w:rPr/>
      </w:pPr>
      <w:bookmarkEnd w:id="1083"/>
      <w:r>
        <w:rPr>
          <w:rFonts w:ascii="Amiri" w:hAnsi="Amiri" w:eastAsia="Amiri" w:cs="Amiri"/>
          <w:color w:val="111111"/>
          <w:sz w:val="28"/>
          <w:sz w:val="28"/>
          <w:szCs w:val="28"/>
          <w:rtl w:val="true"/>
          <w:lang w:bidi="ar-SA"/>
        </w:rPr>
        <w:t xml:space="preserve">كما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مما يدل على الولاية العامة في كل الشؤون إلا ما خرج بالدليل وليس المقام مما خرج، إلا أن الجزم به بحاجة إلى تتبع أكثر وتأمل أعمق</w:t>
      </w:r>
      <w:r>
        <w:rPr>
          <w:rFonts w:eastAsia="Amiri" w:cs="Amiri" w:ascii="Amiri" w:hAnsi="Amiri"/>
          <w:color w:val="111111"/>
          <w:sz w:val="28"/>
          <w:szCs w:val="28"/>
          <w:rtl w:val="true"/>
          <w:lang w:bidi="ar-SA"/>
        </w:rPr>
        <w:t>).</w:t>
      </w:r>
      <w:r>
        <w:rPr>
          <w:rStyle w:val="FootnoteAnchor"/>
          <w:rtl w:val="true"/>
        </w:rPr>
        <w:footnoteReference w:id="1532"/>
      </w:r>
    </w:p>
    <w:p>
      <w:pPr>
        <w:pStyle w:val="Heading5"/>
        <w:numPr>
          <w:ilvl w:val="4"/>
          <w:numId w:val="1"/>
        </w:numPr>
        <w:rPr/>
      </w:pPr>
      <w:bookmarkStart w:id="1084" w:name="__RefHeading___Toc8924712_1051229030"/>
      <w:bookmarkStart w:id="1085" w:name="_Toc395"/>
      <w:bookmarkEnd w:id="1084"/>
      <w:r>
        <w:rPr>
          <w:rtl w:val="true"/>
        </w:rPr>
        <w:t>رد إشكال الهرج والمرج</w:t>
      </w:r>
      <w:bookmarkEnd w:id="1085"/>
    </w:p>
    <w:p>
      <w:pPr>
        <w:pStyle w:val="BookText"/>
        <w:rPr/>
      </w:pPr>
      <w:r>
        <w:rPr>
          <w:rFonts w:ascii="Amiri" w:hAnsi="Amiri" w:eastAsia="Amiri" w:cs="Amiri"/>
          <w:color w:val="111111"/>
          <w:sz w:val="28"/>
          <w:sz w:val="28"/>
          <w:szCs w:val="28"/>
          <w:rtl w:val="true"/>
          <w:lang w:bidi="ar-SA"/>
        </w:rPr>
        <w:t xml:space="preserve">ويرد على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الهرج والمرج، وكما لم يوجبه في حال تصديالسلطان الجائر لا يوجبه في حال تصدي الفقيه العادل، وهل هو إلاّ كرجوع الناس إلى من أحبوا من الأطباء، أو إلى أي خبير في أي حقل، فإذا صح أن لا حق للناس في الرجوع إلى أي طبيب أو مهندس أو محام أو إمام جماعة أو حتى مرجع تقليد بل إلى الذي تعينه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بعض الدول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أن لا حق لهم في الرجوع إلى أي قاض، بل إلى القاضي الذي تعينه الدولة، وكما لا يلزم الهرج والمرج من رجوع الناس إلى أي طبيب أو محام أو مهندس أو إمام جماعة أو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العصور السابقة، حيث لم يكن الطبيب أو المهندس أو غيرهما مقيداً بإجازة الدولة ولم يلزم الهرج والمرج، كذلك لا يلزم من رجوعهم إلى أي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للدولة كسائر الجهات وكعامة المكلفين في كلا الموردين، فيما إذا لم يكن مدعي الطب طبيباً أو القاضي أهلاً، أن ترشد الناس إلى ذلك، لعمومات الأمر بالمعروف وإرشاد الجاهل</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لها منعهما؟ احتمالان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أن يرجع لمن شاء ولا يحق لأحد منعه</w:t>
      </w:r>
      <w:r>
        <w:rPr>
          <w:rStyle w:val="FootnoteAnchor"/>
          <w:rtl w:val="true"/>
        </w:rPr>
        <w:footnoteReference w:id="1533"/>
      </w:r>
      <w:r>
        <w:rPr>
          <w:rFonts w:ascii="Amiri" w:hAnsi="Amiri" w:eastAsia="Amiri" w:cs="Amiri"/>
          <w:color w:val="111111"/>
          <w:sz w:val="28"/>
          <w:sz w:val="28"/>
          <w:szCs w:val="28"/>
          <w:rtl w:val="true"/>
          <w:lang w:bidi="ar-SA"/>
        </w:rPr>
        <w:t>، ولظهور الروايات في أن تعيين القاضي الجامع للشرائط بيد المترافعين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ممن قد عرف حلالنا وحرامنا</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كان منكم قد روى حديثنا ونظر في حلالنا وحرامنا وعرف أحكامنا فارضوا به حاكماً</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إلى غير ذلك، الظاهر في أن تشخيص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جامعاً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بيدهما، كما هو كذلك في كل الموضوعات التي رتب الشارع عليها أحكاماً ومحمولات، بل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ذلك، وكما هو كذلك في مرجع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الحاكم ذلك، فروايات الحكومة حاكمة على ما ذكر من وجهي الاحتمال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يستشكل بكونه شأنه، فإنه أول الكلام بل هو مصادرة، أو يقال بأن ظاهر ونص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أجعلوا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ومبين لدائرة حدود اختيارات الحاكم، فتأمل</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تلك العمومات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والأحكام على أيدي العلماء بالله</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ونظائرهما، وهي شاملة للفقيه الحاكم والمحكوم عليه، وللقاضي الحاكم والمحكوم عليه بوزان واحد، فإذا جاز للحاكم أو القاضي المنصوب منع الآخر بدعوى عدم الصلاحية جاز للفقيه المحكوم والقاضي غير المنصوب منع الحاكم والقاضي المنصوب بدعوى عدم الصلاحية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للفقيه الحاكم عند تشخيصه عدم صلاحية هذا القاضي للقضاء أن يرفع دعوى عليه إلى قاض آخر، وهي دعوى مسموعة، ويكون الحكم ما حكم به القاضي الآخر، فيكون الأمر في هذه المسألة كعكسها وهي ما لو ادعى قاض أو غيره على حاكم أو من رشح نفسه للحكومة فقدانه للشرائط،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كلما استلزم مطلق الهرج والمرج، بل المحرم</w:t>
      </w:r>
      <w:r>
        <w:rPr>
          <w:rStyle w:val="FootnoteAnchor"/>
          <w:rtl w:val="true"/>
        </w:rPr>
        <w:footnoteReference w:id="1538"/>
      </w:r>
      <w:r>
        <w:rPr>
          <w:rFonts w:ascii="Amiri" w:hAnsi="Amiri" w:eastAsia="Amiri" w:cs="Amiri"/>
          <w:color w:val="111111"/>
          <w:sz w:val="28"/>
          <w:sz w:val="28"/>
          <w:szCs w:val="28"/>
          <w:rtl w:val="true"/>
          <w:lang w:bidi="ar-SA"/>
        </w:rPr>
        <w:t>الهرج والمرج المستلزم لدرجة خاصة من اختلال النظام، كما مر في موضع آخر، وإلاّ لكان لقائل أن يقول بعدم جواز حكم أي فقيه بالهلال مثلاً مع وجود الفقيه الحاكم؟ وأن يقول بعدم صحة اعتراض أي فقيه أو أي خبير على الدولة لاستلزام كليهما نوعاً من الهرج والمرج؟ وأن يقول بعدم جواز تأسيس أية شركة إلا بإذن الدولة، كما هو في قانون بعض الدول مستدلين بنفس هذا الدليل؟ وهكذا وهلّم جراً، مما يؤدي إلى الدكتاتورية وإلى تكريس بعض مبادئ الاشتراكية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ووجود حكم قائم بإذنهم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الإذن العاملكل جامع للشرائط بالقضاء</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الانصراف غير تامة، ولا أقل من كونه بدوياً، إضافة إلى ما سبق من أن الدليل الدال على الإذن للفقيه بالحكومة ونصبه لها هو نفس الدليل الدال على الإذن له بالقضاء ونصبه له، وهو ظاهر في أن لكل فقيه منصبين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والقضاء، سواء وصل إلى السلطة أم لا، وكما لا يسقط سائر الفقهاء عن منصب الحكومة بتسلم أحدهم للسلطة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لكون الحكم شورى بين الفقهاء كما سبق أن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يسقطون عن منصب القضاء الدالة أدلته على فعليته لهم مع جمع الشرائط، ولا دليل على أن منها نصب أحدهم، ولو كان </w:t>
      </w:r>
      <w:bookmarkStart w:id="1086" w:name="pg8204_101478"/>
    </w:p>
    <w:p>
      <w:pPr>
        <w:pStyle w:val="BookText"/>
        <w:rPr/>
      </w:pPr>
      <w:bookmarkEnd w:id="1086"/>
      <w:r>
        <w:rPr>
          <w:rFonts w:ascii="Amiri" w:hAnsi="Amiri" w:eastAsia="Amiri" w:cs="Amiri"/>
          <w:color w:val="111111"/>
          <w:sz w:val="28"/>
          <w:sz w:val="28"/>
          <w:szCs w:val="28"/>
          <w:rtl w:val="true"/>
          <w:lang w:bidi="ar-SA"/>
        </w:rPr>
        <w:t>مبسوط اليد، للآخر</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8924714_1051229030"/>
      <w:bookmarkStart w:id="1088" w:name="_Toc396"/>
      <w:bookmarkEnd w:id="1087"/>
      <w:r>
        <w:rPr>
          <w:rtl w:val="true"/>
        </w:rPr>
        <w:t>وأما قوله</w:t>
      </w:r>
      <w:r>
        <w:rPr>
          <w:rtl w:val="true"/>
        </w:rPr>
        <w:t>: (</w:t>
      </w:r>
      <w:r>
        <w:rPr>
          <w:rtl w:val="true"/>
        </w:rPr>
        <w:t>وإن شئت قلت</w:t>
      </w:r>
      <w:r>
        <w:rPr>
          <w:rtl w:val="true"/>
        </w:rPr>
        <w:t>..).</w:t>
      </w:r>
      <w:bookmarkEnd w:id="1088"/>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أول الكلام، إذ الكلام في نفس دعوى إعطاء الولاية العامة بحيث تشمل ساير المجتهدين، إذ لا يعلم من الأدلة الدالة على إعطائه منصب الحكومة</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والدالة على أعطائه منصب القضاء كالمقبولة وخبري أبي خديجة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ولايته بحيث لا إذن لغيره في التصدي للقضاء مع وجوده، بل سيأتي ظهور الأدلة في العدم،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الولاية العامة للفقيه لا للفقيه المستولي، فإنه لا يوجد حتى دليل واحد على ذلك، بل الأدلة على العدم</w:t>
      </w:r>
      <w:r>
        <w:rPr>
          <w:rStyle w:val="FootnoteAnchor"/>
          <w:rtl w:val="true"/>
        </w:rPr>
        <w:footnoteReference w:id="1540"/>
      </w:r>
      <w:r>
        <w:rPr>
          <w:rFonts w:ascii="Amiri" w:hAnsi="Amiri" w:eastAsia="Amiri" w:cs="Amiri"/>
          <w:color w:val="111111"/>
          <w:sz w:val="28"/>
          <w:sz w:val="28"/>
          <w:szCs w:val="28"/>
          <w:rtl w:val="true"/>
          <w:lang w:bidi="ar-SA"/>
        </w:rPr>
        <w:t>، فلا يمكن دعوى استلزامه لما ذكره من اللازم، وإلا بأن ادعي إعطاء الولاية للفقيه المستولي فقط لزم استثناء الأكثر شبه المستغرق إن أريد به كل الصور، وأما دعوى إعطائها للكل في صورة عدم استيلاء أحدهم وللمستولي في صورة استيلاء أحدهم فعارية عن الدليل، بل الدليل على خلافها كما فصلناه في موضع آخر</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ذلك لعدم كون الفقيه الحاكم منصوباً للقضاء بما هو جامع للشرائط، بل بما هو منصوب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الالتزام إما بعدم صحة كونه قاضياً، أو كونه قاضياً منصوباً من قبل نفسه، وكلاهما كما ترى، فتأمل</w:t>
      </w:r>
      <w:r>
        <w:rPr>
          <w:rFonts w:eastAsia="Amiri" w:cs="Amiri" w:ascii="Amiri" w:hAnsi="Amiri"/>
          <w:color w:val="111111"/>
          <w:sz w:val="28"/>
          <w:szCs w:val="28"/>
          <w:rtl w:val="true"/>
          <w:lang w:bidi="ar-SA"/>
        </w:rPr>
        <w:t xml:space="preserve">. </w:t>
      </w:r>
      <w:bookmarkStart w:id="1089" w:name="pg8204_101479"/>
    </w:p>
    <w:p>
      <w:pPr>
        <w:pStyle w:val="Heading5"/>
        <w:numPr>
          <w:ilvl w:val="4"/>
          <w:numId w:val="1"/>
        </w:numPr>
        <w:rPr/>
      </w:pPr>
      <w:bookmarkStart w:id="1090" w:name="__RefHeading___Toc8924716_1051229030"/>
      <w:bookmarkStart w:id="1091" w:name="_Toc397"/>
      <w:bookmarkEnd w:id="1089"/>
      <w:bookmarkEnd w:id="1090"/>
      <w:r>
        <w:rPr>
          <w:rtl w:val="true"/>
        </w:rPr>
        <w:t>وأما قوله</w:t>
      </w:r>
      <w:r>
        <w:rPr>
          <w:rtl w:val="true"/>
        </w:rPr>
        <w:t>: (</w:t>
      </w:r>
      <w:r>
        <w:rPr>
          <w:rtl w:val="true"/>
        </w:rPr>
        <w:t>وإلا جاز</w:t>
      </w:r>
      <w:r>
        <w:rPr>
          <w:rtl w:val="true"/>
        </w:rPr>
        <w:t xml:space="preserve">... </w:t>
      </w:r>
      <w:r>
        <w:rPr>
          <w:rtl w:val="true"/>
        </w:rPr>
        <w:t>وفي ذلك تضعيف لمقام الدولة الشرعية</w:t>
      </w:r>
      <w:r>
        <w:rPr>
          <w:rtl w:val="true"/>
        </w:rPr>
        <w:t>)</w:t>
      </w:r>
      <w:bookmarkEnd w:id="1091"/>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تلازم بين عدم جواز مقاطعة قاضي الفقيه المستولي وبين عدم نصب سائر الفقهاء بالإذن العام، ولا بين الجواز والنصب، فيلتزم بنصب سائر الفقهاء وبجواز رجوع الناس إليهم لا إلى حدّ الإعراض المطلق عن قاضي الفقيه،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حرمة تضعيف الدولة الشرعية إذا كان بالحق؛ وهل ذلك إلا كإعراض الناس عن تقليد أحد الفقهاء أو عن الرجوع إلى أحد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عدم استيلاء الفقيه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لتضعيف مقام هذا الفقيه أو القاضي، وهل يلتزم أحد بذلك؟</w:t>
      </w:r>
    </w:p>
    <w:p>
      <w:pPr>
        <w:pStyle w:val="BookText"/>
        <w:rPr/>
      </w:pPr>
      <w:r>
        <w:rPr>
          <w:rFonts w:ascii="Amiri" w:hAnsi="Amiri" w:eastAsia="Amiri" w:cs="Amiri"/>
          <w:color w:val="111111"/>
          <w:sz w:val="28"/>
          <w:sz w:val="28"/>
          <w:szCs w:val="28"/>
          <w:rtl w:val="true"/>
          <w:lang w:bidi="ar-SA"/>
        </w:rPr>
        <w:t xml:space="preserve">فإذا كان المنصوبون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متعددين، كان الناس مخيرين في الرجوع لأي واحد شاؤوا، وليس للفقيه أن يلزمهم بالرجوع لمن عينه ككل واجب تخييري، وهذا القدر من التضعيف على فرضه لا بأس به، وهل هو إلا كإعراض الناس عن شراء بضائع الدولة وإقبالهم على شراء بضائع التجار؟ وهل يلتزم بحرمة ذلك لأنه تضعيف للدولة؟ وكذا الأمر في أشباهه وهو كثير؛ وهل يحق للفقيه الحاكم أن ينتخب أحد أفراد الواجب التخييري ثم يجبر الناس على انتخابه بدعوى أن في عدمه تضعيفاً للدولة الشرعية؟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إن تم يستلزم عدم صحة الإذن العام لكل جامع للشرائط لتولي القضاء، لا عدم الوقوع، والصحة إجماعية، فتأمل</w:t>
      </w:r>
      <w:r>
        <w:rPr>
          <w:rFonts w:eastAsia="Amiri" w:cs="Amiri" w:ascii="Amiri" w:hAnsi="Amiri"/>
          <w:color w:val="111111"/>
          <w:sz w:val="28"/>
          <w:szCs w:val="28"/>
          <w:rtl w:val="true"/>
          <w:lang w:bidi="ar-SA"/>
        </w:rPr>
        <w:t xml:space="preserve">. </w:t>
      </w:r>
      <w:bookmarkStart w:id="1092" w:name="pg8204_101480"/>
    </w:p>
    <w:p>
      <w:pPr>
        <w:pStyle w:val="Heading5"/>
        <w:numPr>
          <w:ilvl w:val="4"/>
          <w:numId w:val="1"/>
        </w:numPr>
        <w:rPr/>
      </w:pPr>
      <w:bookmarkStart w:id="1093" w:name="__RefHeading___Toc8924718_1051229030"/>
      <w:bookmarkStart w:id="1094" w:name="_Toc398"/>
      <w:bookmarkEnd w:id="1092"/>
      <w:bookmarkEnd w:id="1093"/>
      <w:r>
        <w:rPr>
          <w:rtl w:val="true"/>
        </w:rPr>
        <w:t>وأما قوله</w:t>
      </w:r>
      <w:r>
        <w:rPr>
          <w:rtl w:val="true"/>
        </w:rPr>
        <w:t>: (</w:t>
      </w:r>
      <w:r>
        <w:rPr>
          <w:rtl w:val="true"/>
        </w:rPr>
        <w:t>خصوصاً مع ملاحظة</w:t>
      </w:r>
      <w:r>
        <w:rPr>
          <w:rtl w:val="true"/>
        </w:rPr>
        <w:t>...)</w:t>
      </w:r>
      <w:bookmarkEnd w:id="1094"/>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كون الحجية لهم جميعاً، لأن الأدلة عامة، وكون حجيتهم على الناس في عرض حجية القضاة عليهم، إضافة إلى أن كون شخصٍ حجة لمولى من الموالي، أعم من ثبوت ما له من الحقوق والأحكام الوضعية، له</w:t>
      </w:r>
      <w:r>
        <w:rPr>
          <w:rStyle w:val="FootnoteAnchor"/>
          <w:rtl w:val="true"/>
        </w:rPr>
        <w:footnoteReference w:id="1541"/>
      </w:r>
      <w:r>
        <w:rPr>
          <w:rFonts w:ascii="Amiri" w:hAnsi="Amiri" w:eastAsia="Amiri" w:cs="Amiri"/>
          <w:color w:val="111111"/>
          <w:sz w:val="28"/>
          <w:sz w:val="28"/>
          <w:szCs w:val="28"/>
          <w:rtl w:val="true"/>
          <w:lang w:bidi="ar-SA"/>
        </w:rPr>
        <w:t>مع بُعد كونه في مقام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المقام مما خرج لعمومات وإطلاقات الإذن بتولي القضاء لكل من جمع الشرائط،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إطلاقاتهم أن لكل من جمع الشرائط أن يقضي بين الناس دون حاجة لإذن الفقيه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عدم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قضاء الفقيه من فقهاء أهل البيت الجامع للشرائط المشترطة في الفتوى، 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فاجعلوه بينكم قاضياً فإني جعلته قاضياً فتحاكموا إليه</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وتبعه الجواهر</w:t>
      </w:r>
      <w:r>
        <w:rPr>
          <w:rStyle w:val="FootnoteAnchor"/>
          <w:rtl w:val="true"/>
        </w:rPr>
        <w:footnoteReference w:id="1542"/>
      </w:r>
      <w:r>
        <w:rPr>
          <w:rFonts w:ascii="Amiri" w:hAnsi="Amiri" w:eastAsia="Amiri" w:cs="Amiri"/>
          <w:color w:val="111111"/>
          <w:sz w:val="28"/>
          <w:sz w:val="28"/>
          <w:szCs w:val="28"/>
          <w:rtl w:val="true"/>
          <w:lang w:bidi="ar-SA"/>
        </w:rPr>
        <w:t>، والمسالك</w:t>
      </w:r>
      <w:r>
        <w:rPr>
          <w:rStyle w:val="FootnoteAnchor"/>
          <w:rtl w:val="true"/>
        </w:rPr>
        <w:footnoteReference w:id="1543"/>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bookmarkStart w:id="1095" w:name="pg8204_101481"/>
    </w:p>
    <w:p>
      <w:pPr>
        <w:pStyle w:val="Heading5"/>
        <w:numPr>
          <w:ilvl w:val="4"/>
          <w:numId w:val="1"/>
        </w:numPr>
        <w:rPr/>
      </w:pPr>
      <w:bookmarkStart w:id="1096" w:name="__RefHeading___Toc8924720_1051229030"/>
      <w:bookmarkStart w:id="1097" w:name="_Toc399"/>
      <w:bookmarkEnd w:id="1095"/>
      <w:bookmarkEnd w:id="1096"/>
      <w:r>
        <w:rPr>
          <w:rtl w:val="true"/>
        </w:rPr>
        <w:t>المسألة الثالثة</w:t>
      </w:r>
      <w:r>
        <w:rPr>
          <w:rtl w:val="true"/>
        </w:rPr>
        <w:t xml:space="preserve">: </w:t>
      </w:r>
      <w:r>
        <w:rPr>
          <w:rtl w:val="true"/>
        </w:rPr>
        <w:t>هل للفقيه الحاكم عزل القاضي؟</w:t>
      </w:r>
      <w:bookmarkEnd w:id="1097"/>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باحتياج الفقيه الذي يريد تولي القضاء إلى إذن الفقيه الحاكم، كما احتمله أو قربه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للفقيه الحاكم أن يعزل قاضيه اقتراحاً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أن يفقد أحد الشرائط المعتبرة في القاضي ودون أن تقتضي المصلحة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فيعزله لمجرد وجود بديلٍ مساوٍ له مثلاً، فإنه مخير بينهما استمراراً كتخيره ابتداءً، فالموازنة بين الحاكم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القاضي أيضاً محفوظة، إذ للحاكم أن يعزل القاضي، وللقاضي بل لأي واحد من أفراد الأمة أن يرفع دعوى على الحاكم فيما إذا حاد عن الصراط، فيترافعان إلى قاضٍ آخر، إذ قد سبق سماع الدعوى على القاضي، كما ارتضاه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في الحكومات إساءة استغلال ذلك، ومصادرة مثل هذا الحق فإن الحاكم يستأثر بالتدريج بكل السلطات، وتكون بيده أدوات الترغيب والترهيب فلا يجرؤ أحد بمرور الزمان على الشكاية على من بيده الأمر، لذا كان اللازم وضع ضمانات وضوابط لضمان ذلك</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احتياج الفقيه في القضاء إلى إذن الفقيه الحاكم، كما هو المشهور،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أن يعزل قاضيه الذي نصبه هو اقتراحاً، كما هو المنصور، فإن حفظ التوازن بين الحاكم والقاضي أوضح، إذ للحاكم أن يعزل من نصبه هو للقضاء</w:t>
      </w:r>
      <w:r>
        <w:rPr>
          <w:rStyle w:val="FootnoteAnchor"/>
          <w:rtl w:val="true"/>
        </w:rPr>
        <w:footnoteReference w:id="1544"/>
      </w:r>
      <w:r>
        <w:rPr>
          <w:rFonts w:ascii="Amiri" w:hAnsi="Amiri" w:eastAsia="Amiri" w:cs="Amiri"/>
          <w:color w:val="111111"/>
          <w:sz w:val="28"/>
          <w:sz w:val="28"/>
          <w:szCs w:val="28"/>
          <w:rtl w:val="true"/>
          <w:lang w:bidi="ar-SA"/>
        </w:rPr>
        <w:t>لا سائر الفقهاء القضاة الذين لم ينصبهم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فالقضاء سلطة مستقلة عن سلطة الحكومة، إذ كل من جمع الشرائط له أن يتولى القضاء وليس للحاكم عزل من لمينصبه هو منهم، وكما تسمع دعوى القاضي على الحاكم تسمع دعوى الحاكم على القاضي</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احتياج الفقيه في القضاء إلى إذن الفقيه الحاكم،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عزله لقاضيه اقتراحاً كما انتخبه الشرايع وبعض آخر، فاستقلال القوة القضائية عن الحاكم أو شورى الفقهاء أوضح، فإن دعوى كل منهما على الآخر مسموعة، وليس له أن يعزل من نصبه اقتراحاً، بل إذا كانت المصلحة في ذلك، فإن ادعى القاضي عليه أنه عزله اقتراحاً سمعت الدعوى وترافعا إلى قاضٍ آخر، فلا يتيسر لهذا أن يحيد عن الحق، كما لا يسهل على ذاك</w:t>
      </w:r>
      <w:r>
        <w:rPr>
          <w:rFonts w:eastAsia="Amiri" w:cs="Amiri" w:ascii="Amiri" w:hAnsi="Amiri"/>
          <w:color w:val="111111"/>
          <w:sz w:val="28"/>
          <w:szCs w:val="28"/>
          <w:rtl w:val="true"/>
          <w:lang w:bidi="ar-SA"/>
        </w:rPr>
        <w:t xml:space="preserve">.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8" w:name="pg8204_101484"/>
      <w:bookmarkStart w:id="1099" w:name="pg8204_101484"/>
      <w:bookmarkEnd w:id="1099"/>
    </w:p>
    <w:p>
      <w:pPr>
        <w:pStyle w:val="Heading2"/>
        <w:numPr>
          <w:ilvl w:val="1"/>
          <w:numId w:val="1"/>
        </w:numPr>
        <w:rPr/>
      </w:pPr>
      <w:bookmarkStart w:id="1100" w:name="pg8204_101484"/>
      <w:bookmarkStart w:id="1101" w:name="__RefHeading___Toc8924722_1051229030"/>
      <w:bookmarkStart w:id="1102" w:name="_Toc400"/>
      <w:bookmarkEnd w:id="1100"/>
      <w:bookmarkEnd w:id="1101"/>
      <w:r>
        <w:rPr>
          <w:rtl w:val="true"/>
        </w:rPr>
        <w:t>خاتمة</w:t>
      </w:r>
      <w:bookmarkEnd w:id="1102"/>
    </w:p>
    <w:p>
      <w:pPr>
        <w:pStyle w:val="Heading3"/>
        <w:numPr>
          <w:ilvl w:val="2"/>
          <w:numId w:val="1"/>
        </w:numPr>
        <w:rPr/>
      </w:pPr>
      <w:bookmarkStart w:id="1103" w:name="__RefHeading___Toc8924724_1051229030"/>
      <w:bookmarkStart w:id="1104" w:name="_Toc401"/>
      <w:bookmarkEnd w:id="1103"/>
      <w:r>
        <w:rPr>
          <w:rtl w:val="true"/>
        </w:rPr>
        <w:t>اشارة</w:t>
      </w:r>
      <w:bookmarkEnd w:id="1104"/>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عدم استلزام شمول أدلة الحجية للمتعارضين الجمع بين الممتناقضين أو المتضادين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5" w:name="pg8204_101486"/>
      <w:bookmarkStart w:id="1106" w:name="pg8204_101486"/>
      <w:bookmarkEnd w:id="1106"/>
    </w:p>
    <w:p>
      <w:pPr>
        <w:pStyle w:val="Heading3"/>
        <w:numPr>
          <w:ilvl w:val="2"/>
          <w:numId w:val="1"/>
        </w:numPr>
        <w:rPr/>
      </w:pPr>
      <w:bookmarkStart w:id="1107" w:name="pg8204_101486"/>
      <w:bookmarkStart w:id="1108" w:name="__RefHeading___Toc8924726_1051229030"/>
      <w:bookmarkStart w:id="1109" w:name="_Toc402"/>
      <w:bookmarkEnd w:id="1107"/>
      <w:bookmarkEnd w:id="1108"/>
      <w:r>
        <w:rPr>
          <w:rtl w:val="true"/>
        </w:rPr>
        <w:t>أدلة حجية المتعارضين وعدم التضاد والتناقض</w:t>
      </w:r>
      <w:bookmarkEnd w:id="1109"/>
    </w:p>
    <w:p>
      <w:pPr>
        <w:pStyle w:val="BookText"/>
        <w:rPr/>
      </w:pPr>
      <w:r>
        <w:rPr>
          <w:rFonts w:ascii="Amiri" w:hAnsi="Amiri" w:eastAsia="Amiri" w:cs="Amiri"/>
          <w:color w:val="111111"/>
          <w:sz w:val="28"/>
          <w:sz w:val="28"/>
          <w:szCs w:val="28"/>
          <w:rtl w:val="true"/>
          <w:lang w:bidi="ar-SA"/>
        </w:rPr>
        <w:t>حيث قد سبق كثيراً في الكتاب الاستناد إلى شمول أدلة الحجية للمتعارضين، وإدعاء عدم محالية ذلك، كان من المحبذ التطرق لذلك مستوعباً فنقول</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على التمسك بالإطلاق، أنا ذكرنا غير مرة أن إطلاق أدلة الحجية لا يشمل المتعارضين، ولا مجال فيها للتمسك بالإطلاق، بلا فرق في ذلك بين الشبهات الحكمية والموضوعية، كما إذا ورد خبران دل أحدهما على وجوب شيء والآخر على حرمته، أو قامت بينة على طهارة شيء والأخرى على نجاسته، فإنه لا يشمل أدلة اعتبار الخبر أو البينة أو غيرهما من الحجج والأمارات شيئاً منها، وسرّه أن شمولها لكلا المتعارضين يستلزم الجمع بين الضدين أو النقيضين، وشمولها لأحدهما المعين دون الآخر بلا مرجح، ولأحدهما المخير، أعنى أحدهما لا بعينه، لا دليل عليه، لأن مفاد أدلة الاعتبار إنما هي الحجية التعيينية لا حجية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مقتضى القاعدة هو التساقط في كل دليلين متعارضين، اللهم إلا أن يقوم دليل على ترجيح أحدهما أو على التخيير كالأخبار العلاجية، وهو مختص بالخبرين المتعارضين ولا دليل عليه في سائر الدليلين المتعارضين، والمقام من هذا القبيل، فإطلاقات أدلة التقليد غير شاملة لفتويي الأعلم وغيره مع المعارضة، بل لابد من الحكم بتساقطهما كما في غير المقام</w:t>
      </w:r>
      <w:r>
        <w:rPr>
          <w:rFonts w:eastAsia="Amiri" w:cs="Amiri" w:ascii="Amiri" w:hAnsi="Amiri"/>
          <w:color w:val="111111"/>
          <w:sz w:val="28"/>
          <w:szCs w:val="28"/>
          <w:rtl w:val="true"/>
          <w:lang w:bidi="ar-SA"/>
        </w:rPr>
        <w:t>).</w:t>
      </w:r>
      <w:r>
        <w:rPr>
          <w:rStyle w:val="FootnoteAnchor"/>
          <w:rtl w:val="true"/>
        </w:rPr>
        <w:footnoteReference w:id="1545"/>
      </w:r>
      <w:bookmarkStart w:id="1110" w:name="pg8204_101487"/>
    </w:p>
    <w:p>
      <w:pPr>
        <w:pStyle w:val="Heading3"/>
        <w:numPr>
          <w:ilvl w:val="2"/>
          <w:numId w:val="1"/>
        </w:numPr>
        <w:rPr/>
      </w:pPr>
      <w:bookmarkStart w:id="1111" w:name="__RefHeading___Toc8924728_1051229030"/>
      <w:bookmarkStart w:id="1112" w:name="_Toc403"/>
      <w:bookmarkEnd w:id="1110"/>
      <w:bookmarkEnd w:id="1111"/>
      <w:r>
        <w:rPr>
          <w:rtl w:val="true"/>
        </w:rPr>
        <w:t>وربما يورد عليه بوجوه</w:t>
      </w:r>
      <w:r>
        <w:rPr>
          <w:rtl w:val="true"/>
        </w:rPr>
        <w:t>:</w:t>
      </w:r>
      <w:bookmarkEnd w:id="1112"/>
    </w:p>
    <w:p>
      <w:pPr>
        <w:pStyle w:val="Heading3"/>
        <w:numPr>
          <w:ilvl w:val="2"/>
          <w:numId w:val="1"/>
        </w:numPr>
        <w:rPr/>
      </w:pPr>
      <w:bookmarkStart w:id="1113" w:name="__RefHeading___Toc8924730_1051229030"/>
      <w:bookmarkStart w:id="1114" w:name="_Toc404"/>
      <w:bookmarkEnd w:id="1113"/>
      <w:r>
        <w:rPr>
          <w:rtl w:val="true"/>
        </w:rPr>
        <w:t>الوجه الأول</w:t>
      </w:r>
      <w:r>
        <w:rPr>
          <w:rtl w:val="true"/>
        </w:rPr>
        <w:t>:</w:t>
      </w:r>
      <w:bookmarkEnd w:id="11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w:t>
      </w:r>
      <w:r>
        <w:rPr>
          <w:rStyle w:val="FootnoteAnchor"/>
          <w:rtl w:val="true"/>
        </w:rPr>
        <w:footnoteReference w:id="1546"/>
      </w:r>
      <w:r>
        <w:rPr>
          <w:rFonts w:ascii="Amiri" w:hAnsi="Amiri" w:eastAsia="Amiri" w:cs="Amiri"/>
          <w:color w:val="111111"/>
          <w:sz w:val="28"/>
          <w:sz w:val="28"/>
          <w:szCs w:val="28"/>
          <w:rtl w:val="true"/>
          <w:lang w:bidi="ar-SA"/>
        </w:rPr>
        <w:t>في الشبهات الموضوعية، بمن قامت عنده البينة على نجاسة شيء، فوظيفته الاجتناب عنه، كما أن من لم تقمعنده البينة على نجاسته وظيفته الحكم بطهارته، حسب قاعدة الطهارة، لتحقق موضوعها بالوجدان وهو الشك في الطهارة، وقد التزم بذلك في التنقيح</w:t>
      </w:r>
      <w:r>
        <w:rPr>
          <w:rStyle w:val="FootnoteAnchor"/>
          <w:rtl w:val="true"/>
        </w:rPr>
        <w:footnoteReference w:id="1547"/>
      </w:r>
      <w:r>
        <w:rPr>
          <w:rFonts w:ascii="Amiri" w:hAnsi="Amiri" w:eastAsia="Amiri" w:cs="Amiri"/>
          <w:color w:val="111111"/>
          <w:sz w:val="28"/>
          <w:sz w:val="28"/>
          <w:szCs w:val="28"/>
          <w:rtl w:val="true"/>
          <w:lang w:bidi="ar-SA"/>
        </w:rPr>
        <w:t>، فكما يستحيل اعتبار المتضادين أو المتناقضين يستحيل الاعتبار وعدم الاعتبار، ولا فرق بين وجود دليل واحد يستلزم بعمومه الجمع بين الضدين أو النقيضين وبين وجود دليلين يدل أحدهما على أحد النقيضين أو الضدين والآخر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بالنسبة إلى شخص وهو من قامت عنده البينة، وعدم الاعتبار بالنسبة إلى شخص آخر وهو من لم تقم</w:t>
      </w:r>
      <w:r>
        <w:rPr>
          <w:rStyle w:val="FootnoteAnchor"/>
          <w:rtl w:val="true"/>
        </w:rPr>
        <w:footnoteReference w:id="1548"/>
      </w:r>
      <w:r>
        <w:rPr>
          <w:rFonts w:ascii="Amiri" w:hAnsi="Amiri" w:eastAsia="Amiri" w:cs="Amiri"/>
          <w:color w:val="111111"/>
          <w:sz w:val="28"/>
          <w:sz w:val="28"/>
          <w:szCs w:val="28"/>
          <w:rtl w:val="true"/>
          <w:lang w:bidi="ar-SA"/>
        </w:rPr>
        <w:t>، أو بالنسبة إلى جزء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الجواب، إذ نقول حجية رأي الأعلم واعتباره لمقلده أو للآخذ بقوله، واعتبار ذاك الآخر لمقلده</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يلزم من شمول أدلة الحجية لكليهما الجمع بين الضدين أو المتناقضين، إذ هذا يتم لو التزمنا بوجوب تقليد العامي لجميع المجتهدين، وهو واضح البطلان، أما لو التزمنا بوجوب تقليد العامي مجتهداً واحداً في المسألة المعينة، فلا يلزم من اعتبار الرأيين الجمع بين المتضادين، لا في مرحلة الجعل ولا في مرحلة الامتثال، إذ لم يعتبرا في حق شخص واحد، بل اعتبر كل في حق مقلِّد، ولا يلزم من اعتبار الوجوب في حق شخص وهو مقلد زيد مثلاً، واعتبار الحرمة في حق آخر وهو مقلد عمرو مثلاً، التضاد، كما لا يخفى لعدم وحدة المتعلق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فكما أن اعتبار الطهارة في حق زيد وعدم اعتبارها في حق زيد نفسه مستلزم للتناقض، دون اعتبارها في حق زيد وعدم اعتبارها في حق عمرو، ولو لتبدل الموضوع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1549"/>
      </w:r>
      <w:r>
        <w:rPr>
          <w:rFonts w:ascii="Amiri" w:hAnsi="Amiri" w:eastAsia="Amiri" w:cs="Amiri"/>
          <w:color w:val="111111"/>
          <w:sz w:val="28"/>
          <w:sz w:val="28"/>
          <w:szCs w:val="28"/>
          <w:rtl w:val="true"/>
          <w:lang w:bidi="ar-SA"/>
        </w:rPr>
        <w:t>كذلك اعتبار الحرمة وهي فتوى المرجع الأول، واعتبار الوجوب وهي فتوى المرجع الثاني، في حق شخص واحد أو في حقشخصين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وضوح أنَّ من ادعى شمول إطلاقات أدلة الحجية لصورة التعارض لم يدع حجيتهما معاً وبشرط شيء في حق الشخص الواحد، بل أراد حجية رأي هذا لمقلده فقط، وذاك لمقلده فقط، هذا بناءً على عدم جواز العدول أو التبعيض في التقليد، أما بناءً على جوازهما فالأمر كذلك، إذ لم يقل باعتبار كلا الرأيين ولزوم اتباعهما في زمن واحد بل في زمنين، ففي زمن تقليد هذا رأيه حجة، وفي زمن الأخذ برأي الآخر رأيه هو الحجة</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ما ذكره في المصباح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تقييد الحجية في كل منها بالأخذ به، ونتيجة ذلك هو التخيير وجواز الأخذ بأي منها شاء المكلف،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فإن لازمه أن لا يكون شيء من المتعارضين حجة في فرض عدم الأخذ بهما أصلاً، فيكون المكلف مطلق العنان بالنسبة إلى الواقع فيتمسك بالبراءة لو لم يكن في البين دليل آخر من عموم أو إطلاق أو أصل مثبت، للتكليف، ولا يلتزم القائل بالتخيير بذلك، ولا يقاس المقام على التخيير الثابت بالدليل، فإنه لو تمت الأخبار الدالة على التخيير في تعارض الخبرين فهي بنفسها تدل على لزوم الأخذ بأحدهما، وعند تركه يؤاخذ بمخالفة الواقع، نظير الشبهات قبل الفحص التي لا تجري البراءة فيها، وهذا بخلاف ما إذا استفيد التخيير من تقييد دليل الاعتبار فإن مفاده بناءً على التقييد ليس إلا حجية كل من المتعارضين في صورة الأخذ بواحد منها ولا تعرض له لوجوب الأخذ </w:t>
      </w:r>
    </w:p>
    <w:p>
      <w:pPr>
        <w:pStyle w:val="BookText"/>
        <w:rPr/>
      </w:pP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أدلة التخيير على لزوم الأخذ بأحدهما لا يرفع الإشكال، إذ إن حجية كل منهما لو قيد بالأخذ به فإنها سترتفع بعدم الأخذ بها، وجب الأخذ أو لم يجب، فليس وجوب الأخذ فارقاً بين ما لو ثبت التخيير بالدليل وما استفيد من تقييد دليل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يأخذ بأحدهما فعل محرماً تكليفاً، أما وضعاً فكلاهما ليس بحجة لفرض كون الحجية مقيدة بالأخذ، ولا يلتزم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يكن القائل بالتخيير فيما لو استفيدمن تقييد دليل الاعتبار ملتزماً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أتراه يلتزم في موارد التخيير الثابت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الأخبار الدالة على التخيير في تعارض الخبرين</w:t>
      </w: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كلا الخبرين، وإن كان يستحق العقاب بتركهما؟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أسوئية الأمر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يستحق العقاب على مخالفة ما ليس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قلنا إن الحجية بمعنى جعل المماثل، أو بمعنى المنجزية والمعذرية، أو بمعنى الكاشفية والطريقية وجعل ما ليس بعلم علماً على ما مسلكه</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 مع كون وجوب الأخذ بأحد الخبرين طريقياً، فإذا لم يكونا حجة يعني أنهما ليسا بطريقين ولا كاشفين، وكيف يكون ترك الأخذ بما ليس بطريق ولا كاشف محرماً مستحقاً عليه العقاب، اللهم إلا أن يلتزم بالوجوب النفسي وهو كما ترى، فتأمل</w:t>
      </w:r>
      <w:r>
        <w:rPr>
          <w:rFonts w:eastAsia="Amiri" w:cs="Amiri" w:ascii="Amiri" w:hAnsi="Amiri"/>
          <w:color w:val="111111"/>
          <w:sz w:val="28"/>
          <w:szCs w:val="28"/>
          <w:rtl w:val="true"/>
          <w:lang w:bidi="ar-SA"/>
        </w:rPr>
        <w:t>.</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رفعه للإشكال،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استفادة التخيير من تقييد دليل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دال على لزوم الأخذ بأحدهما، وإن لم يكن الدليل اللفظي الدال على حجية كل في صورة الأخذ به، دالاً على لزوم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بأن أحدهما طريق، ولو لم يبتل بالمعارض لكان اللازم الأخذ به، والعلم بأن في تركهما المخالفة القطعية، فتأمل</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لزوم الأخذ بأحدهما،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شك في كون بنائهم على لزوم الأخذ بقول أحد الخبيرين إذا تعارضا لا طرحهما والرجوع إلى أصل البراءة أو الاشتغال مثلاً، لا أقل منمسلمية بنائهم على ذلك عن تعارض الأعلم وغيره، فتأمل</w:t>
      </w:r>
      <w:r>
        <w:rPr>
          <w:rFonts w:eastAsia="Amiri" w:cs="Amiri" w:ascii="Amiri" w:hAnsi="Amiri"/>
          <w:color w:val="111111"/>
          <w:sz w:val="28"/>
          <w:szCs w:val="28"/>
          <w:rtl w:val="true"/>
          <w:lang w:bidi="ar-SA"/>
        </w:rPr>
        <w:t>).</w:t>
      </w:r>
      <w:r>
        <w:rPr>
          <w:rStyle w:val="FootnoteAnchor"/>
          <w:rtl w:val="true"/>
        </w:rPr>
        <w:footnoteReference w:id="1555"/>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المحذور الثبوتي الذي ذكره لا يرتفع فيما لو دل الدليل الخارجي على لزوم الأخذ بأحدهما فيما لو تمت دلالة الأخبار على التخيير، كما ادعاه إذ نعود فنسأل في صورة وجود الدال على لزوم الأخذ بأحدهما فهل أحدهما المأخوذ به حجة مطلقاً، أم مقيداً بترك الآخر، أم مقيداً بالأخذ به؟ فإن كان حجة مطلقاً لزم التعبد بالمتناقضين أو المتضادين على ما ذكره، وإن كان حجة بشرط ترك الآخر لزم اتصاف كل منهما بصفة الحجية عند ترك الأخذ بهما، فيعود محذور التعبد بالمتناقضين على ذكره أيضاً، وإن كان حجة بشرط الأخذ به لزم أن لا يكون شيء من المتعارضين حجة في فرض عدم الأخذ بهما أصلاً كما ذكره </w:t>
      </w:r>
      <w:bookmarkStart w:id="1115" w:name="pg8204_101491"/>
    </w:p>
    <w:p>
      <w:pPr>
        <w:pStyle w:val="BookText"/>
        <w:rPr/>
      </w:pPr>
      <w:bookmarkEnd w:id="1115"/>
      <w:r>
        <w:rPr>
          <w:rFonts w:ascii="Amiri" w:hAnsi="Amiri" w:eastAsia="Amiri" w:cs="Amiri"/>
          <w:color w:val="111111"/>
          <w:sz w:val="28"/>
          <w:sz w:val="28"/>
          <w:szCs w:val="28"/>
          <w:rtl w:val="true"/>
          <w:lang w:bidi="ar-SA"/>
        </w:rPr>
        <w:t>أيضاً، ومن الواضح أنه لا يمكنه الالتزام بحجية أحدهما بعينه لما ذكره أيضاً من لزوم الترجيح بلا مرجح، فراجع المصباح</w:t>
      </w:r>
      <w:r>
        <w:rPr>
          <w:rStyle w:val="FootnoteAnchor"/>
          <w:rtl w:val="true"/>
        </w:rPr>
        <w:footnoteReference w:id="1556"/>
      </w:r>
      <w:r>
        <w:rPr>
          <w:rFonts w:ascii="Amiri" w:hAnsi="Amiri" w:eastAsia="Amiri" w:cs="Amiri"/>
          <w:color w:val="111111"/>
          <w:sz w:val="28"/>
          <w:sz w:val="28"/>
          <w:szCs w:val="28"/>
          <w:rtl w:val="true"/>
          <w:lang w:bidi="ar-SA"/>
        </w:rPr>
        <w:t>، وكلما أجاب به عن هذا الإشكال نجيب به على إشكاله على ما نحن فيه، فليدقق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كل منهما مشروطة بترك الآخر أو بالأخذ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8924732_1051229030"/>
      <w:bookmarkStart w:id="1117" w:name="_Toc405"/>
      <w:bookmarkEnd w:id="1116"/>
      <w:r>
        <w:rPr>
          <w:rtl w:val="true"/>
        </w:rPr>
        <w:t>الوجه الثاني</w:t>
      </w:r>
      <w:r>
        <w:rPr>
          <w:rtl w:val="true"/>
        </w:rPr>
        <w:t>:</w:t>
      </w:r>
      <w:bookmarkEnd w:id="1117"/>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الحجية إن كانت بمعنى المنجزية والمعذرية كما التزمه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التعبد بالمتعارضين وجعلهما حجة الجمع بين الضدين أو النقيضين والتعبد بهما، إذ لا مانعة جمع بين كون كلا الرأيين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معذرين فيما لو أخطأ، فكلاهما للعبد أن يعتذر بهما عن المخالفة</w:t>
      </w:r>
      <w:r>
        <w:rPr>
          <w:rStyle w:val="FootnoteAnchor"/>
          <w:rtl w:val="true"/>
        </w:rPr>
        <w:footnoteReference w:id="1557"/>
      </w:r>
      <w:r>
        <w:rPr>
          <w:rFonts w:ascii="Amiri" w:hAnsi="Amiri" w:eastAsia="Amiri" w:cs="Amiri"/>
          <w:color w:val="111111"/>
          <w:sz w:val="28"/>
          <w:sz w:val="28"/>
          <w:szCs w:val="28"/>
          <w:rtl w:val="true"/>
          <w:lang w:bidi="ar-SA"/>
        </w:rPr>
        <w:t xml:space="preserve">، وكون أحدها منجزاً والآخر معذراً لو أصاب أحدهما، وكونهما معذرين يتصور حتى في حق الشخص الواحد في المورد الواحد، أما كون أحدهما منجزاً والآخر معذراً في حق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مقلدا المرجعين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 أما كونهما معاً في حق شخص واحد بل وفي مسألة واحدة أيضاً فيمكن تصويره أيضاً بأن تكون المنجزية واحتجاج المولى على العبد واستحقاقه العقاب مشروطة بعدم سلوك الآخر أو مشروطة بالأخذ به، والإشكال عليه مندفع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بمعنى جعل المماثل</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أيضاً إذ لا مانع</w:t>
      </w:r>
      <w:r>
        <w:rPr>
          <w:rStyle w:val="FootnoteAnchor"/>
          <w:rtl w:val="true"/>
        </w:rPr>
        <w:footnoteReference w:id="1558"/>
      </w:r>
      <w:r>
        <w:rPr>
          <w:rFonts w:ascii="Amiri" w:hAnsi="Amiri" w:eastAsia="Amiri" w:cs="Amiri"/>
          <w:color w:val="111111"/>
          <w:sz w:val="28"/>
          <w:sz w:val="28"/>
          <w:szCs w:val="28"/>
          <w:rtl w:val="true"/>
          <w:lang w:bidi="ar-SA"/>
        </w:rPr>
        <w:t xml:space="preserve">من جعل حكمين ظاهريين على طبق مؤدى الأمارة لشخصين أو جعل الحكم المماثل في حق من أصاب ومقلده وعدم جعل شيء في حق من أخطأ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حكم على طبق مؤدى الأمارة إن خالفت الواقع ولا يجعل شيء إن أصابته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قالوا إن ظنية الطريق لا تنافي </w:t>
      </w:r>
    </w:p>
    <w:p>
      <w:pPr>
        <w:pStyle w:val="BookText"/>
        <w:rPr/>
      </w:pPr>
      <w:r>
        <w:rPr>
          <w:rFonts w:ascii="Amiri" w:hAnsi="Amiri" w:eastAsia="Amiri" w:cs="Amiri"/>
          <w:color w:val="111111"/>
          <w:sz w:val="28"/>
          <w:sz w:val="28"/>
          <w:szCs w:val="28"/>
          <w:rtl w:val="true"/>
          <w:lang w:bidi="ar-SA"/>
        </w:rPr>
        <w:t>قطعية الحكم</w:t>
      </w:r>
      <w:r>
        <w:rPr>
          <w:rFonts w:eastAsia="Amiri" w:cs="Amiri" w:ascii="Amiri" w:hAnsi="Amiri"/>
          <w:color w:val="111111"/>
          <w:sz w:val="28"/>
          <w:szCs w:val="28"/>
          <w:rtl w:val="true"/>
          <w:lang w:bidi="ar-SA"/>
        </w:rPr>
        <w:t>).</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وإن كانت الحجية بمعنى جعل ما ليس بعلم علماً تعبداً، أعني جعل الطريقية إلى الواقع، على ما هو مسلكه</w:t>
      </w:r>
      <w:r>
        <w:rPr>
          <w:rStyle w:val="FootnoteAnchor"/>
          <w:rtl w:val="true"/>
        </w:rPr>
        <w:footnoteReference w:id="1560"/>
      </w:r>
      <w:r>
        <w:rPr>
          <w:rFonts w:ascii="Amiri" w:hAnsi="Amiri" w:eastAsia="Amiri" w:cs="Amiri"/>
          <w:color w:val="111111"/>
          <w:sz w:val="28"/>
          <w:sz w:val="28"/>
          <w:szCs w:val="28"/>
          <w:rtl w:val="true"/>
          <w:lang w:bidi="ar-SA"/>
        </w:rPr>
        <w:t>والذي يكون أثره تنجيز الواقع على تقديل المصادفة والتعذير عنه على تقدير الخطأ</w:t>
      </w:r>
      <w:r>
        <w:rPr>
          <w:rStyle w:val="FootnoteAnchor"/>
          <w:rtl w:val="true"/>
        </w:rPr>
        <w:footnoteReference w:id="1561"/>
      </w:r>
      <w:r>
        <w:rPr>
          <w:rFonts w:ascii="Amiri" w:hAnsi="Amiri" w:eastAsia="Amiri" w:cs="Amiri"/>
          <w:color w:val="111111"/>
          <w:sz w:val="28"/>
          <w:sz w:val="28"/>
          <w:szCs w:val="28"/>
          <w:rtl w:val="true"/>
          <w:lang w:bidi="ar-SA"/>
        </w:rPr>
        <w:t>فالأمر أيضاً كذلك، أي لا يستحيل جعل المتعارضين حجة ولا يستلزم ذلك الجمع بين الضدين أو النقيضين، إذ أي جمع بين الضدين أو النقيضين في جعل هذا طريقاً إلى الواقع ونازلاً منزلة العلم في حق مقلد زيد، وجعل ذاك طريقاً إلى الواقع ونازلاً منزلة العلم في ترتيب الآثار في حق مقلد عمرو؟</w:t>
      </w:r>
    </w:p>
    <w:p>
      <w:pPr>
        <w:pStyle w:val="BookText"/>
        <w:rPr/>
      </w:pPr>
      <w:r>
        <w:rPr>
          <w:rFonts w:ascii="Amiri" w:hAnsi="Amiri" w:eastAsia="Amiri" w:cs="Amiri"/>
          <w:color w:val="111111"/>
          <w:sz w:val="28"/>
          <w:sz w:val="28"/>
          <w:szCs w:val="28"/>
          <w:rtl w:val="true"/>
          <w:lang w:bidi="ar-SA"/>
        </w:rPr>
        <w:t xml:space="preserve">وكما لا تستلزم حجية رأي كلِّ فقيه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وعلى سائر المباني، حتى في صورة تعارض آراء الفقهاء والمجتهدين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النقيضين أو الضدين، لا في مرحلة الامتثال ولا في مرحلة الجعل، كذلك لا تستلزم حجية رأي كل فقيه لمقلده ذلك، بل هو أولى لتبعية حجية رأي الفقيه لمقلده، لحجية رأيه لنفسه، ولجعل الشارع الطريقية للواقع لآرائه،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يريد القائل بشمول أدلة الحجية للفتويين المتعارضتين أزيدمن ذلك، أي حجية رأي كل فقيه لمقلده، وجواز تقليد كل شخص لأي مجتهد ابتداءً، أو ابتداءً واستمراراً، ولا مانعة جمع بين الاعتبارين، كما لا مانعة جمع بين اعتبار هذه الدار ملكاً لزيد وتلك لعمرو، واعتبار هذه ملكاً لزيد دون عمرو</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كونهما حجة في حق الشخص الواحد في المورد الواحد لا يستلزم محذوراً،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تنزيل ما ليس بعلم منزلة العلم، إنما هو بلحاظ الأثر، فإذا كانت الآثار متعددة أمكن التنزيل بلحاظ هذا الأثر وعدمه بلحاظ </w:t>
      </w:r>
    </w:p>
    <w:p>
      <w:pPr>
        <w:pStyle w:val="BookText"/>
        <w:rPr/>
      </w:pPr>
      <w:r>
        <w:rPr>
          <w:rFonts w:ascii="Amiri" w:hAnsi="Amiri" w:eastAsia="Amiri" w:cs="Amiri"/>
          <w:color w:val="111111"/>
          <w:sz w:val="28"/>
          <w:sz w:val="28"/>
          <w:szCs w:val="28"/>
          <w:rtl w:val="true"/>
          <w:lang w:bidi="ar-SA"/>
        </w:rPr>
        <w:t>ذاك، أو تنزيل هذا بلحاظ الأثر وتنزيل ذاك بلحاظ ذاك، فيمكن جعل الفتويين حجة لزيد مثلاً بمعنى تنزيلهما منزلة العلم، فتنزل هذه الفتوى بالحرمة منزلة العلم بها في المنجزية</w:t>
      </w:r>
      <w:r>
        <w:rPr>
          <w:rStyle w:val="FootnoteAnchor"/>
          <w:rtl w:val="true"/>
        </w:rPr>
        <w:footnoteReference w:id="1562"/>
      </w:r>
      <w:r>
        <w:rPr>
          <w:rFonts w:ascii="Amiri" w:hAnsi="Amiri" w:eastAsia="Amiri" w:cs="Amiri"/>
          <w:color w:val="111111"/>
          <w:sz w:val="28"/>
          <w:sz w:val="28"/>
          <w:szCs w:val="28"/>
          <w:rtl w:val="true"/>
          <w:lang w:bidi="ar-SA"/>
        </w:rPr>
        <w:t>، وتلك منزلة العلم بالوجوب في المعذرية، لو كانت الأولى مصيبة في نفس الأمر والثانية مخطئة، أو ينزل كلاهما منزلته في المعذرية</w:t>
      </w:r>
      <w:r>
        <w:rPr>
          <w:rStyle w:val="FootnoteAnchor"/>
          <w:rtl w:val="true"/>
        </w:rPr>
        <w:footnoteReference w:id="1563"/>
      </w:r>
      <w:r>
        <w:rPr>
          <w:rFonts w:ascii="Amiri" w:hAnsi="Amiri" w:eastAsia="Amiri" w:cs="Amiri"/>
          <w:color w:val="111111"/>
          <w:sz w:val="28"/>
          <w:sz w:val="28"/>
          <w:szCs w:val="28"/>
          <w:rtl w:val="true"/>
          <w:lang w:bidi="ar-SA"/>
        </w:rPr>
        <w:t xml:space="preserve">لو كانتا مخطئتين في متن الواقع، ولا تلزم اللغوية من التنزيلين، إذ قد تكون لمصلحة التسهيل والتوسعة على المكلفين، أو لغير ذلك من المصالح، إذ في تنزيلهما منزلة العلم وتسويغ الرجوع إلى المتساويين في العلمية أو إلى الأعلم وغيره تسهيلاً وتوسعةً لا تخفى على الناظر، ولا منافاة بين التنزيلين والاعتبارين إذ اعتبار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لتنزيل الفتوى بها منزلة العلم بها، بلحاظ المنجزية مثلاً، واعتبار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بلحاظ المعذرية، ولا تنافي بين الاعتبارين في مرحلة الجعل، 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 ولا في مرحلة الامتثال إن التزمنا بكون اتباع أحد القولين مسقطاً للآخر عن الحجية والجعل التنزيلي بأن كانت حجية كل منها مشروطة بالأخذ به،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الأثر ينتج إمكان التعبد بها جعلاً، وعدم إمكان الجمع امتثالاًينتج التخيير، ومشروطية كلِّ بالأخذ به،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رفع اليد عن إطلاق دليل الاعتبار بالنسبة إلى كل منها،فتأمل جداً</w:t>
      </w:r>
      <w:r>
        <w:rPr>
          <w:rFonts w:eastAsia="Amiri" w:cs="Amiri" w:ascii="Amiri" w:hAnsi="Amiri"/>
          <w:color w:val="111111"/>
          <w:sz w:val="28"/>
          <w:szCs w:val="28"/>
          <w:rtl w:val="true"/>
          <w:lang w:bidi="ar-SA"/>
        </w:rPr>
        <w:t>.</w:t>
      </w:r>
      <w:r>
        <w:rPr>
          <w:rStyle w:val="FootnoteAnchor"/>
          <w:rtl w:val="true"/>
        </w:rPr>
        <w:footnoteReference w:id="1565"/>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الذي 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الجمع بين الضدين أو النقيضين، 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المدعى ومما يضاده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محالية الجمع يقتضي أحد أمرين على سبيل البدل،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دليل الحجية للمتعارضين،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لهما ورفع اليد عن إطلاقهما المقتضي للتعيين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محذور الجمع بين الضدين والنقيضين يرتفع بكل واحد منهما، ولا يكون اللازم الأعم دليلاً على أحد الملزومين بعينه،إذ الاستحالة لازمة للشمول مع الإطلاق وترتفع بارتفاع الشمول كما ترتفع بارتفاع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بطلان ومحالية اللازم المتفرع على مجموع الموصوف والصفة عدم خصوص الموصوف، بل يتم مع عدم خصوص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صرّح هو أيضاً بوجود هذين الإطلاقين، أي إطلاق أدلة الحجية لشمولها هذه الفتيا وتلك، وإطلاق آخر من جهة أخرى وهو حجية كل منهما أخذ بالآخر أم لم يؤخذ به، كما صرح بعدم إمكان الأخذ بإطلاقها من كلتا الجهتين لاستلزامه الجمع بين الضدين أو النقيضين</w:t>
      </w:r>
      <w:r>
        <w:rPr>
          <w:rStyle w:val="FootnoteAnchor"/>
          <w:rtl w:val="true"/>
        </w:rPr>
        <w:footnoteReference w:id="1566"/>
      </w:r>
      <w:r>
        <w:rPr>
          <w:rFonts w:ascii="Amiri" w:hAnsi="Amiri" w:eastAsia="Amiri" w:cs="Amiri"/>
          <w:color w:val="111111"/>
          <w:sz w:val="28"/>
          <w:sz w:val="28"/>
          <w:szCs w:val="28"/>
          <w:rtl w:val="true"/>
          <w:lang w:bidi="ar-SA"/>
        </w:rPr>
        <w:t>، ومن الواضح ارتفاع المحذور برفع اليد عن أيهما كما أوضحناه قبل قليل، بل نقول إن الإطلاق من الجهة الأولى لكونه غير مستلزم للجمع بينهما، بل لعدم وجود التعارض بين ما شملهما هذا الإطلاق لا مقتضي لرفع اليد عنه، وإنما يجب أن يرفع اليد عن الإطلاق الثاني، لكون التعارض والتهافت ناشئاً من قبله، إذ به يوجد التعارض، وبعدمه يرتفع، ومن المسلم أن التساقط على فرض تسليمه فرع التعارض، فإذا كان التعارض في جهة خاصة وناشئاًمن قبلها وهو جود الإطلاق الثاني، كان التساقط في تلك الجهة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اتضح عدم تمامية ما ذكره في التنقيح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الحجية في المتعارضين إذا كان بالإطلاق، فلوجود إطلاق من جهة أخرى، أي حجية كل </w:t>
      </w:r>
    </w:p>
    <w:p>
      <w:pPr>
        <w:pStyle w:val="BookText"/>
        <w:rPr/>
      </w:pPr>
      <w:r>
        <w:rPr>
          <w:rFonts w:ascii="Amiri" w:hAnsi="Amiri" w:eastAsia="Amiri" w:cs="Amiri"/>
          <w:color w:val="111111"/>
          <w:sz w:val="28"/>
          <w:sz w:val="28"/>
          <w:szCs w:val="28"/>
          <w:rtl w:val="true"/>
          <w:lang w:bidi="ar-SA"/>
        </w:rPr>
        <w:t>منهما، أخذ بالآخر أم لم يؤخذ به، يكون رفع المعارضة بينها منحصراً في أحد صور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كلا الإطلاقين في أحدهما والالتزام بهما في الآخر، أي الالتزام بحجية أحد المتعارضين دون الآخر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بكلا الإطلاقين في أحدهما، وبالإطلاق الأول فقط في الآخر، أي أن تكون حجية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كفتوى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وحجية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كفتوى غير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بالإطلاق الأول في الاثنين، ورفع اليد عن الإطلاق الثاني في كليهما، أي الالتزام بحجية كل منهما مقيدة بما إذا لم يؤخذ بالآخر مثلاً، وحيث إن شيئاً من ذلك لا مرجح له، فلا يمكننا التمسك بالإطلاق في شيء من المتعارضين لا في أصل الحجية ولا في إطلاقها، وتقييدها وهو معنى التساقط كما قدمناه</w:t>
      </w:r>
      <w:r>
        <w:rPr>
          <w:rFonts w:eastAsia="Amiri" w:cs="Amiri" w:ascii="Amiri" w:hAnsi="Amiri"/>
          <w:color w:val="111111"/>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انتهى مع تلخيص وإضافة توضيحية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التعارض إذا كان ناشئاً من الإطلاق الثاني كان الالتزام بغير الصورة الرابعة ترجيحاً بلا مرجح لا بها، فإن الإطلاق الأول لا مقتضي لرفع اليد عنه، لعدم طرو التعارض من قبله، ورفع اليد عن الإطلاق الثاني في أحدهما دون الآخر ترجيح بلا مرجح، فلا محيص عن رفع اليد عنه فيهما، إذ الالتزام به فيها مستلزم للتعبد بالمتناقضين أو المتضادين على ما ذكره</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ذلك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وعلمنا خارجاً أن زيداً وصديقه مثلاً لا يشملهما حكم واحد أبداً، ومثله ما لو كان المكلف عاجزاً عن الجمع، فدار الأمر بين الحكم بعدم وجوب إكرامهما للتساقط، وبين التحفظ على الوجوب في كليهما ورفع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إطلاقهما في </w:t>
      </w:r>
    </w:p>
    <w:p>
      <w:pPr>
        <w:pStyle w:val="BookText"/>
        <w:rPr/>
      </w:pPr>
      <w:r>
        <w:rPr>
          <w:rFonts w:ascii="Amiri" w:hAnsi="Amiri" w:eastAsia="Amiri" w:cs="Amiri"/>
          <w:color w:val="111111"/>
          <w:sz w:val="28"/>
          <w:sz w:val="28"/>
          <w:szCs w:val="28"/>
          <w:rtl w:val="true"/>
          <w:lang w:bidi="ar-SA"/>
        </w:rPr>
        <w:t xml:space="preserve">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الإطلاق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فإنهيتعين حينئذٍ الأخير، وهو يقتضي الحكم بوجوب كل منهما تخييراً</w:t>
      </w:r>
      <w:r>
        <w:rPr>
          <w:rStyle w:val="FootnoteAnchor"/>
          <w:rtl w:val="true"/>
        </w:rPr>
        <w:footnoteReference w:id="1568"/>
      </w:r>
      <w:r>
        <w:rPr>
          <w:rFonts w:ascii="Amiri" w:hAnsi="Amiri" w:eastAsia="Amiri" w:cs="Amiri"/>
          <w:color w:val="111111"/>
          <w:sz w:val="28"/>
          <w:sz w:val="28"/>
          <w:szCs w:val="28"/>
          <w:rtl w:val="true"/>
          <w:lang w:bidi="ar-SA"/>
        </w:rPr>
        <w:t xml:space="preserve">، وهذا ما التزم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ومعه لا مقتضي في المقام لرفع اليد عن حجية فتوى الأعلم وغيره أعني الحكم بتساقطهما، بل لابد من الأخذ بالحجية في كلتا الفتويين ورفع اليد عن إطلاقهما المقتضي للتعيين، وهذا ينتج حجية كل منهما على وجه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عن هذا الإشكال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ويرده أن موارد التعارض بين الدليلين التي منها المقام لا يمكن قياسها بما إذا كان لكل من الدليلين نص وظاهر، وأمكن الجمع بينهما بحمل الظاهر من كل منهما على نص الآخر، فإن القياس مع الفارق، إذ في تلك الموارد لا مقتضي لرفع اليد عن كلا الوجوبين، بل يؤخذ بنص كل من الدليلين في الوجوب ويطرح ظاهرهما في التعيين، فتكون النتيجة هي الوجوب التخييري كما مر، وأما في أمثال المقام التي ليس للدليلين فيها نص وظاهر بل دلالتهما بالظهور والإطلاق فلا مناص عن الحكم بتساقطهما، فإن الحجية في المتعارضين إذا كانت بالإطلاق</w:t>
      </w:r>
      <w:r>
        <w:rPr>
          <w:rFonts w:eastAsia="Amiri" w:cs="Amiri" w:ascii="Amiri" w:hAnsi="Amiri"/>
          <w:color w:val="111111"/>
          <w:sz w:val="28"/>
          <w:szCs w:val="28"/>
          <w:rtl w:val="true"/>
          <w:lang w:bidi="ar-SA"/>
        </w:rPr>
        <w:t>).</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تمامية بل عدم وجود الفرق الذي ذكره بين ما نحن فيه وبين الدليل الواحد، بالإضافة إلى أفراد موضوعه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إذ إن أصل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الفرد كزيد في المثال، وذاك كصديقه، إنما هو بالظهور والعموم لا بالنص، إذ إن العام نص في العموم لا في هذا الفرد وذاك</w:t>
      </w:r>
      <w:r>
        <w:rPr>
          <w:rStyle w:val="FootnoteAnchor"/>
          <w:rtl w:val="true"/>
        </w:rPr>
        <w:footnoteReference w:id="1570"/>
      </w:r>
      <w:r>
        <w:rPr>
          <w:rFonts w:ascii="Amiri" w:hAnsi="Amiri" w:eastAsia="Amiri" w:cs="Amiri"/>
          <w:color w:val="111111"/>
          <w:sz w:val="28"/>
          <w:sz w:val="28"/>
          <w:szCs w:val="28"/>
          <w:rtl w:val="true"/>
          <w:lang w:bidi="ar-SA"/>
        </w:rPr>
        <w:t xml:space="preserve">، ولذا كان الخاص مقدماً عليه لكون الخاص نصاً في الفرد، والعام ظاهراً فيه كما صرحوا بذلك أجمعين، كما أن المطلق نص في الإطلاق لا في </w:t>
      </w:r>
    </w:p>
    <w:p>
      <w:pPr>
        <w:pStyle w:val="BookText"/>
        <w:rPr/>
      </w:pPr>
      <w:r>
        <w:rPr>
          <w:rFonts w:ascii="Amiri" w:hAnsi="Amiri" w:eastAsia="Amiri" w:cs="Amiri"/>
          <w:color w:val="111111"/>
          <w:sz w:val="28"/>
          <w:sz w:val="28"/>
          <w:szCs w:val="28"/>
          <w:rtl w:val="true"/>
          <w:lang w:bidi="ar-SA"/>
        </w:rPr>
        <w:t xml:space="preserve">الفرد، وكما أن الكل نص فيه لا في الجزء، ففي الدليل الواحد بالإضافة إلى أفراد موضوعه ليس لنا نص وظاهر، أي نص فيوجوب إكرام زيد وظهور في كونه تعيينياً، بل لنا ظاهران، ظهور في شمول أكرم العلماء لزيد، وظهور في كونه تعينياً، أي غير مقيد بترك الأخذ والعمل بالآخر، فكما ترفع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الدليل الواحد بالإضافة إلى أفراده فيما لو علم عدم شمول الحكم الواحد لزيد وصديقه المستلزم للتعارض لو تحفظنا على كلا الإطلاقين على الوجوب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الظهور الثاني لا الأول، كذا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صغرى هذه الكبرى، التي سلم رفع اليد فيها عن الظهور في التعيين، لا عن أصل الوجوب، وهو الدليل الواحد بالإضافة إلى أفراده، إذ 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العناوين الواردة في الروايات يكون الفقيهان فردين لتلك العناوين التي هي موضوعات للحجية ولزوم الأخذ والاتباع، وحيث نعلم عدم إمكان شمول هذا الحكم للفقيهين المختلفين في الفتوى يدور الأمر بين رفع اليد عن أصل حجية قولهما، وبين التحفظ على ذلك ورفع اليد عن الإطلاق في التعيين، فهذه إذاً صغرى الكبرى التي ذكرها من الدليل الواحد بالإضافة إلى أفراد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قد سلم شمول هذه العناوين للفقيهين في صورة عدم الاختلاف، وكذا في صورة عدم العلم بالاختلاف، وأنكر شمولها لهما في صورة العلم بالاختلاف للمانع الذي ذكرناه عنه أول البحث،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مانع من أن تشمل إطلاقات أدلة الحجية فتوى كل من المجتهدين المتساويين</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 xml:space="preserve">أي في صورة عدم العلم بالخلاف، وأكثر صراحة من ذلك ما ذكره قبل ذلك بصفحات ذيل 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والغرض من ذكر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أنه يرى لتلك العناوين عموماً أو إطلاقاً، ويرى حجية تلك الأدلة اللفظية،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إلا أنه منع عن شمولها لصورة العلم بالمخالفة لمانع،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شمول الحكم للفردين يستلزم دورانالأمر بين الحكم بعدم الحجية إطلاقاً،عدم الإطلاق الأول، وبين التحفظ على الحجية في كليهما ورفع اليد عن إطلاقهما في التعيين، والثاني هو المتعين حسب الضابط الذي ذكره في أفراد موضوع الدليل الواحد، فليتدبر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يؤخذ بنص كل من الدليلين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كون الدليل الواحد المذكور في عبارته سابقاً نصاً في وجوب هذا الفرد،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فيه لا نص، ومع كونه ظاهراً إذا قدم الإطلاق الأول على الثاني كان ما نحن فيه منه، وإن أريد كونه نصاً في طبيعي الوجوب المراد منه الطبيعة المهملة،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الحجية كذلك أيضاً نص في طبيعيها، فما الفارق؟</w:t>
      </w:r>
    </w:p>
    <w:p>
      <w:pPr>
        <w:pStyle w:val="BookText"/>
        <w:rPr/>
      </w:pPr>
      <w:r>
        <w:rPr>
          <w:rFonts w:ascii="Amiri" w:hAnsi="Amiri" w:eastAsia="Amiri" w:cs="Amiri"/>
          <w:color w:val="111111"/>
          <w:sz w:val="28"/>
          <w:sz w:val="28"/>
          <w:szCs w:val="28"/>
          <w:rtl w:val="true"/>
          <w:lang w:bidi="ar-SA"/>
        </w:rPr>
        <w:t>ومن ذلك كله ظهر عدم تمامية ما ذكره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إن شيئاً من ذلك لا مرجح له</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أيضاً 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التعارض إذا كان ناشئاً من الإطلاق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التزمه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التعادل والتراجح في المتعارضين بالعموم من وجه</w:t>
      </w:r>
      <w:r>
        <w:rPr>
          <w:rStyle w:val="FootnoteAnchor"/>
          <w:rtl w:val="true"/>
        </w:rPr>
        <w:footnoteReference w:id="1573"/>
      </w:r>
      <w:r>
        <w:rPr>
          <w:rFonts w:ascii="Amiri" w:hAnsi="Amiri" w:eastAsia="Amiri" w:cs="Amiri"/>
          <w:color w:val="111111"/>
          <w:sz w:val="28"/>
          <w:sz w:val="28"/>
          <w:szCs w:val="28"/>
          <w:rtl w:val="true"/>
          <w:lang w:bidi="ar-SA"/>
        </w:rPr>
        <w:t xml:space="preserve">حيث التزم فيما لو كان العموم في كل منهما مستفاداً من الإطلاق بسقوط الروايتين في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رجوع إلى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معللاً ذلك بعدم التعارض بين الخبرين باعتبار نفس مدلوليهما، لكون اللفظ موضوعاً للمهية المهملة المعبر عنه باللابشرط المقسمي، ولا تنافي بين الحكم بوجوب إكرام </w:t>
      </w:r>
    </w:p>
    <w:p>
      <w:pPr>
        <w:pStyle w:val="BookText"/>
        <w:rPr/>
      </w:pPr>
      <w:r>
        <w:rPr>
          <w:rFonts w:ascii="Amiri" w:hAnsi="Amiri" w:eastAsia="Amiri" w:cs="Amiri"/>
          <w:color w:val="111111"/>
          <w:sz w:val="28"/>
          <w:sz w:val="28"/>
          <w:szCs w:val="28"/>
          <w:rtl w:val="true"/>
          <w:lang w:bidi="ar-SA"/>
        </w:rPr>
        <w:t xml:space="preserve">العالم على نحو الإهمال وحرمة إكرام الفاسق كذلك، وحيث إن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عن مدلول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مستلزم للجمع بين الضدين، أي أن التعارض ناشٍ منه لا من الدليلين بما هما مع قطع النظر عن الدال الخارجي على الإطلاق وهو مقدمات الحكمة، نرفع اليد عنهما، إذ رفع اليد عن أحدهما دون الآخر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التزمه هنا من سقوط ما نشأ التعارض من قبله لا غير، يجري بعينه فيما نحن فيه من شمول أدلة الحجيةللمتعارضين، لو قيل بأن الشمول والعموم بالإطلاق، حيث نشأ التعارض من الإطلاق الثاني لا الأول، فكيف يقال بأن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رفع اليد عن الإطلاق الثاني في كليهما دون الإطلاق الأول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بلا مرجح، مع انطباق الملاك المذكور في المصباح على ما نحن فيه مما ذكره في التنقيح</w:t>
      </w:r>
      <w:r>
        <w:rPr>
          <w:rStyle w:val="FootnoteAnchor"/>
          <w:rtl w:val="true"/>
        </w:rPr>
        <w:footnoteReference w:id="1574"/>
      </w:r>
      <w:r>
        <w:rPr>
          <w:rFonts w:ascii="Amiri" w:hAnsi="Amiri" w:eastAsia="Amiri" w:cs="Amiri"/>
          <w:color w:val="111111"/>
          <w:sz w:val="28"/>
          <w:sz w:val="28"/>
          <w:szCs w:val="28"/>
          <w:rtl w:val="true"/>
          <w:lang w:bidi="ar-SA"/>
        </w:rPr>
        <w:t>، بل رفع اليد عن كلا الإطلاقين بلا مرجح وبلا مقتض، بل مع مقتضي العدم كما لا يخفى</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لو كان العموم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فملخص كلامه</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حيث كان حجية الكلام مما يتعدد بتعدد المدلول دون تعدد الدال، أمكن التفكيك باعتبار المدلول، فلو سقط بعض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مادة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لسقوطه إلا التعارض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لسقوط بعضه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مادة الافتراق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ذلك إلا لعدم نشوء التعارض من قبله، ومبنى هذا الكلام كما ترى يجري بعينه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شمول أدلة حجية فتوى الفقيه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التعارض ناشئاً من إطلاق حجية كل من الفتويين أخذ بالآخر أو لا مثلاً، وهذا هو الإطلاق الثاني، لا من </w:t>
      </w:r>
    </w:p>
    <w:p>
      <w:pPr>
        <w:pStyle w:val="BookText"/>
        <w:rPr/>
      </w:pPr>
      <w:r>
        <w:rPr>
          <w:rFonts w:ascii="IRNazanin" w:hAnsi="IRNazanin" w:eastAsia="IRNazanin"/>
          <w:color w:val="111111"/>
          <w:sz w:val="28"/>
          <w:sz w:val="28"/>
          <w:szCs w:val="28"/>
          <w:rtl w:val="true"/>
          <w:lang w:bidi="fa-IR"/>
        </w:rPr>
        <w:t>الإطلاق الأول</w:t>
      </w:r>
      <w:r>
        <w:rPr>
          <w:rStyle w:val="FootnoteAnchor"/>
          <w:rtl w:val="true"/>
        </w:rPr>
        <w:footnoteReference w:id="1576"/>
      </w:r>
      <w:r>
        <w:rPr>
          <w:rFonts w:ascii="Amiri" w:hAnsi="Amiri" w:eastAsia="Amiri" w:cs="Amiri"/>
          <w:color w:val="111111"/>
          <w:sz w:val="28"/>
          <w:sz w:val="28"/>
          <w:szCs w:val="28"/>
          <w:rtl w:val="true"/>
          <w:lang w:bidi="ar-SA"/>
        </w:rPr>
        <w:t>، وهو شمول دليل الحجية للاثنين مهملاً، أي أصل حجية كل منهما لا الحجية المطلقة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عدم جريان ما ذكره في الدلالة الالتزامية، حيث تسقط بسقوط المطابقية على مبناه من تبعيتها للمطابقية ثبوتاً وإثباتاً، تبعية المعلول لعلته فيما نحن فيه، وذلك لعدم تبعية الإطلاق الثاني للأول، وعدم كونه لازماً له كما لا يخفى، إذ مع تمامية الأول يمكن أن يوجد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مقدمات الحكمة فيه ولم يوجد مانع كاستلزامها الجمع بين الضدين أو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لا يوجد لولم تقم ووجد مانع، فتدبر</w:t>
      </w:r>
      <w:r>
        <w:rPr>
          <w:rFonts w:eastAsia="Amiri" w:cs="Amiri" w:ascii="Amiri" w:hAnsi="Amiri"/>
          <w:color w:val="111111"/>
          <w:sz w:val="28"/>
          <w:szCs w:val="28"/>
          <w:rtl w:val="true"/>
          <w:lang w:bidi="ar-SA"/>
        </w:rPr>
        <w:t>.</w:t>
      </w:r>
      <w:r>
        <w:rPr>
          <w:rStyle w:val="FootnoteAnchor"/>
          <w:rtl w:val="true"/>
        </w:rPr>
        <w:footnoteReference w:id="1577"/>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أن الشمول لمورد الافتراق إن كان بالنص، فلمورد الاجتماع كذلك، وإن كان بالظهور كما هو الحق، فلمورد الاجتماع كذلك، فيدخل ما نحن فيه تحت كبراه المذكورة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ويرده أن موارد التعارض بين الدليلين التي منها المقام لا يمكن قياسها بما إذا كان لكل من الدليلين نص وظاهر وأمكن الجمع بينهما بحمل الظاهر من كل منهما على نص الآخر، فإن القياس مع الفارق، إذ في تلك الموارد لا مقتضي لرفع اليد عن كلا الوجوبين، بل يؤخذ بنص كل من الدليلين في الوجوب ويطرح ظاهرهما في التعيين، وتكون النتيجة هو الوجوب التخييري كما مر، وأما في أمثال المقام التي ليس الدليلان فيهما نص وظاهر بل دلالتهما بالظهور والإطلاق، فلا مناص من الحكم بتساقطهما</w:t>
      </w:r>
      <w:r>
        <w:rPr>
          <w:rFonts w:eastAsia="Amiri" w:cs="Amiri" w:ascii="Amiri" w:hAnsi="Amiri"/>
          <w:color w:val="111111"/>
          <w:sz w:val="28"/>
          <w:szCs w:val="28"/>
          <w:rtl w:val="true"/>
          <w:lang w:bidi="ar-SA"/>
        </w:rPr>
        <w:t>...)</w:t>
      </w:r>
      <w:r>
        <w:rPr>
          <w:rStyle w:val="FootnoteAnchor"/>
          <w:rtl w:val="true"/>
        </w:rPr>
        <w:footnoteReference w:id="1578"/>
      </w:r>
      <w:r>
        <w:rPr>
          <w:rFonts w:ascii="Amiri" w:hAnsi="Amiri" w:eastAsia="Amiri" w:cs="Amiri"/>
          <w:color w:val="111111"/>
          <w:sz w:val="28"/>
          <w:sz w:val="28"/>
          <w:szCs w:val="28"/>
          <w:rtl w:val="true"/>
          <w:lang w:bidi="ar-SA"/>
        </w:rPr>
        <w:t>، وبذلك ظهر التناقض بين كلاميه، فدقق</w:t>
      </w:r>
      <w:r>
        <w:rPr>
          <w:rFonts w:eastAsia="Amiri" w:cs="Amiri" w:ascii="Amiri" w:hAnsi="Amiri"/>
          <w:color w:val="111111"/>
          <w:sz w:val="28"/>
          <w:szCs w:val="28"/>
          <w:rtl w:val="true"/>
          <w:lang w:bidi="ar-SA"/>
        </w:rPr>
        <w:t xml:space="preserve">. </w:t>
      </w:r>
      <w:bookmarkStart w:id="1118" w:name="pg8204_101501"/>
    </w:p>
    <w:p>
      <w:pPr>
        <w:pStyle w:val="Heading3"/>
        <w:numPr>
          <w:ilvl w:val="2"/>
          <w:numId w:val="1"/>
        </w:numPr>
        <w:rPr/>
      </w:pPr>
      <w:bookmarkStart w:id="1119" w:name="__RefHeading___Toc8924734_1051229030"/>
      <w:bookmarkStart w:id="1120" w:name="_Toc406"/>
      <w:bookmarkEnd w:id="1118"/>
      <w:bookmarkEnd w:id="1119"/>
      <w:r>
        <w:rPr>
          <w:rtl w:val="true"/>
        </w:rPr>
        <w:t>الوجه الرابع</w:t>
      </w:r>
      <w:r>
        <w:rPr>
          <w:rtl w:val="true"/>
        </w:rPr>
        <w:t>:</w:t>
      </w:r>
      <w:bookmarkEnd w:id="1120"/>
    </w:p>
    <w:p>
      <w:pPr>
        <w:pStyle w:val="BookText"/>
        <w:rPr/>
      </w:pPr>
      <w:r>
        <w:rPr>
          <w:rFonts w:ascii="Amiri" w:hAnsi="Amiri" w:eastAsia="Amiri" w:cs="Amiri"/>
          <w:color w:val="111111"/>
          <w:sz w:val="28"/>
          <w:sz w:val="28"/>
          <w:szCs w:val="28"/>
          <w:rtl w:val="true"/>
          <w:lang w:bidi="ar-SA"/>
        </w:rPr>
        <w:t>إن العرف والوجدان حاكمان بعدم التساقط في صورة التعارض، بل بالرجوع إلى المرجح إن كان، وإلا فالتخيير، ألا ترى أن من أضاع الطريق في مَسبعة، أو حتى في مكان عادي، فدلّه خبير على طريق، وآخر على آخر، ألا تراه إن فقد المرجح يرى التخيير بين الطريقين لا التساقط والرجوع إلى الأصل، كما أنه لا يسلك الطريق الثالث، وإن احتمل بدواً بلا قيام أمارة عليه كونه موصلاً، ولو كان المولى قد أمره سلوك ما أخبره به أي عبد من عبيده فأخبره كل بطريق، ألا تراه إن سلك أحدهما معذوراً، دون ما لو سلك الثالث؟ وألا يرى نفسه إن سلك أحدهما بريء الذمة دون ما لو سك الثالث؟ وكذا لو أمره بإعطاء الدرهم لأحوج فقير أخبره عنه أحد مواليه، فأخبره مولى أن هذا هو الأحوج، وآخر أن ذاك هوالأحوج، أتراه يحق له إعطاؤه لثالث، يحتمل بدواً أحوجيته؟</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أيضاً ما في التزامه بعدم الإشكال في الالتزام بالثالث بعد سقوط المتعارضين عن الحجية بالنسبة للمدلول المطابقي للمعارضة</w:t>
      </w:r>
      <w:r>
        <w:rPr>
          <w:rStyle w:val="FootnoteAnchor"/>
          <w:rtl w:val="true"/>
        </w:rPr>
        <w:footnoteReference w:id="1579"/>
      </w:r>
      <w:r>
        <w:rPr>
          <w:rFonts w:ascii="Amiri" w:hAnsi="Amiri" w:eastAsia="Amiri" w:cs="Amiri"/>
          <w:color w:val="111111"/>
          <w:sz w:val="28"/>
          <w:sz w:val="28"/>
          <w:szCs w:val="28"/>
          <w:rtl w:val="true"/>
          <w:lang w:bidi="ar-SA"/>
        </w:rPr>
        <w:t>، بل يمكن أن يكشف إنَّاً من عدم جواز سلوك الثالث وجداناً وعرفاً ولو مع احتماله بدواً، إن المتعارضين غير متساقطين، فتدبر، وبذلك يكون العرف والوجدان هو المرجح للالتزام بالصورة الرابعة من صوره الآنفة الذكر</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 xml:space="preserve">. </w:t>
      </w:r>
      <w:bookmarkStart w:id="1121" w:name="pg8204_101502"/>
    </w:p>
    <w:p>
      <w:pPr>
        <w:pStyle w:val="Heading3"/>
        <w:numPr>
          <w:ilvl w:val="2"/>
          <w:numId w:val="1"/>
        </w:numPr>
        <w:rPr/>
      </w:pPr>
      <w:bookmarkStart w:id="1122" w:name="__RefHeading___Toc8924736_1051229030"/>
      <w:bookmarkStart w:id="1123" w:name="_Toc407"/>
      <w:bookmarkEnd w:id="1121"/>
      <w:bookmarkEnd w:id="1122"/>
      <w:r>
        <w:rPr>
          <w:rtl w:val="true"/>
        </w:rPr>
        <w:t>الوجه الخامس</w:t>
      </w:r>
      <w:r>
        <w:rPr>
          <w:rtl w:val="true"/>
        </w:rPr>
        <w:t>:</w:t>
      </w:r>
      <w:bookmarkEnd w:id="1123"/>
    </w:p>
    <w:p>
      <w:pPr>
        <w:pStyle w:val="BookText"/>
        <w:rPr/>
      </w:pPr>
      <w:r>
        <w:rPr>
          <w:rFonts w:ascii="Amiri" w:hAnsi="Amiri" w:eastAsia="Amiri" w:cs="Amiri"/>
          <w:color w:val="111111"/>
          <w:sz w:val="28"/>
          <w:sz w:val="28"/>
          <w:szCs w:val="28"/>
          <w:rtl w:val="true"/>
          <w:lang w:bidi="ar-SA"/>
        </w:rPr>
        <w:t>النقض بما لو تبدل رأي المجتهد، فعليه أن يلتزم بعدم حجية كلا الرأيين، إذ شمول أدلة الحجية لهما مستلزم للتناقض أو التضاد على ما ذكره، فتأمل</w:t>
      </w:r>
      <w:r>
        <w:rPr>
          <w:rStyle w:val="FootnoteAnchor"/>
          <w:rtl w:val="true"/>
        </w:rPr>
        <w:footnoteReference w:id="1581"/>
      </w:r>
      <w:r>
        <w:rPr>
          <w:rFonts w:ascii="Amiri" w:hAnsi="Amiri" w:eastAsia="Amiri" w:cs="Amiri"/>
          <w:color w:val="111111"/>
          <w:sz w:val="28"/>
          <w:sz w:val="28"/>
          <w:szCs w:val="28"/>
          <w:rtl w:val="true"/>
          <w:lang w:bidi="ar-SA"/>
        </w:rPr>
        <w:t xml:space="preserve">، وبما لو تناقض رأي أعلم هذا الزمان مع أعلم زمان سابق، أو مع مطلق من كان فقيهاً، فلو لم يلزم التناقض في مرحلة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الزمان أو المكلف، مما يكون جواباً أيضاً عن شمول دليل الحجية للمتقارنين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في مرحلة الجعل، لكون موضوع الأحكام الكلي الطبيعي والزمان ظرف،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يلتزم بكلا النقضين، فتأمل</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4" w:name="pg8204_101504"/>
      <w:bookmarkStart w:id="1125" w:name="pg8204_101504"/>
      <w:bookmarkEnd w:id="1125"/>
    </w:p>
    <w:p>
      <w:pPr>
        <w:pStyle w:val="Heading2"/>
        <w:numPr>
          <w:ilvl w:val="1"/>
          <w:numId w:val="1"/>
        </w:numPr>
        <w:rPr/>
      </w:pPr>
      <w:bookmarkStart w:id="1126" w:name="pg8204_101504"/>
      <w:bookmarkStart w:id="1127" w:name="__RefHeading___Toc8924738_1051229030"/>
      <w:bookmarkStart w:id="1128" w:name="_Toc408"/>
      <w:bookmarkEnd w:id="1126"/>
      <w:bookmarkEnd w:id="1127"/>
      <w:r>
        <w:rPr>
          <w:rtl w:val="true"/>
        </w:rPr>
        <w:t>المصادر</w:t>
      </w:r>
      <w:bookmarkEnd w:id="112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نهج الفصاحة</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التفاسير</w:t>
      </w:r>
    </w:p>
    <w:p>
      <w:pPr>
        <w:pStyle w:val="BookText"/>
        <w:rPr/>
      </w:pPr>
      <w:r>
        <w:rPr>
          <w:rFonts w:ascii="Amiri" w:hAnsi="Amiri" w:eastAsia="Amiri" w:cs="Amiri"/>
          <w:color w:val="111111"/>
          <w:sz w:val="28"/>
          <w:sz w:val="28"/>
          <w:szCs w:val="28"/>
          <w:rtl w:val="true"/>
          <w:lang w:bidi="ar-SA"/>
        </w:rPr>
        <w:t>تفسير علي بن إبراهيم القمي</w:t>
      </w:r>
    </w:p>
    <w:p>
      <w:pPr>
        <w:pStyle w:val="BookText"/>
        <w:rPr/>
      </w:pPr>
      <w:r>
        <w:rPr>
          <w:rFonts w:ascii="Amiri" w:hAnsi="Amiri" w:eastAsia="Amiri" w:cs="Amiri"/>
          <w:color w:val="111111"/>
          <w:sz w:val="28"/>
          <w:sz w:val="28"/>
          <w:szCs w:val="28"/>
          <w:rtl w:val="true"/>
          <w:lang w:bidi="ar-SA"/>
        </w:rPr>
        <w:t>التبيان</w:t>
      </w:r>
    </w:p>
    <w:p>
      <w:pPr>
        <w:pStyle w:val="BookText"/>
        <w:rPr/>
      </w:pPr>
      <w:r>
        <w:rPr>
          <w:rFonts w:ascii="Amiri" w:hAnsi="Amiri" w:eastAsia="Amiri" w:cs="Amiri"/>
          <w:color w:val="111111"/>
          <w:sz w:val="28"/>
          <w:sz w:val="28"/>
          <w:szCs w:val="28"/>
          <w:rtl w:val="true"/>
          <w:lang w:bidi="ar-SA"/>
        </w:rPr>
        <w:t>التفسير الكبير</w:t>
      </w:r>
    </w:p>
    <w:p>
      <w:pPr>
        <w:pStyle w:val="BookText"/>
        <w:rPr/>
      </w:pPr>
      <w:r>
        <w:rPr>
          <w:rFonts w:ascii="Amiri" w:hAnsi="Amiri" w:eastAsia="Amiri" w:cs="Amiri"/>
          <w:color w:val="111111"/>
          <w:sz w:val="28"/>
          <w:sz w:val="28"/>
          <w:szCs w:val="28"/>
          <w:rtl w:val="true"/>
          <w:lang w:bidi="ar-SA"/>
        </w:rPr>
        <w:t>تفسير ابن عباس</w:t>
      </w:r>
    </w:p>
    <w:p>
      <w:pPr>
        <w:pStyle w:val="BookText"/>
        <w:rPr/>
      </w:pPr>
      <w:r>
        <w:rPr>
          <w:rFonts w:ascii="Amiri" w:hAnsi="Amiri" w:eastAsia="Amiri" w:cs="Amiri"/>
          <w:color w:val="111111"/>
          <w:sz w:val="28"/>
          <w:sz w:val="28"/>
          <w:szCs w:val="28"/>
          <w:rtl w:val="true"/>
          <w:lang w:bidi="ar-SA"/>
        </w:rPr>
        <w:t>تفسير ابن أثير</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تفسير الخازن</w:t>
      </w:r>
    </w:p>
    <w:p>
      <w:pPr>
        <w:pStyle w:val="BookText"/>
        <w:rPr/>
      </w:pPr>
      <w:r>
        <w:rPr>
          <w:rFonts w:ascii="Amiri" w:hAnsi="Amiri" w:eastAsia="Amiri" w:cs="Amiri"/>
          <w:color w:val="111111"/>
          <w:sz w:val="28"/>
          <w:sz w:val="28"/>
          <w:szCs w:val="28"/>
          <w:rtl w:val="true"/>
          <w:lang w:bidi="ar-SA"/>
        </w:rPr>
        <w:t>الجواهر في تفسير القرآن الكريم</w:t>
      </w:r>
    </w:p>
    <w:p>
      <w:pPr>
        <w:pStyle w:val="BookText"/>
        <w:rPr/>
      </w:pPr>
      <w:r>
        <w:rPr>
          <w:rFonts w:ascii="Amiri" w:hAnsi="Amiri" w:eastAsia="Amiri" w:cs="Amiri"/>
          <w:color w:val="111111"/>
          <w:sz w:val="28"/>
          <w:sz w:val="28"/>
          <w:szCs w:val="28"/>
          <w:rtl w:val="true"/>
          <w:lang w:bidi="ar-SA"/>
        </w:rPr>
        <w:t>روح المعاني</w:t>
      </w:r>
    </w:p>
    <w:p>
      <w:pPr>
        <w:pStyle w:val="BookText"/>
        <w:rPr/>
      </w:pPr>
      <w:r>
        <w:rPr>
          <w:rFonts w:ascii="Amiri" w:hAnsi="Amiri" w:eastAsia="Amiri" w:cs="Amiri"/>
          <w:color w:val="111111"/>
          <w:sz w:val="28"/>
          <w:sz w:val="28"/>
          <w:szCs w:val="28"/>
          <w:rtl w:val="true"/>
          <w:lang w:bidi="ar-SA"/>
        </w:rPr>
        <w:t>الكشاف</w:t>
      </w:r>
    </w:p>
    <w:p>
      <w:pPr>
        <w:pStyle w:val="BookText"/>
        <w:rPr/>
      </w:pPr>
      <w:r>
        <w:rPr>
          <w:rFonts w:ascii="Amiri" w:hAnsi="Amiri" w:eastAsia="Amiri" w:cs="Amiri"/>
          <w:color w:val="111111"/>
          <w:sz w:val="28"/>
          <w:sz w:val="28"/>
          <w:szCs w:val="28"/>
          <w:rtl w:val="true"/>
          <w:lang w:bidi="ar-SA"/>
        </w:rPr>
        <w:t>الميزان في تفسير القرآن</w:t>
      </w:r>
    </w:p>
    <w:p>
      <w:pPr>
        <w:pStyle w:val="BookText"/>
        <w:rPr/>
      </w:pPr>
      <w:r>
        <w:rPr>
          <w:rFonts w:ascii="Amiri" w:hAnsi="Amiri" w:eastAsia="Amiri" w:cs="Amiri"/>
          <w:color w:val="111111"/>
          <w:sz w:val="28"/>
          <w:sz w:val="28"/>
          <w:szCs w:val="28"/>
          <w:rtl w:val="true"/>
          <w:lang w:bidi="ar-SA"/>
        </w:rPr>
        <w:t>الفرقان في تفسير القرآن</w:t>
      </w:r>
    </w:p>
    <w:p>
      <w:pPr>
        <w:pStyle w:val="BookText"/>
        <w:rPr/>
      </w:pPr>
      <w:r>
        <w:rPr>
          <w:rFonts w:ascii="IRNazanin" w:hAnsi="IRNazanin" w:eastAsia="IRNazanin"/>
          <w:color w:val="111111"/>
          <w:sz w:val="28"/>
          <w:sz w:val="28"/>
          <w:szCs w:val="28"/>
          <w:rtl w:val="true"/>
          <w:lang w:bidi="fa-IR"/>
        </w:rPr>
        <w:t>المنار</w:t>
      </w:r>
    </w:p>
    <w:p>
      <w:pPr>
        <w:pStyle w:val="BookText"/>
        <w:rPr/>
      </w:pPr>
      <w:r>
        <w:rPr>
          <w:rFonts w:ascii="Amiri" w:hAnsi="Amiri" w:eastAsia="Amiri" w:cs="Amiri"/>
          <w:color w:val="111111"/>
          <w:sz w:val="28"/>
          <w:sz w:val="28"/>
          <w:szCs w:val="28"/>
          <w:rtl w:val="true"/>
          <w:lang w:bidi="ar-SA"/>
        </w:rPr>
        <w:t>مدارك التنزيل وحقائق التأول</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الحديث</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IRNazanin" w:hAnsi="IRNazanin" w:eastAsia="IRNazanin"/>
          <w:color w:val="111111"/>
          <w:sz w:val="28"/>
          <w:sz w:val="28"/>
          <w:szCs w:val="28"/>
          <w:rtl w:val="true"/>
          <w:lang w:bidi="fa-IR"/>
        </w:rPr>
        <w:t>عوالم العلوم والمعارض والأحوال</w:t>
      </w:r>
    </w:p>
    <w:p>
      <w:pPr>
        <w:pStyle w:val="BookText"/>
        <w:rPr/>
      </w:pPr>
      <w:r>
        <w:rPr>
          <w:rFonts w:ascii="Amiri" w:hAnsi="Amiri" w:eastAsia="Amiri" w:cs="Amiri"/>
          <w:color w:val="111111"/>
          <w:sz w:val="28"/>
          <w:sz w:val="28"/>
          <w:szCs w:val="28"/>
          <w:rtl w:val="true"/>
          <w:lang w:bidi="ar-SA"/>
        </w:rPr>
        <w:t>غرر الحكم</w:t>
      </w:r>
    </w:p>
    <w:p>
      <w:pPr>
        <w:pStyle w:val="BookText"/>
        <w:rPr/>
      </w:pPr>
      <w:r>
        <w:rPr>
          <w:rFonts w:ascii="Amiri" w:hAnsi="Amiri" w:eastAsia="Amiri" w:cs="Amiri"/>
          <w:color w:val="111111"/>
          <w:sz w:val="28"/>
          <w:sz w:val="28"/>
          <w:szCs w:val="28"/>
          <w:rtl w:val="true"/>
          <w:lang w:bidi="ar-SA"/>
        </w:rPr>
        <w:t>وسائل الشيعة إلى تحصيل مسائل الشريعة</w:t>
      </w:r>
    </w:p>
    <w:p>
      <w:pPr>
        <w:pStyle w:val="BookText"/>
        <w:rPr/>
      </w:pPr>
      <w:r>
        <w:rPr>
          <w:rFonts w:ascii="Amiri" w:hAnsi="Amiri" w:eastAsia="Amiri" w:cs="Amiri"/>
          <w:color w:val="111111"/>
          <w:sz w:val="28"/>
          <w:sz w:val="28"/>
          <w:szCs w:val="28"/>
          <w:rtl w:val="true"/>
          <w:lang w:bidi="ar-SA"/>
        </w:rPr>
        <w:t>مستدرك الوسائل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الشيعة في أحكام الشريعة</w:t>
      </w:r>
    </w:p>
    <w:p>
      <w:pPr>
        <w:pStyle w:val="BookText"/>
        <w:rPr/>
      </w:pPr>
      <w:r>
        <w:rPr>
          <w:rFonts w:ascii="Amiri" w:hAnsi="Amiri" w:eastAsia="Amiri" w:cs="Amiri"/>
          <w:color w:val="111111"/>
          <w:sz w:val="28"/>
          <w:sz w:val="28"/>
          <w:szCs w:val="28"/>
          <w:rtl w:val="true"/>
          <w:lang w:bidi="ar-SA"/>
        </w:rPr>
        <w:t>مفتاح الكرامة في شرح قواعد العلامة</w:t>
      </w:r>
    </w:p>
    <w:p>
      <w:pPr>
        <w:pStyle w:val="BookText"/>
        <w:rPr/>
      </w:pPr>
      <w:r>
        <w:rPr>
          <w:rFonts w:ascii="Amiri" w:hAnsi="Amiri" w:eastAsia="Amiri" w:cs="Amiri"/>
          <w:color w:val="111111"/>
          <w:sz w:val="28"/>
          <w:sz w:val="28"/>
          <w:szCs w:val="28"/>
          <w:rtl w:val="true"/>
          <w:lang w:bidi="ar-SA"/>
        </w:rPr>
        <w:t>مسالك الأفهام في شرح شرائع الإسلام</w:t>
      </w:r>
    </w:p>
    <w:p>
      <w:pPr>
        <w:pStyle w:val="BookText"/>
        <w:rPr/>
      </w:pPr>
      <w:r>
        <w:rPr>
          <w:rFonts w:ascii="Amiri" w:hAnsi="Amiri" w:eastAsia="Amiri" w:cs="Amiri"/>
          <w:color w:val="111111"/>
          <w:sz w:val="28"/>
          <w:sz w:val="28"/>
          <w:szCs w:val="28"/>
          <w:rtl w:val="true"/>
          <w:lang w:bidi="ar-SA"/>
        </w:rPr>
        <w:t>جواهر الكلام في شرح شرائع الإسلام</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حاشية الإيرواني على المكاسب</w:t>
      </w:r>
    </w:p>
    <w:p>
      <w:pPr>
        <w:pStyle w:val="BookText"/>
        <w:rPr/>
      </w:pPr>
      <w:r>
        <w:rPr>
          <w:rFonts w:ascii="Amiri" w:hAnsi="Amiri" w:eastAsia="Amiri" w:cs="Amiri"/>
          <w:color w:val="111111"/>
          <w:sz w:val="28"/>
          <w:sz w:val="28"/>
          <w:szCs w:val="28"/>
          <w:rtl w:val="true"/>
          <w:lang w:bidi="ar-SA"/>
        </w:rPr>
        <w:t>حاشية الأصفهاني على المكاسب</w:t>
      </w:r>
    </w:p>
    <w:p>
      <w:pPr>
        <w:pStyle w:val="BookText"/>
        <w:rPr/>
      </w:pPr>
      <w:r>
        <w:rPr>
          <w:rFonts w:ascii="Amiri" w:hAnsi="Amiri" w:eastAsia="Amiri" w:cs="Amiri"/>
          <w:color w:val="111111"/>
          <w:sz w:val="28"/>
          <w:sz w:val="28"/>
          <w:szCs w:val="28"/>
          <w:rtl w:val="true"/>
          <w:lang w:bidi="ar-SA"/>
        </w:rPr>
        <w:t>حاشية المكاسب لليزدي</w:t>
      </w:r>
    </w:p>
    <w:p>
      <w:pPr>
        <w:pStyle w:val="BookText"/>
        <w:rPr/>
      </w:pPr>
      <w:r>
        <w:rPr>
          <w:rFonts w:ascii="Amiri" w:hAnsi="Amiri" w:eastAsia="Amiri" w:cs="Amiri"/>
          <w:color w:val="111111"/>
          <w:sz w:val="28"/>
          <w:sz w:val="28"/>
          <w:szCs w:val="28"/>
          <w:rtl w:val="true"/>
          <w:lang w:bidi="ar-SA"/>
        </w:rPr>
        <w:t>هداية الطالب إلى أسرار المكاسب</w:t>
      </w:r>
    </w:p>
    <w:p>
      <w:pPr>
        <w:pStyle w:val="BookText"/>
        <w:rPr/>
      </w:pPr>
      <w:r>
        <w:rPr>
          <w:rFonts w:ascii="Amiri" w:hAnsi="Amiri" w:eastAsia="Amiri" w:cs="Amiri"/>
          <w:color w:val="111111"/>
          <w:sz w:val="28"/>
          <w:sz w:val="28"/>
          <w:szCs w:val="28"/>
          <w:rtl w:val="true"/>
          <w:lang w:bidi="ar-SA"/>
        </w:rPr>
        <w:t>العروة الوثقى</w:t>
      </w:r>
    </w:p>
    <w:p>
      <w:pPr>
        <w:pStyle w:val="BookText"/>
        <w:rPr/>
      </w:pPr>
      <w:r>
        <w:rPr>
          <w:rFonts w:ascii="Amiri" w:hAnsi="Amiri" w:eastAsia="Amiri" w:cs="Amiri"/>
          <w:color w:val="111111"/>
          <w:sz w:val="28"/>
          <w:sz w:val="28"/>
          <w:szCs w:val="28"/>
          <w:rtl w:val="true"/>
          <w:lang w:bidi="ar-SA"/>
        </w:rPr>
        <w:t>مستمسك العروة الوثقى</w:t>
      </w:r>
    </w:p>
    <w:p>
      <w:pPr>
        <w:pStyle w:val="BookText"/>
        <w:rPr/>
      </w:pPr>
      <w:r>
        <w:rPr>
          <w:rFonts w:ascii="Amiri" w:hAnsi="Amiri" w:eastAsia="Amiri" w:cs="Amiri"/>
          <w:color w:val="111111"/>
          <w:sz w:val="28"/>
          <w:sz w:val="28"/>
          <w:szCs w:val="28"/>
          <w:rtl w:val="true"/>
          <w:lang w:bidi="ar-SA"/>
        </w:rPr>
        <w:t>التنقيح في شرح العروة الوثقى</w:t>
      </w:r>
    </w:p>
    <w:p>
      <w:pPr>
        <w:pStyle w:val="BookText"/>
        <w:rPr/>
      </w:pPr>
      <w:r>
        <w:rPr>
          <w:rFonts w:ascii="Amiri" w:hAnsi="Amiri" w:eastAsia="Amiri" w:cs="Amiri"/>
          <w:color w:val="111111"/>
          <w:sz w:val="28"/>
          <w:sz w:val="28"/>
          <w:szCs w:val="28"/>
          <w:rtl w:val="true"/>
          <w:lang w:bidi="ar-SA"/>
        </w:rPr>
        <w:t>شرح العروة الوثقى</w:t>
      </w:r>
    </w:p>
    <w:p>
      <w:pPr>
        <w:pStyle w:val="BookText"/>
        <w:rPr/>
      </w:pPr>
      <w:r>
        <w:rPr>
          <w:rFonts w:ascii="Amiri" w:hAnsi="Amiri" w:eastAsia="Amiri" w:cs="Amiri"/>
          <w:color w:val="111111"/>
          <w:sz w:val="28"/>
          <w:sz w:val="28"/>
          <w:szCs w:val="28"/>
          <w:rtl w:val="true"/>
          <w:lang w:bidi="ar-SA"/>
        </w:rPr>
        <w:t>نهج الفقاهة</w:t>
      </w:r>
    </w:p>
    <w:p>
      <w:pPr>
        <w:pStyle w:val="BookText"/>
        <w:rPr/>
      </w:pP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الواجبات والمحرمات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مهذب الأحكام</w:t>
      </w:r>
    </w:p>
    <w:p>
      <w:pPr>
        <w:pStyle w:val="BookText"/>
        <w:rPr/>
      </w:pPr>
      <w:r>
        <w:rPr>
          <w:rFonts w:ascii="Amiri" w:hAnsi="Amiri" w:eastAsia="Amiri" w:cs="Amiri"/>
          <w:color w:val="111111"/>
          <w:sz w:val="28"/>
          <w:sz w:val="28"/>
          <w:szCs w:val="28"/>
          <w:rtl w:val="true"/>
          <w:lang w:bidi="ar-SA"/>
        </w:rPr>
        <w:t>المحاكمة في القضاء</w:t>
      </w:r>
    </w:p>
    <w:p>
      <w:pPr>
        <w:pStyle w:val="BookText"/>
        <w:rPr/>
      </w:pPr>
      <w:r>
        <w:rPr>
          <w:rFonts w:ascii="Amiri" w:hAnsi="Amiri" w:eastAsia="Amiri" w:cs="Amiri"/>
          <w:color w:val="111111"/>
          <w:sz w:val="28"/>
          <w:sz w:val="28"/>
          <w:szCs w:val="28"/>
          <w:rtl w:val="true"/>
          <w:lang w:bidi="ar-SA"/>
        </w:rPr>
        <w:t>دراسات في ولاية الفقيه وفقه الدولة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الأصولية</w:t>
      </w:r>
    </w:p>
    <w:p>
      <w:pPr>
        <w:pStyle w:val="BookText"/>
        <w:rPr/>
      </w:pPr>
      <w:r>
        <w:rPr>
          <w:rFonts w:ascii="IRNazanin" w:hAnsi="IRNazanin" w:eastAsia="IRNazanin"/>
          <w:color w:val="111111"/>
          <w:sz w:val="28"/>
          <w:sz w:val="28"/>
          <w:szCs w:val="28"/>
          <w:rtl w:val="true"/>
          <w:lang w:bidi="fa-IR"/>
        </w:rPr>
        <w:t>الرسائل</w:t>
      </w:r>
    </w:p>
    <w:p>
      <w:pPr>
        <w:pStyle w:val="BookText"/>
        <w:rPr/>
      </w:pPr>
      <w:r>
        <w:rPr>
          <w:rFonts w:ascii="Amiri" w:hAnsi="Amiri" w:eastAsia="Amiri" w:cs="Amiri"/>
          <w:color w:val="111111"/>
          <w:sz w:val="28"/>
          <w:sz w:val="28"/>
          <w:szCs w:val="28"/>
          <w:rtl w:val="true"/>
          <w:lang w:bidi="ar-SA"/>
        </w:rPr>
        <w:t>حاشية الآخوند على الرسائل</w:t>
      </w:r>
    </w:p>
    <w:p>
      <w:pPr>
        <w:pStyle w:val="BookText"/>
        <w:rPr/>
      </w:pPr>
      <w:r>
        <w:rPr>
          <w:rFonts w:ascii="Amiri" w:hAnsi="Amiri" w:eastAsia="Amiri" w:cs="Amiri"/>
          <w:color w:val="111111"/>
          <w:sz w:val="28"/>
          <w:sz w:val="28"/>
          <w:szCs w:val="28"/>
          <w:rtl w:val="true"/>
          <w:lang w:bidi="ar-SA"/>
        </w:rPr>
        <w:t>بحر الفوائد في شرح الفرائد</w:t>
      </w:r>
    </w:p>
    <w:p>
      <w:pPr>
        <w:pStyle w:val="BookText"/>
        <w:rPr/>
      </w:pPr>
      <w:r>
        <w:rPr>
          <w:rFonts w:ascii="Amiri" w:hAnsi="Amiri" w:eastAsia="Amiri" w:cs="Amiri"/>
          <w:color w:val="111111"/>
          <w:sz w:val="28"/>
          <w:sz w:val="28"/>
          <w:szCs w:val="28"/>
          <w:rtl w:val="true"/>
          <w:lang w:bidi="ar-SA"/>
        </w:rPr>
        <w:t>أوثق الوسائل في شرح الرسائل</w:t>
      </w:r>
    </w:p>
    <w:p>
      <w:pPr>
        <w:pStyle w:val="BookText"/>
        <w:rPr/>
      </w:pPr>
      <w:r>
        <w:rPr>
          <w:rFonts w:ascii="Amiri" w:hAnsi="Amiri" w:eastAsia="Amiri" w:cs="Amiri"/>
          <w:color w:val="111111"/>
          <w:sz w:val="28"/>
          <w:sz w:val="28"/>
          <w:szCs w:val="28"/>
          <w:rtl w:val="true"/>
          <w:lang w:bidi="ar-SA"/>
        </w:rPr>
        <w:t>كفاية الأصول</w:t>
      </w:r>
    </w:p>
    <w:p>
      <w:pPr>
        <w:pStyle w:val="BookText"/>
        <w:rPr/>
      </w:pPr>
      <w:r>
        <w:rPr>
          <w:rFonts w:ascii="Amiri" w:hAnsi="Amiri" w:eastAsia="Amiri" w:cs="Amiri"/>
          <w:color w:val="111111"/>
          <w:sz w:val="28"/>
          <w:sz w:val="28"/>
          <w:szCs w:val="28"/>
          <w:rtl w:val="true"/>
          <w:lang w:bidi="ar-SA"/>
        </w:rPr>
        <w:t>حاشية المشكيني على الكفاية</w:t>
      </w:r>
    </w:p>
    <w:p>
      <w:pPr>
        <w:pStyle w:val="BookText"/>
        <w:rPr/>
      </w:pPr>
      <w:r>
        <w:rPr>
          <w:rFonts w:ascii="Amiri" w:hAnsi="Amiri" w:eastAsia="Amiri" w:cs="Amiri"/>
          <w:color w:val="111111"/>
          <w:sz w:val="28"/>
          <w:sz w:val="28"/>
          <w:szCs w:val="28"/>
          <w:rtl w:val="true"/>
          <w:lang w:bidi="ar-SA"/>
        </w:rPr>
        <w:t>الوصول إلى كفاية الأصول</w:t>
      </w:r>
    </w:p>
    <w:p>
      <w:pPr>
        <w:pStyle w:val="BookText"/>
        <w:rPr/>
      </w:pPr>
      <w:r>
        <w:rPr>
          <w:rFonts w:ascii="Amiri" w:hAnsi="Amiri" w:eastAsia="Amiri" w:cs="Amiri"/>
          <w:color w:val="111111"/>
          <w:sz w:val="28"/>
          <w:sz w:val="28"/>
          <w:szCs w:val="28"/>
          <w:rtl w:val="true"/>
          <w:lang w:bidi="ar-SA"/>
        </w:rPr>
        <w:t>نهاية الدراية</w:t>
      </w:r>
    </w:p>
    <w:p>
      <w:pPr>
        <w:pStyle w:val="BookText"/>
        <w:rPr/>
      </w:pPr>
      <w:r>
        <w:rPr>
          <w:rFonts w:ascii="Amiri" w:hAnsi="Amiri" w:eastAsia="Amiri" w:cs="Amiri"/>
          <w:color w:val="111111"/>
          <w:sz w:val="28"/>
          <w:sz w:val="28"/>
          <w:szCs w:val="28"/>
          <w:rtl w:val="true"/>
          <w:lang w:bidi="ar-SA"/>
        </w:rPr>
        <w:t>نهاية الأفكار</w:t>
      </w:r>
    </w:p>
    <w:p>
      <w:pPr>
        <w:pStyle w:val="BookText"/>
        <w:rPr/>
      </w:pPr>
      <w:r>
        <w:rPr>
          <w:rFonts w:ascii="IRNazanin" w:hAnsi="IRNazanin" w:eastAsia="IRNazanin"/>
          <w:color w:val="111111"/>
          <w:sz w:val="28"/>
          <w:sz w:val="28"/>
          <w:szCs w:val="28"/>
          <w:rtl w:val="true"/>
          <w:lang w:bidi="fa-IR"/>
        </w:rPr>
        <w:t>حقائق الأصول</w:t>
      </w:r>
    </w:p>
    <w:p>
      <w:pPr>
        <w:pStyle w:val="BookText"/>
        <w:rPr/>
      </w:pPr>
      <w:r>
        <w:rPr>
          <w:rFonts w:ascii="Amiri" w:hAnsi="Amiri" w:eastAsia="Amiri" w:cs="Amiri"/>
          <w:color w:val="111111"/>
          <w:sz w:val="28"/>
          <w:sz w:val="28"/>
          <w:szCs w:val="28"/>
          <w:rtl w:val="true"/>
          <w:lang w:bidi="ar-SA"/>
        </w:rPr>
        <w:t>محاضرات في أصول الفقه</w:t>
      </w:r>
    </w:p>
    <w:p>
      <w:pPr>
        <w:pStyle w:val="BookText"/>
        <w:rPr/>
      </w:pPr>
      <w:r>
        <w:rPr>
          <w:rFonts w:ascii="IRNazanin" w:hAnsi="IRNazanin" w:eastAsia="IRNazanin"/>
          <w:color w:val="111111"/>
          <w:sz w:val="28"/>
          <w:sz w:val="28"/>
          <w:szCs w:val="28"/>
          <w:rtl w:val="true"/>
          <w:lang w:bidi="fa-IR"/>
        </w:rPr>
        <w:t>مصباح الأصول</w:t>
      </w:r>
    </w:p>
    <w:p>
      <w:pPr>
        <w:pStyle w:val="BookText"/>
        <w:rPr/>
      </w:pPr>
      <w:r>
        <w:rPr>
          <w:rFonts w:ascii="Amiri" w:hAnsi="Amiri" w:eastAsia="Amiri" w:cs="Amiri"/>
          <w:color w:val="111111"/>
          <w:sz w:val="28"/>
          <w:sz w:val="28"/>
          <w:szCs w:val="28"/>
          <w:rtl w:val="true"/>
          <w:lang w:bidi="ar-SA"/>
        </w:rPr>
        <w:t>دروس في علم الأصول</w:t>
      </w:r>
    </w:p>
    <w:p>
      <w:pPr>
        <w:pStyle w:val="BookText"/>
        <w:rPr/>
      </w:pPr>
      <w:r>
        <w:rPr>
          <w:rFonts w:ascii="IRNazanin" w:hAnsi="IRNazanin" w:eastAsia="IRNazanin"/>
          <w:color w:val="111111"/>
          <w:sz w:val="28"/>
          <w:sz w:val="28"/>
          <w:szCs w:val="28"/>
          <w:rtl w:val="true"/>
          <w:lang w:bidi="fa-IR"/>
        </w:rPr>
        <w:t>الأصول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الرجالية واللغوية</w:t>
      </w:r>
    </w:p>
    <w:p>
      <w:pPr>
        <w:pStyle w:val="BookText"/>
        <w:rPr/>
      </w:pPr>
      <w:r>
        <w:rPr>
          <w:rFonts w:ascii="Amiri" w:hAnsi="Amiri" w:eastAsia="Amiri" w:cs="Amiri"/>
          <w:color w:val="111111"/>
          <w:sz w:val="28"/>
          <w:sz w:val="28"/>
          <w:szCs w:val="28"/>
          <w:rtl w:val="true"/>
          <w:lang w:bidi="ar-SA"/>
        </w:rPr>
        <w:t>رجال علي بن داود</w:t>
      </w:r>
    </w:p>
    <w:p>
      <w:pPr>
        <w:pStyle w:val="BookText"/>
        <w:rPr/>
      </w:pPr>
      <w:r>
        <w:rPr>
          <w:rFonts w:ascii="Amiri" w:hAnsi="Amiri" w:eastAsia="Amiri" w:cs="Amiri"/>
          <w:color w:val="111111"/>
          <w:sz w:val="28"/>
          <w:sz w:val="28"/>
          <w:szCs w:val="28"/>
          <w:rtl w:val="true"/>
          <w:lang w:bidi="ar-SA"/>
        </w:rPr>
        <w:t>رجال النجاشي</w:t>
      </w:r>
    </w:p>
    <w:p>
      <w:pPr>
        <w:pStyle w:val="BookText"/>
        <w:rPr/>
      </w:pPr>
      <w:r>
        <w:rPr>
          <w:rFonts w:ascii="Amiri" w:hAnsi="Amiri" w:eastAsia="Amiri" w:cs="Amiri"/>
          <w:color w:val="111111"/>
          <w:sz w:val="28"/>
          <w:sz w:val="28"/>
          <w:szCs w:val="28"/>
          <w:rtl w:val="true"/>
          <w:lang w:bidi="ar-SA"/>
        </w:rPr>
        <w:t>رجال الكشي</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p>
    <w:p>
      <w:pPr>
        <w:pStyle w:val="BookText"/>
        <w:rPr/>
      </w:pPr>
      <w:r>
        <w:rPr>
          <w:rFonts w:ascii="Amiri" w:hAnsi="Amiri" w:eastAsia="Amiri" w:cs="Amiri"/>
          <w:color w:val="111111"/>
          <w:sz w:val="28"/>
          <w:sz w:val="28"/>
          <w:szCs w:val="28"/>
          <w:rtl w:val="true"/>
          <w:lang w:bidi="ar-SA"/>
        </w:rPr>
        <w:t>تنقيح المقال في علم الرجال الجامع في الرجال</w:t>
      </w:r>
    </w:p>
    <w:p>
      <w:pPr>
        <w:pStyle w:val="BookText"/>
        <w:rPr/>
      </w:pPr>
      <w:r>
        <w:rPr>
          <w:rFonts w:ascii="Amiri" w:hAnsi="Amiri" w:eastAsia="Amiri" w:cs="Amiri"/>
          <w:color w:val="111111"/>
          <w:sz w:val="28"/>
          <w:sz w:val="28"/>
          <w:szCs w:val="28"/>
          <w:rtl w:val="true"/>
          <w:lang w:bidi="ar-SA"/>
        </w:rPr>
        <w:t>معجم رجال الحديث</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إسلامية مختلفة</w:t>
      </w:r>
    </w:p>
    <w:p>
      <w:pPr>
        <w:pStyle w:val="BookText"/>
        <w:rPr/>
      </w:pPr>
      <w:r>
        <w:rPr>
          <w:rFonts w:ascii="IRNazanin" w:hAnsi="IRNazanin" w:eastAsia="IRNazanin"/>
          <w:color w:val="111111"/>
          <w:sz w:val="28"/>
          <w:sz w:val="28"/>
          <w:szCs w:val="28"/>
          <w:rtl w:val="true"/>
          <w:lang w:bidi="fa-IR"/>
        </w:rPr>
        <w:t>الإرشاد</w:t>
      </w:r>
    </w:p>
    <w:p>
      <w:pPr>
        <w:pStyle w:val="BookText"/>
        <w:rPr/>
      </w:pPr>
      <w:r>
        <w:rPr>
          <w:rFonts w:ascii="Amiri" w:hAnsi="Amiri" w:eastAsia="Amiri" w:cs="Amiri"/>
          <w:color w:val="111111"/>
          <w:sz w:val="28"/>
          <w:sz w:val="28"/>
          <w:szCs w:val="28"/>
          <w:rtl w:val="true"/>
          <w:lang w:bidi="ar-SA"/>
        </w:rPr>
        <w:t>الحكمة الإسلامية</w:t>
      </w:r>
    </w:p>
    <w:p>
      <w:pPr>
        <w:pStyle w:val="BookText"/>
        <w:rPr/>
      </w:pPr>
      <w:r>
        <w:rPr>
          <w:rFonts w:ascii="Amiri" w:hAnsi="Amiri" w:eastAsia="Amiri" w:cs="Amiri"/>
          <w:color w:val="111111"/>
          <w:sz w:val="28"/>
          <w:sz w:val="28"/>
          <w:szCs w:val="28"/>
          <w:rtl w:val="true"/>
          <w:lang w:bidi="ar-SA"/>
        </w:rPr>
        <w:t>الذريعة إلى تصانيف الشيعة</w:t>
      </w:r>
    </w:p>
    <w:p>
      <w:pPr>
        <w:pStyle w:val="BookText"/>
        <w:rPr/>
      </w:pPr>
      <w:r>
        <w:rPr>
          <w:rFonts w:ascii="Amiri" w:hAnsi="Amiri" w:eastAsia="Amiri" w:cs="Amiri"/>
          <w:color w:val="111111"/>
          <w:sz w:val="28"/>
          <w:sz w:val="28"/>
          <w:szCs w:val="28"/>
          <w:rtl w:val="true"/>
          <w:lang w:bidi="ar-SA"/>
        </w:rPr>
        <w:t>الشورى في الإسلام</w:t>
      </w:r>
    </w:p>
    <w:p>
      <w:pPr>
        <w:pStyle w:val="BookText"/>
        <w:rPr/>
      </w:pPr>
      <w:r>
        <w:rPr>
          <w:rFonts w:ascii="Amiri" w:hAnsi="Amiri" w:eastAsia="Amiri" w:cs="Amiri"/>
          <w:color w:val="111111"/>
          <w:sz w:val="28"/>
          <w:sz w:val="28"/>
          <w:szCs w:val="28"/>
          <w:rtl w:val="true"/>
          <w:lang w:bidi="ar-SA"/>
        </w:rPr>
        <w:t>شورى در قرآن وحديث</w:t>
      </w:r>
    </w:p>
    <w:p>
      <w:pPr>
        <w:pStyle w:val="BookText"/>
        <w:rPr/>
      </w:pP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نهج البلاغة</w:t>
      </w:r>
    </w:p>
    <w:p>
      <w:pPr>
        <w:pStyle w:val="BookText"/>
        <w:rPr/>
      </w:pPr>
      <w:r>
        <w:rPr>
          <w:rFonts w:ascii="Amiri" w:hAnsi="Amiri" w:eastAsia="Amiri" w:cs="Amiri"/>
          <w:color w:val="111111"/>
          <w:sz w:val="28"/>
          <w:sz w:val="28"/>
          <w:szCs w:val="28"/>
          <w:rtl w:val="true"/>
          <w:lang w:bidi="ar-SA"/>
        </w:rPr>
        <w:t xml:space="preserve">كلمة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الكتب المنقول عنها بالواسطة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التنزيل</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IRNazanin" w:hAnsi="IRNazanin" w:eastAsia="IRNazanin"/>
          <w:color w:val="111111"/>
          <w:sz w:val="28"/>
          <w:sz w:val="28"/>
          <w:szCs w:val="28"/>
          <w:rtl w:val="true"/>
          <w:lang w:bidi="fa-IR"/>
        </w:rPr>
        <w:t>دعائم الإسلام</w:t>
      </w:r>
    </w:p>
    <w:p>
      <w:pPr>
        <w:pStyle w:val="BookText"/>
        <w:rPr/>
      </w:pPr>
      <w:r>
        <w:rPr>
          <w:rFonts w:ascii="Amiri" w:hAnsi="Amiri" w:eastAsia="Amiri" w:cs="Amiri"/>
          <w:color w:val="111111"/>
          <w:sz w:val="28"/>
          <w:sz w:val="28"/>
          <w:szCs w:val="28"/>
          <w:rtl w:val="true"/>
          <w:lang w:bidi="ar-SA"/>
        </w:rPr>
        <w:t>روضة الكافي</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دستور معالم الحكم</w:t>
      </w:r>
    </w:p>
    <w:p>
      <w:pPr>
        <w:pStyle w:val="BookText"/>
        <w:rPr/>
      </w:pPr>
      <w:r>
        <w:rPr>
          <w:rFonts w:ascii="IRNazanin" w:hAnsi="IRNazanin" w:eastAsia="IRNazanin"/>
          <w:color w:val="111111"/>
          <w:sz w:val="28"/>
          <w:sz w:val="28"/>
          <w:szCs w:val="28"/>
          <w:rtl w:val="true"/>
          <w:lang w:bidi="fa-IR"/>
        </w:rPr>
        <w:t>البصائر</w:t>
      </w:r>
    </w:p>
    <w:p>
      <w:pPr>
        <w:pStyle w:val="BookText"/>
        <w:rPr/>
      </w:pPr>
      <w:r>
        <w:rPr>
          <w:rFonts w:ascii="IRNazanin" w:hAnsi="IRNazanin" w:eastAsia="IRNazanin"/>
          <w:color w:val="111111"/>
          <w:sz w:val="28"/>
          <w:sz w:val="28"/>
          <w:szCs w:val="28"/>
          <w:rtl w:val="true"/>
          <w:lang w:bidi="fa-IR"/>
        </w:rPr>
        <w:t>الذخائر</w:t>
      </w:r>
    </w:p>
    <w:p>
      <w:pPr>
        <w:pStyle w:val="BookText"/>
        <w:rPr/>
      </w:pPr>
      <w:r>
        <w:rPr>
          <w:rFonts w:ascii="Amiri" w:hAnsi="Amiri" w:eastAsia="Amiri" w:cs="Amiri"/>
          <w:color w:val="111111"/>
          <w:sz w:val="28"/>
          <w:sz w:val="28"/>
          <w:szCs w:val="28"/>
          <w:rtl w:val="true"/>
          <w:lang w:bidi="ar-SA"/>
        </w:rPr>
        <w:t>النهاية في غريب الحديث</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الخواطر </w:t>
      </w:r>
    </w:p>
    <w:p>
      <w:pPr>
        <w:pStyle w:val="BookText"/>
        <w:rPr/>
      </w:pP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مكارم الأخلاق</w:t>
      </w:r>
    </w:p>
    <w:p>
      <w:pPr>
        <w:pStyle w:val="BookText"/>
        <w:rPr/>
      </w:pPr>
      <w:r>
        <w:rPr>
          <w:rFonts w:ascii="IRNazanin" w:hAnsi="IRNazanin" w:eastAsia="IRNazanin"/>
          <w:color w:val="111111"/>
          <w:sz w:val="28"/>
          <w:sz w:val="28"/>
          <w:szCs w:val="28"/>
          <w:rtl w:val="true"/>
          <w:lang w:bidi="fa-IR"/>
        </w:rPr>
        <w:t>قرب الاسناد</w:t>
      </w:r>
    </w:p>
    <w:p>
      <w:pPr>
        <w:pStyle w:val="BookText"/>
        <w:rPr/>
      </w:pPr>
      <w:r>
        <w:rPr>
          <w:rFonts w:ascii="Amiri" w:hAnsi="Amiri" w:eastAsia="Amiri" w:cs="Amiri"/>
          <w:color w:val="111111"/>
          <w:sz w:val="28"/>
          <w:sz w:val="28"/>
          <w:szCs w:val="28"/>
          <w:rtl w:val="true"/>
          <w:lang w:bidi="ar-SA"/>
        </w:rPr>
        <w:t>الصافي</w:t>
      </w:r>
    </w:p>
    <w:p>
      <w:pPr>
        <w:pStyle w:val="BookText"/>
        <w:rPr/>
      </w:pPr>
      <w:r>
        <w:rPr>
          <w:rFonts w:ascii="Amiri" w:hAnsi="Amiri" w:eastAsia="Amiri" w:cs="Amiri"/>
          <w:color w:val="111111"/>
          <w:sz w:val="28"/>
          <w:sz w:val="28"/>
          <w:szCs w:val="28"/>
          <w:rtl w:val="true"/>
          <w:lang w:bidi="ar-SA"/>
        </w:rPr>
        <w:t>عيون أخبار الرضا عليه السلام</w:t>
      </w:r>
    </w:p>
    <w:p>
      <w:pPr>
        <w:pStyle w:val="BookText"/>
        <w:rPr/>
      </w:pPr>
      <w:r>
        <w:rPr>
          <w:rFonts w:ascii="Amiri" w:hAnsi="Amiri" w:eastAsia="Amiri" w:cs="Amiri"/>
          <w:color w:val="111111"/>
          <w:sz w:val="28"/>
          <w:sz w:val="28"/>
          <w:szCs w:val="28"/>
          <w:rtl w:val="true"/>
          <w:lang w:bidi="ar-SA"/>
        </w:rPr>
        <w:t>إكمال الدين وإتمام النعمة</w:t>
      </w:r>
    </w:p>
    <w:p>
      <w:pPr>
        <w:pStyle w:val="BookText"/>
        <w:rPr/>
      </w:pPr>
      <w:r>
        <w:rPr>
          <w:rFonts w:ascii="Amiri" w:hAnsi="Amiri" w:eastAsia="Amiri" w:cs="Amiri"/>
          <w:color w:val="111111"/>
          <w:sz w:val="28"/>
          <w:sz w:val="28"/>
          <w:szCs w:val="28"/>
          <w:rtl w:val="true"/>
          <w:lang w:bidi="ar-SA"/>
        </w:rPr>
        <w:t>أدب الدنيا والدين</w:t>
      </w:r>
    </w:p>
    <w:p>
      <w:pPr>
        <w:pStyle w:val="BookText"/>
        <w:rPr/>
      </w:pPr>
      <w:r>
        <w:rPr>
          <w:rFonts w:ascii="Amiri" w:hAnsi="Amiri" w:eastAsia="Amiri" w:cs="Amiri"/>
          <w:color w:val="111111"/>
          <w:sz w:val="28"/>
          <w:sz w:val="28"/>
          <w:szCs w:val="28"/>
          <w:rtl w:val="true"/>
          <w:lang w:bidi="ar-SA"/>
        </w:rPr>
        <w:t>سراج الملوك</w:t>
      </w:r>
    </w:p>
    <w:p>
      <w:pPr>
        <w:pStyle w:val="BookText"/>
        <w:rPr/>
      </w:pPr>
      <w:r>
        <w:rPr>
          <w:rFonts w:ascii="IRNazanin" w:hAnsi="IRNazanin" w:eastAsia="IRNazanin"/>
          <w:color w:val="111111"/>
          <w:sz w:val="28"/>
          <w:sz w:val="28"/>
          <w:szCs w:val="28"/>
          <w:rtl w:val="true"/>
          <w:lang w:bidi="fa-IR"/>
        </w:rPr>
        <w:t>مطالب السؤول</w:t>
      </w:r>
    </w:p>
    <w:p>
      <w:pPr>
        <w:pStyle w:val="BookText"/>
        <w:rPr/>
      </w:pPr>
      <w:r>
        <w:rPr>
          <w:rFonts w:ascii="Amiri" w:hAnsi="Amiri" w:eastAsia="Amiri" w:cs="Amiri"/>
          <w:color w:val="111111"/>
          <w:sz w:val="28"/>
          <w:sz w:val="28"/>
          <w:szCs w:val="28"/>
          <w:rtl w:val="true"/>
          <w:lang w:bidi="ar-SA"/>
        </w:rPr>
        <w:t>نهاية الأرب</w:t>
      </w:r>
    </w:p>
    <w:p>
      <w:pPr>
        <w:pStyle w:val="BookText"/>
        <w:rPr/>
      </w:pPr>
      <w:r>
        <w:rPr>
          <w:rFonts w:ascii="Amiri" w:hAnsi="Amiri" w:eastAsia="Amiri" w:cs="Amiri"/>
          <w:color w:val="111111"/>
          <w:sz w:val="28"/>
          <w:sz w:val="28"/>
          <w:szCs w:val="28"/>
          <w:rtl w:val="true"/>
          <w:lang w:bidi="ar-SA"/>
        </w:rPr>
        <w:t>شرح المفاتيح</w:t>
      </w:r>
    </w:p>
    <w:p>
      <w:pPr>
        <w:pStyle w:val="BookText"/>
        <w:rPr/>
      </w:pPr>
      <w:r>
        <w:rPr>
          <w:rFonts w:ascii="Amiri" w:hAnsi="Amiri" w:eastAsia="Amiri" w:cs="Amiri"/>
          <w:color w:val="111111"/>
          <w:sz w:val="28"/>
          <w:sz w:val="28"/>
          <w:szCs w:val="28"/>
          <w:rtl w:val="true"/>
          <w:lang w:bidi="ar-SA"/>
        </w:rPr>
        <w:t>تفسير النعماني</w:t>
      </w:r>
    </w:p>
    <w:p>
      <w:pPr>
        <w:pStyle w:val="BookText"/>
        <w:rPr/>
      </w:pPr>
      <w:r>
        <w:rPr>
          <w:rFonts w:ascii="Amiri" w:hAnsi="Amiri" w:eastAsia="Amiri" w:cs="Amiri"/>
          <w:color w:val="111111"/>
          <w:sz w:val="28"/>
          <w:sz w:val="28"/>
          <w:szCs w:val="28"/>
          <w:rtl w:val="true"/>
          <w:lang w:bidi="ar-SA"/>
        </w:rPr>
        <w:t>منية المريد</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ascii="Amiri" w:hAnsi="Amiri" w:eastAsia="Amiri" w:cs="Amiri"/>
          <w:color w:val="111111"/>
          <w:sz w:val="28"/>
          <w:sz w:val="28"/>
          <w:szCs w:val="28"/>
          <w:rtl w:val="true"/>
          <w:lang w:bidi="ar-SA"/>
        </w:rPr>
        <w:t>الغيبة</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الدر المنثور</w:t>
      </w:r>
    </w:p>
    <w:p>
      <w:pPr>
        <w:pStyle w:val="BookText"/>
        <w:rPr/>
      </w:pPr>
      <w:r>
        <w:rPr>
          <w:rFonts w:ascii="Amiri" w:hAnsi="Amiri" w:eastAsia="Amiri" w:cs="Amiri"/>
          <w:color w:val="111111"/>
          <w:sz w:val="28"/>
          <w:sz w:val="28"/>
          <w:szCs w:val="28"/>
          <w:rtl w:val="true"/>
          <w:lang w:bidi="ar-SA"/>
        </w:rPr>
        <w:t>نوارد الراوندي</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الامتاع لابن هشام</w:t>
      </w:r>
    </w:p>
    <w:p>
      <w:pPr>
        <w:pStyle w:val="BookText"/>
        <w:rPr/>
      </w:pPr>
      <w:r>
        <w:rPr>
          <w:rFonts w:ascii="Amiri" w:hAnsi="Amiri" w:eastAsia="Amiri" w:cs="Amiri"/>
          <w:color w:val="111111"/>
          <w:sz w:val="28"/>
          <w:sz w:val="28"/>
          <w:szCs w:val="28"/>
          <w:rtl w:val="true"/>
          <w:lang w:bidi="ar-SA"/>
        </w:rPr>
        <w:t>السيرة لابن هشام</w:t>
      </w:r>
    </w:p>
    <w:p>
      <w:pPr>
        <w:pStyle w:val="BookText"/>
        <w:rPr/>
      </w:pPr>
      <w:r>
        <w:rPr>
          <w:rFonts w:ascii="Amiri" w:hAnsi="Amiri" w:eastAsia="Amiri" w:cs="Amiri"/>
          <w:color w:val="111111"/>
          <w:sz w:val="28"/>
          <w:sz w:val="28"/>
          <w:szCs w:val="28"/>
          <w:rtl w:val="true"/>
          <w:lang w:bidi="ar-SA"/>
        </w:rPr>
        <w:t>السيرة للمقريزي</w:t>
      </w:r>
    </w:p>
    <w:p>
      <w:pPr>
        <w:pStyle w:val="BookText"/>
        <w:rPr/>
      </w:pPr>
      <w:r>
        <w:rPr>
          <w:rFonts w:ascii="Amiri" w:hAnsi="Amiri" w:eastAsia="Amiri" w:cs="Amiri"/>
          <w:color w:val="111111"/>
          <w:sz w:val="28"/>
          <w:sz w:val="28"/>
          <w:szCs w:val="28"/>
          <w:rtl w:val="true"/>
          <w:lang w:bidi="ar-SA"/>
        </w:rPr>
        <w:t>إثبات الهداة</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IRNazanin" w:hAnsi="IRNazanin" w:eastAsia="IRNazanin"/>
          <w:color w:val="111111"/>
          <w:sz w:val="28"/>
          <w:sz w:val="28"/>
          <w:szCs w:val="28"/>
          <w:rtl w:val="true"/>
          <w:lang w:bidi="fa-IR"/>
        </w:rPr>
        <w:t>علل الشرائع</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الواعظين </w:t>
      </w:r>
    </w:p>
    <w:p>
      <w:pPr>
        <w:pStyle w:val="BookText"/>
        <w:rPr/>
      </w:pPr>
      <w:r>
        <w:rPr>
          <w:rFonts w:ascii="Amiri" w:hAnsi="Amiri" w:eastAsia="Amiri" w:cs="Amiri"/>
          <w:color w:val="111111"/>
          <w:sz w:val="28"/>
          <w:sz w:val="28"/>
          <w:szCs w:val="28"/>
          <w:rtl w:val="true"/>
          <w:lang w:bidi="ar-SA"/>
        </w:rPr>
        <w:t>الخصالمغازي الواقدي</w:t>
      </w:r>
    </w:p>
    <w:p>
      <w:pPr>
        <w:pStyle w:val="BookText"/>
        <w:rPr/>
      </w:pPr>
      <w:r>
        <w:rPr>
          <w:rFonts w:ascii="Amiri" w:hAnsi="Amiri" w:eastAsia="Amiri" w:cs="Amiri"/>
          <w:color w:val="111111"/>
          <w:sz w:val="28"/>
          <w:sz w:val="28"/>
          <w:szCs w:val="28"/>
          <w:rtl w:val="true"/>
          <w:lang w:bidi="ar-SA"/>
        </w:rPr>
        <w:t>غوالي اللئالي</w:t>
      </w:r>
    </w:p>
    <w:p>
      <w:pPr>
        <w:pStyle w:val="BookText"/>
        <w:rPr/>
      </w:pPr>
      <w:r>
        <w:rPr>
          <w:rFonts w:ascii="IRNazanin" w:hAnsi="IRNazanin" w:eastAsia="IRNazanin"/>
          <w:color w:val="111111"/>
          <w:sz w:val="28"/>
          <w:sz w:val="28"/>
          <w:szCs w:val="28"/>
          <w:rtl w:val="true"/>
          <w:lang w:bidi="fa-IR"/>
        </w:rPr>
        <w:t>إعلام الورى</w:t>
      </w:r>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ascii="Amiri" w:hAnsi="Amiri" w:eastAsia="Amiri" w:cs="Amiri"/>
          <w:color w:val="111111"/>
          <w:sz w:val="28"/>
          <w:sz w:val="28"/>
          <w:szCs w:val="28"/>
          <w:rtl w:val="true"/>
          <w:lang w:bidi="ar-SA"/>
        </w:rPr>
        <w:t>كنز الكراجكي</w:t>
      </w:r>
    </w:p>
    <w:p>
      <w:pPr>
        <w:pStyle w:val="BookText"/>
        <w:rPr/>
      </w:pPr>
      <w:r>
        <w:rPr>
          <w:rFonts w:ascii="Amiri" w:hAnsi="Amiri" w:eastAsia="Amiri" w:cs="Amiri"/>
          <w:color w:val="111111"/>
          <w:sz w:val="28"/>
          <w:sz w:val="28"/>
          <w:szCs w:val="28"/>
          <w:rtl w:val="true"/>
          <w:lang w:bidi="ar-SA"/>
        </w:rPr>
        <w:t>كتاب سليم بن قيس الهلالي</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صحيفة الرضا عليه السلام</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Amiri" w:hAnsi="Amiri" w:eastAsia="Amiri" w:cs="Amiri"/>
          <w:color w:val="111111"/>
          <w:sz w:val="28"/>
          <w:sz w:val="28"/>
          <w:szCs w:val="28"/>
          <w:rtl w:val="true"/>
          <w:lang w:bidi="ar-SA"/>
        </w:rPr>
        <w:t>معاني الأخبار</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الإسناد </w:t>
      </w:r>
      <w:bookmarkStart w:id="1129" w:name="pg8204_101510"/>
    </w:p>
    <w:p>
      <w:pPr>
        <w:pStyle w:val="Heading2"/>
        <w:numPr>
          <w:ilvl w:val="1"/>
          <w:numId w:val="1"/>
        </w:numPr>
        <w:rPr/>
      </w:pPr>
      <w:bookmarkStart w:id="1130" w:name="__RefHeading___Toc8924740_1051229030"/>
      <w:bookmarkStart w:id="1131" w:name="_Toc409"/>
      <w:bookmarkEnd w:id="1129"/>
      <w:bookmarkEnd w:id="1130"/>
      <w:r>
        <w:rPr>
          <w:rtl w:val="true"/>
        </w:rPr>
        <w:t>كتب أخرى للمؤلف</w:t>
      </w:r>
      <w:bookmarkEnd w:id="1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حياة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التصريح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يصرح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إنتاج الثروة ومكافحة الفقر في منهج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عن القيمة الذاتية لمحبة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تجليات النصرة الإلهية للزهراء المرضية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من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شرعية وقدسية ومحورية النهضة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 الدين، دراسة عن العلاقة الوثيقة بين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كل فرع فرع من فروع الدين،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الأجيال،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العقيدة والسلوك، مجموعة محاضرات على ضوء الآيات القرآنية الكريمة، ألقيت في الحوزة الزينبية وفي النجف الأشرف،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دروس في أصول الكافي، الجزء الأول، كتاب العقل والجهل، </w:t>
      </w:r>
    </w:p>
    <w:p>
      <w:pPr>
        <w:pStyle w:val="BookText"/>
        <w:rPr/>
      </w:pP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كونوا مع الصادقين، بحوث تفسيرية في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موضوعاً وحكماً، قيد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موضوعاً وحكماً، قيد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قيد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اللهو واللعب واللغو، قيد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النجش،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التعامل بالدراهم المغشوشة والبضائع المقلدة،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مجلدان،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الاجتهاد والتقليد والاحتياط، تقريرات درس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و 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بعض مباني الفلسفة والعرفان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تمهيدية في فقه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والورود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النظرية الحسية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المعاريض والتورية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مناشئ الضلال ومباعث الانحراف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دروس وعبر من الكلمات القصار من نهج البلاغة</w:t>
      </w:r>
      <w:r>
        <w:rPr>
          <w:rFonts w:eastAsia="Amiri" w:cs="Amiri" w:ascii="Amiri" w:hAnsi="Amiri"/>
          <w:color w:val="111111"/>
          <w:sz w:val="28"/>
          <w:szCs w:val="28"/>
          <w:rtl w:val="true"/>
          <w:lang w:bidi="ar-SA"/>
        </w:rPr>
        <w:t xml:space="preserve">. </w:t>
      </w:r>
      <w:bookmarkStart w:id="1132" w:name="pg8204_101514"/>
    </w:p>
    <w:p>
      <w:pPr>
        <w:pStyle w:val="Heading2"/>
        <w:numPr>
          <w:ilvl w:val="1"/>
          <w:numId w:val="1"/>
        </w:numPr>
        <w:rPr/>
      </w:pPr>
      <w:bookmarkStart w:id="1133" w:name="__RefHeading___Toc8924742_1051229030"/>
      <w:bookmarkStart w:id="1134" w:name="_Toc410"/>
      <w:bookmarkEnd w:id="1132"/>
      <w:bookmarkEnd w:id="1133"/>
      <w:r>
        <w:rPr>
          <w:rtl w:val="true"/>
        </w:rPr>
        <w:t>الفهرس</w:t>
      </w:r>
      <w:bookmarkEnd w:id="1134"/>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 المنهجية للكتاب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موضوع البحث ونطاقه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مباني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معضلة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منهجية البحث والمخاطبون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هيكليته ومصادره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بقاعدة دفع الضرر المحتمل</w:t>
      </w:r>
    </w:p>
    <w:p>
      <w:pPr>
        <w:pStyle w:val="BookText"/>
        <w:rPr/>
      </w:pPr>
      <w:r>
        <w:rPr>
          <w:rFonts w:ascii="Amiri" w:hAnsi="Amiri" w:eastAsia="Amiri" w:cs="Amiri"/>
          <w:color w:val="111111"/>
          <w:sz w:val="28"/>
          <w:sz w:val="28"/>
          <w:szCs w:val="28"/>
          <w:rtl w:val="true"/>
          <w:lang w:bidi="ar-SA"/>
        </w:rPr>
        <w:t xml:space="preserve">مع التطرق لكون الحجج طريقية، أو 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تعبدية وتأسيس الأصل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الاستدلال بدفع الضرر البالغ المحتمل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الشورى العامة من الأمور الخطيرة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اتباع الرأي الواحد إلقاء للناس في التهلكة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بأن رأي الفقيه حجة شرعاً وإن انفرد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الفتوى عن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مع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باحتمال كون رأي الفقيه حجة 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حجيته لأماريته وطريقيته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الإشكال بأن حجيته 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أخذ أمر زائد تعبداً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من موارد إلغاء الفقهاء الخصوصية المحتمل تعبديتها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قضاء القاضي بعلمه رغم نصوص الحصر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المشهور لتعين تقليد الأعلم ببناء العقلاء ليس إلا لكونه الأقرب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باشتراط العدالة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حجية رأي الفقيه 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جوابان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المشهور بالتعدي عن المرجحات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الأصل في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بأمر ارتكازي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الفقهاء لوجوب تقليد الأعلم بروايات باب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ببرهان الدوران والترديد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برهان الدوران والترديد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فكرة نفوذ أمر كل فقيه على مقلديه فحسب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نظرية نفوذ أمر أحدهم غير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فكرة نفوذ أمر أحدهم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 الأعلم والمناقشات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 ولي الأمر، والجواب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نظرية نفوذ حكم الفقيه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نظرية نفوذ حكم السابق من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فكرة نفوذ حكم من اختارته الأكثرية حاكماً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فكرة نفوذ أمر أحدهم المخير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مناص إلاّ من حكومة أكثرية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 الاستدلال بالتركب من آحاد مفروضة الحجية</w:t>
      </w:r>
    </w:p>
    <w:p>
      <w:pPr>
        <w:pStyle w:val="BookText"/>
        <w:rPr/>
      </w:pPr>
      <w:r>
        <w:rPr>
          <w:rFonts w:ascii="Amiri" w:hAnsi="Amiri" w:eastAsia="Amiri" w:cs="Amiri"/>
          <w:color w:val="111111"/>
          <w:sz w:val="28"/>
          <w:sz w:val="28"/>
          <w:szCs w:val="28"/>
          <w:rtl w:val="true"/>
          <w:lang w:bidi="ar-SA"/>
        </w:rPr>
        <w:t>وبصدق العناوين على القليل والكثير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الاستدلال بالتركب من آحاد كلها حجج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الاستدلال بالصدق على القليل والكثير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الموانع المتوهمة عن الرجوع إلى رأي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الوجوب التخييري للتقليد فطري أو عقلي وهو 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إذا كان الأمر بالتقليد شرعياً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إطلاق الروايات ينفي دعوى منع التبعيض أو العدول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الاستناد للإطلاق المقامي واللفظي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الجواب عن إشكال أن المقام من الدوران بين المتباينين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بحث عن صحة القضاء بالعلم رغم النصوص الحاصرة بالأيمان والبينات</w:t>
      </w:r>
    </w:p>
    <w:p>
      <w:pPr>
        <w:pStyle w:val="BookText"/>
        <w:rPr/>
      </w:pPr>
      <w:r>
        <w:rPr>
          <w:rFonts w:ascii="Amiri" w:hAnsi="Amiri" w:eastAsia="Amiri" w:cs="Amiri"/>
          <w:color w:val="111111"/>
          <w:sz w:val="28"/>
          <w:sz w:val="28"/>
          <w:szCs w:val="28"/>
          <w:rtl w:val="true"/>
          <w:lang w:bidi="ar-SA"/>
        </w:rPr>
        <w:t>مما يستظهر منه طريقية 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الأدلة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المشهور بوجوب تقليد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مناقشة مع الآخوند في نفيه الإطلاق في أدلة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مناقشة أخرى مع الآخوند في نفي ملاكية القرب للواقع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مناقشة القول بأن الأقربية لا توجب تعين الأخذ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بحث عن الوجه في تقديم حكم الأفقه في القضاء وفرقه عن باب 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مناقشات مع المستند في قوله بالحكم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بالآيات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آية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ما عدّ صفة للمؤمن، وجوب تحصيله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إشكالات وأجوبة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السياق على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توفر صفات منها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بصيغة إخبار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دلالة الآية على مطلوبية الشورى قبل وبعد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دلالة الآية على عموم مطلوبية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الاعتراض بالآيات التي تذم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القدح لأكثر الناس لا لأكثر الفقهاء والخبراء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الذم معلل باتباع الظن غير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الآيات خاصة بشؤون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ليست الآيات في مقام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ليس أكثر الفقهاء أكثر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الآيات مخصصة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التطرق للعديد من الإشكالات والأجوبة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الإشكال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بالشورى فلا تجب على غيره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قائمة على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بحث إجمالي عن حجية روايات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روايتها 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مراسيل الثقات في التاريخ بل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بدر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لحرب النفير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الأحزاب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ثلث ثمار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عمله برأي الأكثرية كان اضطراراً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لا جهة له، والأصل عدم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الأصل في قوله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لو كان اضطراراً لكان في غيره 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يعمل برأيه حتى وافقته الأكثرية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رواية القمي في صلح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الإشكال بأنه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وافق على الصلح في الحديبية دون مشورة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أجوبة خمسة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الإشكال بأن عمله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على طبق الشورى لا استناداً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الظاهر بقرائن عديدة عمله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استناداً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دليل آخرعلى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بالشورى رغم مخالفتها لرأيه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العمل برأي الأكثرية مع عدم وجود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الحكم بالقتل إلى أخذ الفداء موافقة لرأي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إشكال الاضطرار والجواب عنه صغروياً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وجوه عدم تمامية الاستدلال بالرواية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برأي الأكثرية في الخروج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باختصاص موارد المشورة بالحروب والجواب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استشارته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هذه الموارد غير مقيِّد للآية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بحث عن احتمال ردعه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هل المدح على الشورى إن طابقت 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دليل على مخالفته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الجواب عن استصحاب عدم أخذه برأي الأكثرية ونظائره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الجواب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عاملاً بالشورى لبان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غير موارد النص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نماذج عديدة من ورد النص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السرّ في كثرة ورود النصوص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نماذج من تفويض الأصحاب أصواتهم للنبي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 221</w:t>
      </w:r>
    </w:p>
    <w:p>
      <w:pPr>
        <w:pStyle w:val="BookText"/>
        <w:rPr/>
      </w:pPr>
      <w:r>
        <w:rPr>
          <w:rFonts w:ascii="Amiri" w:hAnsi="Amiri" w:eastAsia="Amiri" w:cs="Amiri"/>
          <w:color w:val="111111"/>
          <w:sz w:val="28"/>
          <w:sz w:val="28"/>
          <w:szCs w:val="28"/>
          <w:rtl w:val="true"/>
          <w:lang w:bidi="ar-SA"/>
        </w:rPr>
        <w:t xml:space="preserve">محتملات وجوه عدم عمل النبي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الشورى مردد بين الموضوعية والطريقية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الموضوعية وباب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الطريقية والحجة الأقوى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إشكالات وأجوبة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وجوب الشورى عليه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ينفي وجوبها على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الأصل في الأوامر القرآنية عمومها للكل وإن وردت بصيغة خطاب للنبي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 235</w:t>
      </w:r>
    </w:p>
    <w:p>
      <w:pPr>
        <w:pStyle w:val="BookText"/>
        <w:rPr/>
      </w:pPr>
      <w:r>
        <w:rPr>
          <w:rFonts w:ascii="Amiri" w:hAnsi="Amiri" w:eastAsia="Amiri" w:cs="Amiri"/>
          <w:color w:val="111111"/>
          <w:sz w:val="28"/>
          <w:sz w:val="28"/>
          <w:szCs w:val="28"/>
          <w:rtl w:val="true"/>
          <w:lang w:bidi="ar-SA"/>
        </w:rPr>
        <w:t>ثمرة عمومية خطابات القرآن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استثناء الفرد الواحد لا يخل بظهور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الإشكال بقبح تخصيص المورد والجواب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يتبع الوحي لا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إتباع الأكثرية فيما لم ينزل فيه وحي، إتباع لما يوحى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الجواب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المصلحة في الارجاع للأكثرية مع وجوده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 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العملية ليست على الشورى، والإجماع على عدم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موارد كثيرة هامة لم يتطرق لها الفقهاء بالذكر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ليست الشهرة ظناً معتبراً ليحتج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وعلى فرض اعتبارها فلا بد من ملاحظة سائر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نماذج من انقلاب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الجواب عن أن سيرة الفقهاء العملية لم تكن على الشورى،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بحث عن الأمور الحسبية وأنها من 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أدلة عدم وجوب الشورى في الأمور الحسبية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عدم عمل الفقهاء بالشورى أعم من الالتزام بعدم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الجواب عن دعوى الإجماع على عدم وجوبها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سياق المستحبات فالمشورة 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السياق سياق المستحبات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لا يصلح صارفاً للظواهر عن ظهورها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اللام أنها للجنس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ترددت اللام بين العهد والجنس، كانت للجنس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أن القدر المتيقن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عن أن المطلق كالعام في الدلالة على الشمول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الجواب عن إشكال عدم جريان مقدمات الحكمة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المورد لا تخصص الوارد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الآية شاهد بعدم الاختصاص بالحرب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الاستدلال بعدم القول بالفصل وتنقيح المناط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ما أدى إليه رأيك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الخطابات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العمل برأي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مردد، والأصل عدم إفادة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على فرض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العزم على تنفيذ 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موارد التزم فيها الفقهاء بتخصيص المورد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موارد حَمَلَ الفقهاءُ اللامَ فيها على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رغم وجود ما يصلح مقرّباً لكونها للعهد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بحث عن تعارض المطلق والعام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بالروايات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بالتوقيع الشريف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التوقيع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بحث عن سند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الإشكال بانصرافها للموضوعات الجديدة الحدوث أو خروج غيرها موضوعياً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شمول الرواية للحادث أصله أو فرده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الإشكال على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باحتمال عهديتها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لا يناسب العهد، التعليل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خصوصية السؤال لا تخل بعمومية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سبق ما يصلح لإرادة العهد، غير مخل بأصالة العموم والجنس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القرائن المقامية وبداهة عدم السؤال عن المرجعية في المسائل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مناقشات مع المحققين الأصفهاني والشهيدي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الجواب عن توهم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فارجعوا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رواة حديثنا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صدق الرجوع إلى الفقهاء بالرجوع إلى مجموعة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مدخلية الهيئة الاجتماعية في الرجوع للفقهاء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بحث عن مخالفة الرجوع لأحد الرواة فقط لمقتضى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رجوع كل مجموعة لمرجعها في الشؤون العامة مستلزم للهرج والمرج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بحث عن جواز قاهرية أحد الفقهاء للآخرين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مناقشات مع الأصهاني والإيرواني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الإيرواني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ويرد على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حجتي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هل للفقيه قهر الناس لو أعرضوا عن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رضا الناس بالفقيه لا يلغي وجوب المشورة والشورى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بمجموعة من الروايات الشريفة</w:t>
      </w:r>
    </w:p>
    <w:p>
      <w:pPr>
        <w:pStyle w:val="BookText"/>
        <w:rPr/>
      </w:pPr>
      <w:r>
        <w:rPr>
          <w:rFonts w:ascii="Amiri" w:hAnsi="Amiri" w:eastAsia="Amiri" w:cs="Amiri"/>
          <w:color w:val="111111"/>
          <w:sz w:val="28"/>
          <w:sz w:val="28"/>
          <w:szCs w:val="28"/>
          <w:rtl w:val="true"/>
          <w:lang w:bidi="ar-SA"/>
        </w:rPr>
        <w:t>الواردة حول الاستشارة واتباع المشير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الروايات الآمرة بالاستشارة وباتباع ذوي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بحث سندي إجمالي عن حجية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سند الرواية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جعفر بن محمد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ابن القداح</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سند الرواية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الاستدلال بالروايات السابقة على الإرشادية والمولوية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لزوم الأخذ بآراء المشيرين من لزوم الأخذ برأي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تصنيف الروايات السابقة إلى أربع 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أقربية الإصابة في رأي المشيرين من رأي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الاعتراض بعدم دلالة الروايات على لزوم الاتباع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مقيدية روايات الاتباع لمطلقات 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الآمر بالاستشارة آمر باتباع الأكثرية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إتباع غير الفقيه لأكثرية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روايات لزوم الاتباع حتى للفقيه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توقف الاستنباط في الشؤون العامة على الفقاهة والخبروية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الاستبداد على مخالف الأكثرية،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بحث عن استعمال اللفظ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بمقبولة عمر بن حنظلة ومرفوعة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المقبولة والمرفوعة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الاستدلال بالمقبولة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الأجوبة عن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بحث عن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أو الإضافي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مناقشات تفصيلية لدعوى الآخوند أن اللاريب 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الاستدلال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الأمور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الحديث عن المرفوعة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مناقشة مع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بمعنى الوضوح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مناقشات مع مصباح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ملخص النسبة بين أدلة الشورى والحكومة وأدلة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ملخص النسبة بين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وأما تفصيل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أما بناء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وأما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وأما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مسائل سبع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في وجوب الإشارة وحرمة المنع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ووجوب ردع المانع ومسائل أخرى</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من مصاديق الأمر بالمعروف والنهي عن المنكر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إشارة للأدلة على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إشارة لكون الأحكام السبعة صغريات الأدلة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الحكم فيما لو كان الاختلاف في المعروف والمنكر اجتهادياً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هل حجية نظر الفقيه مانعة من الأحكام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كون الفتوى حكماً ظاهرياً لا يمنع الأحكام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سكوت الأدلة عن صورة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نظر الفقيه طريق عقلائي لا يمنع الأحكام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كما يمكن رفع اليد عن الحكم الواقعي يمكن رفعها عن الحكم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الكثيرة المتنوعة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فلا تكفوا عن مقالة بحق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ذوي الرأي واتباعهم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الجمع بين ما دل على استشارة واتباع العاقل وما دل على إطاعة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الإشكال بظهور بعضها في الاكتفاء بنفس المشاورة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الروايات وشمولها حتى لما لو لم يقتنع المستشير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المستند إلى 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وجوب الفحص عن كون المتصدي عالماً حقاً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وجوب الفحص عن علة اتخاذ القائد موقفاً أو رأياً وعن احتمال خطأه</w:t>
      </w:r>
    </w:p>
    <w:p>
      <w:pPr>
        <w:pStyle w:val="BookText"/>
        <w:rPr/>
      </w:pPr>
      <w:r>
        <w:rPr>
          <w:rFonts w:ascii="Amiri" w:hAnsi="Amiri" w:eastAsia="Amiri" w:cs="Amiri"/>
          <w:color w:val="111111"/>
          <w:sz w:val="28"/>
          <w:sz w:val="28"/>
          <w:szCs w:val="28"/>
          <w:rtl w:val="true"/>
          <w:lang w:bidi="ar-SA"/>
        </w:rPr>
        <w:t>ولا يكتفى بإحراز العدالة ابتداءً ولا باستصحابها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كما يجب الفحص في علم الرجال يجب الفحص عن حال الأحياء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الاستدلال بمجموع الأحكام السابقة على لزوم العمل بالأكثرية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وجوب الاستشارة والاتباع</w:t>
      </w:r>
    </w:p>
    <w:p>
      <w:pPr>
        <w:pStyle w:val="BookText"/>
        <w:rPr/>
      </w:pPr>
      <w:r>
        <w:rPr>
          <w:rFonts w:ascii="Amiri" w:hAnsi="Amiri" w:eastAsia="Amiri" w:cs="Amiri"/>
          <w:color w:val="111111"/>
          <w:sz w:val="28"/>
          <w:sz w:val="28"/>
          <w:szCs w:val="28"/>
          <w:rtl w:val="true"/>
          <w:lang w:bidi="ar-SA"/>
        </w:rPr>
        <w:t>حتى لو لم ير سائر الفقهاء ذلك ومسائل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وجوب الاستشارة والاتباع مطلقاً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هل تجب استشارة الفقيه الذي لا يرى وجوبها أو يرى حرمة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مسائل عديدة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لكل مجتهد أو للمؤهل لا للمجتهد الحاكم أو المقلَّد فحسب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الولاية لكل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انتخاب الفقهاء حسب التخصصات</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الولاية لأهل الخبرة من المؤمنين بل لعامة المكلفين المؤهلين، لا للمجتهد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الأدلة على أن لكل مؤمن بل لكل مؤهل التصدي بشروط للحكومة، لا الفقيه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مناقشة الأدلة والردود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وحدة المطلوب أو تعدده؟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التفصيل بين العنوان والمحصل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بحث حول دلالة الآيات والروايات على الولاية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الاجتهاد خفيف المؤونة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هل يصدق راوي الحديث أو الفقيه على المقلد؟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أصالة عدم مشروعية الرجوع لغير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مع المحقق الإيرواني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بالعدل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مناقشة مع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مناقشة 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تخالف رأي أكثرية شورى الفقهاء مع أكثرية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تخالف آراء الفقهاء مع الأمة على المباني في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الحكومة وكالة أو جُعالة أو إِذن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الحكومة عقد 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بحث حول أن الحكومة منصب منجز أو 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مناقشة مع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مناقشة مع بعض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طبع ولاية الأمر يقتضي الإطاعة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عزل الأمة للحاكم أو انعزاله بفقد الشرائط قهراً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وفروع أخرى</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عزل الحاكم وانعزاله القهري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أدلة القول بأنه لا يحق للأمة عزل الفقيه أو شورى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المناقشات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أدلة القول بأن للأمة حق عزل الفقيه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انعزال الفقيه الحاكم بفقده لبعض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فروع عديدة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هل أحكام الفقيه نافذة لو ظهر فقده للشرائط لاحقاً؟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هل يجوز عصيان أمر الفقيه قبل عزله إذا علم بفقده للشرائط؟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مطلق ما يوجب الهرج والمرج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المرجع هو القضاء لدى اتهام الفقيه الحاكم بما يسقطه عن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حكم تغاير الاجتهاد في صلاحية هذا الفقيه للحكم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لو فقد بعض الشرائط ثم عادت فهل تعود له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استقلال القوة القضائية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استقلال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الدعوى على القاضي والحاكم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أدلة القائلين بعد سماع الدعوى ومناقشتها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نصب القاضي بيد الفقيه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أدلة الاحتياج إلى النصب ومناقشاتها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رد إشكال الهرج والمرج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للفقيه الحاكم عزل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عدم استلزام شمول أدلة الحجية للمتعارضين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الجمع بين الممتناقضين أو المتضادين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أدلة حجية المتعارضين وعدم التضاد والتناقض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Amiri" w:hAnsi="Amiri" w:eastAsia="Amiri" w:cs="Amiri"/>
          <w:color w:val="111111"/>
          <w:sz w:val="28"/>
          <w:sz w:val="28"/>
          <w:szCs w:val="28"/>
          <w:rtl w:val="true"/>
          <w:lang w:bidi="ar-SA"/>
        </w:rPr>
        <w:t>كتب أخرى للمؤلف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أن يكون المراد من الدرجات، نوعيات مختلفة وماهيات متعددة من الكمالات يمتاز بها العلماء على غيرهم ويحتمل أن يكون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يكون هو 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طولية من حقيقة نوعية تشكيكية واحدة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كآية النفر وغيرها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نظيره عن منية المريد وجامع الأخبار وأمالي الصدوق ومعاني الأخبار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المستأكل بعلمه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يجب مصادقته ومصاحبته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كالتصرف في أمواله الشخصية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واحد بالمائة ألف وأحياناً أقل وأحياناً أكثر حسب أهمية المحتمل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كالعرض والمال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التي ترتبط بمصير تجمع كالعشيرة أو الحزب أو النقابة أو نظائرها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كتابه لمالك الأشتر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كتابه لمالك الأشتر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كتابه لمالك الأشتر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كتابه لمالك الأشتر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المصلحة السلوكية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نَفَرَ مِنْ كُلِّ فِرْقَةٍ مِنْهُمْ طائِفَةٌ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إلى رواة حديثنا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الشؤون العامة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تلخيص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التخيير وكذا التساقط والرجوع إلى الأصل أو الالتزام بالاحتياط فرع التساوي وعدم الرجحان، فإذا كان رأي الأكثرية أقرب للواقع كان اللازم الأخذ به كما تطرقنا بالتفصيل لإثبات المقدم والملازمة في هذا الكتاب كما سيجيء التطرق لإثبات الفرعية وشمول أدلة الحجية للمتعارضين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الشمول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القضاء بالبينات والأيمان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أنهم إذا ظهر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كله حسب المشهور، دون المنصور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مشاورة أصحاب الرأي ح</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تتمة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شاور الرجال شاركها في عقولها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مشاورة أصحاب الرأي 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الحزم؟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مشاورة ذوي الرأي واتباعهم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مزجاً مع الشرائع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والتراجيح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والتراجيح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والتراجيح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تكون العلة حينئذٍ معممة ومخصصة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معممة ومخصصة إن عرفنا تلك الجهات وأحرزنا وجودها، والوجه الآخر أن احتمال التعبدية مسبب ينتفي بإجراء الأصل في سببه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هذا مثالاً خيالياً، إذ إن من الواضح اختلاف الفقهاء والسياسيين حالياً في أولوية صب كل الطاقات ضد الاستعمار الأميركي أو البريطاني أو الروسي أو غيرها في كثير من الدول التي تهددها هذه الثلاثة بشكل أو بآخر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الجغرافية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النفوذية، أي دوائر النفوذ للعلماء والأحزاب وغيرها حتى على من ليس مقلداً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سقوط الحاكم الجائر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زيادة الضغط حسب قاعدة الضغط يولد الانفجار، وكل شيء جاوز حده انقلب ضده، وعلى تقدير العكس وإعطائه نوعاً من الحريات قد يفتح ذلك مجالاً لمزيد من التحرك السياسي والاجتماعي والثوري مما يسهم في نضج المفاهيم بشكل أسرع في أذهان الشعب، أو قد يسبب هدوء الشعب وميلهم للدعة والسكون بدل الثورة والتحدي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المؤلف الكلام عن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 الأعلم وحجية رأي المفضول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فرض نادر التحقق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نفوذ حكم أحدهم المعين وهو الأعلم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 للمرحوم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الحكيم الملتفت بنحو الجد، لا أقل من كونه قبيحاً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الأعلم في مرحلة الثبوت والواقع، سواء ثبتت أعلميته في مرحلة الإثبات والعلم أم لا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ككون أقوال غير الأعلم أوفق بالاحتياط أو مطابقة للمشهور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ارتأى عدم تعين تقليد الأعلم فطرح نفسه للمرجعية وقلده جمع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صرنا إلى ذلك كما فصلناه في بعض الكتب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للمجتهد العادل القضاء، نصبته الحكومة أم نصبت قاضياً فاسقاً أو غير مجتهد، وكما أن الولاية للأب والجد والوصي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لهم الولاية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سمحت لهم الحكومة أو غيرها بإعمال ولايتهم أم لم تسمح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فقد العلماء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في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في صورة تغاير الاجتهادين ومخالفة حكم الأول لما هو صواب عند الثاني بحسب الأدلة الظنية، التزم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الشيخ وابن حمزة وابنا سعيد والفاضل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النقض، وإن حمله في المستند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من البحث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إرادة صورة التقصير في الاجتهاد، فتأمل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كلامنا الآن في صحة هذه الأدلة التي أقيمت لعدم جواز نقض حكم القاضي، إذ لا تخلو من الإيراد، بل مرادنا بيان أنها على تقدير صحتها تختص بالقاضي، ولا تشمل حاكم الدولة في شؤونها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بحثنا في موضع آخر مفصلاً الحديث عن عدم وجود المقتضي لنفوذ حكم الواحد، وأن المقتضي هو الهيئة الاجتماعية للأكثرية، وسيأتي أيضاً بإذن الله تعالى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موضع آخر من الكتاب المناقشة في ذلك أيضاً، وأن رد الفقيه لآخر ليس رداً للإمام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أيضاً، فليراجع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نتحدث عن الحكومات الشوروية في التاريخ في كتاب آخر إن شاء الله تعالى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تحدثنا عن بعض هذه البنود وعن بنود أخرى لم نذكرها هنا في موضع آخر من الكتاب بالتفصيل فليراجع، وليضم ما ههنا إلى ما هنالك</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فصّل المؤلف الكلام عن التبعيض في كتاب مباحث الاجتهاد والتقليد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التبعيض في التقليد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وفصل الكلام عن عدم تعين تقليد الأعلم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 الأعلم وحجية فتوى المفضول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لو أمكنه الرجوع إلى مرجعه وتسامح أو تكاسل ولم يرجع إليه، فحينئذٍ لو تحقق ما أنذره به الخبير الآخر استحق الملامة والعقوبة ولو لم يتحقق كان متجرياً، وإنما قيدنا بذينك القيدين لأنه لو لم يمكنه الرجوع لمرجعه فلا كلام في جواز بل وجوب الرجوع لغيره واستحقاقه العقاب والملامة على المخالفة كما لو تعذر الرجوع للأعلم، ولو أمكنه الرجوع ولم يتسامح ويتكاسل بل رجع إليه وكان رأيه عدم الحرمة وعدم وجود خطر، فلا إشكال حينئذٍ لو اقتحم دنيوي أو أخروي، في عدم استحقاقه للعقاب والملامة لاتباعه رأي الخبير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رأيه موافقاً لرأي الآخر وخالفه استحق العقوبة لمخالفته لا لمخالفة ذلك بمعنى كفاية ذاك في استحقاقها لا بمعنى 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بشرط لائية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الصحيح والأعم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الأصل عند الدوران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والشهادات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في الجواهر أيضاً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إلى ظهور كون العلم أقوى من البينة شرعاً المعلوم إرادة الكشف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السارق والزاني تلبس بهذا الوصف لا من أقرّ به أو قامت عليه به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الاستثناء من قِبَلِهم المسالك والمستند والجواهر وغيرهم فليراجع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تقليد غير المعصوم ح</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الاستصحاب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أَفَيُونُسُ بْنُ عَبْدِ الرَّحْمَنِ ثِقَةٌ آخُذُ عَنْهُ مَا أَحْتَاجُ إِلَيْهِ مِنْ مَعَالِمِ دِينِي،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لوجوه، منها الفرق بين صورة العلم بكذب أحد الخبرين، فيكون من اختلاط الحجة باللاحجة، وعدمها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تطرقنا ههنا لهذا البحث بشكل سريع بدائي، وتفصيل الكلام في ذلك ذكرناه في آخر الكتاب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مبنى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كون حجية رأي الفقيه طريقية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تعبدية، أما الطريقية فلكونه كاشفاً نوعياً عن الواقع وفي ظرف الشك لا أن موضوعه الشك، أما التعبدية فلأخذ العدالة وطهارة ◄ ►المولد وأشباههما في حجية قوله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 والنشر مشوش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والشهادات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تلك الضميمة لا تقتضي أكثر من جعل حجة تعييناً، وضمها إلى أقربية حكم الأعلم لايجدي إلا في فرض إثبات كونها بحد الإلزام لرجحانها التام، مع عدم معارضة مصلحة كمصلحة التسهيل مثلاً، إذ يمكن فصل الخصومة بجعل الحجة التعيينية حكم من تراجع إليه المتخاصمان أو حكم السابق أو غير ذلك، ولذا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في باب الحكومة أيضاً وجوب الرجوع للأعلم محل نظر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المشكيني على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البحث فيما سبق وسيأتي كله كبروي مع قطع النظر عن النقاش في الصغرى وأن رأي الأعلم قد لا يكون أقرب لمخالفته للمشهور أو لأعلم ميت أو ما أشبه فتدبر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متقطعاً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بعضهم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الظاهر 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مقدّر مضاف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متابعة المقلد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فالظاهر أن مبناه على المصلحة السلوكية، وأما رجوعه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الليل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هو الحكم الآخر النائب فهو بعيد ولو كان مراداً ولم يرجع للأول ورد عليه وعلى سابقه ما ذكرناه في المتن من أدنى تغيير، ولا يخفى أننا في كلماتنا مشينا تارة على الاحتمال الأول وأخرى على الآخر، وللمرء أن يضع أيّاً منهما مكان الآخر، ويوجد احتمال ثالث هو كون قول المجتهد سبباً لإنشاء حكم ظاهري على طبقه، فتأمل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بحاجة إليه، للاكتفاء بالتعليل الصريح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جائكم عادل بنبأ فلا تتبينوا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بضميمة ظهور إرادة نفي وجوب التبين لا جوازه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كون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امتحانياً، أو كونه في مقام التعليم لا الفتوى، أو التقية أو غير ذلك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ذلك المؤلف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المعاريض والتورية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قلنا الظن لا العلم، لوجود احتمال السهو والخطأ والنسيان في الراوي، كما تحتمل التقية وغيرها في الراوي والمروي عنه كما سبق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فيه تراجع عما ذكره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بأن متابعة المقلد لقول مجتهده لأجل أنه محصل للظن بالواقع وهو ممنوع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ربهم يتوكلون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عطفاً تفسيرياً كان عدّ الشورى من صفاتهم مستفاداً من منطوق الآية، وإلا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أريد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بالمعنى الأخص وهو الإيمان بالله أو مع سائر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مستفاداً من السياق، أو يقال إنه قسيم للإيمان مطلوب ومرغوب فيه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تأمل بل تأملات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الصفة استعملت في الموضوع له، ووجوب التحصيل وعدمه في رتبة لاحقة وهي رتبة المحمول وعلى أي فقد استفيدت من الحكم العقلي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بلحاظ أنها جعلت صفة 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الوضع فلا مجاز وإن كانت مندوبة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غلبة إرادة الندب من جعل الشيء صفة للمؤمن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هناك الوجوب بالوضع وهنا بدلالة العقل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فصلنا الكلام عن الأصل في كلام الشارع، في كتاب الأوامر المولوية والإرشادية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جامعة لجميع الأئمة عليهم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المسألة الثامنة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المسألة الثامنة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يتبعون الظن لا يجوز اتباعهم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الواضح كون المراد من الأوسط هو الظن غير المعتبر،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تطع أكثر من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يتبعون الظن غير المعتبر شرعاً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يضلونك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الإسلامية طهران، ونص الرواية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ويترك ◄ ► الشاذ الذي ليس بمشهور عند أصحابك فإن المجمع عليه لا ريب فيه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الجملة أعني قوله وإن هم إلا يخرصون والتي قبلها أعني قوله إن يتبعون إلا الظن واقعتان موقع التعليل لقوله وإن تطع أكثر من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تنزلاً، وإلا فإنه من العلم بلا ريب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الحكم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وَأَمْرُهُمْ شُورَى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والروايات والعقل كما فصلناها في أبوابها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ضميمة أنه لا دليل على العدم في غيرها مما لا وجه آخر له كالوحي السماوي أو كتفويض الناس الأمر في تلك الحادثة المعينة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ذلك مما سيأتي، لوضوح أن الشورى خاصة بغير موارد الوحي الإلهي، وأن تفويض الأمة الأمر إليه في حادثةٍ يعود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نصوص هذه الروايات مع بحثها الدلالي بعد تمامية هذا البحث السندي إن شاء الله تعالى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المؤلف الكلام عن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مراسيل الثقات المعتمدة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 من خاتمة الكتاب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والامتاع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والسيرة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نقلاً عن هامش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والطبرسي أيضاً ومصادر أخرى كثيرة فراجع الصحيح من سيرة النبي الأعظم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وفي السيرة لابن هشام أيضاً،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اذكروا نعمة الله عليكم إذ جائتكم جنود فأرسلنا عليهم ريحاً وجنوداً لم تروها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وراجع الامتاع، وذكره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والسيرة لابن هشام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المؤلف الكلام حول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مقاصد الشريعة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الاستشارة وإشارة الأكثرية بالخروج</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سنان، قال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السادسة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وردت رواية عن ابن سنان فإن كان المروي عنه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أو بتوسط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به عبد الله لا محمد وإن كانا أخوين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محل تأمل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إرشاد المفيد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علي بن إبراهيم، وراجع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علي بن إبراهيم، وراجع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الظاهر عرفاً في مثل المقام، وبمناسبات الحكم والموضوع، التفريع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أمره بالسير على فرحه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المتفرع على كلام سعد، الكاشف عن رأي أكثريتهم أو المفوض أمر أكثريتهم إليه، هذا إن كانت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أوضح</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عدم وجود النص، وإلا فلا قيمة لرأي الكثيرة في قبال النص</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نقلاً عن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حسب الطبعة المحققة والمصححة للعاملي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أحكام القرآن والخازن والكشاف والمنار وروح المعاني ذيل الآية الكريمة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غدوت من أهلك تبوّء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 ► صفحات، وراجع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الطوسي في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مراراً أن سعد بن معاذ كان يجسد رأي الأنصار وهم الأكثرية، وكان رأيه يعكس رأيهم حيث كان له تفويض مطلق من قبيلته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أخذ منهم الفداء قبل تغيير الحكم فعل محرماً، لكن هذا فرض لا خارجية له، نعم أخذ بعض الأسرى قبل تغيير الحكم فالعقاب كان على أخذهم الأسرى قبل الإباحة، على ما يهدي إليه سياق الكلام في الآية الأولى، كما يشهد به أيضاً قوله في الآية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لمسكم فيما أخذتم عذاب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أي في أخذكم وإنما كانوا أخذوا عند نزول الآيات الأسرى دون الفداء وليس العقاب على استباحة الفداء أو أخذه كما احتمله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وراجع بقية كلامه، إذ يدفع بعض الإشكالات المتوهمة على استدلالنا بالآية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الموارد التي عمل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برأي الأكثرية رغم علمه بخطئها وإضرارها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الكريمة، وقد ذكرت أغلب التفاسير هذه الأقوال الثلاثة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القول الثاني في شأن نزولها أيضاً نافع لما نحن فيه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وثانيها أن ذلك باختيارهم الفداء من الأسرى يوم بدر وكان الحكم فيهم القتل وشرط عليهم إن قبلتم الفداء قتل منكم في القابل بعدتهم قالوا رضينا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كما سبق تفصيله حول مسألة الفداء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أجوبة أخرى في مواضع أخرى من الكتاب، فلتراجع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بحث العام والخاص المتخالفين أو المتوافقين في الوجودين اللفظيين لا في وجودين أحدهما لفظي والآخر عيني وإن اتفقا حكماً، إلا أننا عممنا البحث لوحدة الملاك والدليل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بحث الاستصحاب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19843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أوضحنا أن الخروج من المدينة الذي انعقدت عليه الشورى كان سبب هزيمة المسلمين لو لا التدخل الإعجازي وقتل العشرات منهم، وسنوضح كونه معصية عبر إثبات عدم انحصار الإيصال للحق 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نظيرهما، كالحكومة بل الورود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ذلك قبل صفحات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مآل هذا إلى التخصيص فليلاحظ</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استناداً إلى المعبر عنه بالإطلاق المقامي حتى إن فرض عدم تحقق اللفظي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ممدوحيتها وممدوحية اتباعها، فيما لو طابق رأيها الواقع بنظر الأكثرية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المطابقة للواقع بحسب الظن المعتبر لدى كل واحد من الأكثرية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شبهة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الجواب عن وجوه المرجحات المحتملة في موضع آخر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ترتب هذه المحاذير إلاّ في صورة اعتبار مطابقتها للواقع في نظر الأكثرية فالمدح على اتباع الشورى إن طابق رأيها الواقع بنظر الأكثرية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المشاورة ح</w:t>
      </w:r>
      <w:r>
        <w:rPr>
          <w:rFonts w:eastAsia="IRNazanin" w:cs="IRNazanin"/>
          <w:b w:val="false"/>
          <w:bCs w:val="false"/>
          <w:i w:val="false"/>
          <w:iCs w:val="false"/>
          <w:color w:val="333333"/>
          <w:sz w:val="20"/>
          <w:szCs w:val="20"/>
        </w:rPr>
        <w:t>10074</w:t>
      </w:r>
      <w:r>
        <w:rPr>
          <w:rFonts w:ascii="IRNazanin" w:hAnsi="IRNazanin" w:eastAsia="IRNazanin"/>
          <w:b w:val="false"/>
          <w:b w:val="false"/>
          <w:bCs w:val="false"/>
          <w:i w:val="false"/>
          <w:i w:val="false"/>
          <w:iCs w:val="false"/>
          <w:color w:val="333333"/>
          <w:sz w:val="20"/>
          <w:sz w:val="20"/>
          <w:szCs w:val="20"/>
          <w:rtl w:val="true"/>
        </w:rPr>
        <w:t>، وفي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عطب من استشار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مشاورة أصحاب الرأي ح</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لم يرد فيه أمر إلهي خاص</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لا يخفى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ومن ضروريات الدين ظاهراً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نقله عن إرشاد المفيد،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الخامس الجزء التاسع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الخامس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مختلف المصادر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وذكره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نقلاً عن هامش بحار الأنوار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والخزرج</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للتوضيح لا بأس بأن نشير إلى أن من المقرر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العمل مجمل من حيث الجهة التي وقع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العمل بما هو هو مجمل وباحتفافه بقرائن حالية أو مقالية يخرج عن الإجمال، فلو صلى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رأس الساعة العاشرة مثلاً ركعتين، فهذا العمل مجمل الجهة، إذ لا يعلم أن هاتين الركعتين كانتا واجبتين عليه أم لا؟ وعلى تقدير الوجوب هل ◄ ►وجبتا عليه بالنذر أو بالقسم أو بالعنوان الأولي، وعلى تقدير عدم الوجوب فهل هما من النوافل ذات الأسباب الخاصة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صلاة الاستخارة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كانت من النوافل المبتدئة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وهكذا وهلم جراً، ولا بأس بأن نذكر بعض الأمثلة لهذه القاعدة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كان عدم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وجوبها ثبوتاً وأمكن نفي سائر الاحتمالات، وخليت الآية مع هذا الاحتمال في عدم عمله بالشورى، كان عدم العمل إثباتاً قرينة صارفة عرفاً للأمر عن ظهوره في الوجوب، فتأمل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كان عدم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وجوبها ثبوتاً وأمكن نفي سائر الاحتمالات، وخليت الآية مع هذا الاحتمال في عدم عمله بالشورى، كان عدم العمل إثباتاً قرينة صارفة عرفاً للأمر عن ظهوره في الوجوب، فتأمل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في شرح الفرائد، للمرحوم الآشتياني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الاستصحاب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التعادل والتراجيح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سواء كان شرعياً محضاً أو عقلياً كذلك تعليقي بالنسبة إلى الدليل الاجتهادي، وإن قيل باعتبار ◄ ►الأصل من باب الظن فإنه لم يعهد على هذا القول أيضاً توهم معارضة الأصل للدليل الاجتهادي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لحاظ الجهتين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مصلحة سلوك الطريق ومصلحة المؤدّى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جعل الحجية ولزوم الاتباع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هو أن ما لا تكون حجيته من باب الطريقية لا يقوى ما حجيته من بابها ولا يوجب وهن حجيته ما يكون أقرب إلى الواقع منه على تقدير كونه حجة من باب الطريقية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فلابد من التزام عدم الترجيح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الفقهاء إنما رجحوا بأصالة البراءة والاستصحاب في الكتب الاستدلالية من حيث بنائهم على حصول الظن النوعي بمطابقة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مقبولة عمر بن حنظلة،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مرفوعة زرارة،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وكذا لاحظ بقية آيات هذه السورة، وتوجد من هذه القبيل في الآيات مواضع كثيرة، كسورة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حجيبة خبر الواحد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وجهي الآشتياني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اللَّيْلَ إِلاَّ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 أَوِ انْقُصْ مِنْهُ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إن قلنا بوجوب قيام الليل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 لَكَ النِّساءُ مِنْ بَعْدُ وَلا أَنْ تَبَدَّلَ بِهِنَّ مِنْ أَزْواجٍ وَلَوْ أَعْجَبَكَ حُسْنُهُنَّ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إلى غير ذلك</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 عَنْكُمُ الْخَبَرَانِ أَوِ الْحَدِيثَانِ الْمُتَعَارِضَانِ فَبِأَيِّهِمَا آخُذُ</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استثناؤه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الفرقان في تفسير القرآن بالقرآن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بذكر مثال واحد لذلك، قال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الكفاية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انحلال العلمي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موجب للاحتياط إلا في خصوص ما في الروايات وهو غير مستلزم للعسر فضلاً عما يوجب الاختلال، ولا إجماع على عدم وجوبه، ولو سلم الإجماع على عدم وجوبه لو لم يكن هناك انحلال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الانسداد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دمجاً مع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إجماع على عدم وجوبه، فإن كثيراً من الفقهاء لم يتعرضوا لهذه المسألة أصلاً فكيف يمكن دعوى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الوصول إلى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ذكر وجوب الشورى في كتبهم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هذا والسابق على سابقه أن ذاك كان لعدم كونهم في مقام الاستقصاء، وهذا ◄ ►لإحدى الجهات الأربع المذكورة، ويمكن جعلهما واحداً بلحاظ كون عدم الذكر لإحدى الجهات الخمس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أخص من الأول مطلقاً، وقد أفرد بالذكر لاختصاصه بالحكم الآتي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في موضع آخر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العمل لا جهة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ظهرت لنا تلك القرينة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شبه المستغرق منهم في بعضها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الهجرة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المجالس بالأمانة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العصبية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الارتفاع إلى قضاة الجور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قَدْ جَعَلْتُهُ عَلَيْكُمْ حَاكِماً فَإِذَا حَكَمَ بِحُكْمِنَا فَلَمْ يَقْبَلْهُ مِنْهُ فَإِنَّمَا بِحُكْمِ اللَّهِ قَدِ اسْتَخَفَّ وَ عَلَيْنَا رَدَّ وَ الرَّادُّ عَلَيْنَا الرَّادُّ عَلَى اللَّهِ وَ هُوَ عَلَى حَدِّ الشِّرْكِ بِاللَّهِ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أهل المعاصي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لمعرفة التفصيل الإجمالي لهذه الموارد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ولمعرفة تفصيلها تلاحظ مواضعها من الموسوعة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آيات الأحكام أو في مواضع متفرقة من كتب الفقه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الاستصحاب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تعدو الشهرة أن تفيد ظناً شخصياً بالخلاف، وما حجيته من باب الظن النوعي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كظواهر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يرفع اليد عن ظهوره مع الظن الشخصي بالخلاف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الحديث عن عدم اعتبار الظن الشخصي في حجية الظواهر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وللانصراف مناشئ سبعة، ذكرها المؤلف في كتاب البيع، فليراجع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حجية خبر الواحد، آية النبأ</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المؤلف جريان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اللبيات والعقليات إضافة للألفاظ،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 والورود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جهوي، وهو الصحيح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المؤلف عدم كون الحجية ذاتية للقطع بل هي ذاتية للعلم في كتب عديدة،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معانيها ومصاديقها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 المولوية والإرشادية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مرجع هذا إلى عدم حجية الشهرة عندهم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ومرجع هذا إلى أن حجيتها على القول به منوط بعدم المعارض الأقوى وكونها مقتضية لوجوب القبول لا علة تامة له، إذ معارضة النصوص الشهرة فرع حجيتها، وإلا لما تعارضا إذ لا تعارض بين الحجة واللاحجة حتى يقدم أحدهما على الآخر بالمرجحات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القيد أجبنا عن إشكال قد يخطر بالبال فتدبر جيداً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الإجماع المنقول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لا جهة له، وقد مضى الحديث عنه كبرى، وسيأتي تفصيله صغرى إن شاء الله تعالى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التوكيل في إجراء الحكم، إنما الكلام في التوكيل في إصداره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القضاء،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التعريف شرح الإسم كما لا يخفى وليس بالحد ولا بالرسم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السبق والمقارنة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بالكلية الكلية المنطقية كما لا يخفى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 وقوع التزاحم بين مصداقَيها وتقديم أحدهما على الآخر، فمثلاً منع التجار عن الاستيراد مستلزم للضرر عليهم وعلى كافة من يشتري بضائعهم لكون الإنتاج المحلي مرتفع القيمة مع كيفية غير جيدة، وعدم المنع مستلزم لضرر على الصناعة الوطنية بتحطيمها، فيتزاحم الضرران ويكون الأقوى مرفوعاً بلا ضرر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وقد ذكر هذا التعريف مفتاح الكرامة أيضاً أول كتاب القضاء المجلد العاشر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كتاب القضاء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لم نقل باندراج الشؤون العامة تحت المعروف فالأمر أوضح إذ يكونان حينئذٍ متباينين فكيف يستدل بالسيرة على عدم أحدهما على عدم وجوب الآخر؟</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استقرار سيرة الفقهاء على التفرد بالرأي وعدم الاستشارة في الأمور الحسبية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استشارة الفقيه أو غيره ممن يقوم بالأمور الحسبية للمسلمين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ناهية في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ذهب إليه شيخ الشريعة الأصفهاني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استشارة الفقيه سائر الفقهاء في كل مسألة مسألة جزئية من مسائل الحجر وإجراء النفقة وتجهيز الميت وأشباهها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وجوب تقليد الأعلم، بل وعلى مجرد عدم جواز التبعيض في التقليد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 على ما 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الرسائل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على ذلك وجوه،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كلمات جماعة في الاتفاق عليه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العمل برأي الأكثرية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الإجماع على الشق الأول ضار بمن يرى ملزمية رأي الأكثرية ووجوب إتباعها دون من يرى التخيير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 الحجية الأعم من التعيينية والتخييرية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لزوم تقليد المرجع المقلَّد وعدم جواز العدول عنه أو التبعيض وتقليد الأكثرية في هذا الشأن العام أو غيره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الجزء الثاني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صيغة الأمر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ليتوكل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تتعارض الحجة مع اللاحجة فيتمسك بها بلا تعارض</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حجية خبر الواحد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آية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ليراجع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الجزء الثالث، حيث 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من أن كليهما للمسلمين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 الكريمة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ليراجع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من المجلد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نقلاً عن 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الجزء الخامس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في تفسير القرآن الكريم للطنطاوي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 وحقائق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بهامش تفسير الخازن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الاستصحاب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علله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الكفاية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وسبق فإنه على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لا يكون قرينة عليه مع كمال الملائمة مع الجنس أيضاً 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غرضنا قبول هذا الكلام منه ومن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اللام ظاهرة في الجنس حتى مع سبق منكر، بل نقل التزامهما بظهور اللام في الجنس، وقبولنا لهذا المبنى في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لم نقبله فيما لو سبق منكر فرضاً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كلامهم خبر لا صفة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غير ضار بنا في المقام كما لا يخفى، لعدم وجود هذه القرينة ههنا، سواء كان خبراً أو صفةً، والمقياس عندهم وجود قرينة يفهم منها العهد عرفاً، والنقاش في كون سبق المنكر كذلك نقاش في الصغرى لا يضر بالقياس</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الصحيحة الأولى لزرارة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التسمية بالعقد أو البيع بناء على الصحيح أما على الأعم فهو عقد أو بيع باطل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التعادل والتراجيح</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لانطباق الطبيعي على كافة أفراده، أو لغير ذلك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الكمباني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وراجع الصفحات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إشكالاً وجواباً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 إن عدم البيان يصنع المقتضي للمطلق، لكن بيان العدم في العام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وقد تطرقنا لذلك في موضع آخر وكالدور الذي 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وجه عدم الإفادة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كون التقييد بالمقديات المنفصلة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 من التخصيص، وقد يكون باعتبار أن الأغلبية ما لم تسبب الظهور النوعي لأحد الطرفين في قبال الآخر غير كافية في ترجيح أحد شيئين كانت حجيتهما من باب الظن النوعي، فالاستناد إليها في إثباته دوري، إلا أن يقال بتخالف مرحلتي الإثبات والثبوت في طرفي الدور، فتأمل جداً،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صرف الأغلبية لا توجب إلاّ قوة الاحتمال، أما الظهور فيحتاج للإثبات، بأن تبلغ الأكثرية حداً يكون لأحد الطرفين بها ظهور عرفاً، وبتعبير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الأعم لا يكون دليل الأخص فالأغلبية لا تدل على الظهور النوعي وعلى الرجحان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سننقل من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ينفع في المقام فلينتظر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تطرقنا لجريان المقدمة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وجود القرينة على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التكلم قبل صفحتين تقريباً على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تعارض العام والمطلق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المتمسك به ههنا هو الإطلاق المقامي لا اللفظي، فتدبر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 يفهم المخاطب من الكلام الملقى إليه أنه مراده 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القدر المتيقن الخارجي من جهة القرائن غير الناشئة من الخطاب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وإن لم يقل بكون استعمال المطلق في المقيد مجازاً، إلا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بظهور المطلق في الإطلاق إن لم تنصب قرينة على التقييد مستنداً إلى مقدمات الحكمة يلزمه توقف إرادة التقييد من الحكيم الملتفت، على نصب القرينة عليه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والقدر المتيقن في مقام التخاطب، فتأمل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كما سبق نقله عنه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 كما سبق نقله عنه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وذكر ما يقرب منه 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القيد احتراز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 العامة التي ورد النص الإلهي الخاص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نصب أمير المؤمنين علي بن أبي طالب عليهما السلام خليفة ووصياً، وكسائر موارد ورود النص، وقد سبق تفصيل هذا القيد حيث ذكرنا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يرد فيه نص خاص من الله جل وعلا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احتراز عن أمر آخر سيأتي تفصيله إن شاء الله تعالى</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أمر العفو فيها أيضاً بيد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 الأمر إذا رأى المصلحة في ذلك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وغيره من الشؤون العامة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غلبة المجاز لو لم تصل إلى حد الوضع التعييني مستلزمة لعدم ظهور اللفظ في أحد المعنيين واحتياج الأمر إلى قرينة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 دليل خارجي على اشتراكنا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حكم ثبت عليه إلا ما خرج بالدليل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كان عموم الحكم لا من باب الوضع التعييني لمفردات القرآن في الجمع بل من باب المجاز المشهور أو من باب عمومات الأسوة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وغير خفي صلاحية المقام لصيغة الجمع وأن تفرع على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بعد العزم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على ما ارتآه أو ارتأوه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وينبغي أمر الكل بالتوكل، والمراد بالمفرد هو ذاك أو أنه منزل عليه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وكما ذكره الطنطاوي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عزمت بعد المشاورة في الأمر على إمضاء ما ترجحه الشورى وأعددت له عدته فتوكل على الله في إمضائه وكن واثقاً بمعونته وتأييده لك فيه ولا تتكل على حولك وقوتك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ذيل الآية الكريمة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من الطبيعي أن من يؤمر باتباع 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كرأي الأكثرية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كان مخالفاً لرأيه مما يراه خطأ مضراً، يستحسن أن يوصى بالإقدام وتفويض الأمر لله والاعتماد عليه، إذ هو الكافي الضار النافع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الكشاف أيضاً مجملة تنطبق على كلا الوجهين، قال في ذيل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عزمت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إذا قطعت الرأي على شيء بعد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هذا الشيء هو رأي الشورى أو رأيه عند التخالف؟ العبارة قابلة الانطباق عليهما، لكن قد يقال بظهورها في رأيه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رأيها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فتوكل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إمضاء أمرك على الأرشد الأصلح، فإن ما هو أصلح لك لا يعلمه إلا الله لا أنت ولا من تشاور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الكريمة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كعنوان وجودي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معنى الآية لو كان الأول أفاد عدم الملزمية، أما لو كان الثاني أو الثالث لم يفده،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الإفادة متفرعة على معنى الآية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عدم إحراز المعنى الأول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الأظهر عرفاً، بل قد دلت عليه بعض الروايات، فتأمل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سنذكر الصحيحة عند ذكر كلام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 اليقين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والمورد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 بين الثالثة والرابعة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بين </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المزجي اقتبس أكثره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 اليقين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والمورد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 بين الثالثة والرابعة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من الواضح أن المذهب في الشك في ركعات الصلاة على خلاف الاستصحاب من لزوم البناء على الأكثر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القسم الأول من الجزء الرابع، تقريرات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غرضنا الالتزام بكلامه، بل الاستدلال به على التزامه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بتخصيص المورد عند دوران الأمر بين أحد تصرفين وأحد خلافي الظاهر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ذلك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بهذه الدعوى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التصديق إنما هو بلحاظ التعبد بالأثر، ولذا فرع عليها لغوية وجوب التصديق عندما لا يكون 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 الرسائل، في بحث التعادل والتراجيح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الأصل في الخبرين الصدور فإذا تعبدنا بصدورهما اقتضى ذلك الحكم بصدور الموافق تقية كما يقتضي ذلك الحكم بإرادة خلاف الظاهر من أضعفهما دلالة، فيكون هذا المرجح نظير الترجيح بحسب الدلالة متقدماً على الترجيح بحسب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للتعبد بصدورهما مع وجوب حمل أحدهما المعين على التقية، لأنه إلغاء لأحدهما في الحقيقة، ولذا لو تعيّن حمل خبر غير معارض على التقية على تقدير الصدور لم يشمله أدلة التعبد بخبر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بهذه الدعوى في موضع آخر لا يحضرني الآن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مدلول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الصلاة المتعلق بفعل المكلف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ولنفرض جميع ما ذكر مما قام عليه خبر واحد لا غير، ولا مناقشة في الأمثال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نوقش في وجوب ذلك فلا نقاش في صحة العقد وصحة الاستناد إلى قوله وإسناد ذلك إلى الشارع</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إِلَى الْإِمَامِ إِنْ صُمْتَ صُمْنَا وَ إِنْ أَفْطَرْتَ أَفْطَرْنَا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ويمكن أن يكون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الذي سبق ذكره في الكلام فالمخاطب ذهني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للجائر فالمخطاب خارجي فتكون جملة مستقلة غير متفرعة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 إلى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معناه التقية، فتأمل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حجية خبر الواحد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عقد اقلب عليه وتصديقه بالجنان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محاسبة النفس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عقد القلب على ما يقول وترتيب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كتعزيرهم لاتهامهم مؤمناً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الشق الأول فله أو عليه عقد القلب على ما يقولون، ودون المعنى الثاني، إذ لا يصح إظهار الرد لهم بشكل أولى، فتأمل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الإضافة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بيانية دونها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هي بيانية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بقاء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مفهوم الشرط لا الوصف فليس مفهوم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تكرم في الدار الفلانية العلماء الفساق إن لم يجيؤوك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الوصف بناء على حجيته له هذا المفهوم، فيدخل في الضابط الآنف الذكر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لو كان القيام في ضمن المجيء لا غير، ولو كان القيام لا في ضمنه فعدم الوجوب لعدم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للقيام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حتى يرجع إلى يقين مجرد من كل شيء دال على الطبيعي بما هو طبيعي، لكن هذا يفيد التعميم والجنس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الجواب عن إشكال المرحوم الكمباني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المسبوقة بمنكر أخص دالة على الأعم لتكون شاهداً على المدعى</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التعادل والتراجيح</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إلى المشهور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فلاحظ، وكذا نسبه إلى المعظم المرحوم الآشتياني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بحر الفوائد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بحث التعادل والتراجيح، وقال في نهاية الأفكار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 المشهور فإنه يغنيهم قضية وضع اللفظ للمعنى الإطلاقي عن التشبث بقرينة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الألفاظ،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على مسلك المشهور من وضع الألفاظ للطبيعة المطلقة لابد بمقتضى الوضع من الحمل على الإطلاق والإرسال عند عدم القرينة على التقييد من دون احتياج إلى التمسك بقضية مقدمات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نسب ذلك إلى القدماء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بناء على نظرية القدماء من أن الألفاظ موضوعة للماهية اللا بشرط القسمي يعني أن الإطلاق والسريان مأخوذ في المعنى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دليل لغوي ولا نص من واضع اللغة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لمفيد الظهور الأقوى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للأضعف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أمور الناس ليست أمراً له ليكون مسلطاً عليها، فتدبر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المذكوران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نقلناها إجمالاً فيراجع تفصيلاً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كان موضوعاً للمطلق بمعنى اللا بشرط القسمي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كشف إرادة المتكلم للعموم 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 على عدم ورود مخصص</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لم يشملها لجرت مقدمات الحكمة وتم المقتضي للإطلاق من عدم وجود مقيد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تم المقتضي للإطلاق وجرت مقدمات الحكمة لما شملها العام حقيقة، ولما أرادها المتكلم لحكيم، وإلا لزم تهافت الإرادتين، والحديث في باب التعارض لا التزاحم حتى يقال بالإمكان بل الوقوع كما لا يخفى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فسيكون من السالبة بانتفاء الموضوع</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مبنى آخر كما لا يخفى،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نظرية القدر المتيقن، إن القدر المتيقن ولايته إنما هو إذا انضم إليه أكثرية الفقهاء وليس الفقيه الواحد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لدار الكتب الإسلامية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إسحاق بن يعقوب الرقم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هو محمد بن محمد بن عاصم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11703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عاصم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في الرجال، للشيخ موسى 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 الطبعة الكبيرة المتداولة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بحث التمسك بالأخبار في حجية خبر الواحد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 ارتكازاً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المجهول 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وللّغوية لولا التقييد إن أريد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حكمها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يقال وأما الحوادث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وأما الكليات الطبيعية الحادث أصلها أو الحادث فردها، ويقال على المسلك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الحوادث الواقعة أي وأما الأفراد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الكليات الطبيعية بما هي متخصصة بالخصوصيات الفردية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كليها الطبيعي أو الحادث كل واحد منها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فالسؤال تارة يكون عن حكم الموضوع الحادث وتارة عن موضوعية الموضوع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تأخذ الدولة فارق التضخم فقط</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أصلها مشكلاً أو فردها من حيث حكمه الكلي أو الفرد من حيث كونه صغرى و لأية كبرى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الشيخ محمد حسين الغروي الاصفهاني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إذا كان معناها جعل المماثل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الإمام المهدي عجل الله تعالى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الإمام المهدي عجل الله تعالى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الإمام المهدي عجل الله تعالى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الإمام المهدي عجل الله تعالى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ذيل المسألة الثامنة والستين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عن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شك في خبرويته أو تثبته في سائر الأمراض كان التمسك بهذا الكلام تمسكاً بالعام في الشبهة المصداقية، إلا أن 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بصحة التمسك بإطلاق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كونه خبيراً في سائر المجالات فتأمل، إذ قد يقال بعدم كون المولى في مقام البيان من هذه الجهة فتأمل، وما ذكر يجري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حجتي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لا يخفى</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الفروع المتجددة نوع، والموضوعات العامة نوع آخر، وعلائم الظهور نوع ثالث وهكذا، فلو كان المسؤول عنه بعض أفراد أحد الأنواع لما عمت العلة للنوع الآخر إلا مع الاستناد إلى دليل خارج كارتكازية التعميم وشبهه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قَدْ جَعَلْتُهُ عَلَيْكُمْ حَاكِماً فَإِذَا حَكَمَ بِحُكْمِنَا فَلَمْ يَقْبَلْهُ مِنْهُ فَإِنَّمَا اسْتَخَفَّ بِحُكْمِ اللَّهِ وَ عَلَيْنَا رَدَّ وَ الرَّادُّ عَلَيْنَا الرَّادُّ عَلَى اللَّهِ وَ هُوَ عَلَى حَدِّ الشِّرْكِ بِاللَّهِ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دائرة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تحدثنا في موضع آخر من الكتاب حول كون الأصل في اللام الجنس المفيد للعموم، والأمر في خصوص الجمع المحلى أوضح</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وتبعه الآشتياني في 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والحديث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تسمية من رآه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احتمال ثالث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السائل وجود شخص آخر مجهول له غير الوكلاء والأصحاب المعروفين ينكشف له بالسؤال ورابع وخامس وسادس هو ما ذكرناه بقولنا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ليطمئن قلبه أو لتطمئن قلوب الآخرين وقد يكون للتعريف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أمكن القول باشتراك بعض هذه بين الموردين فتأمل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الأرجح لخصوص هذا، شخص معيّن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 السؤال عن الرجوع للرواة الثقات كما هو مبنى الاصفهاني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الطالب إلى أسرار المكاسب، للشهيدي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شرح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ويتضح ذلك أكثر بمراجعة مسائل الحميري حيث افتتح كلامه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فقهاؤنا قالوا إنا محتاجون إلى أشياء تسأل لنا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سأل أسئلة خاصة أجابه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واحدة منها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كلمة الإمام المهدي عجل الله تعالى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يلحقها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لوضوح صحة الإرجاع لرواة الحديث لو كان السؤال عن حوادث واقعة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كوقفٍ معين يراد بيعه 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توقف الأمر على الجواب عن حكم المسألة بالخصوص أو الإرجاع لشخص خاص</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تسمية من رآه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للموضوعات والأحكام، وعموم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وكون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الأحكام والموضوعات، فتأمل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الاحترازية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عناوين الحوادث الواقعة وأسماؤها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الحوادث الواقعة 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فارجعوا في معرفة ما جعل علامة منها للظهور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الكمباني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إن شاء الله تعالى وجهه ولا يخفى أن المعارضة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تقدير تسليم ظهور حجتي في التكليف واختصاص الحجية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تتم على تقدير كون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ارجعوا فيها ارجاعها بذاتها لراوي الحديث لا إرجاع حكمها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كأمر الصلح أو المعاهدات الدولية مثلاً، فتأمل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الواقعة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الكفاية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ويؤيد ذلك اتفاق أهل العربية على عدم دلالة الاسم على الزمان ومنه الصفات الجارية على الذوات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كدعوى كونه جزءاً لها أي مدلولاً عليه بالدلالة التضمنية، كما هو ظاهر كلام 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خامسها أن المراد بالحال في عنوان المسألة هو حال التلبس لا حال النطق، ضرورة أن مثل كان زيد ضارباً أمس أو سيكون ضارباً غداً حقيقة إذا كان متلبساً بالضرب في الأمس في المثال الأول، ومتلبساً به في الغد في الثاني، فجري المشتق حيث كان بلحاظ التلبس وإن مضى زمانه في أحدهما ولم يأت بعد في الآخر كان حقيقة بلا خلاف ولا ينافيه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المحاكمة في القضاء، للشيخ الخاقاني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 جهة كونه مسؤولاً عنها مثلاً، فكيف لو كان ممن يؤتمر بأمره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قال 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 مولويته للمرجعين وللمُرجَع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ارجعوا في الأمراض الحادثة إلى الأطباء أو إلى أطباء البلدة الكذائية، شمل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إطلاقاً أو ملاكاً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طبيباً حدثت له حادثة مرضية يجهل حكمها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الاجتهاد والتقليد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معنى للرجوع في نفس ماهية الحادثة الواقعة أو في نفس وجودها إلى الراوي للحديث، ولذلك التجأ البعض إلى تقدير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حكمها، فالرجوع على هذا تشريعي لا تكويني، فلا طلب للحاصل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لما ذكرنا قال في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ظاهر الأمر بالرجوع في الحوادث الواقعة إلى الرواة هو الرجوع إليهم في معرفة حكمها بالاستفتاء أو في الحكومة بالقضاء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الأصفهاني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وبما ذكرناه يثبت أن المقتضي لجواز الرجوع للأكثرية موجود، وأما المانع وهو الأدلة الدالة على وجوب الرجوع للأعلم مثلاً، فقد تحدثنا عنه مفصلاً في موضع آخر من الكتاب، فليراجع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تم البيع الأول لغى الثاني، وإلا كان تحصيلاً للحاصل، ولو تقارنت البيوع وقلنا فرضاً بأن المؤثر المجموع، بمعنى أن يكون كل عقد جزء العلة، أو قلنا فرضاً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المحال ليس بمحال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بكون كل عقد تمام العلة وتواردها جميعاً على معلول واحد، صدق 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 القوم دوابهم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فعدم صدق المحمول إنما هو من باب السالبة بانتفاء الموضوع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الرجوع للواحد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الحياة، بل حتى العدالة لو فرض فاسق صادق اللهجة محتاط في الاجتهاد وانحصار جهة فسقه باستماع الغيبة مثلاً، فتأمل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إجراء الأصل لنفي كون الغرض زائداً على تحصيل الحجة فهو مثبت، فلا يثبت كفاية الواحد للمرجعية، إضافة إلى الإشكال في المبنى كما ذكرناه في المتن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يحتمل كون الغرض من إيجاب الرجوع لهم جميعاً أو جعل المنصب لهم جميعاً، وعدم كفاية رجوع الكل إلى واحد فقط، قائماً بذلك وبأمر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يكن له دخل في جهة الطريقية والأقربية للواقع في هذه الحادثة الخاصة التي رجع فيها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كإيجاد حالة التنافس الموجبة للرقي والإزدهار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ذلك فليتنافس المتنافسون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أو لم يكن له دخل فيها مطلقاً كصيرورته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الرجوع للمتعدد من الفقهاء وكونهم في ◄ ► الحلبة وفي مجرى الأمور لا خارجها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 لحفظ الدولة مثلاً، أو لحفظ الثغر وشبهه، حيث إن من الطبيعي أن يكون إسهام من رُجع إليه أكبر من إسهام من أُعرض عنه، هذا إن لم يتخذ هذا الأخير الموقف السلبي، وقد فصلنا هذا في موضع آخر من الكتاب إضافة إلى كونه مسلّماً في علم الاجتماع والنفس، وقد ورد في الحديث الشريف، فتأمل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احتمل كونه محققاً لغرض ملزم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يكن له دخل في جهة الطريقية والأقربية للواقع في هذه المسألة أو الحادثة الخاصة التي رجع فيها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كعدم فرار الأطباء للخارج مثلاً لو أهمل أمرهم ورجع الناس لأحدهم فقط</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كالرجوع إلى مراجع التقليد في الشؤون العامة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إذ يتم ما ذكر ههنا وتدفع عنه الإشكالات به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الاختلال والضرر لازمان مطلقاً وإن لم تبد معالمه في المدى القريب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يندفع أحياناً بالقاهرية أو غيرها، كالتوافق والإجماع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وجوب اتباع مرجعهم عليهم، لازم لنفس تجويز قاهرية المرجع أو القائد الآخر لهم على خلافه، فكيف يجتمع مع إيجاب اتباع مرجعهم عليهم؟</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والواقع الخارجي شاهد إذ متى شوهد رجوع مرجعين فيما اختلفا فيه من الشأن العام إلى القضاة؟ بل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مستلزم للغوية ذلك التشريع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تشريع نفوذ رأي كل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يخلو مورد من موارد الشؤون العامة من اختلاف الاجتهادات فتأمل، إضافة إلى أن التفكيك بين الأحكام الظاهرية خلاف القاعدة، لا يصار إليه إلا بدليل، وهو مفقود في المقام، بل سبق أن الدليل على خلافه وسيأتي تفصيل ذلك إن شاء الله تعالى</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فارجعوا فيها إلى رواة حديثنا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آيات الله العظام السيد الخوئي، والسيد الكلبايكاني، والسيد الطباطبائي، والسيد الشريعتمداري، راجع حاشية العروة،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 لدار الكتب الإسلامية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أكثر من يجهل اشتراط مقلَّده للعربية أو اللفظ أو البلوغ أو غيرها، وما أكثر ما يقع التعامل بين من يشترط أمراً ومن لا يشترطه اجتهاداً أو تقليداً، خاصة المعاطاة، وخاصة معاملة الصغار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الجاهل أنها ارتضعت معه إحدى عشرة رضعة مثلاً، أو الجاهل موضوعاً أن هذا المال المعطى له 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يرى هو اجتهاداً أو تقليداً عدم مصححية الضميمة الحقيرة لأخذ الزائد على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يدر أن هذا المال هو عين ذلك المأخوذ رباً، أو من اشترى بضاعة كان قد اشتراها البائع سابقاً بالفارسية أو بالمعاطاة وإن تم العقد بينهما بالعربية أو باللفظ، أو أقرض من يرى صحة الإقراض بزيادة بضميمة واقترض من لا يرى ذلك جاهلاً بأن الزيادة ملكه وأن له التقاص فتأمل، والأمثلة كثيرة جداً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يخفى ما فيه من إتلاف الوقت والمال والأعصاب والصفاء والتآخي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وفي ذلك الضرر والحرج</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الإشكال في نفس كفاية مرجعية القاضي لحل الخلاف، إذ يقع الاختلاف فيه، إضافة إلى كثرة كون التداعي من الجانبين، فتأمل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يلزم المحذور من التزام أولئك الفقهاء بوجوب رجوع كل مقلد إلى مرجعه في الشؤون العامة إذا كانت ارتباطية، بكافة المقلدين أو أكثرهم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الروايات التي تفيد 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جماعة الحق وهم الذين يد الله معهم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فيستدل بفعله أو تقريره على عدم اعتبار ما لا نعلم حرمته أو جوازه أو وجوبه مثلاً حراماً، إلا إذا احتمل عقلائياً كونه لعنوان ثانوي كالاضطرار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يحتج على سائر الأنام باعتبار تحليهم بصفات خاصة إذا كانت اختيارية، على جوازها أو رجحانها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اقتضته الحجة، والمراد واحد، فتأمل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حاشيته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للإيرواني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الشقشقية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الأشباح</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مبعث الرسل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لمالك الأشتر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التأسي ح</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 الغيبة للنعماني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يوضح ذلك الحديث الأول والخامس والثالث، إذ المراد بحجتهم قتل عثمان، والحادي عشر والثاني عشر والثالث عشر والسادس عشر والسابع عشر، والظاهر أن الإطلاق بلا عناية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بعث الأنبياء بما هو هو لا يحتج به، بل بالانذار والتبشير المترتب عليه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يصلح لإدارة شركته مثلاً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أن مراده إن كان أن الحجية هي تبليغ أمر فليس بعث الأنبياء ونصب الخلفاء واستنابة الفقهاء حجة، بل مستلزم للحجة، إذ الحجة عنده تبليغ الأوامر والنواهي إلا أن يريد أن الحجة هو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الخليفة مثلاً،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خلاف ظاهر كلامه أولاً، وغير صحيح ثانياً، لكون نفس النصب مما يتحج به الله على العباد، فالقول حجة على النصب والنصب حجة على العبد، فتأمل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تطرقنا في طي كلماتنا هنا إلى إشكالات بنائية ومبنائية عليه، فليدقق</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المؤلف الكلام عن معاني الحجية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معانيها ومصاديقها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لها معاني عشرة، فراجع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وحتى نظره بأن الأصلح لتولّي هذا المحافظة زيد ولتلك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يتضح هذا بملاحظة من له النظر في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كالقيم والمتولي وشبههما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أراد الأب بيع مال ابنه أو تزويجه بالشروط المقررة، لم يجز لأحد مخالفته ومنعه، لكونه منعاً عما هو حقه، وصح احتجاج المولى على هذا المخالف المانع بأن حق النظر للأب فلماذا خالفته ومانعته، ولماذا حلت دون البيع والزواج مثلاً، وقد أدى إليه نظر الأب؟</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قد 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اتصاف نظر الفقيه بالحجية بأن البيع الواقع بنظره لا يوصف بها، والبيع مسبب والنظر سبب، وليس عدم اتصاف الأول بشيء مسبباً لعدم اتصاف الثاني به، كما يتصف الخبر بالخبرية ولا يتصف المخبر عنه بها، وكما يتصف الدال على وجوب الصلاة مثلاً بالدليلية ولا يتصف وجوبها بها، وهذا واضح</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يوضح الأعمية الحديث الثالث عشر والسادس عشر، إذ حجيتهما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تلك الجهات، ويوضحه أكثر جعله حجة على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الحديث السادس والثامن والتاسع عشر وكذا الأحاديث الدالة على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 الله، وسيأتي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يوضحه أحاديث عديدة، منها الثالث عشر والسادس عشر والواحد والعشرون وغيرها، فتأمل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يوضحه الحديث الثالث عشر والسادس عشر، كما يرشد إليه الحديث العشرون لمكان ◄ ►التعليل، إذ إن نفس وجود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للأولياء عن التفرق، كما أن قوله وفعله أيضاً حافظان، ويتضح هذا بمراجعة تاريخ العظما والقادة، ومن أظهر الأمثلة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تكونت فرقة الإسماعيلية وغيرها، ووفاة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تكونت الواقفية، وغيبة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وكذا الحديث الثاني والسادس والعاشر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هذا أخص أيضاً من معناها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وما قبله بناءً على عدم تعميمه المخالفة للجوانحية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يوضحه الحديث الثامن والعاشر والخامس عشر والسادس عشر والثامن عشر والتاسع عشر وغيرها، فتأمل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لزوم تعميم المخالفة للمخالفة الجوانحية أيضاً، إذ لا شك في صحة احتجاج المولى جل وعلا على عبده بمخالفته مقتضى عقله وعدم تسليمه وجود إله عادل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ولو كان مراده الأخص ورد عليه هذا الإيراد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إمكان نفوذ قول وتصرف كل منهم، لاستلزامه الضرر واختلال النظام وغيرهما، كما فصلناه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رواة أحاديثنا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مكان آخر من هذا الكتاب فليراجع، بل قد يمكن الاستغناء عن هذه النقطة في الاستدلال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يجوز التحاكم إليه ومن لا يجوز ح</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العلماء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مبايعة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الجبر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يقال بكونها غالباً من باب السالبة بانتفاء الموضوع، فتأمل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المؤلف الكلام عن ضابط الحكومة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 والورود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التعارض، وهو موجود على موقع مؤسسة التقى الثقافية أيضاً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أحمد الجاموراني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مذكورة أيضاً في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وفي ربيع الأبرار باب العقل والفطنة للزمخشري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الرقم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وهي مذكورة أيضاً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ودستور معالم الحكم، للقضاعي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وغرر الحكم للآمدي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عليه السلام خطبها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الخطبة المذكورة في 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الرقم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ومذكورة أيضاً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وفي 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وفي غرر الحكم وفي البصائر والذخائر وغيرها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الرقم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وهي موجودة في المصادر السابقة أيضاً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 الرقم</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وهذه مذكورة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وأدب الدنيا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وسراج الملوك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وغرر الحكم، ودستور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والآداب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هذا ولا يخفى أننا اعتمدنا في معرفة مصادر هذه الأحاديث الشريفة على كتاب مصادر نهج البلاغة للسيد عبد الزهراء الخطيب، فشكر الله سعيه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كنية أبي عبد الله الجاموراني</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اسم محمد بن أحمد الجاموراني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بعض الأصوليين استناداً إلى قوة مضمونه وإلى قوة ناقله، كما فصلنا الحديث عنه في بعض البحوث</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الاستصحاب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الرسائل للآخوند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الظن، هامش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السنة فطوائف من الأخبار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بهما لا بصرف تحققهما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لأمير المؤمنين عليه السلام ح</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مشاورة أصحاب الرأي ح</w:t>
      </w:r>
      <w:r>
        <w:rPr>
          <w:rFonts w:eastAsia="IRNazanin" w:cs="IRNazanin"/>
          <w:b w:val="false"/>
          <w:bCs w:val="false"/>
          <w:i w:val="false"/>
          <w:iCs w:val="false"/>
          <w:color w:val="333333"/>
          <w:sz w:val="20"/>
          <w:szCs w:val="20"/>
        </w:rPr>
        <w:t>15584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مشاورة أصحاب الرأي 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أحمد بن محمد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طعن الغضائري لا يعتد به، لإفراطه في الطعن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حقق في محله، قال الشيخ الأعظم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رسائله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لكن سند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بالقاسم بن يحيى لتضعيف العلامة له في المختلف، وإن ضعف ذلك باستنادة إلى تضعيف ابن الغضايري المعروف عدم قدحه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الاستصحاب، والشاهد في اعترافه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عدم قدحه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أن الظاهر رجوع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تطبيق الكبرى على الصغرى لا إليها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علي بن داود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وراجع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ميمون بن الأسود القداح</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عثمان، الرقم </w:t>
      </w:r>
      <w:r>
        <w:rPr>
          <w:rFonts w:eastAsia="IRNazanin" w:cs="IRNazanin"/>
          <w:b w:val="false"/>
          <w:bCs w:val="false"/>
          <w:i w:val="false"/>
          <w:iCs w:val="false"/>
          <w:color w:val="333333"/>
          <w:sz w:val="20"/>
          <w:szCs w:val="20"/>
        </w:rPr>
        <w:t>7800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بن مهران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ذلك المؤلف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 المولوية والإرشادية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مشاورة التقي العاقل 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تشمل صورة تعارض مستشارين اثنين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المشيرين إذا تعارض رأياهما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بلحاظ مقام الامتثال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غير ما كان من الطائفة الرابعة والثانية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مع القول باستحالة شمول أدلة الحجية للمتعارضين كيف يلتزم بالشمول، للزوم الحمل على الفرد النادر من القول بعدمه؟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الرواية الخامسة ونظائرها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خطبة الوسيلة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 الناس 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أعقل الناس من أطاع العقلاء</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15606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15606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رتبت فيه الإصابة والأقربية للواقع والهداية على المشاورة والاتباع</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15606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رتب فيه كل ذلك على مجرد الاستشارة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للمناقشة في المثال إذ الصلاة ليست من دائرة العنوان والمحصل، بل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ذكره الشيخ</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15606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15606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قد ذكرنا في موضع آخر من هذا الكتاب وفصلنا أكثر في بعض الكتب الأخرى جواز عمل المجتهد ومطلق أهل الخبرة برأي المشهور، حيث يكون كلا الرأيين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رأيه هو ورأي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بمعنى المنجزية والمعذرية، أو جعل المماثل بل والكاشف وجائز الاتباع أو واجبه وجوباً تخييرياً، بل ذكرنا جواز العمل برأي المجتهد الآخر ما دام لم يقطع بالخلاف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الاستثناء هنا منقطع وبنحو الخروج الموضوعي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تم هذا الجواب كان مما يحل به التعارض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أدلة الشورى والتقليد، إذ يكون مخصصاً لأدلة التقليد بغير الشؤون العامة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كله عن الموضوعات لا الأحكام كما لا يخفى</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لو تكوَّن له رأي بالفعل وأدى إليه نظره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الوسيلة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واللاضرر على الحكومة الشرعية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كبضائع الصين الآن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تطرقنا لهذا الطريق بوجه آخر بشكل مفصل ضمن بيان الأدلة العقلية على وجوب اتباع الأكثرية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بلحاظ</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الجواب منقح للجواب الأول وقد يعد مبنائياً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ينكر الجامع البسيط ويدعى كونها موضوعة للمجموع دالة على كل جزء بالتضمن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الرقم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ينطبق على ما نحن فيه من شورى المراجع تماماً، فراجع الأمر الأول والأمر الثاني المذكورين سابقاً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لكونه من باب التزاحم والمقام باب التعارض،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مقامنا منه أيضاً، إذ توجد الجهتان معاً، فلنفس الأقلية والأكثرية من جهة تخالف مصالحهم ومن سواهم، فالتزاحم، ولهما ولغيرهما من جهة الكاشفية عن الواقع، فالتعارض</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المثال ينطبق على ما نحن فيه أيضاً لدوران أمر الشعب بين اتباع رأي أكثرية شورى الفقهاء أو الأقلية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في موضع آخر بين الأنواع والأفراد، كما فصلنا الكلام في بعض الكتب حول أن الأصل في علل الشارع أنها حِكَم، فلا بد من ضم ما هنالك إلى ما ذكرناه ههنا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خفي أن بعض هذه الأجوبة وارد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 على تطبيق كلامه على المقام، فليلاحظ</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الأفضل التمثيل بما إذا علمنا بالصدور وعلمنا بأنه صدر تقية أو صورياً أو غير ذلك</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والتراجيح</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والتراجيح</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 على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قبل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المرجحات السندية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الأولى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دلالته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الأمثلة مما سبق</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في معرفة الحكم على المراد الجدي لا الاستعمالي، والخاص أقوى في المراد الجدي من العام، فيكشف عن حكم الله تعالى غير تارك لأقوائية العام سنداً مجالاً ليتقدم عليه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يستشكل بتقديم الأرجح عليه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الأولى التمثيل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زيداً لأن العالم يكرم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عالماً بالطب، لانطباقه على المورد أكثر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اتصف بواحد منها فقط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مقدم رتبة على الجواب الرابع، لفرض تسليم أن الشهرة الروائية مما لا ريب فيها صدوراً فقط لا مطلقاً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 على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باب الأولوية لا لشمول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لعدم الوقوع، والأخيران للامتناع</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الوهم على خلافه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بعض هذه الإشكالات الستة وارد على كلام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بلحاظ ما ذكره الكمباني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دفاعاً عنه، فتأمل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إما بلحاظ اعتبار إرادة الشهرة الاصطلاحية من المقبولة بقرينة المقابلة بالشاذ وفرض تعارض الروايتين المشهورتين،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يخفى، وإما بلحاظ ادعاء كون ما نحن بصدده من مصاديق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بيّن رشده فيتبع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بالأدلة التي أقيمت في هذا الكتاب عقلاً ونقلاً، فيكون مرجعه إليها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الترجيح بالصفات ترجيح لأحد الحَكَمين على الآخر، لا لإحدى الروايتين على الأخرى في مقام التعارض</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والتراجيح</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والتراجيح</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شهر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شهر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عدم الورود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المعروف لدى الأكثر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شذذ</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ندر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مقتبس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 الجزء الثاني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الأخير كان مفاد الجواب الثالث، وأما ما سبقه فهو الجواب الرابع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شمول أدلة الحجية للمتعارضين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أدلة حجية نظره شاملة للموضوعات أو للموضوعات العامة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وجوباً تخييرياً بينه وبين الاجتهاد أو الاحتياط</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الأمر مما يتسامحون فيه عادة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أكثرية الخبراء</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خفي أن التباين مستلزم للإلغاء مطلقاً أو في مادة الاجتماع، وغيره موجب للتضييق</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التفسير الأعم للتقليد وإلا كانت أجنبية عن أدلة الحكومة والشورى تماماً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قد جعلته عليكم حاكماً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مجاري الأمور بيد العلماء بالله الأمناء على حلاله وحرامه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الحكومة على أدلة الرجوع للخبير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أدلة الحكومة، وكذا أدلة الشورى بالنسبة إلى أدلة التقليد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المؤلف المباني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والترجيح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موجودة على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التقى الثقافية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منها يفيد ولو انفرد عن الآخر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الحوادث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وروايات أخرى عديدة، وهي من أدلة الحكومة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العقلاء</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رأي المقلّد والخبير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باب الأخبار إلى باب الموضوعات، فهذا غير التعدية من المنصوصة إلى غيرها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الذكر ليست ظاهرة في خصوص ما ذكر، لكون المورد لا يخصص الوارد، إلا أنه لا تبعد دعوى الانصراف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ومناسبات الحكم والموضوع وكون شأنهم غير الموضوعات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اختصاص الشورى بالموضوعات، كما سبق وسيأتي في المتن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مجال للشورى في العقائد كما لا يخفى،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اسألوا 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لأنها تشملها، إلا أن توجه الشورى في العقائد بما وجهت به في الأحكام، ولا يخفى ما فيه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بالذهاب إلى كونهما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التقليد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 الأعم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يقال بحكومة أدلة الشورى على أدلة التقليد، حتى على هذا الفرض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أعمية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يلزم لغوية أدلة التقليد حينئذٍ، فالأمر بالعكس تماماً مما سبق</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مساوياً لها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أننا تعرضنا لبعض هذه المسائل في مواضع أخر من الكتاب وبالتفصيل وبأدلة أخرى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وهذه جملة خبرية في مقام الإنشاء أو بقوته بل يرى العديد من الأصوليين ومنهم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أقوائية الجملة الخبرية من الإنشائية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تعميم الحدود للوضعية والتكليفية وكونها جميعاً واجباً حفظها،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طَلَّقَها فَلا جُناحَ عَلَيْهِما أَنْ يَتَراجَعا إِنْ ظَنَّا أَنْ يُقِيما حُدُودَ اللهِ وَتِلْكَ حُدُودُ اللهِ يُبَيِّنُها لِقَوْمٍ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وحدود الله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النفقة وإطاعة الزوج في التمكين والخروج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وَلَكُمْ نِصْفُ ما تَرَكَ أَزْواجُكُمْ إِنْ لَمْ يَكُنْ لَهُنَّ وَلَدٌ فَإِنْ كانَ لَهُنَّ وَلَدٌ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تِلْكَ حُدُودُ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يَعْصِ ◄ ►اللهَ</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الدين ح</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الدين ح</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القول بالوجوب أمور،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 أدلة النهي عن المنكر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للمعاصي الشخصية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الحكم تابعاً للموضوع، والأسماء والعناوين عناوين لمسمياتها الثبوتية، وجهله البسيط أو المركب لا يغير من الواقع شيئاً، والعنوان محقق بنظر الآمر والناهي إلا ما دلت السيرة القطعية أو الإجماع على عدمه، ومنه الجاهل القاصر في غير ما علم من الشرع كراهة وقوعه، وللكلام عن ذلك مجال آخر، وربما فصلنا الحديث عن هذا في بحث آخر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البحث في من يجب عليه ذلك، وأنه حاكم الشرع أو عدول المؤمنين أو مطلق الناس وجوباً كفائياً، بل البحث عن أصل الوجوب وإن كان ثابتاً في هذا المورد على الكل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الجملة مما لا ريب فيه، إلا أن الكلام في الإطلاق</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أننا لو قلنا بجواز التبعيض في التقليد وجواز العدول من مقلَّد إلى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بيّناه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شك في جواز الأمر والنهي حسب ما يراه معروفاً ومنكراً، أما الوجوب فهو على هذا المبنى أقرب كما لا يخفى، لانتفاء ما يتوهم مانعاً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وجوب الالتزام برأي مرجع تقليده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نعم هناك مانع آخ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عدم العدول والتبعيض والالتزام برأي مقلده، ولو تم كان مانعاً عن شمول أدلة الأمر والنهي بما هي ملزمة تعييناً، فتأمل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ويكفي عدم ثبوت السيرة على العدم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تثبت على العكس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والأمر والنهي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القدر المتيقن منها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لو تصور إنساناً، أسداً مفترساً، وجب على الآخر ردعه، ولو ردعه فلم يرم فبان أسداً كاسراً كان الرادع معذوراً عن العقلاء، وإن كان الأول لو رمى فبان إنساناً كان معذوراً أيضاً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الراد عليهم الراد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أجبنا عنه في موضع آخر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 الأول الذي تدخل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 والمقصود عنه الوكيل والوصي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 مراجع التقليد وكلاء بعضهم عن بعض في البت في الحوادث الواقعة، كي يقال ◄ ►بكون أحدهم وجوداً تنزيلياً عن الآخر وإن عمل الوكيل عمل للموكل بالتسبيب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يجري فيه بعض ما ذكرناه بالنسبة للعامي قبل أسطر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لكون الأحكام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نفس الفتوى من حيث هي، لا من حيث سبقها بالنية الخالصة والجهد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هذا مبنى على تسليم كون فتوى الفقيه في الحوادث الواقعة مما يرتبط بكل الأمة حجة لا بشرط، وإلا بأن رجح كون فتواه حجة لا بشرط في الأحكام الشرعية والشؤون الخاصة فقط، أما الشؤون العامة فلا حجية لرأي فقيه منفرداً لاستلزامه الهرج والمرج والضرر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فصلنا ذلك في عدة مواضع 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المرجع المجموع من حيث المجموع أو الأكثرية، كان هذا إشكالاً آخر وهو مبنائي، إذ يعود لإنكار كون فتواه فيها حكماً ◄ ►ظاهرياً وعدم كونها حجة على مسلك ارتضيناه في معنى الحجية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مبني على كون المجعول في موارد الطرق والأمارات الحكم المماثل، وأما لو قلنا بأن المجعول هو الكاشفية والطريقية بمعنى متممية الكشف بإلغاء احتمال الخلاف بل إمضاء ذلك، فالجواب أيضاً واضح، وسيأتي تفصيله بعد 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ونعود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لو قلنا بأن الحجية لا تعني إلا المنجزية والمعذرية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يستثنى ترك ذلك تقية أو جبناً وما شاكل ذلك، وهو واضح وعدم إضراره بما نحن بصدده أوضح</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مانعية حجية رأي هذا عن وجوب إشارة ذاك عليه بما يراه، لا من ◄ ► حيث حجية فتواه لنفسه، إذ قد يقال بعدم شمول أدلة الحجية لمورد تخالف الاجتهادين كما ارتضاه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وتعرضنا له بالتفصيل في موضع آخر من الكتاب، فكلامنا هنا بعد الفراغ عن تسليم كون كلا الفتويين حجة اقتضاءً وفعليةً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بينا وجهه في بعض البحوث</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فصّلها السيد العم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العروة الوثقى، للسيد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العروة الوثقى، للسيد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العروة الوثقى، للسيد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الظلم ح</w:t>
      </w:r>
      <w:r>
        <w:rPr>
          <w:rFonts w:eastAsia="IRNazanin" w:cs="IRNazanin"/>
          <w:b w:val="false"/>
          <w:bCs w:val="false"/>
          <w:i w:val="false"/>
          <w:iCs w:val="false"/>
          <w:color w:val="333333"/>
          <w:sz w:val="20"/>
          <w:szCs w:val="20"/>
        </w:rPr>
        <w:t>10388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الحارث بن المغيرة،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لقيني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طرق المدينة ليلاً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لتحملن ذنوب سفهائكم على علمائكم ثم مضى،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أتيته فاستأذنت عليه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لتحملن ذنوب سفهائكم على علمائكم؟ فقد دخلني من ذلك أمر عظيم،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يمنعكم إذا بلغكم عن الرجل منكم ما تكرهونه مما يدخل به علينا الأذى والعيب عند الناس أن تأتوه فتأنبوه وتعظوه وتقولوا له قولاً بليغاً؟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 يقبل منا ولا يطيعنا؟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فاهجروه عند ذلك واجتنبوا مجالسته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مشاورة أصحاب الرأي ح</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المشاورة ح</w:t>
      </w:r>
      <w:r>
        <w:rPr>
          <w:rFonts w:eastAsia="IRNazanin" w:cs="IRNazanin"/>
          <w:b w:val="false"/>
          <w:bCs w:val="false"/>
          <w:i w:val="false"/>
          <w:iCs w:val="false"/>
          <w:color w:val="333333"/>
          <w:sz w:val="20"/>
          <w:szCs w:val="20"/>
        </w:rPr>
        <w:t>10074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ضل من استشار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عطب من استشار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حيث نقل ذلك عن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تهذيب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وقال في مصباح الأصول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مضافاً إلى أن غالب الأمارات بل جميعها طرق عقلائية لا تأسيسية من قبل الشارع</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اشتراط الجامعية للشرائط في تحقق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صدق 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شرط لحجيتها واعتبارها شرعاً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السرائر، وشبهه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الناس يوم القيامة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برفع اليد عن مرتبة التنجز</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رغم بقاء الحكم الواقعي على ما هو عليه من المصلحة أو المفسدة لعدم قصور في مقتضيات الأحكام وملاكاتها في موارد قيام الأمارة والأصل على خلافها، ومع أنه كان يمكن المحافظة عليه بإيجاب الاحتياط</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مصلحة سلوكية على القول بها، وهي غير نافعة كما أوضحناه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على التفسير الآخر للحكم الظاهري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 تمامية المقدم في مواضع عديدة من هذا الكتاب، كما أثبتنا الملازمة في مواضع عديدة أيضاً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تطرقنا لذلك في موضع آخر فليراجع، وذكرنا أيضاً روايات أخرى لم نذكرها ههنا، كما ذكرنا هنا بعض ما لم نذكره هناك</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وكيفية استتباع ذلك لسائر المسائل قد بيّناه سابقاً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 احتمال الخطأ،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يكفي الله من نفسي ما هو أملك به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حكم سائر الولاة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بالنظر إلى عصمة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 ولذا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يكفي</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 الناس 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 هؤلاء ح</w:t>
      </w:r>
      <w:r>
        <w:rPr>
          <w:rFonts w:eastAsia="IRNazanin" w:cs="IRNazanin"/>
          <w:b w:val="false"/>
          <w:bCs w:val="false"/>
          <w:i w:val="false"/>
          <w:iCs w:val="false"/>
          <w:color w:val="333333"/>
          <w:sz w:val="20"/>
          <w:szCs w:val="20"/>
        </w:rPr>
        <w:t>10078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15592</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صحيح أو موثق، رواه أحمد بن محمد البرقي في المحاسن، عن موسى بن القاسم، عن جده معاوية بن وهب،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البرقي فقد قال عنه ابن داوود في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في نفسه يروي عن الضعفاء ويعتمد المراسيل صنف كثيراً،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وذكرته في الضعفاء لطعن الغضائري فيه، ويقوى عندي ثقته مشي أحمد بن محمد بن عيسى في جنازته حافياً حاسراً تنصلاً مما قذفه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علي 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الهمزة رقم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ونقل في القسم الثاني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توثيق الفهرست والنجاشي له، وراجع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وأما طعن ابن الغضائري فغير ضائر لمطعانيته، وقد تحدثنا عن البرقي أكثر فيما سبق فليراجع، وأما موسى بن القاسم فقد قال عنه ابن داوود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القاسم بن معاوية بن وهب عربي بجلي كوفي ثقة كما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واضح الحديث حسن الطريقة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عنه النجاشي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ثقة جليل واضح الحديث حسن الطريقة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معاوية بن وهب فقد قال عنه النجاشي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 صميم ثقة حسن الطريقة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عنه ابن داوود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صحيح</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الثاني والثالث</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الرابع والسابع</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التاسع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الرابع</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السادس</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السابع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الثامن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مفهوم الحديث التاسع</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العاشر، ولا يخفى أن الزلل والندم والخذلان في الحديثين الثامن والتاسع رتبت على عدم المشورة لا على عدم الاتباع، فتأمل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ثبت بما ذكرناه بعض المسائل الأخرى، كوجوب طلب الإشارة وغيرها، لأن فيها توقياً عن إلقاء النفس في التهلكة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كبرهان الغرض وأن في عدم الاتباع نقضاً له واللازم العرفي وشبه ذلك</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أننا تطرقنا لهذا البحث سابقاً فليلاحظ ما ذكر ههنا مع ما ذكر هنالك</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عمل بعد مشورة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حافظ على صلاته أو ضيعها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 الرقم</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المشاورة ح</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يتعرض أحد الدليلين لما لا يتعرض له الدليل الآخر من حيثياته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يراجع 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 والورود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مواقع الخطأ</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9617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الحديث عن شورى الفقهاء خصصنا الحديث في المتن بهم، وأما في غيرهم فيجري ما ذكرناه مع تغيير ما وبشكل أوضح</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لكي تكون القسمة حاصرة حصراً استقرائياً ولئلا تتداخل الأقسام ينبغي القول على وجه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المسمى بالعالم أو المدعى عالميته قد لا يكون عالماً وقد يكون والأول إما لكونه لا يعرف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 كان يدعي علماً لا يعرف منه شيئاً إطلاقاً أو يدعى ذلك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بحيث يصح في عرف العقلاء إطلاق العالم عليه أو لكونه جاهلاً مركباً لقصور أو تقصير أو لكونه عالماً بالباب دون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يطلق عليه العلم بالفقه مثلاً وإن جهل العديد من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بعلم دون آخر هو غير عالم باعتبار تلك المسألة وذلك العالم الآخر وعالم بالقياس إلى الباب والعلم الأول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جاهل مركب، وكلامه عليه السلام في بعض مقاطعه يحتمل الجاهل المركب والعالم الضال المضل، فالمراد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النفي حقيقة أو تنزيلاً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أديانكم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الشريعة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آفة العلماء العصبية والتعصب، 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آفةُ عُلَمَاءِ ثَمَانِيَةُ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 وَ الْبُخْلُ وَ الرِّيَاءُ وَ الْعَصَبِيَّةُ وَ حُبُّ الْمَدْحِ وَ الْخَوْضُ فِيمَا لَمْ يَصِلُوا إِلَى حَقِيقَتِهِ وَ التَّكَلُّفُ فِي تَزْيِينِ الْكَلَامِ بِزَوَائِدِ الْأَلْفَاظِ وَ قِلَّةُ الْحَيَاءِ مِنَ اللَّهِ وَ الِافْتِخَارُ وَ تَرْكُ الْعَمَلِ بِمَا 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يَرُدُّهُ عَنْ فَضْلِ رَأْيِهِ الرِّضَاءُ وَ 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أعشار الحسد في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العلم الحسد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تلزم الإشارة وسائر ما ذكر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أدخلنا سابقاً حتى هذه الصورة في لزوم الفحص، وسيأتي مزيد بيان له أيضاً بإذنه تعالى</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الشريعة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جواز الاتباع على فرضه لا يدفع إلاّ العقوبة الأخروية، ولا يدفع الضرر الدنيوي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تقدير تماميته أخص من المدعى، وقد ذكرنا سابقاً وجهاً آخر للزوم الفحص عن خطئه قصوراً كان أو تقصيراً فليراجع</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الحديث الشريف إرشاداً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استبد برأيه هلك ومن شاور الرجال شاركها في عقولها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استثناء غفلتهم قصوراً عن ذلك الاحتمال، كما في كل تكليف غفل عنه قصوراً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غيره أيضاً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المنصوب وهو الفقيه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وحيث إن ولايته مقيدة بالعدالة جرى هنا ما ذكرناه سابقاً فليراجع</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إفراد هذا بالبحث، فإنه أقرب لإثبات المدعى وإن احتاج إلى توسيط أمر أو أكثر، فتدبر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يستلزم زلزلة شخصيته الاعتبارية وضعف هيمنته على الناس المستلزم لتشكيكهم في بعض مبانيه الأخرى الأساسية لديه، أو ضعف تأثيره على الناس فيما كان بصدد التأثير عليهم وتوجيههم في ميادين شتى، أو يستلزم انفضاض الفقهاء عنه وترجيحهم لغيره عليه، كما حدث ذلك أو عكسه في زمن المرحومين الخراساني والطباطبائي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زمن المرحوم السيد أبي الحسن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انفضوا عن غيره إليه مع كونه أحد تسعين مرجعاً طبعوا رسائلهم العملية بعد وفاة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حدث في زماننا مما يرى بالعيان ولا حاجة للبيان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الشريعة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كثرة أمثلة اتباع العقلاء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فيه سادتهم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لرأي الآخرين وترك ما أدى إليه رأيهم بل وقطعوا به لكون ضرر مخالفتهم أكثر ولو مع قطع النظر عن مسألة الأكثرية، مثلاً حادثة التحكيم في قصة صفين مع كونها بضرر الإسلام وحيلة من معاوية حيث اضطر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قبول ذلك نظراً لضغط الخوارج وترتب أضرار أكبر لو خالفهم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تكلمنا حول هذا الدليل في موضع آخر من الكتاب بشكل مفصل، لكن دون التطرق للاحتمالات المطروحة هنا، فليراجع</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ههنا يعد أحد المقربات لما ذكرناه في محله مفصلاً، من أن طريقية الشورى للواقع أقوى بنسبة معتنى بها عقلاً وعرفاً من طريقية رأي الواحد له، فليضم هذا لذاك، فتأمل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 عن الخطأ القصوري ينم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حد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شدّة التثبت والاحتياط وكثرة التحقيق والفحص مما لو تركه لم يعد خطأ تقصيرياً، فتأمل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مع ملاحظة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لا دَفْعُ اللهِ النَّاسَ بَعْضَهُمْ بِبَعْضٍ لَهُدِّمَتْ صَوامِعُ وَبِيَعٌ وَصَلَواتٌ وَمَساجِدُ يُذْكَرُ فِيهَا اسْمُ اللهِ كَثِيراً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وبداهة ذلك تتضح بملاحظة كل متنافسين في أي حقل من الحقول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والمثال الذي يمكن ذكره لنظير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 العلمي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تداول في الحوزات من عقد مجلس بحث علمي يسمى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عادة، حيث يتشكل من عدة علماء متقاربي المستوى، أو يتشكل من أستاذ الخارج ومن أبرز تلاميذه وأكثرهم ذكاءً وتفوقاً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تكلمنا حول هذا الدليل في موضع آخر من الكتاب بشكل مفصل، فليراجع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علم من الشرع إرادة عدم وقوعه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لم يكن يرى الولاية للجد على البكر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ما ذكر من الاستشهاد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بالرضعات، والضرر البالغ بإجراء المعاهدات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أجنبي عن المدعى تماماً، بل هو دليل على صورة أخرى غير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ما لو لم يرَ الفقيه الحاكم الاستشارة والشورى فهل على سائر الفقهاء الردع</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يلزم من دعوى التعميم خصوص إشكال لزوم استعمال اللفظ في أكثر من معنى، إذ هو فيما لو أريد كل من المعنيين بالدلالة المطابقية على أن يكون كل منهما تمام المدلول، دون ما لو أريد كل منهما بالدلالة التضمنية بأن يكون كل منهما بعضه، هذا إضافة إلى عدم المانع منه لو كان جامع اعتباري أو انتزاعي،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تصلح جامعاً كما لا يخفى</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مجعوليتها للجميع بوزان واحد، لا له بشرط أو بدونه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الأولى التعبير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الضمير في الرجوع إلى كل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والرجوع إليهم، كما يصدق بالرجوع إليهم مباشرة يصدق بالرجوع إلى أهل الحل والعقد ممن فوضت الأمة إليهم أمرها، فلا يرد كون ذاك تكليفاً بما هو نادر الوقوع، فتأمل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الفرق بين الحق والحكم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الحقوق موضوعاً وحكماً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المؤلف الفرق بين الإسقاط والترك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في الحق 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موجودة في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التقى الثقافية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مباحث البيع</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 الولاية التعليقية للفقيه كما سبق إيضاحه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بد للناس من أمير بر أو فاجر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الأقلية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الارتفاع إلى قضاة الجور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الشأنية أو الفعلية، على ما فصلناه في محله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كل مؤمن عدل أو كل مؤمن أو كل مكلف أهل، بناءً على عدم ولاية الفقيه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بحثٍ في هذين الدليلين فصلناهما في مبحث آخر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ببعضها بعض الأعلام أو الكثير منهم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الأدلة اللاحقة بناء على تماميتها دليل على صحة القيام بأمر الحكومة للمؤمن فقط لا على ثبوت الولاية بمعنى أن له تسيير الأمور بالعدل فقط لا الولاية، فيكون نظير ما يسمى اليوم بحكومة تصريف أعمال مع فوارق، فتدبر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فعليهم الاستعانة بأهل الخبرة حينئذٍ</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عدت بعضها دليلاً على أحد الاحتمالين الأولين فلاحظ</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القضاة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ولا يخفى أن كلامه هذا في القضاء، وقد ذكرناه هنا لجريانه بعينه ههنا كما لا يخفى</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أعم من الأول مضموناً ومتعلقاً، إذ الأول كان عن أمر الحكومة خاصة، نعم بعض الآيات هنا خاصة ببعض الأحكام فقط</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المعروف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ولاية عدول المؤمنين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وغيرها أيضاً مما سبق</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الأمر كذلك</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الأول إقامة العدل، والمطلوب الثاني كونه عبر الفقيه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كاستحباب إقامة صلاة الفريضة في المسجد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مآل الارتباطية إلى وحدة المطلوب، فتأمل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بالاستحباب لكن احتمال تعلق تكليف جديد يشمل احتمال وجوب جديد أيضاً من باب تعدد المطلوب، فالاحتمالات ثلاثة لا اثنين كما هو ظاهر المتن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للوجوب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 والنشر مرتب</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المؤلف حول مقام الفتيا ومقام التعليم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المعاريض والتورية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الاجتهاد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21471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القضاة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أن الكلام في الرواية عن المتعلَّق والحكم لا عن الحاكم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الخطاب فيها موجه للمؤمنين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من العدول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المطلع على الروايات والفتاوى، فتأمل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تفصيله عند التطرق لهذه الرواية الشريفة في المجلد الثاني بإذنه تعالى</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قد يقال مثلاً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عليكم حاكماً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في شأن القضاء لا غير، أو غير ذلك</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إنتاج هذا في الجملة لا بالجملة، فتدبر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تعلقت به إرادته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الفتنة ح</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 ظلومٌ غشوم خير من فتنة تدوم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ظلوم خير من فتنة تدوم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حدود ما يدفع الهرج والمرج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ديموقراطيات عالم اليوم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ديموقراطيات عالم اليوم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اللزوم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بإشعار أو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نفوذ كلمته ولو عند التعارض فتأمل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فصل آخر أنه لا شك في نفوذ رأي الإمام بما هو إمام، إنما الكلام في الحاكم بما هو حاكم فراجع</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القضاة ح</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 والحلبيين وظاهر الوسائل والمنسوب إلى المسالك والحدائق وشرح المفاتيح</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الجواب عن ذلك</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ما يتنقح به المقام أكثر فليراجع وليتأمل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فلهم الولاية في دائرة الشورى وفي إطارها ومنبثقه عنها ومحدودة بها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حكومة روايات ولاية الفقهاء على آية الشورى، أو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الولاية منقحة لموضوع الشورى، فالشورى تكون بين أهل الولاية فيما لهم الولاية فيه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الحديث عن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قد جعلته عليكم حاكماً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الجزء الثاني بإذنه تعالى</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كان في هذا مصلحة كان الحكم بإيجابه حكمهم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دلالة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ذكرناه دفاعاً عنه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يكونوا من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يمكن في باب القضاء تطبيق ما ذكرناه في باب الحكومة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مبنى البحث في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مبنى الحكم بأن هذه الدار لزيد هو الاعتقاد بعدالة الشاهدين مثلاً، وظن المقلد بعدم عدالتهما كظنه بعدالتهما حجة، لكون موضوعاً خارجياً يتساوى فيه ظن المقلد والمجتهد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الحكم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الارتفاع إلى قضاة الجور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والشهادات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فصلها موقوف</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 خلاف مقتضى جعله حاكماً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ولاية الفقيه وفقه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عبر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المنتخب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أعم من المدعى، فان تمام الأمر وحصول النظام لا يتوقف على الإطاعة الاستبدادية بل يتمُّان بالإطاعة الشورية أيضاً، فيمكن جعل حق الطاعة مشروطاً باستشارته وبعمله برأي الأكثرية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ضوابط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أخذ برأيها وجبت طاعته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الجواز في مقابل اللزوم أو في مقابل الحرمة؟</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 وفقه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فصلناه في كتاب البيع من البحث عن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كدليل على جواز نقل الحق وإسقاطه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 وفقه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بالنصيحة لأئمة المسلمين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الشرط الارتكازي</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يجوز التحاكم إليه ومن لا يجوز ح</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الحكم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عطفاً للخاص على العام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الروايات الآتية يستدل ببعضها على اشتراط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وببعضها على اشتراط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غيرهما، بقاءً</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الحكومة إنما هي للإمام عليه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والجرائج</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دان الله عزوجل بغير إمام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أهل المل ح</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كان مقدمة للحرام كإراقة الدماء وهتك الأعراض وسرقة الأموال وما أشبه ذلك</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الحرمة لا في شدتها ودرجتها كما هو واضح</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يجوز التحاكم إليه ومن لا يجوز ح</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كاعتبارها ملكه، والأخص كاعتبارها الاستقامة على جادة الشرع، ومن جهةٍ الأمر بالعكس، فتدبر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أَعْظَمُ النَّاسِ مُصِيبَةً لِمَا غُلِبْتُمْ عَلَيْهِ مِنْ مَنَازِلِ الْعُلَمَاءِ لَوْ كُنْتُمْ تَسَعُونَ، ذَلِكَ بِأَنَّ مَجَارِيَ الْأُمُورِ وَ الْأَحْكَامِ عَلَى أَيْدِي الْعُلَمَاءِ بِاللَّهِ الْإِمْنَاءِ عَلَى حَلَالِهِ وَ حَرَامِهِ فَأَنْتُمْ الْمَسْلُوبُونَ تِلْكَ الْمَنْزِلَةَ، وَمَا سُلِبْتُمْ ذَلِكَ إِلَّا بِتَفَرُّقِكُمْ عَنِ الْحَقِّ وَاخْتِلَافِكُمْ فِي السُّنَّةِ بَعْدَ الْبَيِّنَةِ الْوَاضِحَة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المقصد الثاني المسألة الرابعة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تقسيم هذا الكلام إلى شطرين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هذا الباب موجب للطعن في الحكام وتفسيقهم وهو غير صحيح في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غير صحيح لاستلزامه عدم قبوله القضاء، وإن كان صريحه هو الشق الثاني، وقد أجبنا عن كليهما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المسألة السابعة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المطلب الأول، البحث الأول، المسألة الثالثة،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فيما علم من الشارع كراهة وقوعه مطلقاً كإراقة دم البريء</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ما ورد بعنوانه في الآيات والروايات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القول بدلالتها على ذلك</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فصلناها في فصل آخر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كان الأولى الاستدلال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قد جعلته عليكم حاكماً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على أن له كل ما هو من شأن الحاكم ومنه نصب القضاة،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يثبت أنه من شأنه ومن حقه عرفاً منع المتحاكمين من اختيار قاضٍ آخر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عزله عن المنصب الرسمي وإلاّ فله أن يقضي إذا تروفع إليه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الجواب متضمن للجواب الحلي أيضاً وسيأتي بعد أسطر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مستلزم لكون أحد الحكمين واقعياً والآخر ظاهرياً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وسيأتي وجهه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إن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الفرض وعلى هذا المبنى</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إمكان أن يلتزم بحرمة التسبيب لعدم الحجية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يحرم عدم الأخذ بها المسبب ◄ ►لعدم الحجية فتأمل، وقد يقال في وجهه أمر آخر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يقال باحتمال كون غيرهما طريقاً، أو يقال بعدم منجزيته فيما لو كان المتعلق أمرين متعارضي الطريقية فتأمل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سلم بناؤهم في هذه الصورة، فهو على تقليد الأعلم لا على لزوم الأخذ بأحدهما،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لزوم تقليد الأعلم يستفاد من بنائهم، وتعميم الحجية يستفاد من إطلاقات أدلة التقليد، وبضمها مع عدم إمكان الجمع يستفاد لزوم الأخذ بأحدهما، فتأمل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التزم في التنقيح بذلك في صورة عدم العلم بالمخالفة، فراجع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يلزم المانع الذي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الجمع بين الضدين أو النقيضين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تكون منجزية هذا ومعذرية ذاك مشروطة بالأخذ به لاستحالة كونها مطلقة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والمعذريتان وإن لم تتعددا نوعاً، إلا أنها متعددتان شخصاً لاستحالة صدور الواحد الشخصي من علتين مستقلتين اجتماعاً وتبادلاً وتعاقباً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المبحث يرتبط من وجه، ببحث اجتماع الأمر والنهي، وحيث إنه واد عميق نتركه لمحله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الأول دلالته بالمطابقة وعلى الثاني بالتضمن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والخلاصة أن الأخذ بالعامين من وجه في مادة الافتراق دون الاجتماع ليس بلا مرجح، إذ التعارض في الثانية دون الأولى فكذا في الإطلاقين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ولنا إشكالات عديدة على أصل ما التزمه في العامين من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أضربنا عنها لعدم ارتباطها بما نحن فيه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يدور بين كون عدم إمكان الإطلاق الثاني دليلاً على عدم الشمول أصلاً، أو الشمول قرينة مُقامية على عدم الإطلاق الثاني، والعرف والوجدان يحكمان الثاني، أي يرون شمول دليل الحجية للاثنين ورفع اليد عن إطلاقهما الثاني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قد يجوز له اتباع الرأي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العلم بأنه سيوجد له رأي مخالف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فتندرج هذه الصورة في صورة الجهل بالمخالفة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 من السالبة بانتفاء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التزم فيها يجواز التقليد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image" Target="media/image2.jpeg"/><Relationship Id="rId695" Type="http://schemas.openxmlformats.org/officeDocument/2006/relationships/image" Target="media/image2.jpeg"/><Relationship Id="rId696" Type="http://schemas.openxmlformats.org/officeDocument/2006/relationships/footer" Target="footer689.xml"/><Relationship Id="rId697" Type="http://schemas.openxmlformats.org/officeDocument/2006/relationships/footnotes" Target="footnotes.xml"/><Relationship Id="rId698" Type="http://schemas.openxmlformats.org/officeDocument/2006/relationships/numbering" Target="numbering.xml"/><Relationship Id="rId699" Type="http://schemas.openxmlformats.org/officeDocument/2006/relationships/fontTable" Target="fontTable.xml"/><Relationship Id="rId700" Type="http://schemas.openxmlformats.org/officeDocument/2006/relationships/settings" Target="settings.xml"/><Relationship Id="rId7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705</Pages>
  <Words>49678</Words>
  <Characters>227838</Characters>
  <CharactersWithSpaces>275827</CharactersWithSpaces>
  <Paragraphs>1949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2026-08-27T15:12:54Z</dcterms:created>
  <dc:creator>ghaemiyeh.com</dc:creator>
  <dc:description/>
  <dc:language>en-US</dc:language>
  <cp:lastModifiedBy/>
  <dcterms:modified xsi:type="dcterms:W3CDTF">2026-08-27T18:43:17Z</dcterms:modified>
  <cp:revision>1</cp:revision>
  <dc:subject/>
  <dc:title>شورى الفقهاء والقیادات الإسلامیة</dc:title>
</cp:coreProperties>
</file>

<file path=docProps/custom.xml><?xml version="1.0" encoding="utf-8"?>
<Properties xmlns="http://schemas.openxmlformats.org/officeDocument/2006/custom-properties" xmlns:vt="http://schemas.openxmlformats.org/officeDocument/2006/docPropsVTypes"/>
</file>